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F0F8D">
      <w:pPr>
        <w:divId w:val="937563373"/>
        <w:rPr>
          <w:rFonts w:eastAsia="Times New Roman"/>
          <w:vanish/>
        </w:rPr>
      </w:pPr>
      <w:r>
        <w:rPr>
          <w:rFonts w:eastAsia="Times New Roman"/>
          <w:vanish/>
        </w:rPr>
        <w:t>QUALCOMM INC/DE00008043282021Q3FALSE--09-26P0Y3M0DP1Y0M0DP1Y0M0DP1Y0M0DP1Y0M0DP1Y0M0D00008043282020-09-282021-06-27xbrli:shares00008043282021-07-26iso4217:USD00008043282021-06-2700008043282020-09-27iso4217:USDxbrli:shares00008043282021-03-29</w:t>
      </w:r>
      <w:r>
        <w:rPr>
          <w:rFonts w:eastAsia="Times New Roman"/>
          <w:vanish/>
        </w:rPr>
        <w:t>2021-06-2700008043282020-03-302020-06-2800008043282019-09-302020-06-2800008043282019-09-2900008043282020-06-2800008043282021-03-2800008043282020-03-290000804328us-gaap:CommonStockIncludingAdditionalPaidInCapitalMember2021-03-280000804328us-gaap:CommonStock</w:t>
      </w:r>
      <w:r>
        <w:rPr>
          <w:rFonts w:eastAsia="Times New Roman"/>
          <w:vanish/>
        </w:rPr>
        <w:t>IncludingAdditionalPaidInCapitalMember2020-03-290000804328us-gaap:CommonStockIncludingAdditionalPaidInCapitalMember2020-09-270000804328us-gaap:CommonStockIncludingAdditionalPaidInCapitalMember2019-09-290000804328us-gaap:CommonStockIncludingAdditionalPaidIn</w:t>
      </w:r>
      <w:r>
        <w:rPr>
          <w:rFonts w:eastAsia="Times New Roman"/>
          <w:vanish/>
        </w:rPr>
        <w:t>CapitalMember2021-03-292021-06-270000804328us-gaap:CommonStockIncludingAdditionalPaidInCapitalMember2020-03-302020-06-280000804328us-gaap:CommonStockIncludingAdditionalPaidInCapitalMember2020-09-282021-06-270000804328us-gaap:CommonStockIncludingAdditionalP</w:t>
      </w:r>
      <w:r>
        <w:rPr>
          <w:rFonts w:eastAsia="Times New Roman"/>
          <w:vanish/>
        </w:rPr>
        <w:t>aidInCapitalMember2019-09-302020-06-280000804328us-gaap:CommonStockIncludingAdditionalPaidInCapitalMember2021-06-270000804328us-gaap:CommonStockIncludingAdditionalPaidInCapitalMember2020-06-280000804328us-gaap:RetainedEarningsMember2021-03-280000804328us-g</w:t>
      </w:r>
      <w:r>
        <w:rPr>
          <w:rFonts w:eastAsia="Times New Roman"/>
          <w:vanish/>
        </w:rPr>
        <w:t>aap:RetainedEarningsMember2020-03-290000804328us-gaap:RetainedEarningsMember2020-09-270000804328us-gaap:RetainedEarningsMember2019-09-290000804328us-gaap:RetainedEarningsMember2021-03-292021-06-270000804328us-gaap:RetainedEarningsMember2020-03-302020-06-28</w:t>
      </w:r>
      <w:r>
        <w:rPr>
          <w:rFonts w:eastAsia="Times New Roman"/>
          <w:vanish/>
        </w:rPr>
        <w:t>0000804328us-gaap:RetainedEarningsMember2020-09-282021-06-270000804328us-gaap:RetainedEarningsMember2019-09-302020-06-280000804328us-gaap:RetainedEarningsMember2021-06-270000804328us-gaap:RetainedEarningsMember2020-06-280000804328us-gaap:AccumulatedOtherCo</w:t>
      </w:r>
      <w:r>
        <w:rPr>
          <w:rFonts w:eastAsia="Times New Roman"/>
          <w:vanish/>
        </w:rPr>
        <w:t>mprehensiveIncomeMember2021-03-280000804328us-gaap:AccumulatedOtherComprehensiveIncomeMember2020-03-290000804328us-gaap:AccumulatedOtherComprehensiveIncomeMember2020-09-270000804328us-gaap:AccumulatedOtherComprehensiveIncomeMember2019-09-290000804328us-gaa</w:t>
      </w:r>
      <w:r>
        <w:rPr>
          <w:rFonts w:eastAsia="Times New Roman"/>
          <w:vanish/>
        </w:rPr>
        <w:t>p:AccumulatedOtherComprehensiveIncomeMember2021-03-292021-06-270000804328us-gaap:AccumulatedOtherComprehensiveIncomeMember2020-03-302020-06-280000804328us-gaap:AccumulatedOtherComprehensiveIncomeMember2020-09-282021-06-270000804328us-gaap:AccumulatedOtherC</w:t>
      </w:r>
      <w:r>
        <w:rPr>
          <w:rFonts w:eastAsia="Times New Roman"/>
          <w:vanish/>
        </w:rPr>
        <w:t>omprehensiveIncomeMember2019-09-302020-06-280000804328us-gaap:AccumulatedOtherComprehensiveIncomeMember2021-06-270000804328us-gaap:AccumulatedOtherComprehensiveIncomeMember2020-06-280000804328us-gaap:RevolvingCreditFacilityMember2020-12-080000804328us-gaap</w:t>
      </w:r>
      <w:r>
        <w:rPr>
          <w:rFonts w:eastAsia="Times New Roman"/>
          <w:vanish/>
        </w:rPr>
        <w:t>:RevolvingCreditFacilityMember2021-06-270000804328us-gaap:RevolvingCreditFacilityMember2020-09-282021-06-270000804328us-gaap:InterestRateSwapMember2021-06-270000804328us-gaap:OtherCurrentLiabilitiesMemberus-gaap:InterestRateSwapMember2021-06-270000804328us</w:t>
      </w:r>
      <w:r>
        <w:rPr>
          <w:rFonts w:eastAsia="Times New Roman"/>
          <w:vanish/>
        </w:rPr>
        <w:t>-gaap:InterestRateSwapMemberus-gaap:OtherNoncurrentLiabilitiesMember2021-06-270000804328qcom:QctMemberqcom:MobileHandsetsMember2021-03-292021-06-270000804328qcom:QctMemberqcom:MobileHandsetsMember2020-03-302020-06-280000804328qcom:QctMemberqcom:MobileHands</w:t>
      </w:r>
      <w:r>
        <w:rPr>
          <w:rFonts w:eastAsia="Times New Roman"/>
          <w:vanish/>
        </w:rPr>
        <w:t>etsMember2020-09-282021-06-270000804328qcom:QctMemberqcom:MobileHandsetsMember2019-09-302020-06-280000804328qcom:QctMemberqcom:RFFEMember2021-03-292021-06-270000804328qcom:QctMemberqcom:RFFEMember2020-03-302020-06-280000804328qcom:QctMemberqcom:RFFEMember2</w:t>
      </w:r>
      <w:r>
        <w:rPr>
          <w:rFonts w:eastAsia="Times New Roman"/>
          <w:vanish/>
        </w:rPr>
        <w:t>020-09-282021-06-270000804328qcom:QctMemberqcom:RFFEMember2019-09-302020-06-280000804328qcom:AutomotiveMemberqcom:QctMember2021-03-292021-06-270000804328qcom:AutomotiveMemberqcom:QctMember2020-03-302020-06-280000804328qcom:AutomotiveMemberqcom:QctMember202</w:t>
      </w:r>
      <w:r>
        <w:rPr>
          <w:rFonts w:eastAsia="Times New Roman"/>
          <w:vanish/>
        </w:rPr>
        <w:t>0-09-282021-06-270000804328qcom:AutomotiveMemberqcom:QctMember2019-09-302020-06-280000804328qcom:QctMemberqcom:IoTMember2021-03-292021-06-270000804328qcom:QctMemberqcom:IoTMember2020-03-302020-06-280000804328qcom:QctMemberqcom:IoTMember2020-09-282021-06-27</w:t>
      </w:r>
      <w:r>
        <w:rPr>
          <w:rFonts w:eastAsia="Times New Roman"/>
          <w:vanish/>
        </w:rPr>
        <w:t>0000804328qcom:QctMemberqcom:IoTMember2019-09-302020-06-280000804328qcom:QctMember2021-03-292021-06-270000804328qcom:QctMember2020-03-302020-06-280000804328qcom:QctMember2020-09-282021-06-270000804328qcom:QctMember2019-09-302020-06-2800008043282021-06-2820</w:t>
      </w:r>
      <w:r>
        <w:rPr>
          <w:rFonts w:eastAsia="Times New Roman"/>
          <w:vanish/>
        </w:rPr>
        <w:t>21-06-2700008043282021-09-272021-06-2700008043282022-09-262021-06-2700008043282023-09-252021-06-2700008043282024-09-302021-06-2700008043282025-09-292021-06-27xbrli:pure0000804328qcom:CustomerOneMemberus-gaap:SalesMemberus-gaap:CustomerConcentrationRiskMemb</w:t>
      </w:r>
      <w:r>
        <w:rPr>
          <w:rFonts w:eastAsia="Times New Roman"/>
          <w:vanish/>
        </w:rPr>
        <w:t>er2021-03-292021-06-270000804328qcom:CustomerOneMemberus-gaap:SalesMemberus-gaap:CustomerConcentrationRiskMember2020-09-282021-06-270000804328qcom:CustomertwoMemberus-gaap:SalesMemberus-gaap:CustomerConcentrationRiskMember2021-03-292021-06-270000804328qcom</w:t>
      </w:r>
      <w:r>
        <w:rPr>
          <w:rFonts w:eastAsia="Times New Roman"/>
          <w:vanish/>
        </w:rPr>
        <w:t>:CustomertwoMemberus-gaap:SalesMemberus-gaap:CustomerConcentrationRiskMember2020-03-302020-06-280000804328qcom:CustomertwoMemberus-gaap:SalesMemberus-gaap:CustomerConcentrationRiskMember2020-09-282021-06-270000804328qcom:CustomertwoMemberus-gaap:SalesMembe</w:t>
      </w:r>
      <w:r>
        <w:rPr>
          <w:rFonts w:eastAsia="Times New Roman"/>
          <w:vanish/>
        </w:rPr>
        <w:t>rus-gaap:CustomerConcentrationRiskMember2019-09-302020-06-280000804328us-gaap:SalesMemberqcom:CustomerThreeMemberus-gaap:CustomerConcentrationRiskMember2021-03-292021-06-270000804328us-gaap:SalesMemberqcom:CustomerThreeMemberus-gaap:CustomerConcentrationRi</w:t>
      </w:r>
      <w:r>
        <w:rPr>
          <w:rFonts w:eastAsia="Times New Roman"/>
          <w:vanish/>
        </w:rPr>
        <w:t>skMember2020-03-302020-06-280000804328us-gaap:SalesMemberqcom:CustomerThreeMemberus-gaap:CustomerConcentrationRiskMember2020-09-282021-06-270000804328us-gaap:SalesMemberqcom:CustomerThreeMemberus-gaap:CustomerConcentrationRiskMember2019-09-302020-06-280000</w:t>
      </w:r>
      <w:r>
        <w:rPr>
          <w:rFonts w:eastAsia="Times New Roman"/>
          <w:vanish/>
        </w:rPr>
        <w:t>804328us-gaap:SalesMemberqcom:CustomerFourMemberus-gaap:CustomerConcentrationRiskMember2021-03-292021-06-270000804328us-gaap:SalesMemberqcom:CustomerFourMemberus-gaap:CustomerConcentrationRiskMember2020-03-302020-06-280000804328us-gaap:SalesMemberqcom:Cust</w:t>
      </w:r>
      <w:r>
        <w:rPr>
          <w:rFonts w:eastAsia="Times New Roman"/>
          <w:vanish/>
        </w:rPr>
        <w:t>omerFourMemberus-gaap:CustomerConcentrationRiskMember2020-09-282021-06-270000804328us-gaap:SalesMemberqcom:CustomerFourMemberus-gaap:CustomerConcentrationRiskMember2019-09-302020-06-280000804328qcom:CustomerFiveMemberus-gaap:SalesMemberus-gaap:CustomerConc</w:t>
      </w:r>
      <w:r>
        <w:rPr>
          <w:rFonts w:eastAsia="Times New Roman"/>
          <w:vanish/>
        </w:rPr>
        <w:t>entrationRiskMember2020-03-302020-06-280000804328qcom:HuaweiMember2020-09-270000804328srt:ScenarioForecastMember2020-09-282021-09-260000804328qcom:FDIIEffectiveTaxRateMembersrt:ScenarioForecastMember2020-09-282021-09-260000804328us-gaap:InternalRevenueServ</w:t>
      </w:r>
      <w:r>
        <w:rPr>
          <w:rFonts w:eastAsia="Times New Roman"/>
          <w:vanish/>
        </w:rPr>
        <w:t>iceIRSMember2021-03-292021-06-270000804328qcom:A30BStockRepurchaseProgramAnnouncedJuly262018Member2018-07-260000804328qcom:OpenMarketRepurchasesMember2020-09-282021-06-270000804328qcom:OpenMarketRepurchasesMember2019-09-302020-06-280000804328qcom:A30BStock</w:t>
      </w:r>
      <w:r>
        <w:rPr>
          <w:rFonts w:eastAsia="Times New Roman"/>
          <w:vanish/>
        </w:rPr>
        <w:t>RepurchaseProgramAnnouncedJuly262018Member2021-06-270000804328us-gaap:SubsequentEventMember2021-07-142021-07-140000804328us-gaap:SubsequentEventMember2021-09-232021-09-230000804328us-gaap:SubsequentEventMember2021-09-022021-09-02iso4217:KRW0000804328qcom:K</w:t>
      </w:r>
      <w:r>
        <w:rPr>
          <w:rFonts w:eastAsia="Times New Roman"/>
          <w:vanish/>
        </w:rPr>
        <w:t>FTCMembercurrency:KRW2017-03-302017-03-300000804328qcom:KFTCMember2017-03-302017-03-30iso4217:EUR0000804328qcom:IceraComplainttoECMembercurrency:EUR2019-07-182019-07-180000804328qcom:IceraComplainttoECMember2019-04-012019-06-300000804328qcom:IceraComplaint</w:t>
      </w:r>
      <w:r>
        <w:rPr>
          <w:rFonts w:eastAsia="Times New Roman"/>
          <w:vanish/>
        </w:rPr>
        <w:t>toECMember2021-06-270000804328qcom:ECMembercurrency:EUR2018-01-242018-01-240000804328qcom:ECMember2017-09-252017-12-240000804328qcom:ECMember2021-06-270000804328qcom:QtlMember2021-03-292021-06-270000804328qcom:QtlMember2020-03-302020-06-280000804328qcom:Qt</w:t>
      </w:r>
      <w:r>
        <w:rPr>
          <w:rFonts w:eastAsia="Times New Roman"/>
          <w:vanish/>
        </w:rPr>
        <w:t>lMember2020-09-282021-06-270000804328qcom:QtlMember2019-09-302020-06-280000804328qcom:QsiMember2021-03-292021-06-270000804328qcom:QsiMember2020-03-302020-06-280000804328qcom:QsiMember2020-09-282021-06-270000804328qcom:QsiMember2019-09-302020-06-28000080432</w:t>
      </w:r>
      <w:r>
        <w:rPr>
          <w:rFonts w:eastAsia="Times New Roman"/>
          <w:vanish/>
        </w:rPr>
        <w:t>8us-gaap:MaterialReconcilingItemsMember2021-03-292021-06-270000804328us-gaap:MaterialReconcilingItemsMember2020-03-302020-06-280000804328us-gaap:MaterialReconcilingItemsMember2020-09-282021-06-270000804328us-gaap:MaterialReconcilingItemsMember2019-09-30202</w:t>
      </w:r>
      <w:r>
        <w:rPr>
          <w:rFonts w:eastAsia="Times New Roman"/>
          <w:vanish/>
        </w:rPr>
        <w:t>0-06-280000804328us-gaap:AllOtherSegmentsMember2021-03-292021-06-270000804328us-gaap:AllOtherSegmentsMember2020-03-302020-06-280000804328us-gaap:AllOtherSegmentsMember2020-09-282021-06-270000804328us-gaap:AllOtherSegmentsMember2019-09-302020-06-28000080432</w:t>
      </w:r>
      <w:r>
        <w:rPr>
          <w:rFonts w:eastAsia="Times New Roman"/>
          <w:vanish/>
        </w:rPr>
        <w:t>8us-gaap:LicensingAgreementsMember2021-03-292021-06-270000804328us-gaap:LicensingAgreementsMember2020-03-302020-06-280000804328us-gaap:LicensingAgreementsMember2020-09-282021-06-270000804328us-gaap:LicensingAgreementsMember2019-09-302020-06-280000804328us-</w:t>
      </w:r>
      <w:r>
        <w:rPr>
          <w:rFonts w:eastAsia="Times New Roman"/>
          <w:vanish/>
        </w:rPr>
        <w:t>gaap:AllOtherSegmentsMemberus-gaap:MaterialReconcilingItemsMember2021-03-292021-06-270000804328us-gaap:AllOtherSegmentsMemberus-gaap:MaterialReconcilingItemsMember2020-03-302020-06-280000804328us-gaap:AllOtherSegmentsMemberus-gaap:MaterialReconcilingItemsM</w:t>
      </w:r>
      <w:r>
        <w:rPr>
          <w:rFonts w:eastAsia="Times New Roman"/>
          <w:vanish/>
        </w:rPr>
        <w:t>ember2020-09-282021-06-270000804328us-gaap:AllOtherSegmentsMemberus-gaap:MaterialReconcilingItemsMember2019-09-302020-06-280000804328qcom:NUVIAMember2021-03-162021-03-160000804328qcom:NUVIAMember2021-03-160000804328us-gaap:FairValueMeasurementsRecurringMem</w:t>
      </w:r>
      <w:r>
        <w:rPr>
          <w:rFonts w:eastAsia="Times New Roman"/>
          <w:vanish/>
        </w:rPr>
        <w:t>berus-gaap:FairValueInputsLevel1Member2021-06-270000804328us-gaap:FairValueMeasurementsRecurringMemberus-gaap:FairValueInputsLevel2Member2021-06-270000804328us-gaap:FairValueMeasurementsRecurringMemberus-gaap:FairValueInputsLevel3Member2021-06-270000804328</w:t>
      </w:r>
      <w:r>
        <w:rPr>
          <w:rFonts w:eastAsia="Times New Roman"/>
          <w:vanish/>
        </w:rPr>
        <w:t>us-gaap:FairValueMeasurementsRecurringMember2021-06-270000804328us-gaap:FairValueMeasurementsRecurringMemberus-gaap:FairValueInputsLevel1Memberus-gaap:CorporateDebtSecuritiesMember2021-06-270000804328us-gaap:FairValueMeasurementsRecurringMemberus-gaap:Fair</w:t>
      </w:r>
      <w:r>
        <w:rPr>
          <w:rFonts w:eastAsia="Times New Roman"/>
          <w:vanish/>
        </w:rPr>
        <w:t>ValueInputsLevel2Memberus-gaap:CorporateDebtSecuritiesMember2021-06-270000804328us-gaap:FairValueMeasurementsRecurringMemberus-gaap:FairValueInputsLevel3Memberus-gaap:CorporateDebtSecuritiesMember2021-06-270000804328us-gaap:FairValueMeasurementsRecurringMe</w:t>
      </w:r>
      <w:r>
        <w:rPr>
          <w:rFonts w:eastAsia="Times New Roman"/>
          <w:vanish/>
        </w:rPr>
        <w:t>mberus-gaap:CorporateDebtSecuritiesMember2021-06-270000804328us-gaap:EquitySecuritiesMemberus-gaap:FairValueMeasurementsRecurringMemberus-gaap:FairValueInputsLevel1Member2021-06-270000804328us-gaap:EquitySecuritiesMemberus-gaap:FairValueMeasurementsRecurri</w:t>
      </w:r>
      <w:r>
        <w:rPr>
          <w:rFonts w:eastAsia="Times New Roman"/>
          <w:vanish/>
        </w:rPr>
        <w:t>ngMemberus-gaap:FairValueInputsLevel2Member2021-06-270000804328us-gaap:EquitySecuritiesMemberus-gaap:FairValueMeasurementsRecurringMemberus-gaap:FairValueInputsLevel3Member2021-06-270000804328us-gaap:EquitySecuritiesMemberus-gaap:FairValueMeasurementsRecur</w:t>
      </w:r>
      <w:r>
        <w:rPr>
          <w:rFonts w:eastAsia="Times New Roman"/>
          <w:vanish/>
        </w:rPr>
        <w:t>ringMember2021-06-270000804328us-gaap:FairValueMeasurementsRecurringMemberus-gaap:FairValueInputsLevel1Memberqcom:MortgageandassetbackedandauctionratesecuritiesMember2021-06-270000804328us-gaap:FairValueMeasurementsRecurringMemberus-gaap:FairValueInputsLev</w:t>
      </w:r>
      <w:r>
        <w:rPr>
          <w:rFonts w:eastAsia="Times New Roman"/>
          <w:vanish/>
        </w:rPr>
        <w:t>el2Memberqcom:MortgageandassetbackedandauctionratesecuritiesMember2021-06-270000804328us-gaap:FairValueMeasurementsRecurringMemberus-gaap:FairValueInputsLevel3Memberqcom:MortgageandassetbackedandauctionratesecuritiesMember2021-06-270000804328us-gaap:FairVa</w:t>
      </w:r>
      <w:r>
        <w:rPr>
          <w:rFonts w:eastAsia="Times New Roman"/>
          <w:vanish/>
        </w:rPr>
        <w:t>lueMeasurementsRecurringMemberqcom:MortgageandassetbackedandauctionratesecuritiesMember2021-06-270000804328us-gaap:USTreasuryAndGovernmentMemberus-gaap:FairValueMeasurementsRecurringMemberus-gaap:FairValueInputsLevel1Member2021-06-270000804328us-gaap:USTre</w:t>
      </w:r>
      <w:r>
        <w:rPr>
          <w:rFonts w:eastAsia="Times New Roman"/>
          <w:vanish/>
        </w:rPr>
        <w:t>asuryAndGovernmentMemberus-gaap:FairValueMeasurementsRecurringMemberus-gaap:FairValueInputsLevel2Member2021-06-270000804328us-gaap:USTreasuryAndGovernmentMemberus-gaap:FairValueMeasurementsRecurringMemberus-gaap:FairValueInputsLevel3Member2021-06-270000804</w:t>
      </w:r>
      <w:r>
        <w:rPr>
          <w:rFonts w:eastAsia="Times New Roman"/>
          <w:vanish/>
        </w:rPr>
        <w:t>328us-gaap:USTreasuryAndGovernmentMemberus-gaap:FairValueMeasurementsRecurringMember2021-06-270000804328us-gaap:CorporateDebtSecuritiesMember2021-06-270000804328us-gaap:CorporateDebtSecuritiesMember2020-09-270000804328qcom:Mortgageandassetbackedandauctionr</w:t>
      </w:r>
      <w:r>
        <w:rPr>
          <w:rFonts w:eastAsia="Times New Roman"/>
          <w:vanish/>
        </w:rPr>
        <w:t>atesecuritiesMember2021-06-270000804328qcom:MortgageandassetbackedandauctionratesecuritiesMember2020-09-270000804328us-gaap:USTreasuryAndGovernmentMember2021-06-270000804328us-gaap:USTreasuryAndGovernmentMember2020-09-270000804328us-gaap:EquitySecuritiesMe</w:t>
      </w:r>
      <w:r>
        <w:rPr>
          <w:rFonts w:eastAsia="Times New Roman"/>
          <w:vanish/>
        </w:rPr>
        <w:t>mber2021-06-270000804328us-gaap:EquitySecuritiesMember2020-09-270000804328us-gaap:BankTimeDepositsMember2021-06-270000804328us-gaap:BankTimeDepositsMember2020-09-27</w:t>
      </w:r>
    </w:p>
    <w:p w:rsidR="00000000" w:rsidRDefault="000F0F8D">
      <w:pPr>
        <w:divId w:val="1196505593"/>
        <w:rPr>
          <w:rFonts w:eastAsia="Times New Roman"/>
        </w:rPr>
      </w:pPr>
    </w:p>
    <w:tbl>
      <w:tblPr>
        <w:tblW w:w="4947" w:type="pct"/>
        <w:jc w:val="center"/>
        <w:tblCellMar>
          <w:top w:w="15" w:type="dxa"/>
          <w:left w:w="15" w:type="dxa"/>
          <w:bottom w:w="15" w:type="dxa"/>
          <w:right w:w="15" w:type="dxa"/>
        </w:tblCellMar>
        <w:tblLook w:val="04A0" w:firstRow="1" w:lastRow="0" w:firstColumn="1" w:lastColumn="0" w:noHBand="0" w:noVBand="1"/>
      </w:tblPr>
      <w:tblGrid>
        <w:gridCol w:w="68"/>
        <w:gridCol w:w="1539"/>
        <w:gridCol w:w="36"/>
        <w:gridCol w:w="68"/>
        <w:gridCol w:w="1539"/>
        <w:gridCol w:w="36"/>
        <w:gridCol w:w="68"/>
        <w:gridCol w:w="1539"/>
        <w:gridCol w:w="36"/>
        <w:gridCol w:w="68"/>
        <w:gridCol w:w="1540"/>
        <w:gridCol w:w="36"/>
        <w:gridCol w:w="69"/>
        <w:gridCol w:w="1540"/>
        <w:gridCol w:w="36"/>
      </w:tblGrid>
      <w:tr w:rsidR="00000000">
        <w:trPr>
          <w:jc w:val="center"/>
        </w:trPr>
        <w:tc>
          <w:tcPr>
            <w:tcW w:w="50" w:type="pct"/>
            <w:vAlign w:val="center"/>
            <w:hideMark/>
          </w:tcPr>
          <w:p w:rsidR="00000000" w:rsidRDefault="000F0F8D">
            <w:pPr>
              <w:rPr>
                <w:rFonts w:eastAsia="Times New Roman"/>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bl>
    <w:p w:rsidR="00000000" w:rsidRDefault="000F0F8D">
      <w:pPr>
        <w:jc w:val="center"/>
        <w:divId w:val="224920079"/>
        <w:rPr>
          <w:rFonts w:eastAsia="Times New Roman"/>
        </w:rPr>
      </w:pPr>
      <w:r>
        <w:rPr>
          <w:rFonts w:eastAsia="Times New Roman"/>
          <w:b/>
          <w:bCs/>
          <w:color w:val="000000"/>
        </w:rPr>
        <w:t>UNITED STATES</w:t>
      </w:r>
    </w:p>
    <w:p w:rsidR="00000000" w:rsidRDefault="000F0F8D">
      <w:pPr>
        <w:jc w:val="center"/>
        <w:rPr>
          <w:rFonts w:eastAsia="Times New Roman"/>
        </w:rPr>
      </w:pPr>
      <w:r>
        <w:rPr>
          <w:rFonts w:eastAsia="Times New Roman"/>
          <w:b/>
          <w:bCs/>
          <w:color w:val="000000"/>
        </w:rPr>
        <w:t>SECURITIES AND EXCHANGE COMMISSION</w:t>
      </w:r>
    </w:p>
    <w:p w:rsidR="00000000" w:rsidRDefault="000F0F8D">
      <w:pPr>
        <w:jc w:val="center"/>
        <w:rPr>
          <w:rFonts w:eastAsia="Times New Roman"/>
        </w:rPr>
      </w:pPr>
      <w:r>
        <w:rPr>
          <w:rFonts w:eastAsia="Times New Roman"/>
          <w:b/>
          <w:bCs/>
          <w:color w:val="000000"/>
          <w:sz w:val="20"/>
          <w:szCs w:val="20"/>
        </w:rPr>
        <w:t>WASHINGTON, D.C. 20549</w:t>
      </w:r>
    </w:p>
    <w:p w:rsidR="00000000" w:rsidRDefault="000F0F8D">
      <w:pPr>
        <w:jc w:val="center"/>
        <w:rPr>
          <w:rFonts w:eastAsia="Times New Roman"/>
        </w:rPr>
      </w:pPr>
      <w:r>
        <w:rPr>
          <w:rFonts w:eastAsia="Times New Roman"/>
          <w:b/>
          <w:bCs/>
          <w:color w:val="000000"/>
        </w:rPr>
        <w:t>_____________________</w:t>
      </w:r>
    </w:p>
    <w:p w:rsidR="00000000" w:rsidRDefault="000F0F8D">
      <w:pPr>
        <w:jc w:val="center"/>
        <w:divId w:val="180823176"/>
        <w:rPr>
          <w:rFonts w:eastAsia="Times New Roman"/>
        </w:rPr>
      </w:pPr>
      <w:r>
        <w:rPr>
          <w:rFonts w:eastAsia="Times New Roman"/>
          <w:b/>
          <w:bCs/>
          <w:color w:val="000000"/>
          <w:sz w:val="36"/>
          <w:szCs w:val="36"/>
        </w:rPr>
        <w:t xml:space="preserve">FORM 10-Q </w:t>
      </w:r>
    </w:p>
    <w:p w:rsidR="00000000" w:rsidRDefault="000F0F8D">
      <w:pPr>
        <w:jc w:val="center"/>
        <w:rPr>
          <w:rFonts w:eastAsia="Times New Roman"/>
        </w:rPr>
      </w:pPr>
      <w:r>
        <w:rPr>
          <w:rFonts w:eastAsia="Times New Roman"/>
          <w:b/>
          <w:bCs/>
          <w:color w:val="000000"/>
        </w:rPr>
        <w:t>_____________________</w:t>
      </w:r>
    </w:p>
    <w:p w:rsidR="00000000" w:rsidRDefault="000F0F8D">
      <w:pPr>
        <w:divId w:val="219445000"/>
        <w:rPr>
          <w:rFonts w:eastAsia="Times New Roman"/>
        </w:rPr>
      </w:pPr>
      <w:r>
        <w:rPr>
          <w:rFonts w:eastAsia="Times New Roman"/>
          <w:b/>
          <w:bCs/>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449"/>
        <w:gridCol w:w="36"/>
        <w:gridCol w:w="69"/>
        <w:gridCol w:w="7647"/>
        <w:gridCol w:w="36"/>
      </w:tblGrid>
      <w:tr w:rsidR="00000000">
        <w:trPr>
          <w:divId w:val="882137959"/>
        </w:trPr>
        <w:tc>
          <w:tcPr>
            <w:tcW w:w="50" w:type="pct"/>
            <w:vAlign w:val="center"/>
            <w:hideMark/>
          </w:tcPr>
          <w:p w:rsidR="00000000" w:rsidRDefault="000F0F8D">
            <w:pPr>
              <w:rPr>
                <w:rFonts w:eastAsia="Times New Roman"/>
              </w:rPr>
            </w:pPr>
          </w:p>
        </w:tc>
        <w:tc>
          <w:tcPr>
            <w:tcW w:w="27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61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882137959"/>
        </w:trPr>
        <w:tc>
          <w:tcPr>
            <w:tcW w:w="0" w:type="auto"/>
            <w:gridSpan w:val="3"/>
            <w:tcMar>
              <w:top w:w="30" w:type="dxa"/>
              <w:left w:w="20" w:type="dxa"/>
              <w:bottom w:w="30" w:type="dxa"/>
              <w:right w:w="20" w:type="dxa"/>
            </w:tcMar>
            <w:hideMark/>
          </w:tcPr>
          <w:p w:rsidR="00000000" w:rsidRDefault="000F0F8D">
            <w:pPr>
              <w:spacing w:after="100"/>
              <w:jc w:val="center"/>
              <w:divId w:val="31603923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0F0F8D">
      <w:pPr>
        <w:jc w:val="center"/>
        <w:rPr>
          <w:rFonts w:eastAsia="Times New Roman"/>
        </w:rPr>
      </w:pPr>
      <w:r>
        <w:rPr>
          <w:rFonts w:eastAsia="Times New Roman"/>
          <w:b/>
          <w:bCs/>
          <w:color w:val="000000"/>
          <w:sz w:val="20"/>
          <w:szCs w:val="20"/>
        </w:rPr>
        <w:t>For the quarterly period ended June 27, 2021</w:t>
      </w:r>
    </w:p>
    <w:p w:rsidR="00000000" w:rsidRDefault="000F0F8D">
      <w:pPr>
        <w:jc w:val="center"/>
        <w:divId w:val="579608385"/>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449"/>
        <w:gridCol w:w="36"/>
        <w:gridCol w:w="69"/>
        <w:gridCol w:w="7647"/>
        <w:gridCol w:w="36"/>
      </w:tblGrid>
      <w:tr w:rsidR="00000000">
        <w:trPr>
          <w:divId w:val="2141921666"/>
        </w:trPr>
        <w:tc>
          <w:tcPr>
            <w:tcW w:w="50" w:type="pct"/>
            <w:vAlign w:val="center"/>
            <w:hideMark/>
          </w:tcPr>
          <w:p w:rsidR="00000000" w:rsidRDefault="000F0F8D">
            <w:pPr>
              <w:jc w:val="center"/>
              <w:rPr>
                <w:rFonts w:eastAsia="Times New Roman"/>
              </w:rPr>
            </w:pPr>
          </w:p>
        </w:tc>
        <w:tc>
          <w:tcPr>
            <w:tcW w:w="27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61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2141921666"/>
        </w:trPr>
        <w:tc>
          <w:tcPr>
            <w:tcW w:w="0" w:type="auto"/>
            <w:gridSpan w:val="3"/>
            <w:tcMar>
              <w:top w:w="30" w:type="dxa"/>
              <w:left w:w="20" w:type="dxa"/>
              <w:bottom w:w="30" w:type="dxa"/>
              <w:right w:w="20" w:type="dxa"/>
            </w:tcMar>
            <w:hideMark/>
          </w:tcPr>
          <w:p w:rsidR="00000000" w:rsidRDefault="000F0F8D">
            <w:pPr>
              <w:spacing w:after="100"/>
              <w:jc w:val="center"/>
              <w:divId w:val="557277577"/>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0F0F8D">
      <w:pPr>
        <w:jc w:val="center"/>
        <w:divId w:val="2095322741"/>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r>
        <w:rPr>
          <w:rFonts w:eastAsia="Times New Roman"/>
          <w:b/>
          <w:bCs/>
          <w:color w:val="000000"/>
          <w:sz w:val="20"/>
          <w:szCs w:val="20"/>
        </w:rPr>
        <w:t xml:space="preserve"> .</w:t>
      </w:r>
    </w:p>
    <w:p w:rsidR="00000000" w:rsidRDefault="000F0F8D">
      <w:pPr>
        <w:jc w:val="center"/>
        <w:divId w:val="52461304"/>
        <w:rPr>
          <w:rFonts w:eastAsia="Times New Roman"/>
        </w:rPr>
      </w:pPr>
      <w:r>
        <w:rPr>
          <w:rFonts w:eastAsia="Times New Roman"/>
          <w:b/>
          <w:bCs/>
          <w:color w:val="000000"/>
          <w:sz w:val="20"/>
          <w:szCs w:val="20"/>
        </w:rPr>
        <w:t xml:space="preserve">Commission File Number 0-19528 </w:t>
      </w:r>
    </w:p>
    <w:p w:rsidR="00000000" w:rsidRDefault="000F0F8D">
      <w:pPr>
        <w:jc w:val="center"/>
        <w:divId w:val="546182316"/>
        <w:rPr>
          <w:rFonts w:eastAsia="Times New Roman"/>
        </w:rPr>
      </w:pPr>
      <w:r>
        <w:rPr>
          <w:rFonts w:eastAsia="Times New Roman"/>
          <w:b/>
          <w:bCs/>
          <w:color w:val="000000"/>
          <w:sz w:val="56"/>
          <w:szCs w:val="56"/>
        </w:rPr>
        <w:t>QUALCOMM Incorporated</w:t>
      </w:r>
    </w:p>
    <w:p w:rsidR="00000000" w:rsidRDefault="000F0F8D">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36"/>
        <w:gridCol w:w="149"/>
        <w:gridCol w:w="36"/>
        <w:gridCol w:w="64"/>
        <w:gridCol w:w="2292"/>
        <w:gridCol w:w="36"/>
        <w:gridCol w:w="64"/>
        <w:gridCol w:w="2444"/>
        <w:gridCol w:w="36"/>
        <w:gridCol w:w="65"/>
        <w:gridCol w:w="1897"/>
        <w:gridCol w:w="36"/>
        <w:gridCol w:w="65"/>
        <w:gridCol w:w="1050"/>
        <w:gridCol w:w="36"/>
      </w:tblGrid>
      <w:tr w:rsidR="00000000">
        <w:trPr>
          <w:divId w:val="581988085"/>
        </w:trPr>
        <w:tc>
          <w:tcPr>
            <w:tcW w:w="5" w:type="pct"/>
            <w:vAlign w:val="center"/>
            <w:hideMark/>
          </w:tcPr>
          <w:p w:rsidR="00000000" w:rsidRDefault="000F0F8D">
            <w:pPr>
              <w:jc w:val="center"/>
              <w:rPr>
                <w:rFonts w:eastAsia="Times New Roman"/>
              </w:rPr>
            </w:pPr>
          </w:p>
        </w:tc>
        <w:tc>
          <w:tcPr>
            <w:tcW w:w="101"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139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1481"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115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64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581988085"/>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6"/>
                <w:szCs w:val="16"/>
              </w:rPr>
              <w:t>95-3685934</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r>
      <w:tr w:rsidR="00000000">
        <w:trPr>
          <w:divId w:val="581988085"/>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r>
      <w:tr w:rsidR="00000000">
        <w:trPr>
          <w:divId w:val="581988085"/>
          <w:trHeight w:val="60"/>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581988085"/>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6"/>
                <w:szCs w:val="16"/>
              </w:rPr>
              <w:t>5775 Morehouse Dr., San Diego, California</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6"/>
                <w:szCs w:val="16"/>
              </w:rPr>
              <w:t>92121-1714</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r>
      <w:tr w:rsidR="00000000">
        <w:trPr>
          <w:divId w:val="581988085"/>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6"/>
                <w:szCs w:val="16"/>
              </w:rPr>
              <w:t>(Zip Code)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r>
    </w:tbl>
    <w:p w:rsidR="00000000" w:rsidRDefault="000F0F8D">
      <w:pPr>
        <w:jc w:val="center"/>
        <w:divId w:val="1484349062"/>
        <w:rPr>
          <w:rFonts w:eastAsia="Times New Roman"/>
        </w:rPr>
      </w:pPr>
      <w:r>
        <w:rPr>
          <w:rFonts w:eastAsia="Times New Roman"/>
          <w:b/>
          <w:bCs/>
          <w:color w:val="000000"/>
          <w:sz w:val="20"/>
          <w:szCs w:val="20"/>
        </w:rPr>
        <w:t xml:space="preserve">(858) 587-1121 </w:t>
      </w:r>
    </w:p>
    <w:p w:rsidR="00000000" w:rsidRDefault="000F0F8D">
      <w:pPr>
        <w:jc w:val="center"/>
        <w:rPr>
          <w:rFonts w:eastAsia="Times New Roman"/>
        </w:rPr>
      </w:pPr>
      <w:r>
        <w:rPr>
          <w:rFonts w:eastAsia="Times New Roman"/>
          <w:b/>
          <w:bCs/>
          <w:color w:val="000000"/>
          <w:sz w:val="16"/>
          <w:szCs w:val="16"/>
        </w:rPr>
        <w:t>(Registrant’s telephone number, including area code)</w:t>
      </w:r>
    </w:p>
    <w:p w:rsidR="00000000" w:rsidRDefault="000F0F8D">
      <w:pPr>
        <w:divId w:val="1526476109"/>
        <w:rPr>
          <w:rFonts w:eastAsia="Times New Roman"/>
        </w:rPr>
      </w:pPr>
      <w:r>
        <w:rPr>
          <w:rFonts w:eastAsia="Times New Roman"/>
          <w:color w:val="000000"/>
          <w:sz w:val="20"/>
          <w:szCs w:val="20"/>
        </w:rPr>
        <w:t>Securities registered pursuant to Section 12(b) of the Act:</w:t>
      </w:r>
    </w:p>
    <w:tbl>
      <w:tblPr>
        <w:tblW w:w="4843" w:type="pct"/>
        <w:tblCellMar>
          <w:top w:w="15" w:type="dxa"/>
          <w:left w:w="15" w:type="dxa"/>
          <w:bottom w:w="15" w:type="dxa"/>
          <w:right w:w="15" w:type="dxa"/>
        </w:tblCellMar>
        <w:tblLook w:val="04A0" w:firstRow="1" w:lastRow="0" w:firstColumn="1" w:lastColumn="0" w:noHBand="0" w:noVBand="1"/>
      </w:tblPr>
      <w:tblGrid>
        <w:gridCol w:w="66"/>
        <w:gridCol w:w="3494"/>
        <w:gridCol w:w="37"/>
        <w:gridCol w:w="66"/>
        <w:gridCol w:w="1046"/>
        <w:gridCol w:w="36"/>
        <w:gridCol w:w="67"/>
        <w:gridCol w:w="3197"/>
        <w:gridCol w:w="36"/>
      </w:tblGrid>
      <w:tr w:rsidR="00000000">
        <w:trPr>
          <w:divId w:val="1051616930"/>
        </w:trPr>
        <w:tc>
          <w:tcPr>
            <w:tcW w:w="50" w:type="pct"/>
            <w:vAlign w:val="center"/>
            <w:hideMark/>
          </w:tcPr>
          <w:p w:rsidR="00000000" w:rsidRDefault="000F0F8D">
            <w:pPr>
              <w:rPr>
                <w:rFonts w:eastAsia="Times New Roman"/>
              </w:rPr>
            </w:pPr>
          </w:p>
        </w:tc>
        <w:tc>
          <w:tcPr>
            <w:tcW w:w="218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65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199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051616930"/>
        </w:trPr>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16"/>
                <w:szCs w:val="16"/>
                <w:u w:val="single"/>
              </w:rPr>
              <w:t>Title of each class</w:t>
            </w: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16"/>
                <w:szCs w:val="16"/>
                <w:u w:val="single"/>
              </w:rPr>
              <w:t>Name of each exchange on which registered</w:t>
            </w:r>
          </w:p>
        </w:tc>
      </w:tr>
      <w:tr w:rsidR="00000000">
        <w:trPr>
          <w:divId w:val="1051616930"/>
        </w:trPr>
        <w:tc>
          <w:tcPr>
            <w:tcW w:w="0" w:type="auto"/>
            <w:gridSpan w:val="3"/>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20"/>
                <w:szCs w:val="20"/>
              </w:rPr>
              <w:t>Common Stock, $0.0001 par value</w:t>
            </w: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20"/>
                <w:szCs w:val="20"/>
              </w:rPr>
              <w:t> QCOM</w:t>
            </w: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20"/>
                <w:szCs w:val="20"/>
              </w:rPr>
              <w:t>Nasdaq Stock Market</w:t>
            </w:r>
          </w:p>
        </w:tc>
      </w:tr>
    </w:tbl>
    <w:p w:rsidR="00000000" w:rsidRDefault="000F0F8D">
      <w:pPr>
        <w:divId w:val="180168092"/>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0F0F8D">
      <w:pPr>
        <w:divId w:val="1849635196"/>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0F0F8D">
      <w:pPr>
        <w:divId w:val="6366530"/>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 xml:space="preserve">iler, a non-accelerated filer, a smaller reporting company, 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50"/>
        <w:gridCol w:w="1457"/>
        <w:gridCol w:w="36"/>
        <w:gridCol w:w="69"/>
        <w:gridCol w:w="138"/>
        <w:gridCol w:w="36"/>
        <w:gridCol w:w="69"/>
        <w:gridCol w:w="1029"/>
        <w:gridCol w:w="36"/>
        <w:gridCol w:w="37"/>
        <w:gridCol w:w="196"/>
        <w:gridCol w:w="36"/>
        <w:gridCol w:w="53"/>
        <w:gridCol w:w="1366"/>
        <w:gridCol w:w="36"/>
        <w:gridCol w:w="37"/>
        <w:gridCol w:w="196"/>
        <w:gridCol w:w="36"/>
        <w:gridCol w:w="49"/>
        <w:gridCol w:w="1360"/>
        <w:gridCol w:w="36"/>
        <w:gridCol w:w="37"/>
        <w:gridCol w:w="196"/>
        <w:gridCol w:w="36"/>
        <w:gridCol w:w="50"/>
        <w:gridCol w:w="1299"/>
        <w:gridCol w:w="36"/>
        <w:gridCol w:w="37"/>
        <w:gridCol w:w="196"/>
        <w:gridCol w:w="36"/>
      </w:tblGrid>
      <w:tr w:rsidR="00000000">
        <w:trPr>
          <w:divId w:val="1443040122"/>
        </w:trPr>
        <w:tc>
          <w:tcPr>
            <w:tcW w:w="50" w:type="pct"/>
            <w:vAlign w:val="center"/>
            <w:hideMark/>
          </w:tcPr>
          <w:p w:rsidR="00000000" w:rsidRDefault="000F0F8D">
            <w:pPr>
              <w:rPr>
                <w:rFonts w:eastAsia="Times New Roman"/>
              </w:rPr>
            </w:pPr>
          </w:p>
        </w:tc>
        <w:tc>
          <w:tcPr>
            <w:tcW w:w="90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101"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66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116"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8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116"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84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116"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80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11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443040122"/>
        </w:trPr>
        <w:tc>
          <w:tcPr>
            <w:tcW w:w="0" w:type="auto"/>
            <w:gridSpan w:val="3"/>
            <w:tcMar>
              <w:top w:w="30" w:type="dxa"/>
              <w:left w:w="20" w:type="dxa"/>
              <w:bottom w:w="30" w:type="dxa"/>
              <w:right w:w="20" w:type="dxa"/>
            </w:tcMar>
            <w:vAlign w:val="center"/>
            <w:hideMark/>
          </w:tcPr>
          <w:p w:rsidR="00000000" w:rsidRDefault="000F0F8D">
            <w:pPr>
              <w:spacing w:after="100"/>
              <w:jc w:val="center"/>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vAlign w:val="center"/>
            <w:hideMark/>
          </w:tcPr>
          <w:p w:rsidR="00000000" w:rsidRDefault="000F0F8D">
            <w:pPr>
              <w:spacing w:after="100"/>
              <w:jc w:val="center"/>
              <w:divId w:val="202952258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0F0F8D">
            <w:pPr>
              <w:spacing w:after="100"/>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0F0F8D">
            <w:pPr>
              <w:spacing w:after="100"/>
              <w:jc w:val="center"/>
              <w:divId w:val="1521045154"/>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0F0F8D">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0F0F8D">
            <w:pPr>
              <w:spacing w:after="100"/>
              <w:jc w:val="center"/>
              <w:divId w:val="93390265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0F0F8D">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0F0F8D">
            <w:pPr>
              <w:spacing w:after="100"/>
              <w:jc w:val="center"/>
              <w:divId w:val="1167555105"/>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0F0F8D">
            <w:pPr>
              <w:spacing w:after="100"/>
              <w:jc w:val="cente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0F0F8D">
            <w:pPr>
              <w:spacing w:after="100"/>
              <w:jc w:val="center"/>
              <w:divId w:val="2130081327"/>
              <w:rPr>
                <w:rFonts w:eastAsia="Times New Roman"/>
              </w:rPr>
            </w:pPr>
            <w:r>
              <w:rPr>
                <w:rFonts w:ascii="Segoe UI Symbol" w:eastAsia="Times New Roman" w:hAnsi="Segoe UI Symbol" w:cs="Segoe UI Symbol"/>
                <w:color w:val="000000"/>
                <w:sz w:val="20"/>
                <w:szCs w:val="20"/>
              </w:rPr>
              <w:t>☐</w:t>
            </w:r>
          </w:p>
        </w:tc>
      </w:tr>
    </w:tbl>
    <w:p w:rsidR="00000000" w:rsidRDefault="000F0F8D">
      <w:pPr>
        <w:divId w:val="1628393824"/>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ascii="Wingdings" w:eastAsia="Times New Roman" w:hAnsi="Wingdings"/>
          <w:color w:val="000000"/>
          <w:sz w:val="20"/>
          <w:szCs w:val="20"/>
        </w:rPr>
        <w:t xml:space="preserve"> </w:t>
      </w:r>
    </w:p>
    <w:p w:rsidR="00000000" w:rsidRDefault="000F0F8D">
      <w:pPr>
        <w:divId w:val="1918325758"/>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w:t>
      </w:r>
    </w:p>
    <w:p w:rsidR="00000000" w:rsidRDefault="000F0F8D">
      <w:pPr>
        <w:divId w:val="1737849693"/>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0F0F8D">
      <w:pPr>
        <w:ind w:firstLine="315"/>
        <w:divId w:val="1455098233"/>
        <w:rPr>
          <w:rFonts w:eastAsia="Times New Roman"/>
        </w:rPr>
      </w:pPr>
      <w:r>
        <w:rPr>
          <w:rFonts w:eastAsia="Times New Roman"/>
          <w:color w:val="000000"/>
          <w:sz w:val="20"/>
          <w:szCs w:val="20"/>
        </w:rPr>
        <w:t>The number of shares outstanding of the registrant’s common stock was 1,128 million at July 26, 2021.</w:t>
      </w:r>
    </w:p>
    <w:tbl>
      <w:tblPr>
        <w:tblW w:w="4947" w:type="pct"/>
        <w:jc w:val="center"/>
        <w:tblCellMar>
          <w:top w:w="15" w:type="dxa"/>
          <w:left w:w="15" w:type="dxa"/>
          <w:bottom w:w="15" w:type="dxa"/>
          <w:right w:w="15" w:type="dxa"/>
        </w:tblCellMar>
        <w:tblLook w:val="04A0" w:firstRow="1" w:lastRow="0" w:firstColumn="1" w:lastColumn="0" w:noHBand="0" w:noVBand="1"/>
      </w:tblPr>
      <w:tblGrid>
        <w:gridCol w:w="68"/>
        <w:gridCol w:w="1539"/>
        <w:gridCol w:w="36"/>
        <w:gridCol w:w="68"/>
        <w:gridCol w:w="1539"/>
        <w:gridCol w:w="36"/>
        <w:gridCol w:w="68"/>
        <w:gridCol w:w="1539"/>
        <w:gridCol w:w="36"/>
        <w:gridCol w:w="68"/>
        <w:gridCol w:w="1540"/>
        <w:gridCol w:w="36"/>
        <w:gridCol w:w="69"/>
        <w:gridCol w:w="1540"/>
        <w:gridCol w:w="36"/>
      </w:tblGrid>
      <w:tr w:rsidR="00000000">
        <w:trPr>
          <w:divId w:val="2060321215"/>
          <w:jc w:val="center"/>
        </w:trPr>
        <w:tc>
          <w:tcPr>
            <w:tcW w:w="50" w:type="pct"/>
            <w:vAlign w:val="center"/>
            <w:hideMark/>
          </w:tcPr>
          <w:p w:rsidR="00000000" w:rsidRDefault="000F0F8D">
            <w:pPr>
              <w:ind w:firstLine="315"/>
              <w:rPr>
                <w:rFonts w:eastAsia="Times New Roman"/>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2060321215"/>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bl>
    <w:p w:rsidR="00000000" w:rsidRDefault="000F0F8D">
      <w:pPr>
        <w:divId w:val="346293373"/>
        <w:rPr>
          <w:rFonts w:eastAsia="Times New Roman"/>
        </w:rPr>
      </w:pPr>
    </w:p>
    <w:p w:rsidR="00000000" w:rsidRDefault="000F0F8D">
      <w:pPr>
        <w:rPr>
          <w:rFonts w:eastAsia="Times New Roman"/>
        </w:rPr>
      </w:pPr>
      <w:r>
        <w:rPr>
          <w:rFonts w:eastAsia="Times New Roman"/>
        </w:rPr>
        <w:pict>
          <v:rect id="_x0000_i1025" style="width:0;height:1.5pt" o:hralign="center" o:hrstd="t" o:hr="t" fillcolor="#a0a0a0" stroked="f"/>
        </w:pict>
      </w:r>
    </w:p>
    <w:p w:rsidR="00000000" w:rsidRDefault="000F0F8D">
      <w:pPr>
        <w:divId w:val="1708407354"/>
        <w:rPr>
          <w:rFonts w:eastAsia="Times New Roman"/>
        </w:rPr>
      </w:pPr>
    </w:p>
    <w:p w:rsidR="00000000" w:rsidRDefault="000F0F8D">
      <w:pPr>
        <w:ind w:hanging="270"/>
        <w:jc w:val="center"/>
        <w:rPr>
          <w:rFonts w:eastAsia="Times New Roman"/>
        </w:rPr>
      </w:pPr>
      <w:r>
        <w:rPr>
          <w:rFonts w:eastAsia="Times New Roman"/>
          <w:b/>
          <w:bCs/>
          <w:color w:val="000000"/>
          <w:sz w:val="20"/>
          <w:szCs w:val="20"/>
        </w:rPr>
        <w:t>QUALCOMM Incorporated</w:t>
      </w:r>
    </w:p>
    <w:p w:rsidR="00000000" w:rsidRDefault="000F0F8D">
      <w:pPr>
        <w:ind w:hanging="270"/>
        <w:jc w:val="center"/>
        <w:rPr>
          <w:rFonts w:eastAsia="Times New Roman"/>
        </w:rPr>
      </w:pPr>
      <w:r>
        <w:rPr>
          <w:rFonts w:eastAsia="Times New Roman"/>
          <w:b/>
          <w:bCs/>
          <w:color w:val="000000"/>
          <w:sz w:val="20"/>
          <w:szCs w:val="20"/>
        </w:rPr>
        <w:t>Form 10-Q</w:t>
      </w:r>
    </w:p>
    <w:p w:rsidR="00000000" w:rsidRDefault="000F0F8D">
      <w:pPr>
        <w:ind w:hanging="270"/>
        <w:jc w:val="center"/>
        <w:rPr>
          <w:rFonts w:eastAsia="Times New Roman"/>
        </w:rPr>
      </w:pPr>
      <w:r>
        <w:rPr>
          <w:rFonts w:eastAsia="Times New Roman"/>
          <w:b/>
          <w:bCs/>
          <w:color w:val="000000"/>
          <w:sz w:val="20"/>
          <w:szCs w:val="20"/>
        </w:rPr>
        <w:t>For the Quarter Ended June 27, 2021</w:t>
      </w:r>
    </w:p>
    <w:tbl>
      <w:tblPr>
        <w:tblW w:w="4778" w:type="pct"/>
        <w:tblCellMar>
          <w:top w:w="15" w:type="dxa"/>
          <w:left w:w="15" w:type="dxa"/>
          <w:bottom w:w="15" w:type="dxa"/>
          <w:right w:w="15" w:type="dxa"/>
        </w:tblCellMar>
        <w:tblLook w:val="04A0" w:firstRow="1" w:lastRow="0" w:firstColumn="1" w:lastColumn="0" w:noHBand="0" w:noVBand="1"/>
      </w:tblPr>
      <w:tblGrid>
        <w:gridCol w:w="75"/>
        <w:gridCol w:w="1259"/>
        <w:gridCol w:w="36"/>
        <w:gridCol w:w="65"/>
        <w:gridCol w:w="5890"/>
        <w:gridCol w:w="38"/>
        <w:gridCol w:w="65"/>
        <w:gridCol w:w="473"/>
        <w:gridCol w:w="36"/>
      </w:tblGrid>
      <w:tr w:rsidR="00000000">
        <w:trPr>
          <w:divId w:val="1447696672"/>
        </w:trPr>
        <w:tc>
          <w:tcPr>
            <w:tcW w:w="50" w:type="pct"/>
            <w:vAlign w:val="center"/>
            <w:hideMark/>
          </w:tcPr>
          <w:p w:rsidR="00000000" w:rsidRDefault="000F0F8D">
            <w:pPr>
              <w:ind w:hanging="270"/>
              <w:jc w:val="center"/>
              <w:rPr>
                <w:rFonts w:eastAsia="Times New Roman"/>
              </w:rPr>
            </w:pPr>
          </w:p>
        </w:tc>
        <w:tc>
          <w:tcPr>
            <w:tcW w:w="80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371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30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20"/>
                <w:szCs w:val="20"/>
              </w:rPr>
              <w:t>Page</w:t>
            </w:r>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0F0F8D">
            <w:pPr>
              <w:spacing w:after="100"/>
              <w:divId w:val="1747455150"/>
              <w:rPr>
                <w:rFonts w:eastAsia="Times New Roman"/>
              </w:rPr>
            </w:pPr>
            <w:hyperlink w:anchor="i6cf1cc5347774b088d483cfe2d4aa9ef_10" w:history="1">
              <w:r>
                <w:rPr>
                  <w:rStyle w:val="a3"/>
                  <w:rFonts w:eastAsia="Times New Roman"/>
                  <w:sz w:val="20"/>
                  <w:szCs w:val="20"/>
                </w:rPr>
                <w:t>Risk Factors Summary</w:t>
              </w:r>
            </w:hyperlink>
          </w:p>
        </w:tc>
        <w:tc>
          <w:tcPr>
            <w:tcW w:w="0" w:type="auto"/>
            <w:gridSpan w:val="3"/>
            <w:tcBorders>
              <w:top w:val="single" w:sz="8" w:space="0" w:color="000000"/>
            </w:tcBorders>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0" w:history="1">
              <w:r>
                <w:rPr>
                  <w:rStyle w:val="a3"/>
                  <w:rFonts w:eastAsia="Times New Roman"/>
                  <w:sz w:val="20"/>
                  <w:szCs w:val="20"/>
                </w:rPr>
                <w:t>4</w:t>
              </w:r>
            </w:hyperlink>
          </w:p>
        </w:tc>
      </w:tr>
      <w:tr w:rsidR="00000000">
        <w:trPr>
          <w:divId w:val="1447696672"/>
          <w:trHeight w:val="300"/>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447696672"/>
        </w:trPr>
        <w:tc>
          <w:tcPr>
            <w:tcW w:w="0" w:type="auto"/>
            <w:gridSpan w:val="6"/>
            <w:tcMar>
              <w:top w:w="30" w:type="dxa"/>
              <w:left w:w="20" w:type="dxa"/>
              <w:bottom w:w="30" w:type="dxa"/>
              <w:right w:w="20" w:type="dxa"/>
            </w:tcMar>
            <w:hideMark/>
          </w:tcPr>
          <w:p w:rsidR="00000000" w:rsidRDefault="000F0F8D">
            <w:pPr>
              <w:spacing w:after="100"/>
              <w:divId w:val="2102018773"/>
              <w:rPr>
                <w:rFonts w:eastAsia="Times New Roman"/>
              </w:rPr>
            </w:pPr>
            <w:hyperlink w:anchor="i6cf1cc5347774b088d483cfe2d4aa9ef_13" w:history="1">
              <w:r>
                <w:rPr>
                  <w:rStyle w:val="a3"/>
                  <w:rFonts w:eastAsia="Times New Roman"/>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150872863"/>
              <w:rPr>
                <w:rFonts w:eastAsia="Times New Roman"/>
              </w:rPr>
            </w:pPr>
            <w:hyperlink w:anchor="i6cf1cc5347774b088d483cfe2d4aa9ef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0F0F8D">
            <w:pPr>
              <w:spacing w:after="100"/>
              <w:divId w:val="1693068239"/>
              <w:rPr>
                <w:rFonts w:eastAsia="Times New Roman"/>
              </w:rPr>
            </w:pPr>
            <w:hyperlink w:anchor="i6cf1cc5347774b088d483cfe2d4aa9ef_16" w:history="1">
              <w:r>
                <w:rPr>
                  <w:rStyle w:val="a3"/>
                  <w:rFonts w:eastAsia="Times New Roman"/>
                  <w:sz w:val="20"/>
                  <w:szCs w:val="20"/>
                </w:rPr>
                <w:t>Condensed Consolidated Financial Statements (Unaudited)</w:t>
              </w:r>
            </w:hyperlink>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0F0F8D">
            <w:pPr>
              <w:spacing w:after="100"/>
              <w:divId w:val="953292459"/>
              <w:rPr>
                <w:rFonts w:eastAsia="Times New Roman"/>
              </w:rPr>
            </w:pPr>
            <w:hyperlink w:anchor="i6cf1cc5347774b088d483cfe2d4aa9ef_19" w:history="1">
              <w:r>
                <w:rPr>
                  <w:rStyle w:val="a3"/>
                  <w:rFonts w:eastAsia="Times New Roman"/>
                  <w:sz w:val="20"/>
                  <w:szCs w:val="20"/>
                </w:rPr>
                <w:t>Cond</w:t>
              </w:r>
              <w:r>
                <w:rPr>
                  <w:rStyle w:val="a3"/>
                  <w:rFonts w:eastAsia="Times New Roman"/>
                  <w:sz w:val="20"/>
                  <w:szCs w:val="20"/>
                </w:rPr>
                <w:t>ensed Consolidated Balance Sheets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9" w:history="1">
              <w:r>
                <w:rPr>
                  <w:rStyle w:val="a3"/>
                  <w:rFonts w:eastAsia="Times New Roman"/>
                  <w:sz w:val="20"/>
                  <w:szCs w:val="20"/>
                </w:rPr>
                <w:t>6</w:t>
              </w:r>
            </w:hyperlink>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0F0F8D">
            <w:pPr>
              <w:spacing w:after="100"/>
              <w:divId w:val="1056853390"/>
              <w:rPr>
                <w:rFonts w:eastAsia="Times New Roman"/>
              </w:rPr>
            </w:pPr>
            <w:hyperlink w:anchor="i6cf1cc5347774b088d483cfe2d4aa9ef_22" w:history="1">
              <w:r>
                <w:rPr>
                  <w:rStyle w:val="a3"/>
                  <w:rFonts w:eastAsia="Times New Roman"/>
                  <w:sz w:val="20"/>
                  <w:szCs w:val="20"/>
                </w:rPr>
                <w:t>Condensed Consolidated Statements of Operations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22" w:history="1">
              <w:r>
                <w:rPr>
                  <w:rStyle w:val="a3"/>
                  <w:rFonts w:eastAsia="Times New Roman"/>
                  <w:sz w:val="20"/>
                  <w:szCs w:val="20"/>
                </w:rPr>
                <w:t>7</w:t>
              </w:r>
            </w:hyperlink>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0F0F8D">
            <w:pPr>
              <w:spacing w:after="100"/>
              <w:divId w:val="1447115663"/>
              <w:rPr>
                <w:rFonts w:eastAsia="Times New Roman"/>
              </w:rPr>
            </w:pPr>
            <w:hyperlink w:anchor="i6cf1cc5347774b088d483cfe2d4aa9ef_25" w:history="1">
              <w:r>
                <w:rPr>
                  <w:rStyle w:val="a3"/>
                  <w:rFonts w:eastAsia="Times New Roman"/>
                  <w:sz w:val="20"/>
                  <w:szCs w:val="20"/>
                </w:rPr>
                <w:t>Condensed Consolidated Statements of Comprehensive Income</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25" w:history="1">
              <w:r>
                <w:rPr>
                  <w:rStyle w:val="a3"/>
                  <w:rFonts w:eastAsia="Times New Roman"/>
                  <w:sz w:val="20"/>
                  <w:szCs w:val="20"/>
                </w:rPr>
                <w:t>8</w:t>
              </w:r>
            </w:hyperlink>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0F0F8D">
            <w:pPr>
              <w:spacing w:after="100"/>
              <w:divId w:val="106778251"/>
              <w:rPr>
                <w:rFonts w:eastAsia="Times New Roman"/>
              </w:rPr>
            </w:pPr>
            <w:hyperlink w:anchor="i6cf1cc5347774b088d483cfe2d4aa9ef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28" w:history="1">
              <w:r>
                <w:rPr>
                  <w:rStyle w:val="a3"/>
                  <w:rFonts w:eastAsia="Times New Roman"/>
                  <w:sz w:val="20"/>
                  <w:szCs w:val="20"/>
                </w:rPr>
                <w:t>9</w:t>
              </w:r>
            </w:hyperlink>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0F0F8D">
            <w:pPr>
              <w:spacing w:after="100"/>
              <w:divId w:val="1103377925"/>
              <w:rPr>
                <w:rFonts w:eastAsia="Times New Roman"/>
              </w:rPr>
            </w:pPr>
            <w:hyperlink w:anchor="i6cf1cc5347774b088d483cfe2d4aa9ef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31" w:history="1">
              <w:r>
                <w:rPr>
                  <w:rStyle w:val="a3"/>
                  <w:rFonts w:eastAsia="Times New Roman"/>
                  <w:sz w:val="20"/>
                  <w:szCs w:val="20"/>
                </w:rPr>
                <w:t>10</w:t>
              </w:r>
            </w:hyperlink>
          </w:p>
        </w:tc>
      </w:tr>
      <w:tr w:rsidR="00000000">
        <w:trPr>
          <w:divId w:val="1447696672"/>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0F0F8D">
            <w:pPr>
              <w:spacing w:after="100"/>
              <w:divId w:val="1700936682"/>
              <w:rPr>
                <w:rFonts w:eastAsia="Times New Roman"/>
              </w:rPr>
            </w:pPr>
            <w:hyperlink w:anchor="i6cf1cc5347774b088d483cfe2d4aa9ef_34" w:history="1">
              <w:r>
                <w:rPr>
                  <w:rStyle w:val="a3"/>
                  <w:rFonts w:eastAsia="Times New Roman"/>
                  <w:sz w:val="20"/>
                  <w:szCs w:val="20"/>
                </w:rPr>
                <w:t>Notes to C</w:t>
              </w:r>
              <w:r>
                <w:rPr>
                  <w:rStyle w:val="a3"/>
                  <w:rFonts w:eastAsia="Times New Roman"/>
                  <w:sz w:val="20"/>
                  <w:szCs w:val="20"/>
                </w:rPr>
                <w:t>ondensed Consolidated Financial Statements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34" w:history="1">
              <w:r>
                <w:rPr>
                  <w:rStyle w:val="a3"/>
                  <w:rFonts w:eastAsia="Times New Roman"/>
                  <w:sz w:val="20"/>
                  <w:szCs w:val="20"/>
                </w:rPr>
                <w:t>11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606040156"/>
              <w:rPr>
                <w:rFonts w:eastAsia="Times New Roman"/>
              </w:rPr>
            </w:pPr>
            <w:hyperlink w:anchor="i6cf1cc5347774b088d483cfe2d4aa9ef_8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0F0F8D">
            <w:pPr>
              <w:spacing w:after="100"/>
              <w:divId w:val="370420796"/>
              <w:rPr>
                <w:rFonts w:eastAsia="Times New Roman"/>
              </w:rPr>
            </w:pPr>
            <w:hyperlink w:anchor="i6cf1cc5347774b088d483cfe2d4aa9ef_82"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82" w:history="1">
              <w:r>
                <w:rPr>
                  <w:rStyle w:val="a3"/>
                  <w:rFonts w:eastAsia="Times New Roman"/>
                  <w:sz w:val="20"/>
                  <w:szCs w:val="20"/>
                </w:rPr>
                <w:t>22</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403112181"/>
              <w:rPr>
                <w:rFonts w:eastAsia="Times New Roman"/>
              </w:rPr>
            </w:pPr>
            <w:hyperlink w:anchor="i6cf1cc5347774b088d483cfe2d4aa9ef_118"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0F0F8D">
            <w:pPr>
              <w:spacing w:after="100"/>
              <w:divId w:val="750272417"/>
              <w:rPr>
                <w:rFonts w:eastAsia="Times New Roman"/>
              </w:rPr>
            </w:pPr>
            <w:hyperlink w:anchor="i6cf1cc5347774b088d483cfe2d4aa9ef_118"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18" w:history="1">
              <w:r>
                <w:rPr>
                  <w:rStyle w:val="a3"/>
                  <w:rFonts w:eastAsia="Times New Roman"/>
                  <w:sz w:val="20"/>
                  <w:szCs w:val="20"/>
                </w:rPr>
                <w:t>50</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720397323"/>
              <w:rPr>
                <w:rFonts w:eastAsia="Times New Roman"/>
              </w:rPr>
            </w:pPr>
            <w:hyperlink w:anchor="i6cf1cc5347774b088d483cfe2d4aa9ef_121"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0F0F8D">
            <w:pPr>
              <w:spacing w:after="100"/>
              <w:divId w:val="533274301"/>
              <w:rPr>
                <w:rFonts w:eastAsia="Times New Roman"/>
              </w:rPr>
            </w:pPr>
            <w:hyperlink w:anchor="i6cf1cc5347774b088d483cfe2d4aa9ef_121"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21" w:history="1">
              <w:r>
                <w:rPr>
                  <w:rStyle w:val="a3"/>
                  <w:rFonts w:eastAsia="Times New Roman"/>
                  <w:sz w:val="20"/>
                  <w:szCs w:val="20"/>
                </w:rPr>
                <w:t>50</w:t>
              </w:r>
            </w:hyperlink>
          </w:p>
        </w:tc>
      </w:tr>
      <w:tr w:rsidR="00000000">
        <w:trPr>
          <w:divId w:val="1447696672"/>
          <w:trHeight w:val="300"/>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447696672"/>
        </w:trPr>
        <w:tc>
          <w:tcPr>
            <w:tcW w:w="0" w:type="auto"/>
            <w:gridSpan w:val="6"/>
            <w:tcMar>
              <w:top w:w="30" w:type="dxa"/>
              <w:left w:w="20" w:type="dxa"/>
              <w:bottom w:w="30" w:type="dxa"/>
              <w:right w:w="20" w:type="dxa"/>
            </w:tcMar>
            <w:hideMark/>
          </w:tcPr>
          <w:p w:rsidR="00000000" w:rsidRDefault="000F0F8D">
            <w:pPr>
              <w:spacing w:after="100"/>
              <w:divId w:val="1138644785"/>
              <w:rPr>
                <w:rFonts w:eastAsia="Times New Roman"/>
              </w:rPr>
            </w:pPr>
            <w:hyperlink w:anchor="i6cf1cc5347774b088d483cfe2d4aa9ef_124"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95952029"/>
              <w:rPr>
                <w:rFonts w:eastAsia="Times New Roman"/>
              </w:rPr>
            </w:pPr>
            <w:hyperlink w:anchor="i6cf1cc5347774b088d483cfe2d4aa9ef_127"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0F0F8D">
            <w:pPr>
              <w:spacing w:after="100"/>
              <w:divId w:val="1019165688"/>
              <w:rPr>
                <w:rFonts w:eastAsia="Times New Roman"/>
              </w:rPr>
            </w:pPr>
            <w:hyperlink w:anchor="i6cf1cc5347774b088d483cfe2d4aa9ef_127"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27" w:history="1">
              <w:r>
                <w:rPr>
                  <w:rStyle w:val="a3"/>
                  <w:rFonts w:eastAsia="Times New Roman"/>
                  <w:sz w:val="20"/>
                  <w:szCs w:val="20"/>
                </w:rPr>
                <w:t>51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1130707855"/>
              <w:rPr>
                <w:rFonts w:eastAsia="Times New Roman"/>
              </w:rPr>
            </w:pPr>
            <w:hyperlink w:anchor="i6cf1cc5347774b088d483cfe2d4aa9ef_130"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0F0F8D">
            <w:pPr>
              <w:spacing w:after="100"/>
              <w:divId w:val="1904294126"/>
              <w:rPr>
                <w:rFonts w:eastAsia="Times New Roman"/>
              </w:rPr>
            </w:pPr>
            <w:hyperlink w:anchor="i6cf1cc5347774b088d483cfe2d4aa9ef_130"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30" w:history="1">
              <w:r>
                <w:rPr>
                  <w:rStyle w:val="a3"/>
                  <w:rFonts w:eastAsia="Times New Roman"/>
                  <w:sz w:val="20"/>
                  <w:szCs w:val="20"/>
                </w:rPr>
                <w:t>51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651445792"/>
              <w:rPr>
                <w:rFonts w:eastAsia="Times New Roman"/>
              </w:rPr>
            </w:pPr>
            <w:hyperlink w:anchor="i6cf1cc5347774b088d483cfe2d4aa9ef_133"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0F0F8D">
            <w:pPr>
              <w:spacing w:after="100"/>
              <w:divId w:val="1762679848"/>
              <w:rPr>
                <w:rFonts w:eastAsia="Times New Roman"/>
              </w:rPr>
            </w:pPr>
            <w:hyperlink w:anchor="i6cf1cc5347774b088d483cfe2d4aa9ef_133"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33" w:history="1">
              <w:r>
                <w:rPr>
                  <w:rStyle w:val="a3"/>
                  <w:rFonts w:eastAsia="Times New Roman"/>
                  <w:sz w:val="20"/>
                  <w:szCs w:val="20"/>
                </w:rPr>
                <w:t>51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383607190"/>
              <w:rPr>
                <w:rFonts w:eastAsia="Times New Roman"/>
              </w:rPr>
            </w:pPr>
            <w:hyperlink w:anchor="i6cf1cc5347774b088d483cfe2d4aa9ef_136"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0F0F8D">
            <w:pPr>
              <w:spacing w:after="100"/>
              <w:divId w:val="1326085426"/>
              <w:rPr>
                <w:rFonts w:eastAsia="Times New Roman"/>
              </w:rPr>
            </w:pPr>
            <w:hyperlink w:anchor="i6cf1cc5347774b088d483cfe2d4aa9ef_136"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36" w:history="1">
              <w:r>
                <w:rPr>
                  <w:rStyle w:val="a3"/>
                  <w:rFonts w:eastAsia="Times New Roman"/>
                  <w:sz w:val="20"/>
                  <w:szCs w:val="20"/>
                </w:rPr>
                <w:t>51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956526495"/>
              <w:rPr>
                <w:rFonts w:eastAsia="Times New Roman"/>
              </w:rPr>
            </w:pPr>
            <w:hyperlink w:anchor="i6cf1cc5347774b088d483cfe2d4aa9ef_139"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0F0F8D">
            <w:pPr>
              <w:spacing w:after="100"/>
              <w:divId w:val="1338922524"/>
              <w:rPr>
                <w:rFonts w:eastAsia="Times New Roman"/>
              </w:rPr>
            </w:pPr>
            <w:hyperlink w:anchor="i6cf1cc5347774b088d483cfe2d4aa9ef_139"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39" w:history="1">
              <w:r>
                <w:rPr>
                  <w:rStyle w:val="a3"/>
                  <w:rFonts w:eastAsia="Times New Roman"/>
                  <w:sz w:val="20"/>
                  <w:szCs w:val="20"/>
                </w:rPr>
                <w:t>51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103698614"/>
              <w:rPr>
                <w:rFonts w:eastAsia="Times New Roman"/>
              </w:rPr>
            </w:pPr>
            <w:hyperlink w:anchor="i6cf1cc5347774b088d483cfe2d4aa9ef_142"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0F0F8D">
            <w:pPr>
              <w:spacing w:after="100"/>
              <w:divId w:val="24913403"/>
              <w:rPr>
                <w:rFonts w:eastAsia="Times New Roman"/>
              </w:rPr>
            </w:pPr>
            <w:hyperlink w:anchor="i6cf1cc5347774b088d483cfe2d4aa9ef_14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42" w:history="1">
              <w:r>
                <w:rPr>
                  <w:rStyle w:val="a3"/>
                  <w:rFonts w:eastAsia="Times New Roman"/>
                  <w:sz w:val="20"/>
                  <w:szCs w:val="20"/>
                </w:rPr>
                <w:t>51</w:t>
              </w:r>
            </w:hyperlink>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618344293"/>
              <w:rPr>
                <w:rFonts w:eastAsia="Times New Roman"/>
              </w:rPr>
            </w:pPr>
            <w:hyperlink w:anchor="i6cf1cc5347774b088d483cfe2d4aa9ef_145"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0F0F8D">
            <w:pPr>
              <w:spacing w:after="100"/>
              <w:divId w:val="1366564812"/>
              <w:rPr>
                <w:rFonts w:eastAsia="Times New Roman"/>
              </w:rPr>
            </w:pPr>
            <w:hyperlink w:anchor="i6cf1cc5347774b088d483cfe2d4aa9ef_145"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45" w:history="1">
              <w:r>
                <w:rPr>
                  <w:rStyle w:val="a3"/>
                  <w:rFonts w:eastAsia="Times New Roman"/>
                  <w:sz w:val="20"/>
                  <w:szCs w:val="20"/>
                </w:rPr>
                <w:t>52</w:t>
              </w:r>
            </w:hyperlink>
          </w:p>
        </w:tc>
      </w:tr>
      <w:tr w:rsidR="00000000">
        <w:trPr>
          <w:divId w:val="1447696672"/>
          <w:trHeight w:val="300"/>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tcMar>
              <w:top w:w="30" w:type="dxa"/>
              <w:left w:w="20" w:type="dxa"/>
              <w:bottom w:w="30" w:type="dxa"/>
              <w:right w:w="20" w:type="dxa"/>
            </w:tcMar>
            <w:hideMark/>
          </w:tcPr>
          <w:p w:rsidR="00000000" w:rsidRDefault="000F0F8D">
            <w:pPr>
              <w:spacing w:after="100"/>
              <w:divId w:val="1564752098"/>
              <w:rPr>
                <w:rFonts w:eastAsia="Times New Roman"/>
              </w:rPr>
            </w:pPr>
            <w:hyperlink w:anchor="i6cf1cc5347774b088d483cfe2d4aa9ef_148"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30" w:type="dxa"/>
              <w:left w:w="20" w:type="dxa"/>
              <w:bottom w:w="30" w:type="dxa"/>
              <w:right w:w="20" w:type="dxa"/>
            </w:tcMar>
            <w:hideMark/>
          </w:tcPr>
          <w:p w:rsidR="00000000" w:rsidRDefault="000F0F8D">
            <w:pPr>
              <w:spacing w:after="100"/>
              <w:jc w:val="right"/>
              <w:rPr>
                <w:rFonts w:eastAsia="Times New Roman"/>
              </w:rPr>
            </w:pPr>
            <w:hyperlink w:anchor="i6cf1cc5347774b088d483cfe2d4aa9ef_148" w:history="1">
              <w:r>
                <w:rPr>
                  <w:rStyle w:val="a3"/>
                  <w:rFonts w:eastAsia="Times New Roman"/>
                  <w:sz w:val="20"/>
                  <w:szCs w:val="20"/>
                </w:rPr>
                <w:t>54</w:t>
              </w:r>
            </w:hyperlink>
          </w:p>
        </w:tc>
      </w:tr>
      <w:tr w:rsidR="00000000">
        <w:trPr>
          <w:divId w:val="1447696672"/>
        </w:trPr>
        <w:tc>
          <w:tcPr>
            <w:tcW w:w="0" w:type="auto"/>
            <w:gridSpan w:val="3"/>
            <w:vAlign w:val="center"/>
            <w:hideMark/>
          </w:tcPr>
          <w:p w:rsidR="00000000" w:rsidRDefault="000F0F8D">
            <w:pPr>
              <w:spacing w:after="100"/>
              <w:jc w:val="right"/>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447696672"/>
        </w:trPr>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bl>
    <w:p w:rsidR="00000000" w:rsidRDefault="000F0F8D">
      <w:pPr>
        <w:jc w:val="center"/>
        <w:divId w:val="1594316529"/>
        <w:rPr>
          <w:rFonts w:eastAsia="Times New Roman"/>
        </w:rPr>
      </w:pPr>
      <w:r>
        <w:rPr>
          <w:rFonts w:eastAsia="Times New Roman"/>
          <w:color w:val="000000"/>
          <w:sz w:val="20"/>
          <w:szCs w:val="20"/>
        </w:rPr>
        <w:t>3</w:t>
      </w:r>
    </w:p>
    <w:p w:rsidR="00000000" w:rsidRDefault="000F0F8D">
      <w:pPr>
        <w:rPr>
          <w:rFonts w:eastAsia="Times New Roman"/>
        </w:rPr>
      </w:pPr>
      <w:r>
        <w:rPr>
          <w:rFonts w:eastAsia="Times New Roman"/>
        </w:rPr>
        <w:pict>
          <v:rect id="_x0000_i1026" style="width:0;height:1.5pt" o:hralign="center" o:hrstd="t" o:hr="t" fillcolor="#a0a0a0" stroked="f"/>
        </w:pict>
      </w:r>
    </w:p>
    <w:p w:rsidR="00000000" w:rsidRDefault="000F0F8D">
      <w:pPr>
        <w:divId w:val="15274151"/>
        <w:rPr>
          <w:rFonts w:eastAsia="Times New Roman"/>
        </w:rPr>
      </w:pPr>
    </w:p>
    <w:p w:rsidR="00000000" w:rsidRDefault="000F0F8D">
      <w:pPr>
        <w:divId w:val="2013754778"/>
        <w:rPr>
          <w:rFonts w:eastAsia="Times New Roman"/>
        </w:rPr>
      </w:pPr>
      <w:r>
        <w:rPr>
          <w:rFonts w:eastAsia="Times New Roman"/>
          <w:b/>
          <w:bCs/>
          <w:color w:val="000000"/>
          <w:sz w:val="20"/>
          <w:szCs w:val="20"/>
        </w:rPr>
        <w:t xml:space="preserve">Risk Factors Summary: </w:t>
      </w:r>
    </w:p>
    <w:p w:rsidR="00000000" w:rsidRDefault="000F0F8D">
      <w:pPr>
        <w:ind w:firstLine="360"/>
        <w:divId w:val="895122109"/>
        <w:rPr>
          <w:rFonts w:eastAsia="Times New Roman"/>
        </w:rPr>
      </w:pPr>
      <w:r>
        <w:rPr>
          <w:rFonts w:eastAsia="Times New Roman"/>
          <w:color w:val="000000"/>
          <w:sz w:val="20"/>
          <w:szCs w:val="20"/>
        </w:rPr>
        <w:t>Our business is subject to numerous risks and uncertainties, including those described in the section labeled “Risk Factors” in “Part I, Item 2, Management’s Discussion and Analysis of Financial Condition and Results of Operations” of this Quarterly Report</w:t>
      </w:r>
      <w:r>
        <w:rPr>
          <w:rFonts w:eastAsia="Times New Roman"/>
          <w:color w:val="000000"/>
          <w:sz w:val="20"/>
          <w:szCs w:val="20"/>
        </w:rPr>
        <w:t xml:space="preserve">. These risks include, but are not limited to, the following: </w:t>
      </w:r>
    </w:p>
    <w:p w:rsidR="00000000" w:rsidRDefault="000F0F8D">
      <w:pPr>
        <w:divId w:val="1547793244"/>
        <w:rPr>
          <w:rFonts w:eastAsia="Times New Roman"/>
        </w:rPr>
      </w:pPr>
      <w:r>
        <w:rPr>
          <w:rFonts w:eastAsia="Times New Roman"/>
          <w:b/>
          <w:bCs/>
          <w:color w:val="000000"/>
          <w:sz w:val="20"/>
          <w:szCs w:val="20"/>
        </w:rPr>
        <w:t>RISKS RELATED TO THE CORONAVIRUS (COVID-19) PANDEMIC</w:t>
      </w:r>
    </w:p>
    <w:p w:rsidR="00000000" w:rsidRDefault="000F0F8D">
      <w:pPr>
        <w:ind w:hanging="360"/>
        <w:divId w:val="1237588526"/>
        <w:rPr>
          <w:rFonts w:eastAsia="Times New Roman"/>
        </w:rPr>
      </w:pPr>
      <w:r>
        <w:rPr>
          <w:rFonts w:eastAsia="Times New Roman"/>
          <w:i/>
          <w:iCs/>
          <w:color w:val="000000"/>
          <w:sz w:val="20"/>
          <w:szCs w:val="20"/>
        </w:rPr>
        <w:t>•The coronavirus (COVID-19) pandemic has had an adverse effect on our business and results of operations, and may continue to impact us in t</w:t>
      </w:r>
      <w:r>
        <w:rPr>
          <w:rFonts w:eastAsia="Times New Roman"/>
          <w:i/>
          <w:iCs/>
          <w:color w:val="000000"/>
          <w:sz w:val="20"/>
          <w:szCs w:val="20"/>
        </w:rPr>
        <w:t>he future.</w:t>
      </w:r>
    </w:p>
    <w:p w:rsidR="00000000" w:rsidRDefault="000F0F8D">
      <w:pPr>
        <w:divId w:val="1865702677"/>
        <w:rPr>
          <w:rFonts w:eastAsia="Times New Roman"/>
        </w:rPr>
      </w:pPr>
      <w:r>
        <w:rPr>
          <w:rFonts w:eastAsia="Times New Roman"/>
          <w:b/>
          <w:bCs/>
          <w:color w:val="000000"/>
          <w:sz w:val="20"/>
          <w:szCs w:val="20"/>
        </w:rPr>
        <w:t>RISKS RELATED TO INDUSTRY DYNAMICS AND COMPETITION</w:t>
      </w:r>
    </w:p>
    <w:p w:rsidR="00000000" w:rsidRDefault="000F0F8D">
      <w:pPr>
        <w:ind w:hanging="360"/>
        <w:divId w:val="573471347"/>
        <w:rPr>
          <w:rFonts w:eastAsia="Times New Roman"/>
        </w:rPr>
      </w:pPr>
      <w:r>
        <w:rPr>
          <w:rFonts w:eastAsia="Times New Roman"/>
          <w:i/>
          <w:iCs/>
          <w:color w:val="000000"/>
          <w:sz w:val="20"/>
          <w:szCs w:val="20"/>
        </w:rPr>
        <w:t>•Our revenues depend on our customers’ and licensees’ sales of products and services based on CDMA, OFDMA and other communications technologies, including 5G, and customer demand for our product</w:t>
      </w:r>
      <w:r>
        <w:rPr>
          <w:rFonts w:eastAsia="Times New Roman"/>
          <w:i/>
          <w:iCs/>
          <w:color w:val="000000"/>
          <w:sz w:val="20"/>
          <w:szCs w:val="20"/>
        </w:rPr>
        <w:t>s based on these technologies.</w:t>
      </w:r>
    </w:p>
    <w:p w:rsidR="00000000" w:rsidRDefault="000F0F8D">
      <w:pPr>
        <w:ind w:hanging="360"/>
        <w:divId w:val="974260517"/>
        <w:rPr>
          <w:rFonts w:eastAsia="Times New Roman"/>
        </w:rPr>
      </w:pPr>
      <w:r>
        <w:rPr>
          <w:rFonts w:eastAsia="Times New Roman"/>
          <w:i/>
          <w:iCs/>
          <w:color w:val="000000"/>
          <w:sz w:val="20"/>
          <w:szCs w:val="20"/>
        </w:rPr>
        <w:t>•Our industry is subject to intense competition in an environment of rapid technological change. Our success depends in part on our ability to adapt to such change and compete effectively; and such change and competition coul</w:t>
      </w:r>
      <w:r>
        <w:rPr>
          <w:rFonts w:eastAsia="Times New Roman"/>
          <w:i/>
          <w:iCs/>
          <w:color w:val="000000"/>
          <w:sz w:val="20"/>
          <w:szCs w:val="20"/>
        </w:rPr>
        <w:t>d result in decreased demand for our products and technologies or declining average selling prices for our products or those of our customers or licensees.</w:t>
      </w:r>
    </w:p>
    <w:p w:rsidR="00000000" w:rsidRDefault="000F0F8D">
      <w:pPr>
        <w:divId w:val="1610503265"/>
        <w:rPr>
          <w:rFonts w:eastAsia="Times New Roman"/>
        </w:rPr>
      </w:pPr>
      <w:r>
        <w:rPr>
          <w:rFonts w:eastAsia="Times New Roman"/>
          <w:b/>
          <w:bCs/>
          <w:color w:val="000000"/>
          <w:sz w:val="20"/>
          <w:szCs w:val="20"/>
        </w:rPr>
        <w:t>RISKS RELATED TO OUR OPERATING BUSINESSES</w:t>
      </w:r>
    </w:p>
    <w:p w:rsidR="00000000" w:rsidRDefault="000F0F8D">
      <w:pPr>
        <w:ind w:hanging="360"/>
        <w:divId w:val="583226089"/>
        <w:rPr>
          <w:rFonts w:eastAsia="Times New Roman"/>
        </w:rPr>
      </w:pPr>
      <w:r>
        <w:rPr>
          <w:rFonts w:eastAsia="Times New Roman"/>
          <w:i/>
          <w:iCs/>
          <w:color w:val="000000"/>
          <w:sz w:val="20"/>
          <w:szCs w:val="20"/>
        </w:rPr>
        <w:t>•We derive a significant portion of our revenues from a sm</w:t>
      </w:r>
      <w:r>
        <w:rPr>
          <w:rFonts w:eastAsia="Times New Roman"/>
          <w:i/>
          <w:iCs/>
          <w:color w:val="000000"/>
          <w:sz w:val="20"/>
          <w:szCs w:val="20"/>
        </w:rPr>
        <w:t>all number of customers and licensees, and particularly from their sale of premium tier devices. If revenues derived from these customers or licensees decrease or the timing of such revenues fluctuates, our business and results of operations could be negat</w:t>
      </w:r>
      <w:r>
        <w:rPr>
          <w:rFonts w:eastAsia="Times New Roman"/>
          <w:i/>
          <w:iCs/>
          <w:color w:val="000000"/>
          <w:sz w:val="20"/>
          <w:szCs w:val="20"/>
        </w:rPr>
        <w:t>ively affected.</w:t>
      </w:r>
    </w:p>
    <w:p w:rsidR="00000000" w:rsidRDefault="000F0F8D">
      <w:pPr>
        <w:ind w:hanging="360"/>
        <w:divId w:val="1726827577"/>
        <w:rPr>
          <w:rFonts w:eastAsia="Times New Roman"/>
        </w:rPr>
      </w:pPr>
      <w:r>
        <w:rPr>
          <w:rFonts w:eastAsia="Times New Roman"/>
          <w:i/>
          <w:iCs/>
          <w:color w:val="000000"/>
          <w:sz w:val="20"/>
          <w:szCs w:val="20"/>
        </w:rPr>
        <w:t>•Our business, particularly our semiconductor business, may suffer as a result of our customers vertically integrating (i.e., developing their own integrated circuit products).</w:t>
      </w:r>
    </w:p>
    <w:p w:rsidR="00000000" w:rsidRDefault="000F0F8D">
      <w:pPr>
        <w:ind w:hanging="360"/>
        <w:divId w:val="1003895778"/>
        <w:rPr>
          <w:rFonts w:eastAsia="Times New Roman"/>
        </w:rPr>
      </w:pPr>
      <w:r>
        <w:rPr>
          <w:rFonts w:eastAsia="Times New Roman"/>
          <w:i/>
          <w:iCs/>
          <w:color w:val="000000"/>
          <w:sz w:val="20"/>
          <w:szCs w:val="20"/>
        </w:rPr>
        <w:t>•A significant portion of our business is concentrated in China</w:t>
      </w:r>
      <w:r>
        <w:rPr>
          <w:rFonts w:eastAsia="Times New Roman"/>
          <w:i/>
          <w:iCs/>
          <w:color w:val="000000"/>
          <w:sz w:val="20"/>
          <w:szCs w:val="20"/>
        </w:rPr>
        <w:t>, and the risks of such concentration are exacerbated by U.S./China trade and national security tensions.</w:t>
      </w:r>
    </w:p>
    <w:p w:rsidR="00000000" w:rsidRDefault="000F0F8D">
      <w:pPr>
        <w:divId w:val="1524052394"/>
        <w:rPr>
          <w:rFonts w:eastAsia="Times New Roman"/>
        </w:rPr>
      </w:pPr>
      <w:r>
        <w:rPr>
          <w:rFonts w:eastAsia="Times New Roman"/>
          <w:b/>
          <w:bCs/>
          <w:color w:val="000000"/>
          <w:sz w:val="20"/>
          <w:szCs w:val="20"/>
        </w:rPr>
        <w:t xml:space="preserve">RISKS SPECIFIC TO OUR LICENSING BUSINESS </w:t>
      </w:r>
    </w:p>
    <w:p w:rsidR="00000000" w:rsidRDefault="000F0F8D">
      <w:pPr>
        <w:ind w:hanging="360"/>
        <w:divId w:val="1272474804"/>
        <w:rPr>
          <w:rFonts w:eastAsia="Times New Roman"/>
        </w:rPr>
      </w:pPr>
      <w:r>
        <w:rPr>
          <w:rFonts w:eastAsia="Times New Roman"/>
          <w:i/>
          <w:iCs/>
          <w:color w:val="000000"/>
          <w:sz w:val="20"/>
          <w:szCs w:val="20"/>
        </w:rPr>
        <w:t>•Efforts by some OEMs to avoid paying fair and reasonable royalties for the use of our intellectual property</w:t>
      </w:r>
      <w:r>
        <w:rPr>
          <w:rFonts w:eastAsia="Times New Roman"/>
          <w:i/>
          <w:iCs/>
          <w:color w:val="000000"/>
          <w:sz w:val="20"/>
          <w:szCs w:val="20"/>
        </w:rPr>
        <w:t xml:space="preserve"> may require the investment of substantial management time and financial resources and may result in legal decisions or actions by governments, courts, regulators or agencies, Standards Development Organizations (SDOs) or other industry organizations that </w:t>
      </w:r>
      <w:r>
        <w:rPr>
          <w:rFonts w:eastAsia="Times New Roman"/>
          <w:i/>
          <w:iCs/>
          <w:color w:val="000000"/>
          <w:sz w:val="20"/>
          <w:szCs w:val="20"/>
        </w:rPr>
        <w:t xml:space="preserve">harm our business. </w:t>
      </w:r>
    </w:p>
    <w:p w:rsidR="00000000" w:rsidRDefault="000F0F8D">
      <w:pPr>
        <w:ind w:hanging="360"/>
        <w:divId w:val="1292781504"/>
        <w:rPr>
          <w:rFonts w:eastAsia="Times New Roman"/>
        </w:rPr>
      </w:pPr>
      <w:r>
        <w:rPr>
          <w:rFonts w:eastAsia="Times New Roman"/>
          <w:i/>
          <w:iCs/>
          <w:color w:val="000000"/>
          <w:sz w:val="20"/>
          <w:szCs w:val="20"/>
        </w:rPr>
        <w:t>•Changes in our patent licensing practices, whether due to governmental investigations, legal challenges or otherwise, could adversely impact our business and results of operations.</w:t>
      </w:r>
    </w:p>
    <w:p w:rsidR="00000000" w:rsidRDefault="000F0F8D">
      <w:pPr>
        <w:ind w:hanging="360"/>
        <w:divId w:val="721364142"/>
        <w:rPr>
          <w:rFonts w:eastAsia="Times New Roman"/>
        </w:rPr>
      </w:pPr>
      <w:r>
        <w:rPr>
          <w:rFonts w:eastAsia="Times New Roman"/>
          <w:i/>
          <w:iCs/>
          <w:color w:val="000000"/>
          <w:sz w:val="20"/>
          <w:szCs w:val="20"/>
        </w:rPr>
        <w:t>•The continued and future success of our licensing pro</w:t>
      </w:r>
      <w:r>
        <w:rPr>
          <w:rFonts w:eastAsia="Times New Roman"/>
          <w:i/>
          <w:iCs/>
          <w:color w:val="000000"/>
          <w:sz w:val="20"/>
          <w:szCs w:val="20"/>
        </w:rPr>
        <w:t>grams requires us to continue to evolve our patent portfolio and to renew or renegotiate license agreements that are expiring.</w:t>
      </w:r>
    </w:p>
    <w:p w:rsidR="00000000" w:rsidRDefault="000F0F8D">
      <w:pPr>
        <w:divId w:val="1129936827"/>
        <w:rPr>
          <w:rFonts w:eastAsia="Times New Roman"/>
        </w:rPr>
      </w:pPr>
      <w:r>
        <w:rPr>
          <w:rFonts w:eastAsia="Times New Roman"/>
          <w:b/>
          <w:bCs/>
          <w:color w:val="000000"/>
          <w:sz w:val="20"/>
          <w:szCs w:val="20"/>
        </w:rPr>
        <w:t xml:space="preserve">RISKS RELATED TO REGULATORY AND LEGAL CHALLENGES </w:t>
      </w:r>
    </w:p>
    <w:p w:rsidR="00000000" w:rsidRDefault="000F0F8D">
      <w:pPr>
        <w:ind w:hanging="360"/>
        <w:divId w:val="1563100775"/>
        <w:rPr>
          <w:rFonts w:eastAsia="Times New Roman"/>
        </w:rPr>
      </w:pPr>
      <w:r>
        <w:rPr>
          <w:rFonts w:eastAsia="Times New Roman"/>
          <w:i/>
          <w:iCs/>
          <w:color w:val="000000"/>
          <w:sz w:val="20"/>
          <w:szCs w:val="20"/>
        </w:rPr>
        <w:t>•Our business may suffer as a result of adverse rulings in government investiga</w:t>
      </w:r>
      <w:r>
        <w:rPr>
          <w:rFonts w:eastAsia="Times New Roman"/>
          <w:i/>
          <w:iCs/>
          <w:color w:val="000000"/>
          <w:sz w:val="20"/>
          <w:szCs w:val="20"/>
        </w:rPr>
        <w:t>tions or proceedings.</w:t>
      </w:r>
    </w:p>
    <w:p w:rsidR="00000000" w:rsidRDefault="000F0F8D">
      <w:pPr>
        <w:divId w:val="670329942"/>
        <w:rPr>
          <w:rFonts w:eastAsia="Times New Roman"/>
        </w:rPr>
      </w:pPr>
      <w:r>
        <w:rPr>
          <w:rFonts w:eastAsia="Times New Roman"/>
          <w:b/>
          <w:bCs/>
          <w:color w:val="000000"/>
          <w:sz w:val="20"/>
          <w:szCs w:val="20"/>
        </w:rPr>
        <w:t xml:space="preserve">RISKS RELATED TO SUPPLY AND MANUFACTURING </w:t>
      </w:r>
    </w:p>
    <w:p w:rsidR="00000000" w:rsidRDefault="000F0F8D">
      <w:pPr>
        <w:ind w:hanging="360"/>
        <w:divId w:val="1474908720"/>
        <w:rPr>
          <w:rFonts w:eastAsia="Times New Roman"/>
        </w:rPr>
      </w:pPr>
      <w:r>
        <w:rPr>
          <w:rFonts w:eastAsia="Times New Roman"/>
          <w:i/>
          <w:iCs/>
          <w:color w:val="000000"/>
          <w:sz w:val="20"/>
          <w:szCs w:val="20"/>
        </w:rPr>
        <w:t>•We depend on a limited number of third-party suppliers for the procurement, manufacture, assembly and testing of our products manufactured in a fabless production model. If we fail to execut</w:t>
      </w:r>
      <w:r>
        <w:rPr>
          <w:rFonts w:eastAsia="Times New Roman"/>
          <w:i/>
          <w:iCs/>
          <w:color w:val="000000"/>
          <w:sz w:val="20"/>
          <w:szCs w:val="20"/>
        </w:rPr>
        <w:t xml:space="preserve">e supply strategies that provide supply assurance, technology leadership and reasonable margins, our business </w:t>
      </w:r>
      <w:r>
        <w:rPr>
          <w:rFonts w:eastAsia="Times New Roman"/>
          <w:i/>
          <w:iCs/>
          <w:color w:val="000000"/>
          <w:sz w:val="20"/>
          <w:szCs w:val="20"/>
        </w:rPr>
        <w:lastRenderedPageBreak/>
        <w:t>and results of operations may be harmed. We are also subject to order and shipment uncertainties that could negatively impact our results of opera</w:t>
      </w:r>
      <w:r>
        <w:rPr>
          <w:rFonts w:eastAsia="Times New Roman"/>
          <w:i/>
          <w:iCs/>
          <w:color w:val="000000"/>
          <w:sz w:val="20"/>
          <w:szCs w:val="20"/>
        </w:rPr>
        <w:t>tions.</w:t>
      </w:r>
    </w:p>
    <w:p w:rsidR="00000000" w:rsidRDefault="000F0F8D">
      <w:pPr>
        <w:ind w:hanging="360"/>
        <w:divId w:val="547641846"/>
        <w:rPr>
          <w:rFonts w:eastAsia="Times New Roman"/>
        </w:rPr>
      </w:pP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impacts related to climate change; e</w:t>
      </w:r>
      <w:r>
        <w:rPr>
          <w:rFonts w:eastAsia="Times New Roman"/>
          <w:i/>
          <w:iCs/>
          <w:color w:val="000000"/>
          <w:sz w:val="20"/>
          <w:szCs w:val="20"/>
        </w:rPr>
        <w:t>xposure to natural disasters, health crises and cyber-attacks; timely supply of equipment and materials; and various manufacturing issues.</w:t>
      </w:r>
    </w:p>
    <w:p w:rsidR="00000000" w:rsidRDefault="000F0F8D">
      <w:pPr>
        <w:jc w:val="center"/>
        <w:divId w:val="1534460884"/>
        <w:rPr>
          <w:rFonts w:eastAsia="Times New Roman"/>
        </w:rPr>
      </w:pPr>
      <w:r>
        <w:rPr>
          <w:rFonts w:eastAsia="Times New Roman"/>
          <w:color w:val="000000"/>
          <w:sz w:val="20"/>
          <w:szCs w:val="20"/>
        </w:rPr>
        <w:t>4</w:t>
      </w:r>
    </w:p>
    <w:p w:rsidR="00000000" w:rsidRDefault="000F0F8D">
      <w:pPr>
        <w:rPr>
          <w:rFonts w:eastAsia="Times New Roman"/>
        </w:rPr>
      </w:pPr>
      <w:r>
        <w:rPr>
          <w:rFonts w:eastAsia="Times New Roman"/>
        </w:rPr>
        <w:pict>
          <v:rect id="_x0000_i1027" style="width:0;height:1.5pt" o:hralign="center" o:hrstd="t" o:hr="t" fillcolor="#a0a0a0" stroked="f"/>
        </w:pict>
      </w:r>
    </w:p>
    <w:p w:rsidR="00000000" w:rsidRDefault="000F0F8D">
      <w:pPr>
        <w:divId w:val="899900795"/>
        <w:rPr>
          <w:rFonts w:eastAsia="Times New Roman"/>
        </w:rPr>
      </w:pPr>
    </w:p>
    <w:p w:rsidR="00000000" w:rsidRDefault="000F0F8D">
      <w:pPr>
        <w:divId w:val="172260454"/>
        <w:rPr>
          <w:rFonts w:eastAsia="Times New Roman"/>
        </w:rPr>
      </w:pPr>
      <w:r>
        <w:rPr>
          <w:rFonts w:eastAsia="Times New Roman"/>
          <w:b/>
          <w:bCs/>
          <w:color w:val="000000"/>
          <w:sz w:val="20"/>
          <w:szCs w:val="20"/>
        </w:rPr>
        <w:t>RISKS RELATED TO NEW AND ADJACENT INITIATIVES</w:t>
      </w:r>
    </w:p>
    <w:p w:rsidR="00000000" w:rsidRDefault="000F0F8D">
      <w:pPr>
        <w:ind w:hanging="360"/>
        <w:divId w:val="63308608"/>
        <w:rPr>
          <w:rFonts w:eastAsia="Times New Roman"/>
        </w:rPr>
      </w:pPr>
      <w:r>
        <w:rPr>
          <w:rFonts w:eastAsia="Times New Roman"/>
          <w:i/>
          <w:iCs/>
          <w:color w:val="000000"/>
          <w:sz w:val="20"/>
          <w:szCs w:val="20"/>
        </w:rPr>
        <w:t>•Our growth depends in part on our ability to extend our technologies and products into new and expanded product areas, and adjacent industry segments and applications beyond mobile. Our research, development a</w:t>
      </w:r>
      <w:r>
        <w:rPr>
          <w:rFonts w:eastAsia="Times New Roman"/>
          <w:i/>
          <w:iCs/>
          <w:color w:val="000000"/>
          <w:sz w:val="20"/>
          <w:szCs w:val="20"/>
        </w:rPr>
        <w:t>nd other investments in these new and expanded product areas, industry segments and applications, and related technologies and products, as well as in our existing technologies and products, and new technologies, may not generate operating income or contri</w:t>
      </w:r>
      <w:r>
        <w:rPr>
          <w:rFonts w:eastAsia="Times New Roman"/>
          <w:i/>
          <w:iCs/>
          <w:color w:val="000000"/>
          <w:sz w:val="20"/>
          <w:szCs w:val="20"/>
        </w:rPr>
        <w:t>bute to future results of operations that meet our expectations.</w:t>
      </w:r>
    </w:p>
    <w:p w:rsidR="00000000" w:rsidRDefault="000F0F8D">
      <w:pPr>
        <w:ind w:hanging="360"/>
        <w:divId w:val="699013393"/>
        <w:rPr>
          <w:rFonts w:eastAsia="Times New Roman"/>
        </w:rPr>
      </w:pPr>
      <w:r>
        <w:rPr>
          <w:rFonts w:eastAsia="Times New Roman"/>
          <w:i/>
          <w:iCs/>
          <w:color w:val="000000"/>
          <w:sz w:val="20"/>
          <w:szCs w:val="20"/>
        </w:rPr>
        <w:t>•We may engage in strategic acquisitions and other transactions or make investments, or be unable to consummate planned strategic acquisitions, which could adversely affect our results of ope</w:t>
      </w:r>
      <w:r>
        <w:rPr>
          <w:rFonts w:eastAsia="Times New Roman"/>
          <w:i/>
          <w:iCs/>
          <w:color w:val="000000"/>
          <w:sz w:val="20"/>
          <w:szCs w:val="20"/>
        </w:rPr>
        <w:t>rations or fail to enhance stockholder value.</w:t>
      </w:r>
    </w:p>
    <w:p w:rsidR="00000000" w:rsidRDefault="000F0F8D">
      <w:pPr>
        <w:divId w:val="1118260130"/>
        <w:rPr>
          <w:rFonts w:eastAsia="Times New Roman"/>
        </w:rPr>
      </w:pPr>
      <w:r>
        <w:rPr>
          <w:rFonts w:eastAsia="Times New Roman"/>
          <w:b/>
          <w:bCs/>
          <w:color w:val="000000"/>
          <w:sz w:val="20"/>
          <w:szCs w:val="20"/>
        </w:rPr>
        <w:t xml:space="preserve">RISKS RELATED TO CYBERSECURITY OR MISAPPROPRIATION OF OUR CRITICAL INFORMATION </w:t>
      </w:r>
    </w:p>
    <w:p w:rsidR="00000000" w:rsidRDefault="000F0F8D">
      <w:pPr>
        <w:ind w:hanging="360"/>
        <w:divId w:val="355690617"/>
        <w:rPr>
          <w:rFonts w:eastAsia="Times New Roman"/>
        </w:rPr>
      </w:pPr>
      <w:r>
        <w:rPr>
          <w:rFonts w:eastAsia="Times New Roman"/>
          <w:i/>
          <w:iCs/>
          <w:color w:val="000000"/>
          <w:sz w:val="20"/>
          <w:szCs w:val="20"/>
        </w:rPr>
        <w:t>•</w:t>
      </w:r>
      <w:r>
        <w:rPr>
          <w:rFonts w:eastAsia="Times New Roman"/>
          <w:i/>
          <w:iCs/>
          <w:color w:val="000000"/>
          <w:sz w:val="20"/>
          <w:szCs w:val="20"/>
        </w:rPr>
        <w:t>Our business and operations could suffer in the event of security breaches of our IT systems, or other misappropriation of our technology, intellectual property or other proprietary or confidential information.</w:t>
      </w:r>
    </w:p>
    <w:p w:rsidR="00000000" w:rsidRDefault="000F0F8D">
      <w:pPr>
        <w:divId w:val="463498532"/>
        <w:rPr>
          <w:rFonts w:eastAsia="Times New Roman"/>
        </w:rPr>
      </w:pPr>
      <w:r>
        <w:rPr>
          <w:rFonts w:eastAsia="Times New Roman"/>
          <w:b/>
          <w:bCs/>
          <w:color w:val="000000"/>
          <w:sz w:val="20"/>
          <w:szCs w:val="20"/>
        </w:rPr>
        <w:t xml:space="preserve">RISKS RELATED TO INTELLECTUAL PROPERTY </w:t>
      </w:r>
    </w:p>
    <w:p w:rsidR="00000000" w:rsidRDefault="000F0F8D">
      <w:pPr>
        <w:ind w:hanging="360"/>
        <w:divId w:val="869877889"/>
        <w:rPr>
          <w:rFonts w:eastAsia="Times New Roman"/>
        </w:rPr>
      </w:pPr>
      <w:r>
        <w:rPr>
          <w:rFonts w:eastAsia="Times New Roman"/>
          <w:i/>
          <w:iCs/>
          <w:color w:val="000000"/>
          <w:sz w:val="20"/>
          <w:szCs w:val="20"/>
        </w:rPr>
        <w:t xml:space="preserve">•The </w:t>
      </w:r>
      <w:r>
        <w:rPr>
          <w:rFonts w:eastAsia="Times New Roman"/>
          <w:i/>
          <w:iCs/>
          <w:color w:val="000000"/>
          <w:sz w:val="20"/>
          <w:szCs w:val="20"/>
        </w:rPr>
        <w:t>enforcement and protection of our intellectual property may be expensive, could fail to prevent misappropriation or unauthorized use of our intellectual property, could result in the loss of our ability to enforce one or more patents, and could be adversel</w:t>
      </w:r>
      <w:r>
        <w:rPr>
          <w:rFonts w:eastAsia="Times New Roman"/>
          <w:i/>
          <w:iCs/>
          <w:color w:val="000000"/>
          <w:sz w:val="20"/>
          <w:szCs w:val="20"/>
        </w:rPr>
        <w:t>y affected by changes in patent laws, by laws in certain foreign jurisdictions that may not effectively protect our intellectual property and by ineffective enforcement of laws in such jurisdictions.</w:t>
      </w:r>
    </w:p>
    <w:p w:rsidR="00000000" w:rsidRDefault="000F0F8D">
      <w:pPr>
        <w:ind w:hanging="360"/>
        <w:divId w:val="428552340"/>
        <w:rPr>
          <w:rFonts w:eastAsia="Times New Roman"/>
        </w:rPr>
      </w:pPr>
      <w:r>
        <w:rPr>
          <w:rFonts w:eastAsia="Times New Roman"/>
          <w:i/>
          <w:iCs/>
          <w:color w:val="000000"/>
          <w:sz w:val="20"/>
          <w:szCs w:val="20"/>
        </w:rPr>
        <w:t>•Claims by other companies that we infringe their intell</w:t>
      </w:r>
      <w:r>
        <w:rPr>
          <w:rFonts w:eastAsia="Times New Roman"/>
          <w:i/>
          <w:iCs/>
          <w:color w:val="000000"/>
          <w:sz w:val="20"/>
          <w:szCs w:val="20"/>
        </w:rPr>
        <w:t>ectual property could adversely affect our business.</w:t>
      </w:r>
    </w:p>
    <w:p w:rsidR="00000000" w:rsidRDefault="000F0F8D">
      <w:pPr>
        <w:ind w:hanging="360"/>
        <w:divId w:val="803155950"/>
        <w:rPr>
          <w:rFonts w:eastAsia="Times New Roman"/>
        </w:rPr>
      </w:pPr>
      <w:r>
        <w:rPr>
          <w:rFonts w:eastAsia="Times New Roman"/>
          <w:i/>
          <w:iCs/>
          <w:color w:val="000000"/>
          <w:sz w:val="20"/>
          <w:szCs w:val="20"/>
        </w:rPr>
        <w:t>•Our use of open source software may harm our business.</w:t>
      </w:r>
    </w:p>
    <w:p w:rsidR="00000000" w:rsidRDefault="000F0F8D">
      <w:pPr>
        <w:divId w:val="1316565798"/>
        <w:rPr>
          <w:rFonts w:eastAsia="Times New Roman"/>
        </w:rPr>
      </w:pPr>
      <w:r>
        <w:rPr>
          <w:rFonts w:eastAsia="Times New Roman"/>
          <w:b/>
          <w:bCs/>
          <w:color w:val="000000"/>
          <w:sz w:val="20"/>
          <w:szCs w:val="20"/>
        </w:rPr>
        <w:t xml:space="preserve">RISKS RELATED TO HUMAN CAPITAL MANAGEMENT </w:t>
      </w:r>
    </w:p>
    <w:p w:rsidR="00000000" w:rsidRDefault="000F0F8D">
      <w:pPr>
        <w:ind w:hanging="360"/>
        <w:divId w:val="1631934013"/>
        <w:rPr>
          <w:rFonts w:eastAsia="Times New Roman"/>
        </w:rPr>
      </w:pPr>
      <w:r>
        <w:rPr>
          <w:rFonts w:eastAsia="Times New Roman"/>
          <w:i/>
          <w:iCs/>
          <w:color w:val="000000"/>
          <w:sz w:val="20"/>
          <w:szCs w:val="20"/>
        </w:rPr>
        <w:t>•We may not be able to attract and retain qualified employees.</w:t>
      </w:r>
    </w:p>
    <w:p w:rsidR="00000000" w:rsidRDefault="000F0F8D">
      <w:pPr>
        <w:divId w:val="2042626788"/>
        <w:rPr>
          <w:rFonts w:eastAsia="Times New Roman"/>
        </w:rPr>
      </w:pPr>
      <w:r>
        <w:rPr>
          <w:rFonts w:eastAsia="Times New Roman"/>
          <w:b/>
          <w:bCs/>
          <w:color w:val="000000"/>
          <w:sz w:val="20"/>
          <w:szCs w:val="20"/>
        </w:rPr>
        <w:t>RISKS RELATED TO PRODUCT DEFECTS OR SECUR</w:t>
      </w:r>
      <w:r>
        <w:rPr>
          <w:rFonts w:eastAsia="Times New Roman"/>
          <w:b/>
          <w:bCs/>
          <w:color w:val="000000"/>
          <w:sz w:val="20"/>
          <w:szCs w:val="20"/>
        </w:rPr>
        <w:t xml:space="preserve">ITY VULNERABILITIES </w:t>
      </w:r>
    </w:p>
    <w:p w:rsidR="00000000" w:rsidRDefault="000F0F8D">
      <w:pPr>
        <w:ind w:hanging="360"/>
        <w:divId w:val="1946644807"/>
        <w:rPr>
          <w:rFonts w:eastAsia="Times New Roman"/>
        </w:rPr>
      </w:pPr>
      <w:r>
        <w:rPr>
          <w:rFonts w:eastAsia="Times New Roman"/>
          <w:i/>
          <w:iCs/>
          <w:color w:val="000000"/>
          <w:sz w:val="20"/>
          <w:szCs w:val="20"/>
        </w:rPr>
        <w:t>•Failures in our products, or in the products of our customers or licensees, including those resulting from security vulnerabilities, defects or errors, could harm our business.</w:t>
      </w:r>
    </w:p>
    <w:p w:rsidR="00000000" w:rsidRDefault="000F0F8D">
      <w:pPr>
        <w:divId w:val="1328555488"/>
        <w:rPr>
          <w:rFonts w:eastAsia="Times New Roman"/>
        </w:rPr>
      </w:pPr>
      <w:r>
        <w:rPr>
          <w:rFonts w:eastAsia="Times New Roman"/>
          <w:b/>
          <w:bCs/>
          <w:color w:val="000000"/>
          <w:sz w:val="20"/>
          <w:szCs w:val="20"/>
        </w:rPr>
        <w:t xml:space="preserve">GENERAL RISK FACTORS </w:t>
      </w:r>
    </w:p>
    <w:p w:rsidR="00000000" w:rsidRDefault="000F0F8D">
      <w:pPr>
        <w:ind w:hanging="360"/>
        <w:divId w:val="612135351"/>
        <w:rPr>
          <w:rFonts w:eastAsia="Times New Roman"/>
        </w:rPr>
      </w:pPr>
      <w:r>
        <w:rPr>
          <w:rFonts w:eastAsia="Times New Roman"/>
          <w:i/>
          <w:iCs/>
          <w:color w:val="000000"/>
          <w:sz w:val="20"/>
          <w:szCs w:val="20"/>
        </w:rPr>
        <w:t xml:space="preserve">•We operate in the highly cyclical </w:t>
      </w:r>
      <w:r>
        <w:rPr>
          <w:rFonts w:eastAsia="Times New Roman"/>
          <w:i/>
          <w:iCs/>
          <w:color w:val="000000"/>
          <w:sz w:val="20"/>
          <w:szCs w:val="20"/>
        </w:rPr>
        <w:t>semiconductor industry, which is subject to significant downturns. We are also susceptible to declines in global, regional and local economic conditions generally. Our stock price and financial results are subject to substantial quarterly and annual fluctu</w:t>
      </w:r>
      <w:r>
        <w:rPr>
          <w:rFonts w:eastAsia="Times New Roman"/>
          <w:i/>
          <w:iCs/>
          <w:color w:val="000000"/>
          <w:sz w:val="20"/>
          <w:szCs w:val="20"/>
        </w:rPr>
        <w:t>ations due to these dynamics, among others.</w:t>
      </w:r>
    </w:p>
    <w:p w:rsidR="00000000" w:rsidRDefault="000F0F8D">
      <w:pPr>
        <w:ind w:hanging="360"/>
        <w:divId w:val="706099984"/>
        <w:rPr>
          <w:rFonts w:eastAsia="Times New Roman"/>
        </w:rPr>
      </w:pPr>
      <w:r>
        <w:rPr>
          <w:rFonts w:eastAsia="Times New Roman"/>
          <w:i/>
          <w:iCs/>
          <w:color w:val="000000"/>
          <w:sz w:val="20"/>
          <w:szCs w:val="20"/>
        </w:rPr>
        <w:t>•Our business may suffer due to the impact of, or our failure to comply with, the various existing, new or amended laws, regulations, policies or standards to which we are subject.</w:t>
      </w:r>
    </w:p>
    <w:p w:rsidR="00000000" w:rsidRDefault="000F0F8D">
      <w:pPr>
        <w:ind w:hanging="360"/>
        <w:divId w:val="2124838977"/>
        <w:rPr>
          <w:rFonts w:eastAsia="Times New Roman"/>
        </w:rPr>
      </w:pPr>
      <w:r>
        <w:rPr>
          <w:rFonts w:eastAsia="Times New Roman"/>
          <w:i/>
          <w:iCs/>
          <w:color w:val="000000"/>
          <w:sz w:val="20"/>
          <w:szCs w:val="20"/>
        </w:rPr>
        <w:t>•There are risks associated wit</w:t>
      </w:r>
      <w:r>
        <w:rPr>
          <w:rFonts w:eastAsia="Times New Roman"/>
          <w:i/>
          <w:iCs/>
          <w:color w:val="000000"/>
          <w:sz w:val="20"/>
          <w:szCs w:val="20"/>
        </w:rPr>
        <w:t>h our debt.</w:t>
      </w:r>
    </w:p>
    <w:p w:rsidR="00000000" w:rsidRDefault="000F0F8D">
      <w:pPr>
        <w:ind w:hanging="360"/>
        <w:divId w:val="2131892709"/>
        <w:rPr>
          <w:rFonts w:eastAsia="Times New Roman"/>
        </w:rPr>
      </w:pPr>
      <w:r>
        <w:rPr>
          <w:rFonts w:eastAsia="Times New Roman"/>
          <w:i/>
          <w:iCs/>
          <w:color w:val="000000"/>
          <w:sz w:val="20"/>
          <w:szCs w:val="20"/>
        </w:rPr>
        <w:t>•Tax liabilities could adversely affect our results of operations.</w:t>
      </w:r>
    </w:p>
    <w:p w:rsidR="00000000" w:rsidRDefault="000F0F8D">
      <w:pPr>
        <w:jc w:val="center"/>
        <w:divId w:val="42826560"/>
        <w:rPr>
          <w:rFonts w:eastAsia="Times New Roman"/>
        </w:rPr>
      </w:pPr>
      <w:r>
        <w:rPr>
          <w:rFonts w:eastAsia="Times New Roman"/>
          <w:color w:val="000000"/>
          <w:sz w:val="20"/>
          <w:szCs w:val="20"/>
        </w:rPr>
        <w:t>5</w:t>
      </w:r>
    </w:p>
    <w:p w:rsidR="00000000" w:rsidRDefault="000F0F8D">
      <w:pPr>
        <w:rPr>
          <w:rFonts w:eastAsia="Times New Roman"/>
        </w:rPr>
      </w:pPr>
      <w:r>
        <w:rPr>
          <w:rFonts w:eastAsia="Times New Roman"/>
        </w:rPr>
        <w:pict>
          <v:rect id="_x0000_i1028" style="width:0;height:1.5pt" o:hralign="center" o:hrstd="t" o:hr="t" fillcolor="#a0a0a0" stroked="f"/>
        </w:pict>
      </w:r>
    </w:p>
    <w:p w:rsidR="00000000" w:rsidRDefault="000F0F8D">
      <w:pPr>
        <w:divId w:val="855774816"/>
        <w:rPr>
          <w:rFonts w:eastAsia="Times New Roman"/>
        </w:rPr>
      </w:pPr>
    </w:p>
    <w:p w:rsidR="00000000" w:rsidRDefault="000F0F8D">
      <w:pPr>
        <w:divId w:val="853761157"/>
        <w:rPr>
          <w:rFonts w:eastAsia="Times New Roman"/>
        </w:rPr>
      </w:pPr>
      <w:r>
        <w:rPr>
          <w:rFonts w:eastAsia="Times New Roman"/>
          <w:b/>
          <w:bCs/>
          <w:color w:val="000000"/>
          <w:sz w:val="20"/>
          <w:szCs w:val="20"/>
        </w:rPr>
        <w:lastRenderedPageBreak/>
        <w:t>PART I. FINANCIAL INFORMATION</w:t>
      </w:r>
    </w:p>
    <w:p w:rsidR="00000000" w:rsidRDefault="000F0F8D">
      <w:pPr>
        <w:divId w:val="182134951"/>
        <w:rPr>
          <w:rFonts w:eastAsia="Times New Roman"/>
        </w:rPr>
      </w:pPr>
    </w:p>
    <w:p w:rsidR="00000000" w:rsidRDefault="000F0F8D">
      <w:pPr>
        <w:divId w:val="291904142"/>
        <w:rPr>
          <w:rFonts w:eastAsia="Times New Roman"/>
        </w:rPr>
      </w:pPr>
      <w:r>
        <w:rPr>
          <w:rFonts w:eastAsia="Times New Roman"/>
          <w:b/>
          <w:bCs/>
          <w:color w:val="000000"/>
          <w:sz w:val="20"/>
          <w:szCs w:val="20"/>
        </w:rPr>
        <w:t>ITEM 1. CONDENSED CONSOLIDATED FINANCIAL STATEMENTS (UNAUDITED)</w:t>
      </w:r>
    </w:p>
    <w:p w:rsidR="00000000" w:rsidRDefault="000F0F8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55"/>
        <w:gridCol w:w="38"/>
        <w:gridCol w:w="68"/>
        <w:gridCol w:w="1555"/>
        <w:gridCol w:w="37"/>
        <w:gridCol w:w="68"/>
        <w:gridCol w:w="1556"/>
        <w:gridCol w:w="37"/>
        <w:gridCol w:w="69"/>
        <w:gridCol w:w="1556"/>
        <w:gridCol w:w="37"/>
        <w:gridCol w:w="69"/>
        <w:gridCol w:w="1556"/>
        <w:gridCol w:w="37"/>
      </w:tblGrid>
      <w:tr w:rsidR="00000000">
        <w:trPr>
          <w:jc w:val="center"/>
        </w:trPr>
        <w:tc>
          <w:tcPr>
            <w:tcW w:w="50" w:type="pct"/>
            <w:vAlign w:val="center"/>
            <w:hideMark/>
          </w:tcPr>
          <w:p w:rsidR="00000000" w:rsidRDefault="000F0F8D">
            <w:pPr>
              <w:jc w:val="center"/>
              <w:rPr>
                <w:rFonts w:eastAsia="Times New Roman"/>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CONDENSED CONSOLIDATED BALANCE SHEETS</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millions, except par value amounts)</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jc w:val="center"/>
        <w:divId w:val="619652525"/>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6099"/>
        <w:gridCol w:w="40"/>
        <w:gridCol w:w="110"/>
        <w:gridCol w:w="870"/>
        <w:gridCol w:w="36"/>
        <w:gridCol w:w="36"/>
        <w:gridCol w:w="36"/>
        <w:gridCol w:w="36"/>
        <w:gridCol w:w="111"/>
        <w:gridCol w:w="840"/>
        <w:gridCol w:w="36"/>
      </w:tblGrid>
      <w:tr w:rsidR="00000000">
        <w:trPr>
          <w:divId w:val="619652525"/>
          <w:jc w:val="center"/>
        </w:trPr>
        <w:tc>
          <w:tcPr>
            <w:tcW w:w="50" w:type="pct"/>
            <w:vAlign w:val="center"/>
            <w:hideMark/>
          </w:tcPr>
          <w:p w:rsidR="00000000" w:rsidRDefault="000F0F8D">
            <w:pPr>
              <w:jc w:val="center"/>
              <w:rPr>
                <w:rFonts w:eastAsia="Times New Roman"/>
              </w:rPr>
            </w:pPr>
          </w:p>
        </w:tc>
        <w:tc>
          <w:tcPr>
            <w:tcW w:w="370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rPr>
          <w:divId w:val="619652525"/>
          <w:jc w:val="center"/>
        </w:trPr>
        <w:tc>
          <w:tcPr>
            <w:tcW w:w="0" w:type="auto"/>
            <w:gridSpan w:val="12"/>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ASSETS</w:t>
            </w: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Current assets:</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619652525"/>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7,399 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6,707 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Marketable securities</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5,508 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4,507 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2,952 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4,003 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Inventories</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3,133 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2,598 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701 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704 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19,693 </w:t>
            </w:r>
          </w:p>
        </w:tc>
        <w:tc>
          <w:tcPr>
            <w:tcW w:w="0" w:type="auto"/>
            <w:tcBorders>
              <w:top w:val="single" w:sz="8" w:space="0" w:color="000000"/>
            </w:tcBorders>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18,519 </w:t>
            </w:r>
          </w:p>
        </w:tc>
        <w:tc>
          <w:tcPr>
            <w:tcW w:w="0" w:type="auto"/>
            <w:tcBorders>
              <w:top w:val="single" w:sz="8" w:space="0" w:color="000000"/>
            </w:tcBorders>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Deferred tax assets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1,450 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1,351 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Property, plant and equipment, net</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4,424 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3,711 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7,229 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6,323 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intangible assets, net</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1,542 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1,653 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4,431 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4,037 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trHeight w:val="240"/>
          <w:jc w:val="center"/>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12"/>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LIABILITIES AND STOCKHOLDERS’ EQUITY</w:t>
            </w: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Current liabilities:</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619652525"/>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Trade accounts payable</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2,709 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2,248 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Payroll and other benefits related liabilities</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618 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568 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Short-term debt</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2,045 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500 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4,585 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4,303 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11,460 </w:t>
            </w:r>
          </w:p>
        </w:tc>
        <w:tc>
          <w:tcPr>
            <w:tcW w:w="0" w:type="auto"/>
            <w:tcBorders>
              <w:top w:val="single" w:sz="8" w:space="0" w:color="000000"/>
            </w:tcBorders>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8,672 </w:t>
            </w:r>
          </w:p>
        </w:tc>
        <w:tc>
          <w:tcPr>
            <w:tcW w:w="0" w:type="auto"/>
            <w:tcBorders>
              <w:top w:val="single" w:sz="8" w:space="0" w:color="000000"/>
            </w:tcBorders>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761 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Income taxes payable</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1,714 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1,872 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13,695 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15,226 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liabilities</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3,248 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2,986 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trHeight w:val="240"/>
          <w:jc w:val="center"/>
        </w:trPr>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Commitments and contingencies (Note 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19652525"/>
          <w:trHeight w:val="240"/>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619652525"/>
          <w:jc w:val="center"/>
        </w:trPr>
        <w:tc>
          <w:tcPr>
            <w:tcW w:w="0" w:type="auto"/>
            <w:gridSpan w:val="3"/>
            <w:vAlign w:val="center"/>
            <w:hideMark/>
          </w:tcPr>
          <w:p w:rsidR="00000000" w:rsidRDefault="000F0F8D">
            <w:pPr>
              <w:spacing w:after="100"/>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tcMar>
              <w:top w:w="30" w:type="dxa"/>
              <w:left w:w="20" w:type="dxa"/>
              <w:bottom w:w="30" w:type="dxa"/>
              <w:right w:w="20" w:type="dxa"/>
            </w:tcMar>
            <w:vAlign w:val="bottom"/>
            <w:hideMark/>
          </w:tcPr>
          <w:p w:rsidR="00000000" w:rsidRDefault="000F0F8D">
            <w:pPr>
              <w:spacing w:after="100"/>
              <w:divId w:val="2025129076"/>
              <w:rPr>
                <w:rFonts w:eastAsia="Times New Roman"/>
              </w:rPr>
            </w:pPr>
            <w:r>
              <w:rPr>
                <w:rFonts w:eastAsia="Times New Roman"/>
                <w:color w:val="000000"/>
                <w:sz w:val="18"/>
                <w:szCs w:val="18"/>
              </w:rPr>
              <w:t xml:space="preserve">Preferred stock, $0.0001 </w:t>
            </w:r>
            <w:r>
              <w:rPr>
                <w:rFonts w:eastAsia="Times New Roman"/>
                <w:color w:val="000000"/>
                <w:sz w:val="18"/>
                <w:szCs w:val="18"/>
              </w:rPr>
              <w:t>par value; 8 shares authorized; none outstanding</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divId w:val="1868710123"/>
              <w:rPr>
                <w:rFonts w:eastAsia="Times New Roman"/>
              </w:rPr>
            </w:pPr>
            <w:r>
              <w:rPr>
                <w:rFonts w:eastAsia="Times New Roman"/>
                <w:color w:val="000000"/>
                <w:sz w:val="18"/>
                <w:szCs w:val="18"/>
              </w:rPr>
              <w:t>Common stock and paid-in capital, $0.0001 par value; 6,000 shares authorized; 1,128 and 1,131 shares issued and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Retained earnings</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7,993 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5,284 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Accumulated 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19652525"/>
          <w:jc w:val="center"/>
        </w:trPr>
        <w:tc>
          <w:tcPr>
            <w:tcW w:w="0" w:type="auto"/>
            <w:gridSpan w:val="3"/>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8,177 </w:t>
            </w:r>
          </w:p>
        </w:tc>
        <w:tc>
          <w:tcPr>
            <w:tcW w:w="0" w:type="auto"/>
            <w:tcBorders>
              <w:top w:val="single" w:sz="8" w:space="0" w:color="000000"/>
            </w:tcBorders>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6,077 </w:t>
            </w:r>
          </w:p>
        </w:tc>
        <w:tc>
          <w:tcPr>
            <w:tcW w:w="0" w:type="auto"/>
            <w:tcBorders>
              <w:top w:val="single" w:sz="8" w:space="0" w:color="000000"/>
            </w:tcBorders>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19652525"/>
          <w:jc w:val="center"/>
        </w:trPr>
        <w:tc>
          <w:tcPr>
            <w:tcW w:w="0" w:type="auto"/>
            <w:gridSpan w:val="3"/>
            <w:shd w:val="clear" w:color="auto" w:fill="CCEEFF"/>
            <w:tcMar>
              <w:top w:w="30" w:type="dxa"/>
              <w:left w:w="60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35,594 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7"/>
        <w:gridCol w:w="68"/>
        <w:gridCol w:w="1560"/>
        <w:gridCol w:w="37"/>
        <w:gridCol w:w="69"/>
        <w:gridCol w:w="1561"/>
        <w:gridCol w:w="36"/>
        <w:gridCol w:w="69"/>
        <w:gridCol w:w="1561"/>
        <w:gridCol w:w="36"/>
        <w:gridCol w:w="69"/>
        <w:gridCol w:w="1562"/>
        <w:gridCol w:w="36"/>
      </w:tblGrid>
      <w:tr w:rsidR="00000000">
        <w:trPr>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18"/>
                <w:szCs w:val="18"/>
              </w:rPr>
              <w:t>See accompanying notes.</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bl>
    <w:p w:rsidR="00000000" w:rsidRDefault="000F0F8D">
      <w:pPr>
        <w:jc w:val="center"/>
        <w:divId w:val="908805781"/>
        <w:rPr>
          <w:rFonts w:eastAsia="Times New Roman"/>
        </w:rPr>
      </w:pPr>
      <w:r>
        <w:rPr>
          <w:rFonts w:eastAsia="Times New Roman"/>
          <w:color w:val="000000"/>
          <w:sz w:val="20"/>
          <w:szCs w:val="20"/>
        </w:rPr>
        <w:t>6</w:t>
      </w:r>
    </w:p>
    <w:p w:rsidR="00000000" w:rsidRDefault="000F0F8D">
      <w:pPr>
        <w:rPr>
          <w:rFonts w:eastAsia="Times New Roman"/>
        </w:rPr>
      </w:pPr>
      <w:r>
        <w:rPr>
          <w:rFonts w:eastAsia="Times New Roman"/>
        </w:rPr>
        <w:pict>
          <v:rect id="_x0000_i1029" style="width:0;height:1.5pt" o:hralign="center" o:hrstd="t" o:hr="t" fillcolor="#a0a0a0" stroked="f"/>
        </w:pict>
      </w:r>
    </w:p>
    <w:p w:rsidR="00000000" w:rsidRDefault="000F0F8D">
      <w:pPr>
        <w:divId w:val="91967489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55"/>
        <w:gridCol w:w="38"/>
        <w:gridCol w:w="68"/>
        <w:gridCol w:w="1555"/>
        <w:gridCol w:w="37"/>
        <w:gridCol w:w="68"/>
        <w:gridCol w:w="1556"/>
        <w:gridCol w:w="37"/>
        <w:gridCol w:w="69"/>
        <w:gridCol w:w="1556"/>
        <w:gridCol w:w="37"/>
        <w:gridCol w:w="69"/>
        <w:gridCol w:w="1556"/>
        <w:gridCol w:w="37"/>
      </w:tblGrid>
      <w:tr w:rsidR="00000000">
        <w:trPr>
          <w:jc w:val="center"/>
        </w:trPr>
        <w:tc>
          <w:tcPr>
            <w:tcW w:w="50" w:type="pct"/>
            <w:vAlign w:val="center"/>
            <w:hideMark/>
          </w:tcPr>
          <w:p w:rsidR="00000000" w:rsidRDefault="000F0F8D">
            <w:pPr>
              <w:rPr>
                <w:rFonts w:eastAsia="Times New Roman"/>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CONDENSED CONSOLIDATED STATEMENTS OF OPERATIONS</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millions, except per share data)</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2097163968"/>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0"/>
        <w:gridCol w:w="826"/>
        <w:gridCol w:w="36"/>
        <w:gridCol w:w="36"/>
        <w:gridCol w:w="36"/>
        <w:gridCol w:w="36"/>
        <w:gridCol w:w="110"/>
        <w:gridCol w:w="827"/>
        <w:gridCol w:w="36"/>
      </w:tblGrid>
      <w:tr w:rsidR="00000000">
        <w:trPr>
          <w:divId w:val="2097163968"/>
        </w:trPr>
        <w:tc>
          <w:tcPr>
            <w:tcW w:w="50" w:type="pct"/>
            <w:vAlign w:val="center"/>
            <w:hideMark/>
          </w:tcPr>
          <w:p w:rsidR="00000000" w:rsidRDefault="000F0F8D">
            <w:pPr>
              <w:jc w:val="center"/>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2097163968"/>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2097163968"/>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Revenues: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Equipment and services</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6,428 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3,794 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19,109 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11,376 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1,632 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1,099 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5,121 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3,809 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Cost of revenues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3,404 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2,080 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10,325 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6,489 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1,864 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1,520 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5,297 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4,393 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597 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511 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1,721 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1,523 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costs and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FFFF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6,887 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(421)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(436)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Investment and other income, net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Height w:val="300"/>
        </w:trPr>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Basic earnings per share</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0.75 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Diluted earnings per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0.74 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Shares used in per share calculations: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1,129 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1,127 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1,145 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9716396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9716396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549"/>
        <w:gridCol w:w="144"/>
        <w:gridCol w:w="144"/>
        <w:gridCol w:w="1573"/>
        <w:gridCol w:w="144"/>
        <w:gridCol w:w="144"/>
        <w:gridCol w:w="1573"/>
        <w:gridCol w:w="144"/>
        <w:gridCol w:w="144"/>
        <w:gridCol w:w="1573"/>
        <w:gridCol w:w="144"/>
        <w:gridCol w:w="144"/>
        <w:gridCol w:w="1574"/>
        <w:gridCol w:w="144"/>
      </w:tblGrid>
      <w:tr w:rsidR="00000000">
        <w:trPr>
          <w:jc w:val="center"/>
        </w:trPr>
        <w:tc>
          <w:tcPr>
            <w:tcW w:w="50" w:type="pct"/>
            <w:vAlign w:val="center"/>
            <w:hideMark/>
          </w:tcPr>
          <w:p w:rsidR="00000000" w:rsidRDefault="000F0F8D">
            <w:pP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18"/>
                <w:szCs w:val="18"/>
              </w:rPr>
              <w:t>See accompanying notes.</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bl>
    <w:p w:rsidR="00000000" w:rsidRDefault="000F0F8D">
      <w:pPr>
        <w:jc w:val="center"/>
        <w:divId w:val="2056738392"/>
        <w:rPr>
          <w:rFonts w:eastAsia="Times New Roman"/>
        </w:rPr>
      </w:pPr>
      <w:r>
        <w:rPr>
          <w:rFonts w:eastAsia="Times New Roman"/>
          <w:color w:val="000000"/>
          <w:sz w:val="20"/>
          <w:szCs w:val="20"/>
        </w:rPr>
        <w:t>7</w:t>
      </w:r>
    </w:p>
    <w:p w:rsidR="00000000" w:rsidRDefault="000F0F8D">
      <w:pPr>
        <w:rPr>
          <w:rFonts w:eastAsia="Times New Roman"/>
        </w:rPr>
      </w:pPr>
      <w:r>
        <w:rPr>
          <w:rFonts w:eastAsia="Times New Roman"/>
        </w:rPr>
        <w:pict>
          <v:rect id="_x0000_i1030" style="width:0;height:1.5pt" o:hralign="center" o:hrstd="t" o:hr="t" fillcolor="#a0a0a0" stroked="f"/>
        </w:pict>
      </w:r>
    </w:p>
    <w:p w:rsidR="00000000" w:rsidRDefault="000F0F8D">
      <w:pPr>
        <w:divId w:val="59706438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jc w:val="center"/>
        </w:trPr>
        <w:tc>
          <w:tcPr>
            <w:tcW w:w="50" w:type="pct"/>
            <w:vAlign w:val="center"/>
            <w:hideMark/>
          </w:tcPr>
          <w:p w:rsidR="00000000" w:rsidRDefault="000F0F8D">
            <w:pP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CONDENSED CONSOLIDATED STATEMENTS OF COMPREHENSIVE INCOME</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millions)</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1795826296"/>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3953"/>
        <w:gridCol w:w="37"/>
        <w:gridCol w:w="110"/>
        <w:gridCol w:w="863"/>
        <w:gridCol w:w="36"/>
        <w:gridCol w:w="36"/>
        <w:gridCol w:w="36"/>
        <w:gridCol w:w="36"/>
        <w:gridCol w:w="110"/>
        <w:gridCol w:w="826"/>
        <w:gridCol w:w="36"/>
        <w:gridCol w:w="36"/>
        <w:gridCol w:w="36"/>
        <w:gridCol w:w="36"/>
        <w:gridCol w:w="110"/>
        <w:gridCol w:w="827"/>
        <w:gridCol w:w="36"/>
        <w:gridCol w:w="36"/>
        <w:gridCol w:w="36"/>
        <w:gridCol w:w="36"/>
        <w:gridCol w:w="110"/>
        <w:gridCol w:w="828"/>
        <w:gridCol w:w="36"/>
      </w:tblGrid>
      <w:tr w:rsidR="00000000">
        <w:trPr>
          <w:divId w:val="1795826296"/>
        </w:trPr>
        <w:tc>
          <w:tcPr>
            <w:tcW w:w="50" w:type="pct"/>
            <w:vAlign w:val="center"/>
            <w:hideMark/>
          </w:tcPr>
          <w:p w:rsidR="00000000" w:rsidRDefault="000F0F8D">
            <w:pPr>
              <w:jc w:val="center"/>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795826296"/>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795826296"/>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1795826296"/>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divId w:val="1107240763"/>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comprehensive (loss) income,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795826296"/>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xml:space="preserve">Foreign currency translation gains (losses) </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unrealized gains (losses) on available-for-sale debt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unrealized (losses) gains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(losses) gains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Certain reclassifications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other 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95826296"/>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Comprehensive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549"/>
        <w:gridCol w:w="144"/>
        <w:gridCol w:w="144"/>
        <w:gridCol w:w="1573"/>
        <w:gridCol w:w="144"/>
        <w:gridCol w:w="144"/>
        <w:gridCol w:w="1573"/>
        <w:gridCol w:w="144"/>
        <w:gridCol w:w="144"/>
        <w:gridCol w:w="1573"/>
        <w:gridCol w:w="144"/>
        <w:gridCol w:w="144"/>
        <w:gridCol w:w="1574"/>
        <w:gridCol w:w="144"/>
      </w:tblGrid>
      <w:tr w:rsidR="00000000">
        <w:trPr>
          <w:jc w:val="center"/>
        </w:trPr>
        <w:tc>
          <w:tcPr>
            <w:tcW w:w="50" w:type="pct"/>
            <w:vAlign w:val="center"/>
            <w:hideMark/>
          </w:tcPr>
          <w:p w:rsidR="00000000" w:rsidRDefault="000F0F8D">
            <w:pP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color w:val="000000"/>
                <w:sz w:val="18"/>
                <w:szCs w:val="18"/>
              </w:rPr>
              <w:t>See accompanying notes.</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bl>
    <w:p w:rsidR="00000000" w:rsidRDefault="000F0F8D">
      <w:pPr>
        <w:jc w:val="center"/>
        <w:divId w:val="190799442"/>
        <w:rPr>
          <w:rFonts w:eastAsia="Times New Roman"/>
        </w:rPr>
      </w:pPr>
      <w:r>
        <w:rPr>
          <w:rFonts w:eastAsia="Times New Roman"/>
          <w:color w:val="000000"/>
          <w:sz w:val="20"/>
          <w:szCs w:val="20"/>
        </w:rPr>
        <w:t>8</w:t>
      </w:r>
    </w:p>
    <w:p w:rsidR="00000000" w:rsidRDefault="000F0F8D">
      <w:pPr>
        <w:rPr>
          <w:rFonts w:eastAsia="Times New Roman"/>
        </w:rPr>
      </w:pPr>
      <w:r>
        <w:rPr>
          <w:rFonts w:eastAsia="Times New Roman"/>
        </w:rPr>
        <w:pict>
          <v:rect id="_x0000_i1031" style="width:0;height:1.5pt" o:hralign="center" o:hrstd="t" o:hr="t" fillcolor="#a0a0a0" stroked="f"/>
        </w:pict>
      </w:r>
    </w:p>
    <w:p w:rsidR="00000000" w:rsidRDefault="000F0F8D">
      <w:pPr>
        <w:divId w:val="151599553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jc w:val="center"/>
        </w:trPr>
        <w:tc>
          <w:tcPr>
            <w:tcW w:w="50" w:type="pct"/>
            <w:vAlign w:val="center"/>
            <w:hideMark/>
          </w:tcPr>
          <w:p w:rsidR="00000000" w:rsidRDefault="000F0F8D">
            <w:pP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CONDENSED CONSOLIDATED STATEMENTS OF CASH FLOWS</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millions)</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jc w:val="center"/>
        <w:divId w:val="150373732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6099"/>
        <w:gridCol w:w="39"/>
        <w:gridCol w:w="110"/>
        <w:gridCol w:w="870"/>
        <w:gridCol w:w="36"/>
        <w:gridCol w:w="36"/>
        <w:gridCol w:w="36"/>
        <w:gridCol w:w="36"/>
        <w:gridCol w:w="110"/>
        <w:gridCol w:w="841"/>
        <w:gridCol w:w="36"/>
      </w:tblGrid>
      <w:tr w:rsidR="00000000">
        <w:trPr>
          <w:divId w:val="1503737321"/>
          <w:jc w:val="center"/>
        </w:trPr>
        <w:tc>
          <w:tcPr>
            <w:tcW w:w="50" w:type="pct"/>
            <w:vAlign w:val="center"/>
            <w:hideMark/>
          </w:tcPr>
          <w:p w:rsidR="00000000" w:rsidRDefault="000F0F8D">
            <w:pPr>
              <w:ind w:firstLine="720"/>
              <w:jc w:val="center"/>
              <w:rPr>
                <w:rFonts w:eastAsia="Times New Roman"/>
              </w:rPr>
            </w:pPr>
          </w:p>
        </w:tc>
        <w:tc>
          <w:tcPr>
            <w:tcW w:w="370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503737321"/>
          <w:jc w:val="center"/>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1503737321"/>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Operating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xml:space="preserve">Net income </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6,245 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503737321"/>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Income tax provision less than income tax payments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1,238 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899 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marketable securities and other investments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(269)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Changes in assets and liabilities:</w:t>
            </w: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503737321"/>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Inventories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(938)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Trade accounts payable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Payroll, benefits and other liabilities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805 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277 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(123)</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9,459 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(1,458)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Purchases of debt and equity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(5,458)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(4,818)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Proceeds from sales and maturities of debt and equity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4,482 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1,011 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Acquisitions and other investments,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(1,284)</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Proceeds from other investments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items, net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(4,925)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Proceeds from short-term debt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2,185 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2,286 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Repayment of short-term debt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(2,185)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(2,285)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Proceeds from long-term debt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1,989 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(2,000)</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(2,595)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(2,450)</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(2,240)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(2,148)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Payments of tax withholdings related to vesting of share-based awards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(710)</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cash used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Net increase (decrease) in total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Total 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6,707 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11,839 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Total cash and cash equivalents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7,399 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503737321"/>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503737321"/>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jc w:val="center"/>
        <w:divId w:val="1240674424"/>
        <w:rPr>
          <w:rFonts w:eastAsia="Times New Roman"/>
        </w:rPr>
      </w:pPr>
      <w:r>
        <w:rPr>
          <w:rFonts w:eastAsia="Times New Roman"/>
          <w:color w:val="000000"/>
          <w:sz w:val="18"/>
          <w:szCs w:val="18"/>
        </w:rPr>
        <w:t>See accompanying notes.</w:t>
      </w:r>
    </w:p>
    <w:p w:rsidR="00000000" w:rsidRDefault="000F0F8D">
      <w:pPr>
        <w:jc w:val="center"/>
        <w:divId w:val="1868172786"/>
        <w:rPr>
          <w:rFonts w:eastAsia="Times New Roman"/>
        </w:rPr>
      </w:pPr>
      <w:r>
        <w:rPr>
          <w:rFonts w:eastAsia="Times New Roman"/>
          <w:color w:val="000000"/>
          <w:sz w:val="20"/>
          <w:szCs w:val="20"/>
        </w:rPr>
        <w:t>9</w:t>
      </w:r>
    </w:p>
    <w:p w:rsidR="00000000" w:rsidRDefault="000F0F8D">
      <w:pPr>
        <w:rPr>
          <w:rFonts w:eastAsia="Times New Roman"/>
        </w:rPr>
      </w:pPr>
      <w:r>
        <w:rPr>
          <w:rFonts w:eastAsia="Times New Roman"/>
        </w:rPr>
        <w:pict>
          <v:rect id="_x0000_i1032" style="width:0;height:1.5pt" o:hralign="center" o:hrstd="t" o:hr="t" fillcolor="#a0a0a0" stroked="f"/>
        </w:pict>
      </w:r>
    </w:p>
    <w:p w:rsidR="00000000" w:rsidRDefault="000F0F8D">
      <w:pPr>
        <w:divId w:val="17886003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jc w:val="center"/>
        </w:trPr>
        <w:tc>
          <w:tcPr>
            <w:tcW w:w="50" w:type="pct"/>
            <w:vAlign w:val="center"/>
            <w:hideMark/>
          </w:tcPr>
          <w:p w:rsidR="00000000" w:rsidRDefault="000F0F8D">
            <w:pP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CONDENSED CONSOLIDATED STATEMENTS OF STOCKHOLDERS’ EQUITY</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millions, except per share data)</w:t>
            </w:r>
          </w:p>
        </w:tc>
      </w:tr>
      <w:tr w:rsidR="00000000">
        <w:trPr>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jc w:val="center"/>
        <w:divId w:val="605816449"/>
        <w:rPr>
          <w:rFonts w:eastAsia="Times New Roman"/>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953"/>
        <w:gridCol w:w="38"/>
        <w:gridCol w:w="110"/>
        <w:gridCol w:w="863"/>
        <w:gridCol w:w="36"/>
        <w:gridCol w:w="36"/>
        <w:gridCol w:w="36"/>
        <w:gridCol w:w="36"/>
        <w:gridCol w:w="110"/>
        <w:gridCol w:w="826"/>
        <w:gridCol w:w="36"/>
        <w:gridCol w:w="36"/>
        <w:gridCol w:w="36"/>
        <w:gridCol w:w="36"/>
        <w:gridCol w:w="110"/>
        <w:gridCol w:w="826"/>
        <w:gridCol w:w="36"/>
        <w:gridCol w:w="36"/>
        <w:gridCol w:w="36"/>
        <w:gridCol w:w="36"/>
        <w:gridCol w:w="110"/>
        <w:gridCol w:w="828"/>
        <w:gridCol w:w="36"/>
      </w:tblGrid>
      <w:tr w:rsidR="00000000">
        <w:trPr>
          <w:divId w:val="605816449"/>
          <w:jc w:val="center"/>
        </w:trPr>
        <w:tc>
          <w:tcPr>
            <w:tcW w:w="50" w:type="pct"/>
            <w:vAlign w:val="center"/>
            <w:hideMark/>
          </w:tcPr>
          <w:p w:rsidR="00000000" w:rsidRDefault="000F0F8D">
            <w:pPr>
              <w:jc w:val="center"/>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605816449"/>
          <w:jc w:val="center"/>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605816449"/>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divId w:val="1802840393"/>
              <w:rPr>
                <w:rFonts w:eastAsia="Times New Roman"/>
              </w:rPr>
            </w:pPr>
            <w:r>
              <w:rPr>
                <w:rFonts w:eastAsia="Times New Roman"/>
                <w:b/>
                <w:bCs/>
                <w:color w:val="000000"/>
                <w:sz w:val="18"/>
                <w:szCs w:val="18"/>
              </w:rPr>
              <w:t>Total stockholders’ equity, 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Common stock and paid-in capital:</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Common stock issued under employee benefit plans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divId w:val="1602032510"/>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(1,369)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(1,042)</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divId w:val="1211108175"/>
              <w:rPr>
                <w:rFonts w:eastAsia="Times New Roman"/>
              </w:rPr>
            </w:pPr>
            <w:r>
              <w:rPr>
                <w:rFonts w:eastAsia="Times New Roman"/>
                <w:color w:val="000000"/>
                <w:sz w:val="18"/>
                <w:szCs w:val="18"/>
              </w:rPr>
              <w:t>Share-based compensation</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1,309 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967 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divId w:val="1410888137"/>
              <w:rPr>
                <w:rFonts w:eastAsia="Times New Roman"/>
              </w:rPr>
            </w:pPr>
            <w:r>
              <w:rPr>
                <w:rFonts w:eastAsia="Times New Roman"/>
                <w:color w:val="000000"/>
                <w:sz w:val="18"/>
                <w:szCs w:val="18"/>
              </w:rPr>
              <w:t>Tax withholdings related to vesting of share-based payments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(710)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(329)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Stock awards assumed in acquisition</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divId w:val="1130782315"/>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divId w:val="1375277609"/>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7,143 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2,990 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5,284 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4,466 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2,027 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845 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6,245 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(390)</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(1,226)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(1,408)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Dividends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(787)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(754)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(2,310)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(2,215)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divId w:val="994533379"/>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Accumulated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divId w:val="1907760615"/>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281 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comprehensive (loss) income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(97)</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divId w:val="643776540"/>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Total stockholders’ equity, ending balance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0581644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05816449"/>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Dividends per share announced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0.68 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0.65 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jc w:val="center"/>
        <w:divId w:val="137692465"/>
        <w:rPr>
          <w:rFonts w:eastAsia="Times New Roman"/>
        </w:rPr>
      </w:pPr>
      <w:r>
        <w:rPr>
          <w:rFonts w:eastAsia="Times New Roman"/>
          <w:color w:val="000000"/>
          <w:sz w:val="18"/>
          <w:szCs w:val="18"/>
        </w:rPr>
        <w:t>See accompanying notes.</w:t>
      </w:r>
    </w:p>
    <w:p w:rsidR="00000000" w:rsidRDefault="000F0F8D">
      <w:pPr>
        <w:jc w:val="center"/>
        <w:divId w:val="870655780"/>
        <w:rPr>
          <w:rFonts w:eastAsia="Times New Roman"/>
        </w:rPr>
      </w:pPr>
      <w:r>
        <w:rPr>
          <w:rFonts w:eastAsia="Times New Roman"/>
          <w:color w:val="000000"/>
          <w:sz w:val="20"/>
          <w:szCs w:val="20"/>
        </w:rPr>
        <w:t>10</w:t>
      </w:r>
    </w:p>
    <w:p w:rsidR="00000000" w:rsidRDefault="000F0F8D">
      <w:pPr>
        <w:rPr>
          <w:rFonts w:eastAsia="Times New Roman"/>
        </w:rPr>
      </w:pPr>
      <w:r>
        <w:rPr>
          <w:rFonts w:eastAsia="Times New Roman"/>
        </w:rPr>
        <w:pict>
          <v:rect id="_x0000_i1033" style="width:0;height:1.5pt" o:hralign="center" o:hrstd="t" o:hr="t" fillcolor="#a0a0a0" stroked="f"/>
        </w:pict>
      </w:r>
    </w:p>
    <w:p w:rsidR="00000000" w:rsidRDefault="000F0F8D">
      <w:pPr>
        <w:jc w:val="center"/>
        <w:divId w:val="1935355477"/>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935355477"/>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935355477"/>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1935355477"/>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935355477"/>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935355477"/>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430586216"/>
        <w:rPr>
          <w:rFonts w:eastAsia="Times New Roman"/>
        </w:rPr>
      </w:pPr>
    </w:p>
    <w:p w:rsidR="00000000" w:rsidRDefault="000F0F8D">
      <w:pPr>
        <w:divId w:val="1882934649"/>
        <w:rPr>
          <w:rFonts w:eastAsia="Times New Roman"/>
        </w:rPr>
      </w:pPr>
      <w:r>
        <w:rPr>
          <w:rFonts w:eastAsia="Times New Roman"/>
          <w:b/>
          <w:bCs/>
          <w:color w:val="000000"/>
          <w:sz w:val="20"/>
          <w:szCs w:val="20"/>
        </w:rPr>
        <w:t xml:space="preserve">Note 1. </w:t>
      </w:r>
      <w:r>
        <w:rPr>
          <w:rFonts w:eastAsia="Times New Roman"/>
          <w:b/>
          <w:bCs/>
          <w:color w:val="000000"/>
          <w:sz w:val="20"/>
          <w:szCs w:val="20"/>
        </w:rPr>
        <w:t>Basis of Presentation and Significant Accounting Policies Update</w:t>
      </w:r>
    </w:p>
    <w:p w:rsidR="00000000" w:rsidRDefault="000F0F8D">
      <w:pPr>
        <w:ind w:firstLine="360"/>
        <w:divId w:val="957100156"/>
        <w:rPr>
          <w:rFonts w:eastAsia="Times New Roman"/>
        </w:rPr>
      </w:pPr>
      <w:r>
        <w:rPr>
          <w:rFonts w:eastAsia="Times New Roman"/>
          <w:b/>
          <w:bCs/>
          <w:i/>
          <w:iCs/>
          <w:color w:val="000000"/>
          <w:sz w:val="20"/>
          <w:szCs w:val="20"/>
        </w:rPr>
        <w:t xml:space="preserve">Financial Statement Preparation. </w:t>
      </w:r>
      <w:r>
        <w:rPr>
          <w:rFonts w:eastAsia="Times New Roman"/>
          <w:color w:val="000000"/>
          <w:sz w:val="20"/>
          <w:szCs w:val="20"/>
        </w:rPr>
        <w:t xml:space="preserve">These condensed consolidated financial statements have been prepared in accordance with accounting principles generally accepted in the United States of America (GAAP) for interim financial information and the instructions to Rule 10-01 of Regulation S-X. </w:t>
      </w:r>
      <w:r>
        <w:rPr>
          <w:rFonts w:eastAsia="Times New Roman"/>
          <w:color w:val="000000"/>
          <w:sz w:val="20"/>
          <w:szCs w:val="20"/>
        </w:rPr>
        <w:t>Accordingly, they do not include all of the information and notes required by GAAP for complete financial statements. In the opinion of management, the interim financial information includes all normal recurring adjustments necessary for a fair statement o</w:t>
      </w:r>
      <w:r>
        <w:rPr>
          <w:rFonts w:eastAsia="Times New Roman"/>
          <w:color w:val="000000"/>
          <w:sz w:val="20"/>
          <w:szCs w:val="20"/>
        </w:rPr>
        <w:t>f the results for the interim periods. These condensed consolidated financial statements are unaudited and should be read in conjunction with our Annual Report on Form 10-K for our fiscal year ended September 27, 2020. Operating results for interim periods</w:t>
      </w:r>
      <w:r>
        <w:rPr>
          <w:rFonts w:eastAsia="Times New Roman"/>
          <w:color w:val="000000"/>
          <w:sz w:val="20"/>
          <w:szCs w:val="20"/>
        </w:rPr>
        <w:t xml:space="preserve"> are not necessarily indicative of operating results for an entire fiscal year. We operate and report using a 52-53 week fiscal year ending on the last Sunday in September. Each of the three and nine months ended June 27, 2021 and June 28, 2020 included 13</w:t>
      </w:r>
      <w:r>
        <w:rPr>
          <w:rFonts w:eastAsia="Times New Roman"/>
          <w:color w:val="000000"/>
          <w:sz w:val="20"/>
          <w:szCs w:val="20"/>
        </w:rPr>
        <w:t xml:space="preserve"> weeks and 39 weeks, respectively.</w:t>
      </w:r>
    </w:p>
    <w:p w:rsidR="00000000" w:rsidRDefault="000F0F8D">
      <w:pPr>
        <w:ind w:firstLine="360"/>
        <w:divId w:val="142939194"/>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and the disclosure of contingent amounts in our condensed consolidated</w:t>
      </w:r>
      <w:r>
        <w:rPr>
          <w:rFonts w:eastAsia="Times New Roman"/>
          <w:color w:val="000000"/>
          <w:sz w:val="20"/>
          <w:szCs w:val="20"/>
        </w:rPr>
        <w:t xml:space="preserve"> financial statements and the accompanying notes. Actual results could differ from those estimates. Certain prior year amounts have been reclassified to conform to the current year presentation.</w:t>
      </w:r>
    </w:p>
    <w:p w:rsidR="00000000" w:rsidRDefault="000F0F8D">
      <w:pPr>
        <w:ind w:firstLine="360"/>
        <w:divId w:val="2033189922"/>
        <w:rPr>
          <w:rFonts w:eastAsia="Times New Roman"/>
        </w:rPr>
      </w:pPr>
      <w:r>
        <w:rPr>
          <w:rFonts w:eastAsia="Times New Roman"/>
          <w:b/>
          <w:bCs/>
          <w:i/>
          <w:iCs/>
          <w:color w:val="000000"/>
          <w:sz w:val="20"/>
          <w:szCs w:val="20"/>
        </w:rPr>
        <w:t>Recently Adopted Accounting Guidance.</w:t>
      </w:r>
    </w:p>
    <w:p w:rsidR="00000000" w:rsidRDefault="000F0F8D">
      <w:pPr>
        <w:ind w:firstLine="360"/>
        <w:divId w:val="617881628"/>
        <w:rPr>
          <w:rFonts w:eastAsia="Times New Roman"/>
        </w:rPr>
      </w:pPr>
      <w:r>
        <w:rPr>
          <w:rFonts w:eastAsia="Times New Roman"/>
          <w:i/>
          <w:iCs/>
          <w:color w:val="000000"/>
          <w:sz w:val="20"/>
          <w:szCs w:val="20"/>
        </w:rPr>
        <w:t xml:space="preserve">Financial Assets: </w:t>
      </w:r>
      <w:r>
        <w:rPr>
          <w:rFonts w:eastAsia="Times New Roman"/>
          <w:color w:val="000000"/>
          <w:sz w:val="20"/>
          <w:szCs w:val="20"/>
        </w:rPr>
        <w:t>In June 2016, the Financial Accounting Standards Board (FASB) issued new accounting guidance that changed the accounting for recognizing impairments of financial assets. Under the new accounting guidance, credit losses for financial assets held at amortize</w:t>
      </w:r>
      <w:r>
        <w:rPr>
          <w:rFonts w:eastAsia="Times New Roman"/>
          <w:color w:val="000000"/>
          <w:sz w:val="20"/>
          <w:szCs w:val="20"/>
        </w:rPr>
        <w:t>d cost (such as accounts receivable) are estimated based on expected losses rather than the previous incurred loss impairment model. The new accounting guidance also eliminated the concept of other-than-temporary impairment with credit losses related to av</w:t>
      </w:r>
      <w:r>
        <w:rPr>
          <w:rFonts w:eastAsia="Times New Roman"/>
          <w:color w:val="000000"/>
          <w:sz w:val="20"/>
          <w:szCs w:val="20"/>
        </w:rPr>
        <w:t>ailable-for-sale debt securities recorded through an allowance for credit losses rather than as a reduction in the amortized cost basis of the securities. We adopted the new accounting guidance in the first quarter of fiscal 2021 under the modified retrosp</w:t>
      </w:r>
      <w:r>
        <w:rPr>
          <w:rFonts w:eastAsia="Times New Roman"/>
          <w:color w:val="000000"/>
          <w:sz w:val="20"/>
          <w:szCs w:val="20"/>
        </w:rPr>
        <w:t>ective transition method, except for certain available-for-sale debt securities where the prospective transition method was required, and as a result, prior period results have not been restated. The impact upon adoption was not material to our condensed c</w:t>
      </w:r>
      <w:r>
        <w:rPr>
          <w:rFonts w:eastAsia="Times New Roman"/>
          <w:color w:val="000000"/>
          <w:sz w:val="20"/>
          <w:szCs w:val="20"/>
        </w:rPr>
        <w:t>onsolidated financial statements. The future impact of such accounting guidance will largely depend on the future composition and credit quality of our investment portfolio and accounts receivable, as well as future economic conditions.</w:t>
      </w:r>
    </w:p>
    <w:p w:rsidR="00000000" w:rsidRDefault="000F0F8D">
      <w:pPr>
        <w:ind w:firstLine="360"/>
        <w:divId w:val="1550722404"/>
        <w:rPr>
          <w:rFonts w:eastAsia="Times New Roman"/>
        </w:rPr>
      </w:pPr>
      <w:r>
        <w:rPr>
          <w:rFonts w:eastAsia="Times New Roman"/>
          <w:b/>
          <w:bCs/>
          <w:i/>
          <w:iCs/>
          <w:color w:val="000000"/>
          <w:sz w:val="20"/>
          <w:szCs w:val="20"/>
        </w:rPr>
        <w:t>Accounting Policy U</w:t>
      </w:r>
      <w:r>
        <w:rPr>
          <w:rFonts w:eastAsia="Times New Roman"/>
          <w:b/>
          <w:bCs/>
          <w:i/>
          <w:iCs/>
          <w:color w:val="000000"/>
          <w:sz w:val="20"/>
          <w:szCs w:val="20"/>
        </w:rPr>
        <w:t>pdate.</w:t>
      </w:r>
    </w:p>
    <w:p w:rsidR="00000000" w:rsidRDefault="000F0F8D">
      <w:pPr>
        <w:ind w:firstLine="360"/>
        <w:divId w:val="1882590335"/>
        <w:rPr>
          <w:rFonts w:eastAsia="Times New Roman"/>
        </w:rPr>
      </w:pPr>
      <w:r>
        <w:rPr>
          <w:rFonts w:eastAsia="Times New Roman"/>
          <w:i/>
          <w:iCs/>
          <w:color w:val="000000"/>
          <w:sz w:val="20"/>
          <w:szCs w:val="20"/>
        </w:rPr>
        <w:t xml:space="preserve">Marketable Securities: </w:t>
      </w:r>
      <w:r>
        <w:rPr>
          <w:rFonts w:eastAsia="Times New Roman"/>
          <w:color w:val="000000"/>
          <w:sz w:val="20"/>
          <w:szCs w:val="20"/>
        </w:rPr>
        <w:t>As a result of the adoption of the new accounting guidance described above, we revised our accounting policy beginning in fiscal 2021 as follows.</w:t>
      </w:r>
    </w:p>
    <w:p w:rsidR="00000000" w:rsidRDefault="000F0F8D">
      <w:pPr>
        <w:ind w:firstLine="360"/>
        <w:divId w:val="1788888429"/>
        <w:rPr>
          <w:rFonts w:eastAsia="Times New Roman"/>
        </w:rPr>
      </w:pPr>
      <w:r>
        <w:rPr>
          <w:rFonts w:eastAsia="Times New Roman"/>
          <w:color w:val="000000"/>
          <w:sz w:val="20"/>
          <w:szCs w:val="20"/>
        </w:rPr>
        <w:t>Marketable securities include marketable equity securities, available-for-sale d</w:t>
      </w:r>
      <w:r>
        <w:rPr>
          <w:rFonts w:eastAsia="Times New Roman"/>
          <w:color w:val="000000"/>
          <w:sz w:val="20"/>
          <w:szCs w:val="20"/>
        </w:rPr>
        <w:t>ebt securities and, from time-to-time, certain time deposits. We classify marketable securities as current or noncurrent based on the nature of the securities and their availability for use in current operations. Marketable securities are stated at fair va</w:t>
      </w:r>
      <w:r>
        <w:rPr>
          <w:rFonts w:eastAsia="Times New Roman"/>
          <w:color w:val="000000"/>
          <w:sz w:val="20"/>
          <w:szCs w:val="20"/>
        </w:rPr>
        <w:t>lue with all realized and unrealized gains and losses on investments in marketable equity securities and realized gains and losses on available-for-sale debt securities recognized in investment and other income, net. Debt securities are classified as avail</w:t>
      </w:r>
      <w:r>
        <w:rPr>
          <w:rFonts w:eastAsia="Times New Roman"/>
          <w:color w:val="000000"/>
          <w:sz w:val="20"/>
          <w:szCs w:val="20"/>
        </w:rPr>
        <w:t>able for sale or held to maturity at the time of purchase and reevaluated at each balance sheet date. The realized and unrealized gains and losses on marketable securities are determined using the specific identification method.</w:t>
      </w:r>
    </w:p>
    <w:p w:rsidR="00000000" w:rsidRDefault="000F0F8D">
      <w:pPr>
        <w:ind w:firstLine="360"/>
        <w:divId w:val="1963611651"/>
        <w:rPr>
          <w:rFonts w:eastAsia="Times New Roman"/>
        </w:rPr>
      </w:pPr>
      <w:r>
        <w:rPr>
          <w:rFonts w:eastAsia="Times New Roman"/>
          <w:color w:val="000000"/>
          <w:sz w:val="20"/>
          <w:szCs w:val="20"/>
        </w:rPr>
        <w:t>If a debt security has an u</w:t>
      </w:r>
      <w:r>
        <w:rPr>
          <w:rFonts w:eastAsia="Times New Roman"/>
          <w:color w:val="000000"/>
          <w:sz w:val="20"/>
          <w:szCs w:val="20"/>
        </w:rPr>
        <w:t>nrealized loss and we either intend to sell the security or it is more likely than not that we will be required to sell the security before its anticipated recovery, we record an impairment charge to investment and other income, net for the entire amount o</w:t>
      </w:r>
      <w:r>
        <w:rPr>
          <w:rFonts w:eastAsia="Times New Roman"/>
          <w:color w:val="000000"/>
          <w:sz w:val="20"/>
          <w:szCs w:val="20"/>
        </w:rPr>
        <w:t>f the unrealized loss and adjust the amortized cost basis of the security. For the remaining debt securities, if an unrealized loss exists, we separate the impairment into the portion of the loss related to credit factors and the portion of the loss that i</w:t>
      </w:r>
      <w:r>
        <w:rPr>
          <w:rFonts w:eastAsia="Times New Roman"/>
          <w:color w:val="000000"/>
          <w:sz w:val="20"/>
          <w:szCs w:val="20"/>
        </w:rPr>
        <w:t>s not related to credit factors. Unrealized gains or unrealized losses that are not related to credit factors on available-for-sale debt securities are recorded as a component of accumulated other comprehensive income, net of income taxes. Unrealized losse</w:t>
      </w:r>
      <w:r>
        <w:rPr>
          <w:rFonts w:eastAsia="Times New Roman"/>
          <w:color w:val="000000"/>
          <w:sz w:val="20"/>
          <w:szCs w:val="20"/>
        </w:rPr>
        <w:t>s that are related to credit loss factors on available-for-sale debt securities and subsequent adjustments to the credit loss are recorded as an allowance for credit losses, which is included in investment and other income, net. In evaluating whether a cre</w:t>
      </w:r>
      <w:r>
        <w:rPr>
          <w:rFonts w:eastAsia="Times New Roman"/>
          <w:color w:val="000000"/>
          <w:sz w:val="20"/>
          <w:szCs w:val="20"/>
        </w:rPr>
        <w:t>dit loss exists, we consider a variety of factors, including the significance of the decline in value as compared to the cost basis; underlying factors contributing to a decline in the prices of securities in a single asset class; the security’s relative p</w:t>
      </w:r>
      <w:r>
        <w:rPr>
          <w:rFonts w:eastAsia="Times New Roman"/>
          <w:color w:val="000000"/>
          <w:sz w:val="20"/>
          <w:szCs w:val="20"/>
        </w:rPr>
        <w:t>erformance versus its peers, sector or asset class; the market and economy in general; views of external investment managers; news or financial information that has been released specific to the investee; and the outlook for the overall industry in which t</w:t>
      </w:r>
      <w:r>
        <w:rPr>
          <w:rFonts w:eastAsia="Times New Roman"/>
          <w:color w:val="000000"/>
          <w:sz w:val="20"/>
          <w:szCs w:val="20"/>
        </w:rPr>
        <w:t>he investee operates.</w:t>
      </w:r>
    </w:p>
    <w:p w:rsidR="00000000" w:rsidRDefault="000F0F8D">
      <w:pPr>
        <w:jc w:val="center"/>
        <w:divId w:val="1117455188"/>
        <w:rPr>
          <w:rFonts w:eastAsia="Times New Roman"/>
        </w:rPr>
      </w:pPr>
      <w:r>
        <w:rPr>
          <w:rFonts w:eastAsia="Times New Roman"/>
          <w:color w:val="000000"/>
          <w:sz w:val="20"/>
          <w:szCs w:val="20"/>
        </w:rPr>
        <w:t>11</w:t>
      </w:r>
    </w:p>
    <w:p w:rsidR="00000000" w:rsidRDefault="000F0F8D">
      <w:pPr>
        <w:rPr>
          <w:rFonts w:eastAsia="Times New Roman"/>
        </w:rPr>
      </w:pPr>
      <w:r>
        <w:rPr>
          <w:rFonts w:eastAsia="Times New Roman"/>
        </w:rPr>
        <w:pict>
          <v:rect id="_x0000_i1034" style="width:0;height:1.5pt" o:hralign="center" o:hrstd="t" o:hr="t" fillcolor="#a0a0a0" stroked="f"/>
        </w:pict>
      </w:r>
    </w:p>
    <w:p w:rsidR="00000000" w:rsidRDefault="000F0F8D">
      <w:pPr>
        <w:jc w:val="center"/>
        <w:divId w:val="185607419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856074198"/>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8560741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1856074198"/>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8560741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8560741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1450856194"/>
        <w:rPr>
          <w:rFonts w:eastAsia="Times New Roman"/>
        </w:rPr>
      </w:pPr>
      <w:r>
        <w:rPr>
          <w:rFonts w:eastAsia="Times New Roman"/>
          <w:b/>
          <w:bCs/>
          <w:color w:val="000000"/>
          <w:sz w:val="20"/>
          <w:szCs w:val="20"/>
        </w:rPr>
        <w:t xml:space="preserve">Note 2. </w:t>
      </w:r>
      <w:r>
        <w:rPr>
          <w:rFonts w:eastAsia="Times New Roman"/>
          <w:b/>
          <w:bCs/>
          <w:color w:val="000000"/>
          <w:sz w:val="20"/>
          <w:szCs w:val="20"/>
        </w:rPr>
        <w:t>Composition of Certain Financial Statement Items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0"/>
        <w:gridCol w:w="871"/>
        <w:gridCol w:w="36"/>
        <w:gridCol w:w="36"/>
        <w:gridCol w:w="36"/>
        <w:gridCol w:w="36"/>
        <w:gridCol w:w="111"/>
        <w:gridCol w:w="842"/>
        <w:gridCol w:w="36"/>
      </w:tblGrid>
      <w:tr w:rsidR="00000000">
        <w:trPr>
          <w:divId w:val="547958667"/>
        </w:trPr>
        <w:tc>
          <w:tcPr>
            <w:tcW w:w="50" w:type="pct"/>
            <w:vAlign w:val="center"/>
            <w:hideMark/>
          </w:tcPr>
          <w:p w:rsidR="00000000" w:rsidRDefault="000F0F8D">
            <w:pPr>
              <w:rPr>
                <w:rFonts w:eastAsia="Times New Roman"/>
              </w:rPr>
            </w:pPr>
          </w:p>
        </w:tc>
        <w:tc>
          <w:tcPr>
            <w:tcW w:w="370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547958667"/>
        </w:trPr>
        <w:tc>
          <w:tcPr>
            <w:tcW w:w="0" w:type="auto"/>
            <w:gridSpan w:val="3"/>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b/>
                <w:bCs/>
                <w:i/>
                <w:iCs/>
                <w:color w:val="000000"/>
                <w:sz w:val="20"/>
                <w:szCs w:val="20"/>
              </w:rPr>
              <w:t>Inventories (in millions)</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547958667"/>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rPr>
          <w:divId w:val="547958667"/>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Raw materials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547958667"/>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Work-in-process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1,422 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547958667"/>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1,480 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547958667"/>
        </w:trPr>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6136"/>
        <w:gridCol w:w="144"/>
        <w:gridCol w:w="144"/>
        <w:gridCol w:w="908"/>
        <w:gridCol w:w="144"/>
        <w:gridCol w:w="144"/>
        <w:gridCol w:w="144"/>
        <w:gridCol w:w="144"/>
        <w:gridCol w:w="144"/>
        <w:gridCol w:w="908"/>
        <w:gridCol w:w="144"/>
      </w:tblGrid>
      <w:tr w:rsidR="00000000">
        <w:tc>
          <w:tcPr>
            <w:tcW w:w="50" w:type="pct"/>
            <w:vAlign w:val="center"/>
            <w:hideMark/>
          </w:tcPr>
          <w:p w:rsidR="00000000" w:rsidRDefault="000F0F8D">
            <w:pPr>
              <w:rPr>
                <w:rFonts w:eastAsia="Times New Roman"/>
              </w:rPr>
            </w:pPr>
          </w:p>
        </w:tc>
        <w:tc>
          <w:tcPr>
            <w:tcW w:w="3700"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c>
          <w:tcPr>
            <w:tcW w:w="0" w:type="auto"/>
            <w:gridSpan w:val="3"/>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b/>
                <w:bCs/>
                <w:i/>
                <w:iCs/>
                <w:color w:val="000000"/>
                <w:sz w:val="20"/>
                <w:szCs w:val="20"/>
              </w:rPr>
              <w:t>Short-term Debt (in millions)</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Commercial paper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1,545 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ind w:firstLine="360"/>
        <w:divId w:val="795638973"/>
        <w:rPr>
          <w:rFonts w:eastAsia="Times New Roman"/>
        </w:rPr>
      </w:pPr>
      <w:r>
        <w:rPr>
          <w:rFonts w:eastAsia="Times New Roman"/>
          <w:b/>
          <w:bCs/>
          <w:i/>
          <w:iCs/>
          <w:color w:val="000000"/>
          <w:sz w:val="20"/>
          <w:szCs w:val="20"/>
        </w:rPr>
        <w:t xml:space="preserve">Revolving Credit Facility. </w:t>
      </w:r>
      <w:r>
        <w:rPr>
          <w:rFonts w:eastAsia="Times New Roman"/>
          <w:color w:val="000000"/>
          <w:sz w:val="20"/>
          <w:szCs w:val="20"/>
        </w:rPr>
        <w:t>On December </w:t>
      </w:r>
      <w:r>
        <w:rPr>
          <w:rFonts w:eastAsia="Times New Roman"/>
          <w:color w:val="000000"/>
          <w:sz w:val="20"/>
          <w:szCs w:val="20"/>
        </w:rPr>
        <w:t>8, 2020, we entered into a Revolving Credit Facility replacing our prior Amended and Restated Revolving Credit Facility. There were no outstanding borrowings under the Amended and Restated Revolving Credit Facility at the time of termination. The Revolving</w:t>
      </w:r>
      <w:r>
        <w:rPr>
          <w:rFonts w:eastAsia="Times New Roman"/>
          <w:color w:val="000000"/>
          <w:sz w:val="20"/>
          <w:szCs w:val="20"/>
        </w:rPr>
        <w:t xml:space="preserve"> Credit Facility provides for unsecured revolving facility loans, swing line loans and letters of credit in an aggregate amount of up to $4.5 billion, which expires on December 8, 2025. At June 27, 2021, no amounts were outstanding under the Revolving Cred</w:t>
      </w:r>
      <w:r>
        <w:rPr>
          <w:rFonts w:eastAsia="Times New Roman"/>
          <w:color w:val="000000"/>
          <w:sz w:val="20"/>
          <w:szCs w:val="20"/>
        </w:rPr>
        <w:t>it Facility. The Revolving Credit Facility requires that we comply with certain financial covenants, including that we maintain an interest coverage ratio, as defined in the agreement. At June 27, 2021, we were in compliance with the applicable covenants u</w:t>
      </w:r>
      <w:r>
        <w:rPr>
          <w:rFonts w:eastAsia="Times New Roman"/>
          <w:color w:val="000000"/>
          <w:sz w:val="20"/>
          <w:szCs w:val="20"/>
        </w:rPr>
        <w:t xml:space="preserve">nder the Revolving Credit Facility. </w:t>
      </w:r>
    </w:p>
    <w:p w:rsidR="00000000" w:rsidRDefault="000F0F8D">
      <w:pPr>
        <w:ind w:firstLine="360"/>
        <w:divId w:val="236324337"/>
        <w:rPr>
          <w:rFonts w:eastAsia="Times New Roman"/>
        </w:rPr>
      </w:pPr>
      <w:r>
        <w:rPr>
          <w:rFonts w:eastAsia="Times New Roman"/>
          <w:b/>
          <w:bCs/>
          <w:i/>
          <w:iCs/>
          <w:color w:val="000000"/>
          <w:sz w:val="20"/>
          <w:szCs w:val="20"/>
        </w:rPr>
        <w:t xml:space="preserve">Interest Rate Swaps. </w:t>
      </w:r>
      <w:r>
        <w:rPr>
          <w:rFonts w:eastAsia="Times New Roman"/>
          <w:color w:val="000000"/>
          <w:sz w:val="20"/>
          <w:szCs w:val="20"/>
        </w:rPr>
        <w:t>During the nine months ended June </w:t>
      </w:r>
      <w:r>
        <w:rPr>
          <w:rFonts w:eastAsia="Times New Roman"/>
          <w:color w:val="000000"/>
          <w:sz w:val="20"/>
          <w:szCs w:val="20"/>
        </w:rPr>
        <w:t>27, 2021, we entered into forward-starting interest rate swaps to hedge the variability of forecasted interest payments on anticipated debt issuances through 2025. At June 27, 2021, the notional amount of the forward-starting interest rate swaps outstandin</w:t>
      </w:r>
      <w:r>
        <w:rPr>
          <w:rFonts w:eastAsia="Times New Roman"/>
          <w:color w:val="000000"/>
          <w:sz w:val="20"/>
          <w:szCs w:val="20"/>
        </w:rPr>
        <w:t>g, which are denominated in U.S. dollars, was $2.6 billion. The fair values of the forward-starting interest rate swaps recorded in other current liabilities and other noncurrent liabilities were $38 million and $38 million, respectively, at June 27, 2021.</w:t>
      </w:r>
      <w:r>
        <w:rPr>
          <w:rFonts w:eastAsia="Times New Roman"/>
          <w:color w:val="000000"/>
          <w:sz w:val="20"/>
          <w:szCs w:val="20"/>
        </w:rPr>
        <w:t xml:space="preserve"> </w:t>
      </w:r>
    </w:p>
    <w:p w:rsidR="00000000" w:rsidRDefault="000F0F8D">
      <w:pPr>
        <w:ind w:firstLine="360"/>
        <w:divId w:val="1855487753"/>
        <w:rPr>
          <w:rFonts w:eastAsia="Times New Roman"/>
        </w:rPr>
      </w:pPr>
      <w:r>
        <w:rPr>
          <w:rFonts w:eastAsia="Times New Roman"/>
          <w:b/>
          <w:bCs/>
          <w:i/>
          <w:iCs/>
          <w:color w:val="000000"/>
          <w:sz w:val="20"/>
          <w:szCs w:val="20"/>
        </w:rPr>
        <w:t xml:space="preserve">Revenues. </w:t>
      </w:r>
      <w:r>
        <w:rPr>
          <w:rFonts w:eastAsia="Times New Roman"/>
          <w:color w:val="000000"/>
          <w:sz w:val="20"/>
          <w:szCs w:val="20"/>
        </w:rPr>
        <w:t>We disaggregate our revenues by segment (Note 6) and type of products and services (as presented on our condensed consolidated statement of operations), and for our QCT (Qualcomm CDMA Technologies) segment by revenue stream, which is based on i</w:t>
      </w:r>
      <w:r>
        <w:rPr>
          <w:rFonts w:eastAsia="Times New Roman"/>
          <w:color w:val="000000"/>
          <w:sz w:val="20"/>
          <w:szCs w:val="20"/>
        </w:rPr>
        <w:t>ndustry segment and application in which our products are sold (as presented below). In certain cases, the determination of QCT revenues by industry segment and application requires the use of certain assumptions. Substantially all of QCT’s revenues consis</w:t>
      </w:r>
      <w:r>
        <w:rPr>
          <w:rFonts w:eastAsia="Times New Roman"/>
          <w:color w:val="000000"/>
          <w:sz w:val="20"/>
          <w:szCs w:val="20"/>
        </w:rPr>
        <w:t>t of equipment revenues that are recognized at a point in time, and substantially all of QTL’s (Qualcomm Technology Licensing) revenues represent licensing revenues that are recognized over time and are principally from royalties generated through our lice</w:t>
      </w:r>
      <w:r>
        <w:rPr>
          <w:rFonts w:eastAsia="Times New Roman"/>
          <w:color w:val="000000"/>
          <w:sz w:val="20"/>
          <w:szCs w:val="20"/>
        </w:rPr>
        <w:t>nsees’ sales of mobile handsets. QCT revenue streams were as follows (in millions):</w:t>
      </w:r>
    </w:p>
    <w:p w:rsidR="00000000" w:rsidRDefault="000F0F8D">
      <w:pPr>
        <w:jc w:val="center"/>
        <w:divId w:val="407577877"/>
        <w:rPr>
          <w:rFonts w:eastAsia="Times New Roman"/>
        </w:rPr>
      </w:pPr>
      <w:r>
        <w:rPr>
          <w:rFonts w:eastAsia="Times New Roman"/>
          <w:color w:val="000000"/>
          <w:sz w:val="20"/>
          <w:szCs w:val="20"/>
        </w:rPr>
        <w:t>12</w:t>
      </w:r>
    </w:p>
    <w:p w:rsidR="00000000" w:rsidRDefault="000F0F8D">
      <w:pPr>
        <w:rPr>
          <w:rFonts w:eastAsia="Times New Roman"/>
        </w:rPr>
      </w:pPr>
      <w:r>
        <w:rPr>
          <w:rFonts w:eastAsia="Times New Roman"/>
        </w:rPr>
        <w:pict>
          <v:rect id="_x0000_i1035" style="width:0;height:1.5pt" o:hralign="center" o:hrstd="t" o:hr="t" fillcolor="#a0a0a0" stroked="f"/>
        </w:pict>
      </w:r>
    </w:p>
    <w:p w:rsidR="00000000" w:rsidRDefault="000F0F8D">
      <w:pPr>
        <w:jc w:val="center"/>
        <w:divId w:val="197836652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978366522"/>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97836652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1978366522"/>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97836652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97836652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999"/>
        <w:gridCol w:w="144"/>
        <w:gridCol w:w="480"/>
        <w:gridCol w:w="1440"/>
        <w:gridCol w:w="1440"/>
        <w:gridCol w:w="1440"/>
        <w:gridCol w:w="1440"/>
        <w:gridCol w:w="1440"/>
        <w:gridCol w:w="1440"/>
        <w:gridCol w:w="1440"/>
        <w:gridCol w:w="144"/>
        <w:gridCol w:w="909"/>
        <w:gridCol w:w="144"/>
        <w:gridCol w:w="144"/>
        <w:gridCol w:w="144"/>
        <w:gridCol w:w="144"/>
        <w:gridCol w:w="144"/>
        <w:gridCol w:w="909"/>
        <w:gridCol w:w="144"/>
        <w:gridCol w:w="144"/>
        <w:gridCol w:w="144"/>
        <w:gridCol w:w="144"/>
        <w:gridCol w:w="144"/>
        <w:gridCol w:w="909"/>
        <w:gridCol w:w="144"/>
        <w:gridCol w:w="144"/>
        <w:gridCol w:w="144"/>
        <w:gridCol w:w="144"/>
        <w:gridCol w:w="144"/>
        <w:gridCol w:w="909"/>
        <w:gridCol w:w="144"/>
      </w:tblGrid>
      <w:tr w:rsidR="00000000">
        <w:tc>
          <w:tcPr>
            <w:tcW w:w="50" w:type="pct"/>
            <w:vAlign w:val="center"/>
            <w:hideMark/>
          </w:tcPr>
          <w:p w:rsidR="00000000" w:rsidRDefault="000F0F8D">
            <w:pPr>
              <w:jc w:val="center"/>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c>
          <w:tcPr>
            <w:tcW w:w="0" w:type="auto"/>
            <w:gridSpan w:val="3"/>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Handsets (1)</w:t>
            </w:r>
          </w:p>
        </w:tc>
        <w:tc>
          <w:tcPr>
            <w:tcW w:w="0" w:type="auto"/>
            <w:vAlign w:val="center"/>
            <w:hideMark/>
          </w:tcPr>
          <w:p w:rsidR="00000000" w:rsidRDefault="000F0F8D">
            <w:pPr>
              <w:spacing w:after="100"/>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c>
          <w:tcPr>
            <w:tcW w:w="0" w:type="auto"/>
            <w:gridSpan w:val="3"/>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xml:space="preserve">RFFE (2) </w:t>
            </w:r>
          </w:p>
        </w:tc>
        <w:tc>
          <w:tcPr>
            <w:tcW w:w="0" w:type="auto"/>
            <w:vAlign w:val="center"/>
            <w:hideMark/>
          </w:tcPr>
          <w:p w:rsidR="00000000" w:rsidRDefault="000F0F8D">
            <w:pPr>
              <w:spacing w:after="100"/>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957 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2,921 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1,509 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Automotive (3)</w:t>
            </w:r>
          </w:p>
        </w:tc>
        <w:tc>
          <w:tcPr>
            <w:tcW w:w="0" w:type="auto"/>
            <w:vAlign w:val="center"/>
            <w:hideMark/>
          </w:tcPr>
          <w:p w:rsidR="00000000" w:rsidRDefault="000F0F8D">
            <w:pPr>
              <w:spacing w:after="100"/>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705 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IoT (internet of things) (4)</w:t>
            </w:r>
          </w:p>
        </w:tc>
        <w:tc>
          <w:tcPr>
            <w:tcW w:w="0" w:type="auto"/>
            <w:vAlign w:val="center"/>
            <w:hideMark/>
          </w:tcPr>
          <w:p w:rsidR="00000000" w:rsidRDefault="000F0F8D">
            <w:pPr>
              <w:spacing w:after="100"/>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1,399 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765 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3,517 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2,100 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QCT revenues</w:t>
            </w:r>
          </w:p>
        </w:tc>
        <w:tc>
          <w:tcPr>
            <w:tcW w:w="0" w:type="auto"/>
            <w:vAlign w:val="center"/>
            <w:hideMark/>
          </w:tcPr>
          <w:p w:rsidR="00000000" w:rsidRDefault="000F0F8D">
            <w:pPr>
              <w:spacing w:after="100"/>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803812537"/>
        <w:rPr>
          <w:rFonts w:eastAsia="Times New Roman"/>
        </w:rPr>
      </w:pPr>
      <w:r>
        <w:rPr>
          <w:rFonts w:eastAsia="Times New Roman"/>
          <w:color w:val="000000"/>
          <w:sz w:val="18"/>
          <w:szCs w:val="18"/>
        </w:rPr>
        <w:t>(1) Includes revenues from products sold for use in mobi</w:t>
      </w:r>
      <w:r>
        <w:rPr>
          <w:rFonts w:eastAsia="Times New Roman"/>
          <w:color w:val="000000"/>
          <w:sz w:val="18"/>
          <w:szCs w:val="18"/>
        </w:rPr>
        <w:t>le handsets, excluding RFFE (radio frequency front-end) components.</w:t>
      </w:r>
    </w:p>
    <w:p w:rsidR="00000000" w:rsidRDefault="000F0F8D">
      <w:pPr>
        <w:divId w:val="685402045"/>
        <w:rPr>
          <w:rFonts w:eastAsia="Times New Roman"/>
        </w:rPr>
      </w:pPr>
      <w:r>
        <w:rPr>
          <w:rFonts w:eastAsia="Times New Roman"/>
          <w:color w:val="000000"/>
          <w:sz w:val="18"/>
          <w:szCs w:val="18"/>
        </w:rPr>
        <w:t>(2) Includes all revenues from sales of 4G, 5G sub-6 and 5G millimeter wave RFFE products (a substantial portion of which are sold for use in handsets) and excludes radio frequency transce</w:t>
      </w:r>
      <w:r>
        <w:rPr>
          <w:rFonts w:eastAsia="Times New Roman"/>
          <w:color w:val="000000"/>
          <w:sz w:val="18"/>
          <w:szCs w:val="18"/>
        </w:rPr>
        <w:t xml:space="preserve">iver components. </w:t>
      </w:r>
    </w:p>
    <w:p w:rsidR="00000000" w:rsidRDefault="000F0F8D">
      <w:pPr>
        <w:divId w:val="1675840465"/>
        <w:rPr>
          <w:rFonts w:eastAsia="Times New Roman"/>
        </w:rPr>
      </w:pPr>
      <w:r>
        <w:rPr>
          <w:rFonts w:eastAsia="Times New Roman"/>
          <w:color w:val="000000"/>
          <w:sz w:val="18"/>
          <w:szCs w:val="18"/>
        </w:rPr>
        <w:t xml:space="preserve">(3) Includes revenues from products sold for use in automobiles, including telematics, connectivity and infotainment (also known as digital cockpit). </w:t>
      </w:r>
    </w:p>
    <w:p w:rsidR="00000000" w:rsidRDefault="000F0F8D">
      <w:pPr>
        <w:divId w:val="990208275"/>
        <w:rPr>
          <w:rFonts w:eastAsia="Times New Roman"/>
        </w:rPr>
      </w:pPr>
      <w:r>
        <w:rPr>
          <w:rFonts w:eastAsia="Times New Roman"/>
          <w:color w:val="000000"/>
          <w:sz w:val="18"/>
          <w:szCs w:val="18"/>
        </w:rPr>
        <w:t>(4) Primarily includes products sold for use in the following industry segments and app</w:t>
      </w:r>
      <w:r>
        <w:rPr>
          <w:rFonts w:eastAsia="Times New Roman"/>
          <w:color w:val="000000"/>
          <w:sz w:val="18"/>
          <w:szCs w:val="18"/>
        </w:rPr>
        <w:t>lications: consumer (including computing, voice and music and XR), industrial (including handhelds, retail, transportation and logistics, and utilities) and edge networking (including mobile broadband and wireless access points).</w:t>
      </w:r>
    </w:p>
    <w:p w:rsidR="00000000" w:rsidRDefault="000F0F8D">
      <w:pPr>
        <w:ind w:firstLine="360"/>
        <w:divId w:val="667364353"/>
        <w:rPr>
          <w:rFonts w:eastAsia="Times New Roman"/>
        </w:rPr>
      </w:pPr>
      <w:r>
        <w:rPr>
          <w:rFonts w:eastAsia="Times New Roman"/>
          <w:color w:val="000000"/>
          <w:sz w:val="20"/>
          <w:szCs w:val="20"/>
        </w:rPr>
        <w:t>Revenues recognized from p</w:t>
      </w:r>
      <w:r>
        <w:rPr>
          <w:rFonts w:eastAsia="Times New Roman"/>
          <w:color w:val="000000"/>
          <w:sz w:val="20"/>
          <w:szCs w:val="20"/>
        </w:rPr>
        <w:t>erformance obligations satisfied (or partially satisfied) in previous periods were $170 million and $258 million for the three and nine months ended June 27, 2021, respectively, and primarily related to certain QCT customer incentives, the release of a var</w:t>
      </w:r>
      <w:r>
        <w:rPr>
          <w:rFonts w:eastAsia="Times New Roman"/>
          <w:color w:val="000000"/>
          <w:sz w:val="20"/>
          <w:szCs w:val="20"/>
        </w:rPr>
        <w:t xml:space="preserve">iable constraint against revenues not previously allocated to our segment results (Note 6), and QTL royalty revenues recognized related to devices sold in prior periods (including adjustments to prior period royalty estimates, which includes the impact of </w:t>
      </w:r>
      <w:r>
        <w:rPr>
          <w:rFonts w:eastAsia="Times New Roman"/>
          <w:color w:val="000000"/>
          <w:sz w:val="20"/>
          <w:szCs w:val="20"/>
        </w:rPr>
        <w:t>the reporting by our licensees of actual royalties due). Revenues recognized from performance obligations satisfied (or partially satisfied) in previous periods were $141 million and $258 million for the three and nine months ended June 28, 2020, respectiv</w:t>
      </w:r>
      <w:r>
        <w:rPr>
          <w:rFonts w:eastAsia="Times New Roman"/>
          <w:color w:val="000000"/>
          <w:sz w:val="20"/>
          <w:szCs w:val="20"/>
        </w:rPr>
        <w:t>ely, and primarily related to QTL royalty revenues recognized related to devices sold in prior periods (including adjustments to prior period royalty estimates, which includes the impact of the reporting by our licensees of actual royalties due) and certai</w:t>
      </w:r>
      <w:r>
        <w:rPr>
          <w:rFonts w:eastAsia="Times New Roman"/>
          <w:color w:val="000000"/>
          <w:sz w:val="20"/>
          <w:szCs w:val="20"/>
        </w:rPr>
        <w:t>n QCT customer incentives.</w:t>
      </w:r>
    </w:p>
    <w:p w:rsidR="00000000" w:rsidRDefault="000F0F8D">
      <w:pPr>
        <w:ind w:firstLine="360"/>
        <w:divId w:val="928200991"/>
        <w:rPr>
          <w:rFonts w:eastAsia="Times New Roman"/>
        </w:rPr>
      </w:pPr>
      <w:r>
        <w:rPr>
          <w:rFonts w:eastAsia="Times New Roman"/>
          <w:color w:val="000000"/>
          <w:sz w:val="20"/>
          <w:szCs w:val="20"/>
        </w:rPr>
        <w:t>Unearned revenues (which are considered contract liabilities) consist primarily of license fees for intellectual property with continuing performance obligations. In the nine months ended June 27, 2021 and June 28, 2020, we recog</w:t>
      </w:r>
      <w:r>
        <w:rPr>
          <w:rFonts w:eastAsia="Times New Roman"/>
          <w:color w:val="000000"/>
          <w:sz w:val="20"/>
          <w:szCs w:val="20"/>
        </w:rPr>
        <w:t xml:space="preserve">nized revenues of $437 million and $424 million, respectively, that were recorded as unearned revenues at September 27, 2020 and September 29, 2019, respectively. </w:t>
      </w:r>
    </w:p>
    <w:p w:rsidR="00000000" w:rsidRDefault="000F0F8D">
      <w:pPr>
        <w:ind w:firstLine="360"/>
        <w:divId w:val="1742093816"/>
        <w:rPr>
          <w:rFonts w:eastAsia="Times New Roman"/>
        </w:rPr>
      </w:pPr>
      <w:r>
        <w:rPr>
          <w:rFonts w:eastAsia="Times New Roman"/>
          <w:color w:val="000000"/>
          <w:sz w:val="20"/>
          <w:szCs w:val="20"/>
        </w:rPr>
        <w:t>Remaining performance obligations, substantially all of which are included in unearned reven</w:t>
      </w:r>
      <w:r>
        <w:rPr>
          <w:rFonts w:eastAsia="Times New Roman"/>
          <w:color w:val="000000"/>
          <w:sz w:val="20"/>
          <w:szCs w:val="20"/>
        </w:rPr>
        <w:t>ues, represent the aggregate amount of the transaction price of certain customer contracts yet to be recognized as revenues as of the end of the reporting period and exclude revenues related to (a) contracts that have an original expected duration of one y</w:t>
      </w:r>
      <w:r>
        <w:rPr>
          <w:rFonts w:eastAsia="Times New Roman"/>
          <w:color w:val="000000"/>
          <w:sz w:val="20"/>
          <w:szCs w:val="20"/>
        </w:rPr>
        <w:t>ear or less and (b) sales-based royalties (i.e., future royalty revenues) pursuant to our license agreements. Our remaining performance obligations are primarily comprised of certain customer contracts for which QTL received license fees upfront. At June 2</w:t>
      </w:r>
      <w:r>
        <w:rPr>
          <w:rFonts w:eastAsia="Times New Roman"/>
          <w:color w:val="000000"/>
          <w:sz w:val="20"/>
          <w:szCs w:val="20"/>
        </w:rPr>
        <w:t>7, 2021, we had $1.1 billion of remaining performance obligations, of which $143 million, $567 million, $274 million, $88 million and $31 million was expected to be recognized as revenues for the remainder of fiscal 2021 and each of the subsequent four yea</w:t>
      </w:r>
      <w:r>
        <w:rPr>
          <w:rFonts w:eastAsia="Times New Roman"/>
          <w:color w:val="000000"/>
          <w:sz w:val="20"/>
          <w:szCs w:val="20"/>
        </w:rPr>
        <w:t>rs from fiscal 2022 through 2025, respectively, and $2 million thereafter.</w:t>
      </w:r>
    </w:p>
    <w:p w:rsidR="00000000" w:rsidRDefault="000F0F8D">
      <w:pPr>
        <w:ind w:firstLine="360"/>
        <w:divId w:val="1737899800"/>
        <w:rPr>
          <w:rFonts w:eastAsia="Times New Roman"/>
        </w:rPr>
      </w:pPr>
      <w:r>
        <w:rPr>
          <w:rFonts w:eastAsia="Times New Roman"/>
          <w:b/>
          <w:bCs/>
          <w:i/>
          <w:iCs/>
          <w:color w:val="000000"/>
          <w:sz w:val="20"/>
          <w:szCs w:val="20"/>
        </w:rPr>
        <w:t>Concentrations.</w:t>
      </w:r>
      <w:r>
        <w:rPr>
          <w:rFonts w:eastAsia="Times New Roman"/>
          <w:color w:val="000000"/>
          <w:sz w:val="20"/>
          <w:szCs w:val="20"/>
        </w:rPr>
        <w:t xml:space="preserve"> A significant portion of our revenues are concentrated with a small number of customers/licensees of our QCT and QTL segments. The comparability of customer/licensee</w:t>
      </w:r>
      <w:r>
        <w:rPr>
          <w:rFonts w:eastAsia="Times New Roman"/>
          <w:color w:val="000000"/>
          <w:sz w:val="20"/>
          <w:szCs w:val="20"/>
        </w:rPr>
        <w:t xml:space="preserve"> concentrations for the interim periods presented are impacted by the timing of customer/licensees device launches and/or innovation cycles and other seasonal trends, among other fluctuations in demand. Revenues from each customer/licensee that were 10% or</w:t>
      </w:r>
      <w:r>
        <w:rPr>
          <w:rFonts w:eastAsia="Times New Roman"/>
          <w:color w:val="000000"/>
          <w:sz w:val="20"/>
          <w:szCs w:val="20"/>
        </w:rPr>
        <w:t xml:space="preserve"> greater of total revenues were as follows:</w:t>
      </w:r>
    </w:p>
    <w:p w:rsidR="00000000" w:rsidRDefault="000F0F8D">
      <w:pPr>
        <w:jc w:val="center"/>
        <w:divId w:val="217784404"/>
        <w:rPr>
          <w:rFonts w:eastAsia="Times New Roman"/>
        </w:rPr>
      </w:pPr>
      <w:r>
        <w:rPr>
          <w:rFonts w:eastAsia="Times New Roman"/>
          <w:color w:val="000000"/>
          <w:sz w:val="20"/>
          <w:szCs w:val="20"/>
        </w:rPr>
        <w:t>13</w:t>
      </w:r>
    </w:p>
    <w:p w:rsidR="00000000" w:rsidRDefault="000F0F8D">
      <w:pPr>
        <w:rPr>
          <w:rFonts w:eastAsia="Times New Roman"/>
        </w:rPr>
      </w:pPr>
      <w:r>
        <w:rPr>
          <w:rFonts w:eastAsia="Times New Roman"/>
        </w:rPr>
        <w:pict>
          <v:rect id="_x0000_i1036" style="width:0;height:1.5pt" o:hralign="center" o:hrstd="t" o:hr="t" fillcolor="#a0a0a0" stroked="f"/>
        </w:pict>
      </w:r>
    </w:p>
    <w:p w:rsidR="00000000" w:rsidRDefault="000F0F8D">
      <w:pPr>
        <w:jc w:val="center"/>
        <w:divId w:val="96261766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962617662"/>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96261766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962617662"/>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96261766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96261766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999"/>
        <w:gridCol w:w="144"/>
        <w:gridCol w:w="144"/>
        <w:gridCol w:w="909"/>
        <w:gridCol w:w="144"/>
        <w:gridCol w:w="144"/>
        <w:gridCol w:w="144"/>
        <w:gridCol w:w="144"/>
        <w:gridCol w:w="144"/>
        <w:gridCol w:w="909"/>
        <w:gridCol w:w="144"/>
        <w:gridCol w:w="144"/>
        <w:gridCol w:w="144"/>
        <w:gridCol w:w="144"/>
        <w:gridCol w:w="144"/>
        <w:gridCol w:w="909"/>
        <w:gridCol w:w="144"/>
        <w:gridCol w:w="144"/>
        <w:gridCol w:w="144"/>
        <w:gridCol w:w="144"/>
        <w:gridCol w:w="144"/>
        <w:gridCol w:w="909"/>
        <w:gridCol w:w="144"/>
        <w:gridCol w:w="480"/>
        <w:gridCol w:w="1440"/>
        <w:gridCol w:w="1440"/>
        <w:gridCol w:w="1440"/>
        <w:gridCol w:w="1440"/>
        <w:gridCol w:w="1440"/>
        <w:gridCol w:w="1440"/>
        <w:gridCol w:w="1440"/>
        <w:gridCol w:w="1440"/>
        <w:gridCol w:w="1440"/>
      </w:tblGrid>
      <w:tr w:rsidR="00000000">
        <w:tc>
          <w:tcPr>
            <w:tcW w:w="50" w:type="pct"/>
            <w:vAlign w:val="center"/>
            <w:hideMark/>
          </w:tcPr>
          <w:p w:rsidR="00000000" w:rsidRDefault="000F0F8D">
            <w:pPr>
              <w:jc w:val="center"/>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c>
          <w:tcPr>
            <w:tcW w:w="0" w:type="auto"/>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Customer/licensee (v)</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0F0F8D">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0F0F8D">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0F0F8D">
            <w:pPr>
              <w:spacing w:after="100"/>
              <w:jc w:val="right"/>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Customer/licensee (w)</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vAlign w:val="center"/>
            <w:hideMark/>
          </w:tcPr>
          <w:p w:rsidR="00000000" w:rsidRDefault="000F0F8D">
            <w:pPr>
              <w:spacing w:after="100"/>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Customer/licensee (x)</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Customer/licensee (y)</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Customer/licensee (z)</w:t>
            </w:r>
          </w:p>
        </w:tc>
        <w:tc>
          <w:tcPr>
            <w:tcW w:w="0" w:type="auto"/>
            <w:gridSpan w:val="3"/>
            <w:shd w:val="clear" w:color="auto" w:fill="CCEEFF"/>
            <w:tcMar>
              <w:top w:w="30" w:type="dxa"/>
              <w:left w:w="20" w:type="dxa"/>
              <w:bottom w:w="30" w:type="dxa"/>
              <w:right w:w="260" w:type="dxa"/>
            </w:tcMar>
            <w:vAlign w:val="bottom"/>
            <w:hideMark/>
          </w:tcPr>
          <w:p w:rsidR="00000000" w:rsidRDefault="000F0F8D">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0F0F8D">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0F0F8D">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0F0F8D">
            <w:pPr>
              <w:spacing w:after="100"/>
              <w:jc w:val="right"/>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bl>
    <w:p w:rsidR="00000000" w:rsidRDefault="000F0F8D">
      <w:pPr>
        <w:ind w:firstLine="360"/>
        <w:divId w:val="1710181021"/>
        <w:rPr>
          <w:rFonts w:eastAsia="Times New Roman"/>
        </w:rPr>
      </w:pPr>
      <w:r>
        <w:rPr>
          <w:rFonts w:eastAsia="Times New Roman"/>
          <w:color w:val="000000"/>
          <w:sz w:val="18"/>
          <w:szCs w:val="18"/>
        </w:rPr>
        <w:t>* Less than 10%</w:t>
      </w:r>
    </w:p>
    <w:p w:rsidR="00000000" w:rsidRDefault="000F0F8D">
      <w:pPr>
        <w:ind w:firstLine="360"/>
        <w:divId w:val="208886627"/>
        <w:rPr>
          <w:rFonts w:eastAsia="Times New Roman"/>
        </w:rPr>
      </w:pPr>
      <w:r>
        <w:rPr>
          <w:rFonts w:eastAsia="Times New Roman"/>
          <w:color w:val="000000"/>
          <w:sz w:val="20"/>
          <w:szCs w:val="20"/>
        </w:rPr>
        <w:t>Accounts receivable at September 27, 2020 included approximately $1.3 billion, excluding the impact of foreign withholding taxes, from Huawei related to the remaining amounts due under the previously disclosed settlement agreement and estimated royalties f</w:t>
      </w:r>
      <w:r>
        <w:rPr>
          <w:rFonts w:eastAsia="Times New Roman"/>
          <w:color w:val="000000"/>
          <w:sz w:val="20"/>
          <w:szCs w:val="20"/>
        </w:rPr>
        <w:t>or sales made in the September 2020 quarter. Since September 27, 2020 and subsequent to June 27, 2021, Huawei paid all such amounts, including the final installment under the settlement agreement in accordance with the agreed upon payment schedule.</w:t>
      </w:r>
    </w:p>
    <w:p w:rsidR="00000000" w:rsidRDefault="000F0F8D">
      <w:pPr>
        <w:ind w:firstLine="360"/>
        <w:divId w:val="358747616"/>
        <w:rPr>
          <w:rFonts w:eastAsia="Times New Roman"/>
        </w:rPr>
      </w:pPr>
      <w:r>
        <w:rPr>
          <w:rFonts w:eastAsia="Times New Roman"/>
          <w:b/>
          <w:bCs/>
          <w:i/>
          <w:iCs/>
          <w:color w:val="000000"/>
          <w:sz w:val="20"/>
          <w:szCs w:val="20"/>
        </w:rPr>
        <w:t>Other I</w:t>
      </w:r>
      <w:r>
        <w:rPr>
          <w:rFonts w:eastAsia="Times New Roman"/>
          <w:b/>
          <w:bCs/>
          <w:i/>
          <w:iCs/>
          <w:color w:val="000000"/>
          <w:sz w:val="20"/>
          <w:szCs w:val="20"/>
        </w:rPr>
        <w:t xml:space="preserve">ncome, Costs and Expenses. </w:t>
      </w:r>
      <w:r>
        <w:rPr>
          <w:rFonts w:eastAsia="Times New Roman"/>
          <w:color w:val="000000"/>
          <w:sz w:val="20"/>
          <w:szCs w:val="20"/>
        </w:rPr>
        <w:t xml:space="preserve">Other income in the nine months ended June 28, 2020 consisted of a $23 million gain related to a favorable legal settlement. </w:t>
      </w:r>
    </w:p>
    <w:tbl>
      <w:tblPr>
        <w:tblW w:w="4985" w:type="pct"/>
        <w:tblCellMar>
          <w:top w:w="15" w:type="dxa"/>
          <w:left w:w="15" w:type="dxa"/>
          <w:bottom w:w="15" w:type="dxa"/>
          <w:right w:w="15" w:type="dxa"/>
        </w:tblCellMar>
        <w:tblLook w:val="04A0" w:firstRow="1" w:lastRow="0" w:firstColumn="1" w:lastColumn="0" w:noHBand="0" w:noVBand="1"/>
      </w:tblPr>
      <w:tblGrid>
        <w:gridCol w:w="40"/>
        <w:gridCol w:w="3952"/>
        <w:gridCol w:w="40"/>
        <w:gridCol w:w="110"/>
        <w:gridCol w:w="863"/>
        <w:gridCol w:w="36"/>
        <w:gridCol w:w="36"/>
        <w:gridCol w:w="36"/>
        <w:gridCol w:w="36"/>
        <w:gridCol w:w="110"/>
        <w:gridCol w:w="826"/>
        <w:gridCol w:w="36"/>
        <w:gridCol w:w="36"/>
        <w:gridCol w:w="36"/>
        <w:gridCol w:w="36"/>
        <w:gridCol w:w="110"/>
        <w:gridCol w:w="826"/>
        <w:gridCol w:w="36"/>
        <w:gridCol w:w="36"/>
        <w:gridCol w:w="36"/>
        <w:gridCol w:w="36"/>
        <w:gridCol w:w="110"/>
        <w:gridCol w:w="826"/>
        <w:gridCol w:w="36"/>
      </w:tblGrid>
      <w:tr w:rsidR="00000000">
        <w:trPr>
          <w:divId w:val="1353915328"/>
        </w:trPr>
        <w:tc>
          <w:tcPr>
            <w:tcW w:w="50" w:type="pct"/>
            <w:vAlign w:val="center"/>
            <w:hideMark/>
          </w:tcPr>
          <w:p w:rsidR="00000000" w:rsidRDefault="000F0F8D">
            <w:pPr>
              <w:ind w:firstLine="360"/>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353915328"/>
        </w:trPr>
        <w:tc>
          <w:tcPr>
            <w:tcW w:w="0" w:type="auto"/>
            <w:gridSpan w:val="6"/>
            <w:tcMar>
              <w:top w:w="30" w:type="dxa"/>
              <w:left w:w="20" w:type="dxa"/>
              <w:bottom w:w="30" w:type="dxa"/>
              <w:right w:w="20" w:type="dxa"/>
            </w:tcMar>
            <w:vAlign w:val="bottom"/>
            <w:hideMark/>
          </w:tcPr>
          <w:p w:rsidR="00000000" w:rsidRDefault="000F0F8D">
            <w:pPr>
              <w:spacing w:after="100"/>
              <w:divId w:val="1543134713"/>
              <w:rPr>
                <w:rFonts w:eastAsia="Times New Roman"/>
              </w:rPr>
            </w:pPr>
            <w:r>
              <w:rPr>
                <w:rFonts w:eastAsia="Times New Roman"/>
                <w:b/>
                <w:bCs/>
                <w:i/>
                <w:iCs/>
                <w:color w:val="000000"/>
                <w:sz w:val="20"/>
                <w:szCs w:val="20"/>
              </w:rPr>
              <w:t>Investment and Other Income, Net (in millions)</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353915328"/>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353915328"/>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135391532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Interest and dividend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35391532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deferred compensation plan assets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xml:space="preserve">Net gains (losses) on derivative investments </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shd w:val="clear" w:color="auto" w:fill="CCEEFF"/>
            <w:tcMar>
              <w:top w:w="30" w:type="dxa"/>
              <w:left w:w="20" w:type="dxa"/>
              <w:bottom w:w="30" w:type="dxa"/>
              <w:right w:w="20" w:type="dxa"/>
            </w:tcMar>
            <w:vAlign w:val="center"/>
            <w:hideMark/>
          </w:tcPr>
          <w:p w:rsidR="00000000" w:rsidRDefault="000F0F8D">
            <w:pPr>
              <w:spacing w:after="100"/>
              <w:rPr>
                <w:rFonts w:eastAsia="Times New Roman"/>
              </w:rPr>
            </w:pPr>
            <w:r>
              <w:rPr>
                <w:rFonts w:eastAsia="Times New Roman"/>
                <w:color w:val="000000"/>
                <w:sz w:val="18"/>
                <w:szCs w:val="18"/>
              </w:rPr>
              <w:t>Equity in net earnings (losses) of investees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losses on foreign currency transactions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35391532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353915328"/>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809202457"/>
        <w:rPr>
          <w:rFonts w:eastAsia="Times New Roman"/>
        </w:rPr>
      </w:pPr>
      <w:r>
        <w:rPr>
          <w:rFonts w:eastAsia="Times New Roman"/>
          <w:b/>
          <w:bCs/>
          <w:color w:val="000000"/>
          <w:sz w:val="20"/>
          <w:szCs w:val="20"/>
        </w:rPr>
        <w:t>Note 3. Income Taxes</w:t>
      </w:r>
    </w:p>
    <w:p w:rsidR="00000000" w:rsidRDefault="000F0F8D">
      <w:pPr>
        <w:ind w:firstLine="360"/>
        <w:divId w:val="640116421"/>
        <w:rPr>
          <w:rFonts w:eastAsia="Times New Roman"/>
        </w:rPr>
      </w:pPr>
      <w:r>
        <w:rPr>
          <w:rFonts w:eastAsia="Times New Roman"/>
          <w:color w:val="000000"/>
          <w:sz w:val="20"/>
          <w:szCs w:val="20"/>
        </w:rPr>
        <w:t xml:space="preserve">We estimate our annual effective income tax rate to be 11% for fiscal 2021, which is lower </w:t>
      </w:r>
      <w:r>
        <w:rPr>
          <w:rFonts w:eastAsia="Times New Roman"/>
          <w:color w:val="000000"/>
          <w:sz w:val="20"/>
          <w:szCs w:val="20"/>
        </w:rPr>
        <w:t>than the U.S. federal statutory rate, primarily due to a significant portion of our income qualifying for preferential treatment as foreign-derived intangible income (FDII) at a 13% effective tax rate, excess tax benefits associated with share-based awards</w:t>
      </w:r>
      <w:r>
        <w:rPr>
          <w:rFonts w:eastAsia="Times New Roman"/>
          <w:color w:val="000000"/>
          <w:sz w:val="20"/>
          <w:szCs w:val="20"/>
        </w:rPr>
        <w:t xml:space="preserve"> and benefits from our federal research and development tax credit. The effective tax rate of 10% for the third quarter of fiscal 2021 was lower than the estimated annual effective tax rate of 11% primarily due to $64 million of discrete net tax benefits r</w:t>
      </w:r>
      <w:r>
        <w:rPr>
          <w:rFonts w:eastAsia="Times New Roman"/>
          <w:color w:val="000000"/>
          <w:sz w:val="20"/>
          <w:szCs w:val="20"/>
        </w:rPr>
        <w:t>ecorded in the third quarter of fiscal 2021, which principally related to excess tax benefits associated with share-based awards that vested in the third fiscal quarter. The effective tax rate of 3% for the third quarter of fiscal 2020 included benefits re</w:t>
      </w:r>
      <w:r>
        <w:rPr>
          <w:rFonts w:eastAsia="Times New Roman"/>
          <w:color w:val="000000"/>
          <w:sz w:val="20"/>
          <w:szCs w:val="20"/>
        </w:rPr>
        <w:t xml:space="preserve">corded in the third quarter of fiscal 2020, which principally related to certain releases of our valuation allowance on capital losses, a higher FDII deduction and foreign tax credit utilization. </w:t>
      </w:r>
    </w:p>
    <w:p w:rsidR="00000000" w:rsidRDefault="000F0F8D">
      <w:pPr>
        <w:ind w:firstLine="360"/>
        <w:divId w:val="714159743"/>
        <w:rPr>
          <w:rFonts w:eastAsia="Times New Roman"/>
        </w:rPr>
      </w:pPr>
      <w:r>
        <w:rPr>
          <w:rFonts w:eastAsia="Times New Roman"/>
          <w:color w:val="000000"/>
          <w:sz w:val="20"/>
          <w:szCs w:val="20"/>
        </w:rPr>
        <w:t>Unrecognized tax benefits were $2.0 billion and $1.9 billio</w:t>
      </w:r>
      <w:r>
        <w:rPr>
          <w:rFonts w:eastAsia="Times New Roman"/>
          <w:color w:val="000000"/>
          <w:sz w:val="20"/>
          <w:szCs w:val="20"/>
        </w:rPr>
        <w:t>n at June 27, 2021 and September 27, 2020, respectively, and primarily related to our refund claim of Korean withholding tax. If successful, the refund will result in a corresponding reduction in U.S. foreign tax credits. We expect that the total amount of</w:t>
      </w:r>
      <w:r>
        <w:rPr>
          <w:rFonts w:eastAsia="Times New Roman"/>
          <w:color w:val="000000"/>
          <w:sz w:val="20"/>
          <w:szCs w:val="20"/>
        </w:rPr>
        <w:t xml:space="preserve"> unrecognized tax benefits at June 27, 2021 will increase in the next 12 months as licensees in Korea continue to withhold taxes on future payments due under their licensing agreements at a rate higher than we believe is owed; such increase is not expected</w:t>
      </w:r>
      <w:r>
        <w:rPr>
          <w:rFonts w:eastAsia="Times New Roman"/>
          <w:color w:val="000000"/>
          <w:sz w:val="20"/>
          <w:szCs w:val="20"/>
        </w:rPr>
        <w:t xml:space="preserve"> to have a significant impact on our income tax provision.</w:t>
      </w:r>
    </w:p>
    <w:p w:rsidR="00000000" w:rsidRDefault="000F0F8D">
      <w:pPr>
        <w:jc w:val="center"/>
        <w:divId w:val="907424503"/>
        <w:rPr>
          <w:rFonts w:eastAsia="Times New Roman"/>
        </w:rPr>
      </w:pPr>
      <w:r>
        <w:rPr>
          <w:rFonts w:eastAsia="Times New Roman"/>
          <w:color w:val="000000"/>
          <w:sz w:val="20"/>
          <w:szCs w:val="20"/>
        </w:rPr>
        <w:t>14</w:t>
      </w:r>
    </w:p>
    <w:p w:rsidR="00000000" w:rsidRDefault="000F0F8D">
      <w:pPr>
        <w:rPr>
          <w:rFonts w:eastAsia="Times New Roman"/>
        </w:rPr>
      </w:pPr>
      <w:r>
        <w:rPr>
          <w:rFonts w:eastAsia="Times New Roman"/>
        </w:rPr>
        <w:pict>
          <v:rect id="_x0000_i1037" style="width:0;height:1.5pt" o:hralign="center" o:hrstd="t" o:hr="t" fillcolor="#a0a0a0" stroked="f"/>
        </w:pict>
      </w:r>
    </w:p>
    <w:p w:rsidR="00000000" w:rsidRDefault="000F0F8D">
      <w:pPr>
        <w:jc w:val="center"/>
        <w:divId w:val="184997759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849977598"/>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8499775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1849977598"/>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8499775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8499775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682902108"/>
        <w:rPr>
          <w:rFonts w:eastAsia="Times New Roman"/>
        </w:rPr>
      </w:pPr>
      <w:r>
        <w:rPr>
          <w:rFonts w:eastAsia="Times New Roman"/>
          <w:b/>
          <w:bCs/>
          <w:color w:val="000000"/>
          <w:sz w:val="20"/>
          <w:szCs w:val="20"/>
        </w:rPr>
        <w:t>Note 4. Capital Stock</w:t>
      </w:r>
    </w:p>
    <w:p w:rsidR="00000000" w:rsidRDefault="000F0F8D">
      <w:pPr>
        <w:ind w:firstLine="360"/>
        <w:divId w:val="1430275285"/>
        <w:rPr>
          <w:rFonts w:eastAsia="Times New Roman"/>
        </w:rPr>
      </w:pPr>
      <w:r>
        <w:rPr>
          <w:rFonts w:eastAsia="Times New Roman"/>
          <w:b/>
          <w:bCs/>
          <w:i/>
          <w:iCs/>
          <w:color w:val="000000"/>
          <w:sz w:val="20"/>
          <w:szCs w:val="20"/>
        </w:rPr>
        <w:t xml:space="preserve">Stock Repurchase Program. </w:t>
      </w:r>
      <w:r>
        <w:rPr>
          <w:rFonts w:eastAsia="Times New Roman"/>
          <w:color w:val="000000"/>
          <w:sz w:val="20"/>
          <w:szCs w:val="20"/>
        </w:rPr>
        <w:t>On July </w:t>
      </w:r>
      <w:r>
        <w:rPr>
          <w:rFonts w:eastAsia="Times New Roman"/>
          <w:color w:val="000000"/>
          <w:sz w:val="20"/>
          <w:szCs w:val="20"/>
        </w:rPr>
        <w:t>26, 2018, we announced a stock repurchase program authorizing us to repurchase up to $30 billion of our common stock. The stock repurchase program has no expiration date.</w:t>
      </w:r>
    </w:p>
    <w:p w:rsidR="00000000" w:rsidRDefault="000F0F8D">
      <w:pPr>
        <w:ind w:firstLine="360"/>
        <w:divId w:val="712775401"/>
        <w:rPr>
          <w:rFonts w:eastAsia="Times New Roman"/>
        </w:rPr>
      </w:pPr>
      <w:r>
        <w:rPr>
          <w:rFonts w:eastAsia="Times New Roman"/>
          <w:color w:val="000000"/>
          <w:sz w:val="20"/>
          <w:szCs w:val="20"/>
        </w:rPr>
        <w:t xml:space="preserve">In the nine months ended June 27, 2021 and June 28, 2020, we repurchased and retired </w:t>
      </w:r>
      <w:r>
        <w:rPr>
          <w:rFonts w:eastAsia="Times New Roman"/>
          <w:color w:val="000000"/>
          <w:sz w:val="20"/>
          <w:szCs w:val="20"/>
        </w:rPr>
        <w:t>18 million and 31 million shares, respectively, for $2.6 billion and $2.5 billion, respectively, before commissions. To reflect share repurchases in the consolidated balance sheet, we (i) reduce common stock for the par value of the shares, (ii) reduce pai</w:t>
      </w:r>
      <w:r>
        <w:rPr>
          <w:rFonts w:eastAsia="Times New Roman"/>
          <w:color w:val="000000"/>
          <w:sz w:val="20"/>
          <w:szCs w:val="20"/>
        </w:rPr>
        <w:t>d-in capital for the amount in excess of par to zero during the quarter in which the shares are repurchased and (iii) record the residual amount, if any, to retained earnings. At June 27, 2021, $2.0 billion remained authorized for repurchase under our stoc</w:t>
      </w:r>
      <w:r>
        <w:rPr>
          <w:rFonts w:eastAsia="Times New Roman"/>
          <w:color w:val="000000"/>
          <w:sz w:val="20"/>
          <w:szCs w:val="20"/>
        </w:rPr>
        <w:t xml:space="preserve">k repurchase program. </w:t>
      </w:r>
    </w:p>
    <w:p w:rsidR="00000000" w:rsidRDefault="000F0F8D">
      <w:pPr>
        <w:ind w:firstLine="360"/>
        <w:divId w:val="1787650883"/>
        <w:rPr>
          <w:rFonts w:eastAsia="Times New Roman"/>
        </w:rPr>
      </w:pPr>
      <w:r>
        <w:rPr>
          <w:rFonts w:eastAsia="Times New Roman"/>
          <w:b/>
          <w:bCs/>
          <w:i/>
          <w:iCs/>
          <w:color w:val="000000"/>
          <w:sz w:val="20"/>
          <w:szCs w:val="20"/>
        </w:rPr>
        <w:t>Dividends.</w:t>
      </w:r>
      <w:r>
        <w:rPr>
          <w:rFonts w:eastAsia="Times New Roman"/>
          <w:color w:val="000000"/>
          <w:sz w:val="20"/>
          <w:szCs w:val="20"/>
        </w:rPr>
        <w:t xml:space="preserve"> On July 14, 2021, we announced a cash dividend of $0.68 per share on our common stock, payable on September 23, 2021 to stockholders of record as of the close of business on September 2, 2021. </w:t>
      </w:r>
    </w:p>
    <w:p w:rsidR="00000000" w:rsidRDefault="000F0F8D">
      <w:pPr>
        <w:ind w:firstLine="360"/>
        <w:divId w:val="351222123"/>
        <w:rPr>
          <w:rFonts w:eastAsia="Times New Roman"/>
        </w:rPr>
      </w:pPr>
      <w:r>
        <w:rPr>
          <w:rFonts w:eastAsia="Times New Roman"/>
          <w:b/>
          <w:bCs/>
          <w:i/>
          <w:iCs/>
          <w:color w:val="000000"/>
          <w:sz w:val="20"/>
          <w:szCs w:val="20"/>
        </w:rPr>
        <w:t xml:space="preserve">Earnings Per Common Share. </w:t>
      </w:r>
      <w:r>
        <w:rPr>
          <w:rFonts w:eastAsia="Times New Roman"/>
          <w:color w:val="000000"/>
          <w:sz w:val="20"/>
          <w:szCs w:val="20"/>
        </w:rPr>
        <w:t>B</w:t>
      </w:r>
      <w:r>
        <w:rPr>
          <w:rFonts w:eastAsia="Times New Roman"/>
          <w:color w:val="000000"/>
          <w:sz w:val="20"/>
          <w:szCs w:val="20"/>
        </w:rPr>
        <w:t>asic earnings per common share is computed by dividing net income by the weighted-average number of common shares outstanding during the reporting period. Diluted earnings per share is computed by dividing net income by the combination of the weighted-aver</w:t>
      </w:r>
      <w:r>
        <w:rPr>
          <w:rFonts w:eastAsia="Times New Roman"/>
          <w:color w:val="000000"/>
          <w:sz w:val="20"/>
          <w:szCs w:val="20"/>
        </w:rPr>
        <w:t xml:space="preserve">age number of dilutive common share equivalents, comprised of shares issuable under our share-based compensation plans and the weighted-average number of common shares outstanding during the reporting period. The following table provides information about </w:t>
      </w:r>
      <w:r>
        <w:rPr>
          <w:rFonts w:eastAsia="Times New Roman"/>
          <w:color w:val="000000"/>
          <w:sz w:val="20"/>
          <w:szCs w:val="20"/>
        </w:rPr>
        <w:t>the diluted earnings per share calculation (in millions):</w:t>
      </w:r>
    </w:p>
    <w:tbl>
      <w:tblPr>
        <w:tblW w:w="4985" w:type="pct"/>
        <w:tblCellMar>
          <w:top w:w="15" w:type="dxa"/>
          <w:left w:w="15" w:type="dxa"/>
          <w:bottom w:w="15" w:type="dxa"/>
          <w:right w:w="15" w:type="dxa"/>
        </w:tblCellMar>
        <w:tblLook w:val="04A0" w:firstRow="1" w:lastRow="0" w:firstColumn="1" w:lastColumn="0" w:noHBand="0" w:noVBand="1"/>
      </w:tblPr>
      <w:tblGrid>
        <w:gridCol w:w="59"/>
        <w:gridCol w:w="3977"/>
        <w:gridCol w:w="37"/>
        <w:gridCol w:w="59"/>
        <w:gridCol w:w="885"/>
        <w:gridCol w:w="38"/>
        <w:gridCol w:w="37"/>
        <w:gridCol w:w="36"/>
        <w:gridCol w:w="36"/>
        <w:gridCol w:w="44"/>
        <w:gridCol w:w="885"/>
        <w:gridCol w:w="37"/>
        <w:gridCol w:w="36"/>
        <w:gridCol w:w="36"/>
        <w:gridCol w:w="36"/>
        <w:gridCol w:w="44"/>
        <w:gridCol w:w="885"/>
        <w:gridCol w:w="38"/>
        <w:gridCol w:w="37"/>
        <w:gridCol w:w="36"/>
        <w:gridCol w:w="36"/>
        <w:gridCol w:w="44"/>
        <w:gridCol w:w="886"/>
        <w:gridCol w:w="37"/>
      </w:tblGrid>
      <w:tr w:rsidR="00000000">
        <w:trPr>
          <w:divId w:val="36972179"/>
        </w:trPr>
        <w:tc>
          <w:tcPr>
            <w:tcW w:w="50" w:type="pct"/>
            <w:vAlign w:val="center"/>
            <w:hideMark/>
          </w:tcPr>
          <w:p w:rsidR="00000000" w:rsidRDefault="000F0F8D">
            <w:pPr>
              <w:ind w:firstLine="360"/>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36972179"/>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36972179"/>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36972179"/>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Dilutive common share equivalents included in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36972179"/>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period</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1895659284"/>
        <w:rPr>
          <w:rFonts w:eastAsia="Times New Roman"/>
        </w:rPr>
      </w:pPr>
      <w:r>
        <w:rPr>
          <w:rFonts w:eastAsia="Times New Roman"/>
          <w:b/>
          <w:bCs/>
          <w:color w:val="000000"/>
          <w:sz w:val="20"/>
          <w:szCs w:val="20"/>
        </w:rPr>
        <w:t>Note 5. Commitments and Contingencies</w:t>
      </w:r>
    </w:p>
    <w:p w:rsidR="00000000" w:rsidRDefault="000F0F8D">
      <w:pPr>
        <w:ind w:firstLine="360"/>
        <w:divId w:val="1602953426"/>
        <w:rPr>
          <w:rFonts w:eastAsia="Times New Roman"/>
        </w:rPr>
      </w:pPr>
      <w:r>
        <w:rPr>
          <w:rFonts w:eastAsia="Times New Roman"/>
          <w:b/>
          <w:bCs/>
          <w:i/>
          <w:iCs/>
          <w:color w:val="000000"/>
          <w:sz w:val="20"/>
          <w:szCs w:val="20"/>
        </w:rPr>
        <w:t>Legal and Regulatory Proceedings.</w:t>
      </w:r>
    </w:p>
    <w:p w:rsidR="00000000" w:rsidRDefault="000F0F8D">
      <w:pPr>
        <w:ind w:firstLine="360"/>
        <w:divId w:val="620377090"/>
        <w:rPr>
          <w:rFonts w:eastAsia="Times New Roman"/>
        </w:rPr>
      </w:pPr>
      <w:r>
        <w:rPr>
          <w:rFonts w:eastAsia="Times New Roman"/>
          <w:i/>
          <w:iCs/>
          <w:color w:val="000000"/>
          <w:sz w:val="20"/>
          <w:szCs w:val="20"/>
        </w:rPr>
        <w:t>Consolidated Securities Class Action Lawsuit:</w:t>
      </w:r>
      <w:r>
        <w:rPr>
          <w:rFonts w:eastAsia="Times New Roman"/>
          <w:color w:val="000000"/>
          <w:sz w:val="20"/>
          <w:szCs w:val="20"/>
        </w:rPr>
        <w:t xml:space="preserve"> On January 23, 2017 and January</w:t>
      </w:r>
      <w:r>
        <w:rPr>
          <w:rFonts w:eastAsia="Times New Roman"/>
          <w:color w:val="000000"/>
          <w:sz w:val="20"/>
          <w:szCs w:val="20"/>
        </w:rPr>
        <w:t xml:space="preserve"> 26, 2017, securities class action complaints were filed by purported stockholders of us in the United States District Court for the Southern District of California against us and certain of our current and former officers and directors. The complaints all</w:t>
      </w:r>
      <w:r>
        <w:rPr>
          <w:rFonts w:eastAsia="Times New Roman"/>
          <w:color w:val="000000"/>
          <w:sz w:val="20"/>
          <w:szCs w:val="20"/>
        </w:rPr>
        <w:t>eged, among other things, that we violated Sections 10(b) and 20(a) of the Securities Exchange Act of 1934, as amended, and Rule 10b-5 thereunder, by making false and misleading statements and omissions of material fact in connection with certain allegatio</w:t>
      </w:r>
      <w:r>
        <w:rPr>
          <w:rFonts w:eastAsia="Times New Roman"/>
          <w:color w:val="000000"/>
          <w:sz w:val="20"/>
          <w:szCs w:val="20"/>
        </w:rPr>
        <w:t>ns that we are or were engaged in anticompetitive conduct. The complaints sought unspecified damages, interest, fees and costs. On May 4, 2017, the court consolidated the two actions and appointed lead plaintiffs. On July 3, 2017, the lead plaintiffs filed</w:t>
      </w:r>
      <w:r>
        <w:rPr>
          <w:rFonts w:eastAsia="Times New Roman"/>
          <w:color w:val="000000"/>
          <w:sz w:val="20"/>
          <w:szCs w:val="20"/>
        </w:rPr>
        <w:t xml:space="preserve"> a consolidated amended complaint asserting the same basic theories of liability and requesting the same basic relief. On September 1, 2017, we filed a motion to dismiss the consolidated amended complaint. On March 18, 2019, the court denied our motion to </w:t>
      </w:r>
      <w:r>
        <w:rPr>
          <w:rFonts w:eastAsia="Times New Roman"/>
          <w:color w:val="000000"/>
          <w:sz w:val="20"/>
          <w:szCs w:val="20"/>
        </w:rPr>
        <w:t>dismiss. On January 15, 2020, we filed a motion for judgment on the pleadings. The court has not yet ruled on our motion. We believe the plaintiffs’ claims are without merit.</w:t>
      </w:r>
    </w:p>
    <w:p w:rsidR="00000000" w:rsidRDefault="000F0F8D">
      <w:pPr>
        <w:ind w:firstLine="360"/>
        <w:divId w:val="1487866909"/>
        <w:rPr>
          <w:rFonts w:eastAsia="Times New Roman"/>
        </w:rPr>
      </w:pPr>
      <w:r>
        <w:rPr>
          <w:rFonts w:eastAsia="Times New Roman"/>
          <w:i/>
          <w:iCs/>
          <w:color w:val="000000"/>
          <w:sz w:val="20"/>
          <w:szCs w:val="20"/>
        </w:rPr>
        <w:t xml:space="preserve">In re Qualcomm/Broadcom Merger Securities Litigation: </w:t>
      </w:r>
      <w:r>
        <w:rPr>
          <w:rFonts w:eastAsia="Times New Roman"/>
          <w:color w:val="000000"/>
          <w:sz w:val="20"/>
          <w:szCs w:val="20"/>
        </w:rPr>
        <w:t>On June 8, 2018 and June 26</w:t>
      </w:r>
      <w:r>
        <w:rPr>
          <w:rFonts w:eastAsia="Times New Roman"/>
          <w:color w:val="000000"/>
          <w:sz w:val="20"/>
          <w:szCs w:val="20"/>
        </w:rPr>
        <w:t>, 2018, securities class action complaints were filed by purported stockholders of us in the United States District Court for the Southern District of California against us and two of our then current officers. The complaints alleged, among other things, t</w:t>
      </w:r>
      <w:r>
        <w:rPr>
          <w:rFonts w:eastAsia="Times New Roman"/>
          <w:color w:val="000000"/>
          <w:sz w:val="20"/>
          <w:szCs w:val="20"/>
        </w:rPr>
        <w:t>hat we violated Sections 10(b) and 20(a) of the Securities Exchange Act of 1934, as amended, and Rule 10b-5 thereunder, by failing to disclose that we had submitted a notice to the Committee on Foreign Investment in the United States (CFIUS) in January 201</w:t>
      </w:r>
      <w:r>
        <w:rPr>
          <w:rFonts w:eastAsia="Times New Roman"/>
          <w:color w:val="000000"/>
          <w:sz w:val="20"/>
          <w:szCs w:val="20"/>
        </w:rPr>
        <w:t>8. The complaints sought unspecified damages, interest, fees and costs. On January 22, 2019, the court appointed the lead plaintiff in the action. On March 18, 2019, the plaintiffs filed a consolidated complaint asserting the same basic theories of liabili</w:t>
      </w:r>
      <w:r>
        <w:rPr>
          <w:rFonts w:eastAsia="Times New Roman"/>
          <w:color w:val="000000"/>
          <w:sz w:val="20"/>
          <w:szCs w:val="20"/>
        </w:rPr>
        <w:t>ty and requesting the same basic relief. On May 10, 2019, we filed a motion to dismiss the consolidated complaint, and on March 10, 2020, the court granted our motion. On May 11, 2020, the plaintiffs filed a second amended complaint, and on October 8, 2020</w:t>
      </w:r>
      <w:r>
        <w:rPr>
          <w:rFonts w:eastAsia="Times New Roman"/>
          <w:color w:val="000000"/>
          <w:sz w:val="20"/>
          <w:szCs w:val="20"/>
        </w:rPr>
        <w:t>, the court granted our motion to dismiss the case with prejudice. On November 7, 2020, the plaintiffs filed a notice of appeal. No hearing date has been set. We believe the plaintiffs’ claims are without merit.</w:t>
      </w:r>
    </w:p>
    <w:p w:rsidR="00000000" w:rsidRDefault="000F0F8D">
      <w:pPr>
        <w:jc w:val="center"/>
        <w:divId w:val="1137574505"/>
        <w:rPr>
          <w:rFonts w:eastAsia="Times New Roman"/>
        </w:rPr>
      </w:pPr>
      <w:r>
        <w:rPr>
          <w:rFonts w:eastAsia="Times New Roman"/>
          <w:color w:val="000000"/>
          <w:sz w:val="20"/>
          <w:szCs w:val="20"/>
        </w:rPr>
        <w:t>15</w:t>
      </w:r>
    </w:p>
    <w:p w:rsidR="00000000" w:rsidRDefault="000F0F8D">
      <w:pPr>
        <w:rPr>
          <w:rFonts w:eastAsia="Times New Roman"/>
        </w:rPr>
      </w:pPr>
      <w:r>
        <w:rPr>
          <w:rFonts w:eastAsia="Times New Roman"/>
        </w:rPr>
        <w:pict>
          <v:rect id="_x0000_i1038" style="width:0;height:1.5pt" o:hralign="center" o:hrstd="t" o:hr="t" fillcolor="#a0a0a0" stroked="f"/>
        </w:pict>
      </w:r>
    </w:p>
    <w:p w:rsidR="00000000" w:rsidRDefault="000F0F8D">
      <w:pPr>
        <w:jc w:val="center"/>
        <w:divId w:val="8507454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85074541"/>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85074541"/>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85074541"/>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85074541"/>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85074541"/>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ind w:firstLine="360"/>
        <w:divId w:val="869730466"/>
        <w:rPr>
          <w:rFonts w:eastAsia="Times New Roman"/>
        </w:rPr>
      </w:pPr>
      <w:r>
        <w:rPr>
          <w:rFonts w:eastAsia="Times New Roman"/>
          <w:i/>
          <w:iCs/>
          <w:color w:val="000000"/>
          <w:sz w:val="20"/>
          <w:szCs w:val="20"/>
        </w:rPr>
        <w:t xml:space="preserve">Consumer Class Action Lawsuits: </w:t>
      </w:r>
      <w:r>
        <w:rPr>
          <w:rFonts w:eastAsia="Times New Roman"/>
          <w:color w:val="000000"/>
          <w:sz w:val="20"/>
          <w:szCs w:val="20"/>
        </w:rPr>
        <w:t>Since January 18, 2017, a number of consumer class action complaints have been filed against us in the United States District Courts for the Southern and Northern Districts of California, each on behalf of a putative class o</w:t>
      </w:r>
      <w:r>
        <w:rPr>
          <w:rFonts w:eastAsia="Times New Roman"/>
          <w:color w:val="000000"/>
          <w:sz w:val="20"/>
          <w:szCs w:val="20"/>
        </w:rPr>
        <w:t>f purchasers of cellular phones and other cellular devices. In April 2017, the Judicial Panel on Multidistrict Litigation transferred the cases that had been filed in the Southern District of California to the Northern District of California. On May 15, 20</w:t>
      </w:r>
      <w:r>
        <w:rPr>
          <w:rFonts w:eastAsia="Times New Roman"/>
          <w:color w:val="000000"/>
          <w:sz w:val="20"/>
          <w:szCs w:val="20"/>
        </w:rPr>
        <w:t>17, the court entered an order appointing the plaintiffs’ co-lead counsel. On July 11, 2017, the plaintiffs filed a consolidated amended complaint alleging that we violated California and federal antitrust and unfair competition laws by, among other things</w:t>
      </w:r>
      <w:r>
        <w:rPr>
          <w:rFonts w:eastAsia="Times New Roman"/>
          <w:color w:val="000000"/>
          <w:sz w:val="20"/>
          <w:szCs w:val="20"/>
        </w:rPr>
        <w:t>, refusing to license standard-essential patents to our competitors, conditioning the supply of certain of our baseband chipsets on the purchaser first agreeing to license our entire patent portfolio, entering into exclusive deals with companies, including</w:t>
      </w:r>
      <w:r>
        <w:rPr>
          <w:rFonts w:eastAsia="Times New Roman"/>
          <w:color w:val="000000"/>
          <w:sz w:val="20"/>
          <w:szCs w:val="20"/>
        </w:rPr>
        <w:t xml:space="preserve"> Apple Inc., and charging unreasonably high royalties that do not comply with our commitments to standard setting organizations. The complaint seeks unspecified damages and disgorgement and/or restitution, as well as an order that we be enjoined from furth</w:t>
      </w:r>
      <w:r>
        <w:rPr>
          <w:rFonts w:eastAsia="Times New Roman"/>
          <w:color w:val="000000"/>
          <w:sz w:val="20"/>
          <w:szCs w:val="20"/>
        </w:rPr>
        <w:t>er unlawful conduct. On August 11, 2017, we filed a motion to dismiss the consolidated amended complaint. On November 10, 2017, the court denied our motion, except to the extent that certain claims seek damages under the Sherman Antitrust Act. On July 5, 2</w:t>
      </w:r>
      <w:r>
        <w:rPr>
          <w:rFonts w:eastAsia="Times New Roman"/>
          <w:color w:val="000000"/>
          <w:sz w:val="20"/>
          <w:szCs w:val="20"/>
        </w:rPr>
        <w:t>018, the plaintiffs filed a motion for class certification, and the court granted that motion on September 27, 2018. On January 23, 2019, the United States Court of Appeals for the Ninth Circuit (Ninth Circuit) granted us permission to appeal the court’s c</w:t>
      </w:r>
      <w:r>
        <w:rPr>
          <w:rFonts w:eastAsia="Times New Roman"/>
          <w:color w:val="000000"/>
          <w:sz w:val="20"/>
          <w:szCs w:val="20"/>
        </w:rPr>
        <w:t>lass certification order. On January 24, 2019, the court stayed the case pending our appeal. On December 2, 2019, a hearing on our appeal of the class certification order was held before the Ninth Circuit. The Ninth Circuit has not yet ruled on our appeal.</w:t>
      </w:r>
      <w:r>
        <w:rPr>
          <w:rFonts w:eastAsia="Times New Roman"/>
          <w:color w:val="000000"/>
          <w:sz w:val="20"/>
          <w:szCs w:val="20"/>
        </w:rPr>
        <w:t xml:space="preserve"> We believe the plaintiffs’ claims are without merit. </w:t>
      </w:r>
    </w:p>
    <w:p w:rsidR="00000000" w:rsidRDefault="000F0F8D">
      <w:pPr>
        <w:ind w:firstLine="360"/>
        <w:divId w:val="1068310983"/>
        <w:rPr>
          <w:rFonts w:eastAsia="Times New Roman"/>
        </w:rPr>
      </w:pPr>
      <w:r>
        <w:rPr>
          <w:rFonts w:eastAsia="Times New Roman"/>
          <w:color w:val="000000"/>
          <w:sz w:val="20"/>
          <w:szCs w:val="20"/>
        </w:rPr>
        <w:t xml:space="preserve">Since November 2017, several other consumer class action complaints have been filed against us in Canada (in the Ontario Superior Court of Justice, the Supreme Court of British Columbia and the Quebec </w:t>
      </w:r>
      <w:r>
        <w:rPr>
          <w:rFonts w:eastAsia="Times New Roman"/>
          <w:color w:val="000000"/>
          <w:sz w:val="20"/>
          <w:szCs w:val="20"/>
        </w:rPr>
        <w:t>Superior Court), Israel (in the Haifa District Court) and the United Kingdom (in the Competition Appeal Tribunal), each on behalf of a putative class of purchasers of cellular phones and other cellular devices, alleging violations of certain of those count</w:t>
      </w:r>
      <w:r>
        <w:rPr>
          <w:rFonts w:eastAsia="Times New Roman"/>
          <w:color w:val="000000"/>
          <w:sz w:val="20"/>
          <w:szCs w:val="20"/>
        </w:rPr>
        <w:t>ries’ competition and consumer protection laws. The claims in these complaints are similar to those in the U.S. consumer class action complaints. The complaints seek damages. We believe the plaintiffs’ claims are without merit.</w:t>
      </w:r>
    </w:p>
    <w:p w:rsidR="00000000" w:rsidRDefault="000F0F8D">
      <w:pPr>
        <w:ind w:firstLine="360"/>
        <w:divId w:val="1574663560"/>
        <w:rPr>
          <w:rFonts w:eastAsia="Times New Roman"/>
        </w:rPr>
      </w:pPr>
      <w:r>
        <w:rPr>
          <w:rFonts w:eastAsia="Times New Roman"/>
          <w:i/>
          <w:iCs/>
          <w:color w:val="000000"/>
          <w:sz w:val="20"/>
          <w:szCs w:val="20"/>
        </w:rPr>
        <w:t>ParkerVision, Inc. v. QUALCO</w:t>
      </w:r>
      <w:r>
        <w:rPr>
          <w:rFonts w:eastAsia="Times New Roman"/>
          <w:i/>
          <w:iCs/>
          <w:color w:val="000000"/>
          <w:sz w:val="20"/>
          <w:szCs w:val="20"/>
        </w:rPr>
        <w:t xml:space="preserve">MM Incorporated: </w:t>
      </w:r>
      <w:r>
        <w:rPr>
          <w:rFonts w:eastAsia="Times New Roman"/>
          <w:color w:val="000000"/>
          <w:sz w:val="20"/>
          <w:szCs w:val="20"/>
        </w:rPr>
        <w:t>On May 1, 2014, ParkerVision filed a complaint against us in the United States District Court for the Middle District of Florida alleging that certain of our products infringed seven ParkerVision patents. On August 21, 2014, ParkerVision a</w:t>
      </w:r>
      <w:r>
        <w:rPr>
          <w:rFonts w:eastAsia="Times New Roman"/>
          <w:color w:val="000000"/>
          <w:sz w:val="20"/>
          <w:szCs w:val="20"/>
        </w:rPr>
        <w:t>mended the complaint, then captioned ParkerVision, Inc. v. QUALCOMM Incorporated, Qualcomm Atheros, Inc., HTC Corporation, HTC America, Inc., Samsung Electronics Co., LTD., Samsung Electronics America, Inc. and Samsung Telecommunications America, LLC, broa</w:t>
      </w:r>
      <w:r>
        <w:rPr>
          <w:rFonts w:eastAsia="Times New Roman"/>
          <w:color w:val="000000"/>
          <w:sz w:val="20"/>
          <w:szCs w:val="20"/>
        </w:rPr>
        <w:t>dening the allegations. ParkerVision alleged that we infringed 11 ParkerVision patents and sought damages and injunctive and other relief. ParkerVision has subsequently reduced the number of patents asserted to four, granted covenants not to sue on the oth</w:t>
      </w:r>
      <w:r>
        <w:rPr>
          <w:rFonts w:eastAsia="Times New Roman"/>
          <w:color w:val="000000"/>
          <w:sz w:val="20"/>
          <w:szCs w:val="20"/>
        </w:rPr>
        <w:t>er patents and dismissed the Samsung and HTC entities from the case. The asserted patents are now expired, and injunctive relief is no longer available. ParkerVision continues to seek damages related to the sale of many of our radio frequency (RF) products</w:t>
      </w:r>
      <w:r>
        <w:rPr>
          <w:rFonts w:eastAsia="Times New Roman"/>
          <w:color w:val="000000"/>
          <w:sz w:val="20"/>
          <w:szCs w:val="20"/>
        </w:rPr>
        <w:t xml:space="preserve"> sold between 2008 and 2018. On March 26, 2021, the court issued an order stating that trial is extremely unlikely to occur before November or December 2021, if then. We believe that ParkerVision’s claims are without merit.</w:t>
      </w:r>
    </w:p>
    <w:p w:rsidR="00000000" w:rsidRDefault="000F0F8D">
      <w:pPr>
        <w:ind w:firstLine="360"/>
        <w:divId w:val="194776932"/>
        <w:rPr>
          <w:rFonts w:eastAsia="Times New Roman"/>
        </w:rPr>
      </w:pPr>
      <w:r>
        <w:rPr>
          <w:rFonts w:eastAsia="Times New Roman"/>
          <w:i/>
          <w:iCs/>
          <w:color w:val="000000"/>
          <w:sz w:val="20"/>
          <w:szCs w:val="20"/>
        </w:rPr>
        <w:t>Korea Fair Trade Commission (KFT</w:t>
      </w:r>
      <w:r>
        <w:rPr>
          <w:rFonts w:eastAsia="Times New Roman"/>
          <w:i/>
          <w:iCs/>
          <w:color w:val="000000"/>
          <w:sz w:val="20"/>
          <w:szCs w:val="20"/>
        </w:rPr>
        <w:t>C) Investigation (2015):</w:t>
      </w:r>
      <w:r>
        <w:rPr>
          <w:rFonts w:eastAsia="Times New Roman"/>
          <w:color w:val="000000"/>
          <w:sz w:val="20"/>
          <w:szCs w:val="20"/>
        </w:rPr>
        <w:t xml:space="preserve"> On March 17, 2015, the KFTC notified us that it was conducting an investigation of us relating to the Korean Monopoly Regulation and Fair Trade Act (MRFTA). On December 27, 2016, the KFTC announced that it had reached a decision in</w:t>
      </w:r>
      <w:r>
        <w:rPr>
          <w:rFonts w:eastAsia="Times New Roman"/>
          <w:color w:val="000000"/>
          <w:sz w:val="20"/>
          <w:szCs w:val="20"/>
        </w:rPr>
        <w:t xml:space="preserve"> the investigation, finding that we violated provisions of the MRFTA. On January 22, 2017, we received the KFTC’s formal written decision, which found that the following conducts violate the MRFTA: (i) refusing to license, or imposing restrictions on licen</w:t>
      </w:r>
      <w:r>
        <w:rPr>
          <w:rFonts w:eastAsia="Times New Roman"/>
          <w:color w:val="000000"/>
          <w:sz w:val="20"/>
          <w:szCs w:val="20"/>
        </w:rPr>
        <w:t>ses for, cellular communications standard-essential patents with competing modem chipset makers; (ii) conditioning the supply of modem chipsets to handset suppliers on their execution and performance of license agreements with us; and (iii) coercing agreem</w:t>
      </w:r>
      <w:r>
        <w:rPr>
          <w:rFonts w:eastAsia="Times New Roman"/>
          <w:color w:val="000000"/>
          <w:sz w:val="20"/>
          <w:szCs w:val="20"/>
        </w:rPr>
        <w:t>ent terms including portfolio license terms, royalty terms and free cross-grant terms in executing patent license agreements with handset makers. The KFTC’s decision orders us to: (a) upon request by modem chipset companies, engage in good-faith negotiatio</w:t>
      </w:r>
      <w:r>
        <w:rPr>
          <w:rFonts w:eastAsia="Times New Roman"/>
          <w:color w:val="000000"/>
          <w:sz w:val="20"/>
          <w:szCs w:val="20"/>
        </w:rPr>
        <w:t>ns for patent license agreements, without offering unjustifiable conditions, and if necessary submit to a determination of terms by an independent third party; (b) not demand that handset companies execute and perform under patent license agreements as a p</w:t>
      </w:r>
      <w:r>
        <w:rPr>
          <w:rFonts w:eastAsia="Times New Roman"/>
          <w:color w:val="000000"/>
          <w:sz w:val="20"/>
          <w:szCs w:val="20"/>
        </w:rPr>
        <w:t>recondition for purchasing modem chipsets; (c) not demand unjustifiable conditions in our license agreements with handset companies and, upon request, renegotiate existing patent license agreements; and (d) notify modem chipset companies and handset compan</w:t>
      </w:r>
      <w:r>
        <w:rPr>
          <w:rFonts w:eastAsia="Times New Roman"/>
          <w:color w:val="000000"/>
          <w:sz w:val="20"/>
          <w:szCs w:val="20"/>
        </w:rPr>
        <w:t>ies of the decision and order imposed on us and report to the KFTC new or amended agreements. According to the KFTC’s decision, the foregoing will apply to transactions between us and the following enterprises: (1) handset manufacturers headquartered in Ko</w:t>
      </w:r>
      <w:r>
        <w:rPr>
          <w:rFonts w:eastAsia="Times New Roman"/>
          <w:color w:val="000000"/>
          <w:sz w:val="20"/>
          <w:szCs w:val="20"/>
        </w:rPr>
        <w:t>rea and their affiliate companies; (2) enterprises that sell handsets in or to Korea and their affiliate companies; (3) enterprises that supply handsets to companies referred to in (2) above and the affiliate companies of such enterprises; (4) modem chipse</w:t>
      </w:r>
      <w:r>
        <w:rPr>
          <w:rFonts w:eastAsia="Times New Roman"/>
          <w:color w:val="000000"/>
          <w:sz w:val="20"/>
          <w:szCs w:val="20"/>
        </w:rPr>
        <w:t xml:space="preserve">t manufacturers headquartered in Korea and their affiliate companies; and (5) enterprises that supply modem chipsets to companies referred to in (1), (2) or (3) above and the affiliate companies of such enterprises. </w:t>
      </w:r>
    </w:p>
    <w:p w:rsidR="00000000" w:rsidRDefault="000F0F8D">
      <w:pPr>
        <w:jc w:val="center"/>
        <w:divId w:val="30613643"/>
        <w:rPr>
          <w:rFonts w:eastAsia="Times New Roman"/>
        </w:rPr>
      </w:pPr>
      <w:r>
        <w:rPr>
          <w:rFonts w:eastAsia="Times New Roman"/>
          <w:color w:val="000000"/>
          <w:sz w:val="20"/>
          <w:szCs w:val="20"/>
        </w:rPr>
        <w:t>16</w:t>
      </w:r>
    </w:p>
    <w:p w:rsidR="00000000" w:rsidRDefault="000F0F8D">
      <w:pPr>
        <w:rPr>
          <w:rFonts w:eastAsia="Times New Roman"/>
        </w:rPr>
      </w:pPr>
      <w:r>
        <w:rPr>
          <w:rFonts w:eastAsia="Times New Roman"/>
        </w:rPr>
        <w:pict>
          <v:rect id="_x0000_i1039" style="width:0;height:1.5pt" o:hralign="center" o:hrstd="t" o:hr="t" fillcolor="#a0a0a0" stroked="f"/>
        </w:pict>
      </w:r>
    </w:p>
    <w:p w:rsidR="00000000" w:rsidRDefault="000F0F8D">
      <w:pPr>
        <w:jc w:val="center"/>
        <w:divId w:val="63441179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634411798"/>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6344117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634411798"/>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6344117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634411798"/>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237399300"/>
        <w:rPr>
          <w:rFonts w:eastAsia="Times New Roman"/>
        </w:rPr>
      </w:pPr>
      <w:r>
        <w:rPr>
          <w:rFonts w:eastAsia="Times New Roman"/>
          <w:color w:val="000000"/>
          <w:sz w:val="20"/>
          <w:szCs w:val="20"/>
        </w:rPr>
        <w:t xml:space="preserve">The KFTC’s decision also imposed a fine of 1.03 </w:t>
      </w:r>
      <w:r>
        <w:rPr>
          <w:rFonts w:eastAsia="Times New Roman"/>
          <w:color w:val="000000"/>
          <w:sz w:val="20"/>
          <w:szCs w:val="20"/>
        </w:rPr>
        <w:t xml:space="preserve">trillion Korean won (approximately $927 million), which we paid on March 30, 2017. </w:t>
      </w:r>
    </w:p>
    <w:p w:rsidR="00000000" w:rsidRDefault="000F0F8D">
      <w:pPr>
        <w:ind w:firstLine="360"/>
        <w:divId w:val="1405568239"/>
        <w:rPr>
          <w:rFonts w:eastAsia="Times New Roman"/>
        </w:rPr>
      </w:pPr>
      <w:r>
        <w:rPr>
          <w:rFonts w:eastAsia="Times New Roman"/>
          <w:color w:val="000000"/>
          <w:sz w:val="20"/>
          <w:szCs w:val="20"/>
        </w:rPr>
        <w:t>On February 21, 2017, we filed an action in the Seoul High Court to cancel the KFTC’s decision. The Seoul High Court held hearings concluding on August 14, 2019 and, on Dec</w:t>
      </w:r>
      <w:r>
        <w:rPr>
          <w:rFonts w:eastAsia="Times New Roman"/>
          <w:color w:val="000000"/>
          <w:sz w:val="20"/>
          <w:szCs w:val="20"/>
        </w:rPr>
        <w:t>ember 4, 2019, announced its judgment affirming certain portions of the KFTC’s decision and finding other portions of the KFTC’s decision unlawful. The Seoul High Court cancelled the KFTC’s remedial orders described in (c) above, and solely insofar as they</w:t>
      </w:r>
      <w:r>
        <w:rPr>
          <w:rFonts w:eastAsia="Times New Roman"/>
          <w:color w:val="000000"/>
          <w:sz w:val="20"/>
          <w:szCs w:val="20"/>
        </w:rPr>
        <w:t xml:space="preserve"> correspond thereto, the Seoul High Court cancelled the KFTC’s remedial orders described in (d) above. The Seoul High Court dismissed the remainder of our action to cancel the KFTC’s decision. On December 19, 2019, we filed a notice of appeal to the Korea </w:t>
      </w:r>
      <w:r>
        <w:rPr>
          <w:rFonts w:eastAsia="Times New Roman"/>
          <w:color w:val="000000"/>
          <w:sz w:val="20"/>
          <w:szCs w:val="20"/>
        </w:rPr>
        <w:t xml:space="preserve">Supreme Court challenging those portions of the Seoul High Court decision that are not in our favor. The KFTC filed a notice of appeal to the Korea Supreme Court challenging the portions of the Seoul High Court decision that are not in its favor. </w:t>
      </w:r>
      <w:r>
        <w:rPr>
          <w:rFonts w:eastAsia="Times New Roman"/>
          <w:color w:val="000000"/>
          <w:sz w:val="20"/>
          <w:szCs w:val="20"/>
          <w:shd w:val="clear" w:color="auto" w:fill="FFFFFF"/>
        </w:rPr>
        <w:t>Both we a</w:t>
      </w:r>
      <w:r>
        <w:rPr>
          <w:rFonts w:eastAsia="Times New Roman"/>
          <w:color w:val="000000"/>
          <w:sz w:val="20"/>
          <w:szCs w:val="20"/>
          <w:shd w:val="clear" w:color="auto" w:fill="FFFFFF"/>
        </w:rPr>
        <w:t>nd the KFTC have filed briefs on the merits. T</w:t>
      </w:r>
      <w:r>
        <w:rPr>
          <w:rFonts w:eastAsia="Times New Roman"/>
          <w:color w:val="000000"/>
          <w:sz w:val="20"/>
          <w:szCs w:val="20"/>
        </w:rPr>
        <w:t>he Korea Supreme Court has not yet ruled on our appeal or that of the KFTC. We believe that our business practices do not violate the MRFTA.</w:t>
      </w:r>
    </w:p>
    <w:p w:rsidR="00000000" w:rsidRDefault="000F0F8D">
      <w:pPr>
        <w:ind w:firstLine="360"/>
        <w:divId w:val="762074874"/>
        <w:rPr>
          <w:rFonts w:eastAsia="Times New Roman"/>
        </w:rPr>
      </w:pPr>
      <w:r>
        <w:rPr>
          <w:rFonts w:eastAsia="Times New Roman"/>
          <w:i/>
          <w:iCs/>
          <w:color w:val="000000"/>
          <w:sz w:val="20"/>
          <w:szCs w:val="20"/>
        </w:rPr>
        <w:t>Korea Fair Trade Commission (KFTC) Investigation (2020)</w:t>
      </w:r>
      <w:r>
        <w:rPr>
          <w:rFonts w:eastAsia="Times New Roman"/>
          <w:color w:val="000000"/>
          <w:sz w:val="20"/>
          <w:szCs w:val="20"/>
        </w:rPr>
        <w:t>: On June 8, 2</w:t>
      </w:r>
      <w:r>
        <w:rPr>
          <w:rFonts w:eastAsia="Times New Roman"/>
          <w:color w:val="000000"/>
          <w:sz w:val="20"/>
          <w:szCs w:val="20"/>
        </w:rPr>
        <w:t>020, the KFTC informed us that it was conducting an investigation of us relating to the MRFTA. The KFTC has not provided a formal notice on the scope of their investigation, but we believe it concerns our business practices in connection with our sale of r</w:t>
      </w:r>
      <w:r>
        <w:rPr>
          <w:rFonts w:eastAsia="Times New Roman"/>
          <w:color w:val="000000"/>
          <w:sz w:val="20"/>
          <w:szCs w:val="20"/>
        </w:rPr>
        <w:t>adio frequency front-end (RFFE) components. We continue to cooperate with the KFTC as it conducts its investigation. If a violation is found, a broad range of remedies is potentially available to the KFTC, including imposing a fine (of up to 3% of our sale</w:t>
      </w:r>
      <w:r>
        <w:rPr>
          <w:rFonts w:eastAsia="Times New Roman"/>
          <w:color w:val="000000"/>
          <w:sz w:val="20"/>
          <w:szCs w:val="20"/>
        </w:rPr>
        <w:t>s in the relevant markets during the alleged period of violation) and/or injunctive relief prohibiting or restricting certain business practices. It is difficult to predict the outcome of this matter or what remedies, if any, may be imposed by the KFTC. We</w:t>
      </w:r>
      <w:r>
        <w:rPr>
          <w:rFonts w:eastAsia="Times New Roman"/>
          <w:color w:val="000000"/>
          <w:sz w:val="20"/>
          <w:szCs w:val="20"/>
        </w:rPr>
        <w:t xml:space="preserve"> believe that our business practices do not violate the MRFTA.</w:t>
      </w:r>
    </w:p>
    <w:p w:rsidR="00000000" w:rsidRDefault="000F0F8D">
      <w:pPr>
        <w:ind w:firstLine="360"/>
        <w:divId w:val="1443259701"/>
        <w:rPr>
          <w:rFonts w:eastAsia="Times New Roman"/>
        </w:rPr>
      </w:pPr>
      <w:r>
        <w:rPr>
          <w:rFonts w:eastAsia="Times New Roman"/>
          <w:i/>
          <w:iCs/>
          <w:color w:val="000000"/>
          <w:sz w:val="20"/>
          <w:szCs w:val="20"/>
        </w:rPr>
        <w:t xml:space="preserve">Icera Complaint to the European Commission (EC): </w:t>
      </w:r>
      <w:r>
        <w:rPr>
          <w:rFonts w:eastAsia="Times New Roman"/>
          <w:color w:val="000000"/>
          <w:sz w:val="20"/>
          <w:szCs w:val="20"/>
        </w:rPr>
        <w:t xml:space="preserve">On June 7, 2010, the EC notified and provided us with a redacted copy of a complaint filed with the EC by Icera, Inc. (subsequently acquired by </w:t>
      </w:r>
      <w:r>
        <w:rPr>
          <w:rFonts w:eastAsia="Times New Roman"/>
          <w:color w:val="000000"/>
          <w:sz w:val="20"/>
          <w:szCs w:val="20"/>
        </w:rPr>
        <w:t>Nvidia Corporation) alleging that we were engaged in anticompetitive activity. On July 16, 2015, the EC announced that it had initiated formal proceedings in this matter. On July 18, 2019, the EC issued a decision confirming their preliminary view that bet</w:t>
      </w:r>
      <w:r>
        <w:rPr>
          <w:rFonts w:eastAsia="Times New Roman"/>
          <w:color w:val="000000"/>
          <w:sz w:val="20"/>
          <w:szCs w:val="20"/>
        </w:rPr>
        <w:t>ween 2009 and 2011, we engaged in predatory pricing by selling certain baseband chipsets to two customers at prices below cost with the intention of hindering competition and imposed a fine of approximately 242 million euros. On October 1, 2019, we filed a</w:t>
      </w:r>
      <w:r>
        <w:rPr>
          <w:rFonts w:eastAsia="Times New Roman"/>
          <w:color w:val="000000"/>
          <w:sz w:val="20"/>
          <w:szCs w:val="20"/>
        </w:rPr>
        <w:t>n appeal of the EC’s decision with the General Court of the European Union. The court has not yet ruled on our appeal. We believe that our business practices do not violate the European Union (EU) competition rules.</w:t>
      </w:r>
    </w:p>
    <w:p w:rsidR="00000000" w:rsidRDefault="000F0F8D">
      <w:pPr>
        <w:ind w:firstLine="360"/>
        <w:divId w:val="923344890"/>
        <w:rPr>
          <w:rFonts w:eastAsia="Times New Roman"/>
        </w:rPr>
      </w:pPr>
      <w:r>
        <w:rPr>
          <w:rFonts w:eastAsia="Times New Roman"/>
          <w:color w:val="000000"/>
          <w:sz w:val="20"/>
          <w:szCs w:val="20"/>
        </w:rPr>
        <w:t xml:space="preserve">In the third quarter of fiscal 2019, we </w:t>
      </w:r>
      <w:r>
        <w:rPr>
          <w:rFonts w:eastAsia="Times New Roman"/>
          <w:color w:val="000000"/>
          <w:sz w:val="20"/>
          <w:szCs w:val="20"/>
        </w:rPr>
        <w:t>recorded a charge of $275 million to other expenses related to this EC fine. We provided a financial guarantee in the first quarter of fiscal 2020 to satisfy the obligation in lieu of cash payment while we appeal the EC’s decision. The fine is accruing int</w:t>
      </w:r>
      <w:r>
        <w:rPr>
          <w:rFonts w:eastAsia="Times New Roman"/>
          <w:color w:val="000000"/>
          <w:sz w:val="20"/>
          <w:szCs w:val="20"/>
        </w:rPr>
        <w:t>erest at a rate of 1.50% per annum while it is outstanding. In the fourth quarter of fiscal 2019, we designated the liability as a hedge of our net investment in certain foreign subsidiaries, with gains and losses recorded in accumulated other comprehensiv</w:t>
      </w:r>
      <w:r>
        <w:rPr>
          <w:rFonts w:eastAsia="Times New Roman"/>
          <w:color w:val="000000"/>
          <w:sz w:val="20"/>
          <w:szCs w:val="20"/>
        </w:rPr>
        <w:t>e income as a component of the foreign currency translation adjustment. At June 27, 2021, the liability, including related foreign currency losses and accrued interest (which, to the extent they were not related to the net investment hedge, were recorded i</w:t>
      </w:r>
      <w:r>
        <w:rPr>
          <w:rFonts w:eastAsia="Times New Roman"/>
          <w:color w:val="000000"/>
          <w:sz w:val="20"/>
          <w:szCs w:val="20"/>
        </w:rPr>
        <w:t xml:space="preserve">n investment and other income, net), was $296 million and included in other current liabilities. </w:t>
      </w:r>
    </w:p>
    <w:p w:rsidR="00000000" w:rsidRDefault="000F0F8D">
      <w:pPr>
        <w:ind w:firstLine="360"/>
        <w:divId w:val="1276641307"/>
        <w:rPr>
          <w:rFonts w:eastAsia="Times New Roman"/>
        </w:rPr>
      </w:pPr>
      <w:r>
        <w:rPr>
          <w:rFonts w:eastAsia="Times New Roman"/>
          <w:i/>
          <w:iCs/>
          <w:color w:val="000000"/>
          <w:sz w:val="20"/>
          <w:szCs w:val="20"/>
        </w:rPr>
        <w:t>European Commission (EC) Investigation:</w:t>
      </w:r>
      <w:r>
        <w:rPr>
          <w:rFonts w:eastAsia="Times New Roman"/>
          <w:color w:val="000000"/>
          <w:sz w:val="20"/>
          <w:szCs w:val="20"/>
        </w:rPr>
        <w:t xml:space="preserve"> On October 15, 2014, the EC notified us that it was conducting an investigation of us relating to Articles 101 and/or </w:t>
      </w:r>
      <w:r>
        <w:rPr>
          <w:rFonts w:eastAsia="Times New Roman"/>
          <w:color w:val="000000"/>
          <w:sz w:val="20"/>
          <w:szCs w:val="20"/>
        </w:rPr>
        <w:t>102 of the Treaty on the Functioning of the European Union (TFEU). On July 16, 2015, the EC announced that it had initiated formal proceedings in this matter. On January 24, 2018, the EC issued a decision finding that pursuant to an agreement with Apple In</w:t>
      </w:r>
      <w:r>
        <w:rPr>
          <w:rFonts w:eastAsia="Times New Roman"/>
          <w:color w:val="000000"/>
          <w:sz w:val="20"/>
          <w:szCs w:val="20"/>
        </w:rPr>
        <w:t>c. we paid significant amounts to Apple on the condition that it exclusively use our baseband chipsets in its smartphones and tablets, reducing Apple’s incentives to source baseband chipsets from our competitors and harming competition and innovation for c</w:t>
      </w:r>
      <w:r>
        <w:rPr>
          <w:rFonts w:eastAsia="Times New Roman"/>
          <w:color w:val="000000"/>
          <w:sz w:val="20"/>
          <w:szCs w:val="20"/>
        </w:rPr>
        <w:t>ertain baseband chipsets, and imposed a fine of 997 million euros. On April 6, 2018, we filed an appeal of the EC’s decision with the General Court of the European Union. From May 4, 2021 to May 6, 2021, a hearing on our appeal was held before the court. T</w:t>
      </w:r>
      <w:r>
        <w:rPr>
          <w:rFonts w:eastAsia="Times New Roman"/>
          <w:color w:val="000000"/>
          <w:sz w:val="20"/>
          <w:szCs w:val="20"/>
        </w:rPr>
        <w:t>he court has not yet issued a ruling. We believe that our business practices do not violate the EU competition rules.</w:t>
      </w:r>
    </w:p>
    <w:p w:rsidR="00000000" w:rsidRDefault="000F0F8D">
      <w:pPr>
        <w:ind w:firstLine="360"/>
        <w:divId w:val="410394726"/>
        <w:rPr>
          <w:rFonts w:eastAsia="Times New Roman"/>
        </w:rPr>
      </w:pPr>
      <w:r>
        <w:rPr>
          <w:rFonts w:eastAsia="Times New Roman"/>
          <w:color w:val="000000"/>
          <w:sz w:val="20"/>
          <w:szCs w:val="20"/>
        </w:rPr>
        <w:t>In the first quarter of fiscal 2018, we recorded a charge of $1.2 billion to other expenses related to this EC fine. We provided financial</w:t>
      </w:r>
      <w:r>
        <w:rPr>
          <w:rFonts w:eastAsia="Times New Roman"/>
          <w:color w:val="000000"/>
          <w:sz w:val="20"/>
          <w:szCs w:val="20"/>
        </w:rPr>
        <w:t xml:space="preserve"> guarantees in the third quarter of fiscal 2018 to satisfy the obligation in lieu of cash payment while we appeal the EC’s decision. The fine is accruing interest at a rate of 1.50% per annum while it is outstanding. In the first quarter of fiscal 2019, we</w:t>
      </w:r>
      <w:r>
        <w:rPr>
          <w:rFonts w:eastAsia="Times New Roman"/>
          <w:color w:val="000000"/>
          <w:sz w:val="20"/>
          <w:szCs w:val="20"/>
        </w:rPr>
        <w:t xml:space="preserve"> designated the liability as a hedge of our net investment in certain foreign subsidiaries, with gains and losses recorded in accumulated other comprehensive income as a component of the foreign currency translation adjustment. At June 27, 2021, the liabil</w:t>
      </w:r>
      <w:r>
        <w:rPr>
          <w:rFonts w:eastAsia="Times New Roman"/>
          <w:color w:val="000000"/>
          <w:sz w:val="20"/>
          <w:szCs w:val="20"/>
        </w:rPr>
        <w:t xml:space="preserve">ity, including related foreign currency losses and accrued interest (which, to the extent they were </w:t>
      </w:r>
    </w:p>
    <w:p w:rsidR="00000000" w:rsidRDefault="000F0F8D">
      <w:pPr>
        <w:jc w:val="center"/>
        <w:divId w:val="2142458203"/>
        <w:rPr>
          <w:rFonts w:eastAsia="Times New Roman"/>
        </w:rPr>
      </w:pPr>
      <w:r>
        <w:rPr>
          <w:rFonts w:eastAsia="Times New Roman"/>
          <w:color w:val="000000"/>
          <w:sz w:val="20"/>
          <w:szCs w:val="20"/>
        </w:rPr>
        <w:t>17</w:t>
      </w:r>
    </w:p>
    <w:p w:rsidR="00000000" w:rsidRDefault="000F0F8D">
      <w:pPr>
        <w:rPr>
          <w:rFonts w:eastAsia="Times New Roman"/>
        </w:rPr>
      </w:pPr>
      <w:r>
        <w:rPr>
          <w:rFonts w:eastAsia="Times New Roman"/>
        </w:rPr>
        <w:pict>
          <v:rect id="_x0000_i1040" style="width:0;height:1.5pt" o:hralign="center" o:hrstd="t" o:hr="t" fillcolor="#a0a0a0" stroked="f"/>
        </w:pict>
      </w:r>
    </w:p>
    <w:p w:rsidR="00000000" w:rsidRDefault="000F0F8D">
      <w:pPr>
        <w:jc w:val="center"/>
        <w:divId w:val="16660417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66604179"/>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66604179"/>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166604179"/>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66604179"/>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66604179"/>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7877268"/>
        <w:rPr>
          <w:rFonts w:eastAsia="Times New Roman"/>
        </w:rPr>
      </w:pPr>
      <w:r>
        <w:rPr>
          <w:rFonts w:eastAsia="Times New Roman"/>
          <w:color w:val="000000"/>
          <w:sz w:val="20"/>
          <w:szCs w:val="20"/>
        </w:rPr>
        <w:t xml:space="preserve">not related to the net investment hedge, were recorded in investment and other income, net), was $1.2 billion and included in other current liabilities. </w:t>
      </w:r>
    </w:p>
    <w:p w:rsidR="00000000" w:rsidRDefault="000F0F8D">
      <w:pPr>
        <w:ind w:firstLine="360"/>
        <w:divId w:val="2040888658"/>
        <w:rPr>
          <w:rFonts w:eastAsia="Times New Roman"/>
        </w:rPr>
      </w:pPr>
      <w:r>
        <w:rPr>
          <w:rFonts w:eastAsia="Times New Roman"/>
          <w:i/>
          <w:iCs/>
          <w:color w:val="000000"/>
          <w:sz w:val="20"/>
          <w:szCs w:val="20"/>
        </w:rPr>
        <w:t>Contingent losses and other considerations:</w:t>
      </w:r>
      <w:r>
        <w:rPr>
          <w:rFonts w:eastAsia="Times New Roman"/>
          <w:color w:val="000000"/>
          <w:sz w:val="20"/>
          <w:szCs w:val="20"/>
        </w:rPr>
        <w:t xml:space="preserve"> We will continue to vigorously defend ourselves in the for</w:t>
      </w:r>
      <w:r>
        <w:rPr>
          <w:rFonts w:eastAsia="Times New Roman"/>
          <w:color w:val="000000"/>
          <w:sz w:val="20"/>
          <w:szCs w:val="20"/>
        </w:rPr>
        <w:t>egoing matters. However, litigation and investigations are inherently uncertain, and we face difficulties in evaluating or estimating likely outcomes or ranges of possible loss in antitrust and trade regulation investigations in particular. Other than with</w:t>
      </w:r>
      <w:r>
        <w:rPr>
          <w:rFonts w:eastAsia="Times New Roman"/>
          <w:color w:val="000000"/>
          <w:sz w:val="20"/>
          <w:szCs w:val="20"/>
        </w:rPr>
        <w:t xml:space="preserve"> respect to the EC fines, we have not recorded any accrual at June 27, 2021 for contingent losses associated with these matters based on our belief that losses, while reasonably possible, are not probable. Further, any possible amount or range of loss cann</w:t>
      </w:r>
      <w:r>
        <w:rPr>
          <w:rFonts w:eastAsia="Times New Roman"/>
          <w:color w:val="000000"/>
          <w:sz w:val="20"/>
          <w:szCs w:val="20"/>
        </w:rPr>
        <w:t>ot be reasonably estimated at this time. The unfavorable resolution of one or more of these matters could have a material adverse effect on our business, results of operations, financial condition or cash flows. We are engaged in numerous other legal actio</w:t>
      </w:r>
      <w:r>
        <w:rPr>
          <w:rFonts w:eastAsia="Times New Roman"/>
          <w:color w:val="000000"/>
          <w:sz w:val="20"/>
          <w:szCs w:val="20"/>
        </w:rPr>
        <w:t>ns not described above arising in the ordinary course of our business (for example, proceedings relating to employment matters or the initiation or defense of proceedings relating to intellectual property rights) and, while there can be no assurance, we be</w:t>
      </w:r>
      <w:r>
        <w:rPr>
          <w:rFonts w:eastAsia="Times New Roman"/>
          <w:color w:val="000000"/>
          <w:sz w:val="20"/>
          <w:szCs w:val="20"/>
        </w:rPr>
        <w:t>lieve that the ultimate outcome of these other legal actions will not have a material adverse effect on our business, results of operations, financial condition or cash flows.</w:t>
      </w:r>
    </w:p>
    <w:p w:rsidR="00000000" w:rsidRDefault="000F0F8D">
      <w:pPr>
        <w:ind w:firstLine="360"/>
        <w:divId w:val="1343632696"/>
        <w:rPr>
          <w:rFonts w:eastAsia="Times New Roman"/>
        </w:rPr>
      </w:pPr>
      <w:r>
        <w:rPr>
          <w:rFonts w:eastAsia="Times New Roman"/>
          <w:b/>
          <w:bCs/>
          <w:i/>
          <w:iCs/>
          <w:color w:val="000000"/>
          <w:sz w:val="20"/>
          <w:szCs w:val="20"/>
        </w:rPr>
        <w:t>Long-term Capacity Commitments</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In the third quarter of fiscal 2021, we entered into several multi-year capacity purchase commitments with certain suppliers of our integrated circuit products. Failure to meet future minimum purchase volumes may result in incremental fees or the loss of a</w:t>
      </w:r>
      <w:r>
        <w:rPr>
          <w:rFonts w:eastAsia="Times New Roman"/>
          <w:color w:val="000000"/>
          <w:sz w:val="20"/>
          <w:szCs w:val="20"/>
        </w:rPr>
        <w:t>mounts paid in advance. We currently expect to meet all future minimum purchase volume commitments in addition to other requirements related to advance and/or ongoing payment obligations. As a result of these arrangements, our future purchase obligation co</w:t>
      </w:r>
      <w:r>
        <w:rPr>
          <w:rFonts w:eastAsia="Times New Roman"/>
          <w:color w:val="000000"/>
          <w:sz w:val="20"/>
          <w:szCs w:val="20"/>
        </w:rPr>
        <w:t>mmitments have increased materially since September 27, 2020. As of June 27, 2021, approximately $900 million remained unpaid related to advance and/or ongoing payments under these agreements.</w:t>
      </w:r>
    </w:p>
    <w:p w:rsidR="00000000" w:rsidRDefault="000F0F8D">
      <w:pPr>
        <w:divId w:val="1317489446"/>
        <w:rPr>
          <w:rFonts w:eastAsia="Times New Roman"/>
        </w:rPr>
      </w:pPr>
      <w:r>
        <w:rPr>
          <w:rFonts w:eastAsia="Times New Roman"/>
          <w:b/>
          <w:bCs/>
          <w:color w:val="000000"/>
          <w:sz w:val="20"/>
          <w:szCs w:val="20"/>
        </w:rPr>
        <w:t>Note 6. Segment Information</w:t>
      </w:r>
    </w:p>
    <w:p w:rsidR="00000000" w:rsidRDefault="000F0F8D">
      <w:pPr>
        <w:ind w:firstLine="360"/>
        <w:divId w:val="2146583693"/>
        <w:rPr>
          <w:rFonts w:eastAsia="Times New Roman"/>
        </w:rPr>
      </w:pPr>
      <w:r>
        <w:rPr>
          <w:rFonts w:eastAsia="Times New Roman"/>
          <w:color w:val="000000"/>
          <w:sz w:val="20"/>
          <w:szCs w:val="20"/>
        </w:rPr>
        <w:t>We are organized on the basis of pr</w:t>
      </w:r>
      <w:r>
        <w:rPr>
          <w:rFonts w:eastAsia="Times New Roman"/>
          <w:color w:val="000000"/>
          <w:sz w:val="20"/>
          <w:szCs w:val="20"/>
        </w:rPr>
        <w:t>oducts and services and have three reportable segments. Our operating segments reflect the way our businesses and management/reporting structure are organized internally and the way our Chief Operating Decision Maker (CODM), who is our CEO, reviews financi</w:t>
      </w:r>
      <w:r>
        <w:rPr>
          <w:rFonts w:eastAsia="Times New Roman"/>
          <w:color w:val="000000"/>
          <w:sz w:val="20"/>
          <w:szCs w:val="20"/>
        </w:rPr>
        <w:t>al information, makes operating decisions and assesses business performance. We also consider, among other items, the way budgets and forecasts are prepared and reviewed and the basis on which executive compensation is determined, as well as the similarity</w:t>
      </w:r>
      <w:r>
        <w:rPr>
          <w:rFonts w:eastAsia="Times New Roman"/>
          <w:color w:val="000000"/>
          <w:sz w:val="20"/>
          <w:szCs w:val="20"/>
        </w:rPr>
        <w:t xml:space="preserve"> of business activities within our operating segments, such as the nature of products, the level of shared products, technology and other resources, production processes and customer base. We conduct business primarily through our QCT semiconductor busines</w:t>
      </w:r>
      <w:r>
        <w:rPr>
          <w:rFonts w:eastAsia="Times New Roman"/>
          <w:color w:val="000000"/>
          <w:sz w:val="20"/>
          <w:szCs w:val="20"/>
        </w:rPr>
        <w:t>s and our QTL licensing business. QCT develops and supplies integrated circuits and system software based on 3G/4G/5G and other technologies for use in mobile devices, wireless networks, devices used in IoT, broadband gateway equipment, consumer electronic</w:t>
      </w:r>
      <w:r>
        <w:rPr>
          <w:rFonts w:eastAsia="Times New Roman"/>
          <w:color w:val="000000"/>
          <w:sz w:val="20"/>
          <w:szCs w:val="20"/>
        </w:rPr>
        <w:t xml:space="preserve"> devices and automotive systems for telematics and infotainment. QTL grants licenses or otherwise provides rights to use portions of our intellectual property portfolio, which includes certain patent rights essential to and/or useful in the manufacture, sa</w:t>
      </w:r>
      <w:r>
        <w:rPr>
          <w:rFonts w:eastAsia="Times New Roman"/>
          <w:color w:val="000000"/>
          <w:sz w:val="20"/>
          <w:szCs w:val="20"/>
        </w:rPr>
        <w:t>le or use of certain wireless products. Our QSI (Qualcomm Strategic Initiatives) reportable segment makes strategic investments and includes revenues and related costs associated with development contracts with an investee. We also have nonreportable segme</w:t>
      </w:r>
      <w:r>
        <w:rPr>
          <w:rFonts w:eastAsia="Times New Roman"/>
          <w:color w:val="000000"/>
          <w:sz w:val="20"/>
          <w:szCs w:val="20"/>
        </w:rPr>
        <w:t>nts, including QGOV (Qualcomm Government Technologies), our cloud AI inference processing initiative and other technology and service initiatives.</w:t>
      </w:r>
    </w:p>
    <w:p w:rsidR="00000000" w:rsidRDefault="000F0F8D">
      <w:pPr>
        <w:ind w:firstLine="360"/>
        <w:divId w:val="1916933979"/>
        <w:rPr>
          <w:rFonts w:eastAsia="Times New Roman"/>
        </w:rPr>
      </w:pPr>
      <w:r>
        <w:rPr>
          <w:rFonts w:eastAsia="Times New Roman"/>
          <w:color w:val="000000"/>
          <w:sz w:val="20"/>
          <w:szCs w:val="20"/>
        </w:rPr>
        <w:t xml:space="preserve">Our CODM allocates resources to and evaluates the performance of our segments based on revenues and earnings </w:t>
      </w:r>
      <w:r>
        <w:rPr>
          <w:rFonts w:eastAsia="Times New Roman"/>
          <w:color w:val="000000"/>
          <w:sz w:val="20"/>
          <w:szCs w:val="20"/>
        </w:rPr>
        <w:t>(loss) before income taxes (EBT). Segment EBT includes the allocation of certain corporate expenses to the segments, including depreciation and amortization expense related to unallocated corporate assets. Certain income and charges are not allocated to se</w:t>
      </w:r>
      <w:r>
        <w:rPr>
          <w:rFonts w:eastAsia="Times New Roman"/>
          <w:color w:val="000000"/>
          <w:sz w:val="20"/>
          <w:szCs w:val="20"/>
        </w:rPr>
        <w:t xml:space="preserve">gments in our management reports because they are not considered in evaluating the segments’ operating performance. Unallocated income and charges include certain interest expense, certain net investment income, certain share-based compensation, gains and </w:t>
      </w:r>
      <w:r>
        <w:rPr>
          <w:rFonts w:eastAsia="Times New Roman"/>
          <w:color w:val="000000"/>
          <w:sz w:val="20"/>
          <w:szCs w:val="20"/>
        </w:rPr>
        <w:t>losses on our deferred compensation plan liabilities and related assets and certain research and development expenses, selling, general and administrative expenses and other expenses or income that were deemed to be not directly related to the businesses o</w:t>
      </w:r>
      <w:r>
        <w:rPr>
          <w:rFonts w:eastAsia="Times New Roman"/>
          <w:color w:val="000000"/>
          <w:sz w:val="20"/>
          <w:szCs w:val="20"/>
        </w:rPr>
        <w:t>f the segments. Additionally, unallocated charges include recognition of the step-up of inventories and property, plant and equipment to fair value, amortization of certain intangible assets and certain other acquisition-related charges, third-party acquis</w:t>
      </w:r>
      <w:r>
        <w:rPr>
          <w:rFonts w:eastAsia="Times New Roman"/>
          <w:color w:val="000000"/>
          <w:sz w:val="20"/>
          <w:szCs w:val="20"/>
        </w:rPr>
        <w:t>ition and integration services costs and certain other items, which may include major restructuring and restructuring-related costs, goodwill and long-lived asset impairment charges and awards, settlements and/or damages arising from legal or regulatory ma</w:t>
      </w:r>
      <w:r>
        <w:rPr>
          <w:rFonts w:eastAsia="Times New Roman"/>
          <w:color w:val="000000"/>
          <w:sz w:val="20"/>
          <w:szCs w:val="20"/>
        </w:rPr>
        <w:t>tters.</w:t>
      </w:r>
    </w:p>
    <w:p w:rsidR="00000000" w:rsidRDefault="000F0F8D">
      <w:pPr>
        <w:jc w:val="center"/>
        <w:divId w:val="2068607425"/>
        <w:rPr>
          <w:rFonts w:eastAsia="Times New Roman"/>
        </w:rPr>
      </w:pPr>
      <w:r>
        <w:rPr>
          <w:rFonts w:eastAsia="Times New Roman"/>
          <w:color w:val="000000"/>
          <w:sz w:val="20"/>
          <w:szCs w:val="20"/>
        </w:rPr>
        <w:t>18</w:t>
      </w:r>
    </w:p>
    <w:p w:rsidR="00000000" w:rsidRDefault="000F0F8D">
      <w:pPr>
        <w:rPr>
          <w:rFonts w:eastAsia="Times New Roman"/>
        </w:rPr>
      </w:pPr>
      <w:r>
        <w:rPr>
          <w:rFonts w:eastAsia="Times New Roman"/>
        </w:rPr>
        <w:pict>
          <v:rect id="_x0000_i1041" style="width:0;height:1.5pt" o:hralign="center" o:hrstd="t" o:hr="t" fillcolor="#a0a0a0" stroked="f"/>
        </w:pict>
      </w:r>
    </w:p>
    <w:p w:rsidR="00000000" w:rsidRDefault="000F0F8D">
      <w:pPr>
        <w:jc w:val="center"/>
        <w:divId w:val="17492818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74928182"/>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7492818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174928182"/>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7492818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74928182"/>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ind w:firstLine="360"/>
        <w:divId w:val="1992556936"/>
        <w:rPr>
          <w:rFonts w:eastAsia="Times New Roman"/>
        </w:rPr>
      </w:pPr>
      <w:r>
        <w:rPr>
          <w:rFonts w:eastAsia="Times New Roman"/>
          <w:color w:val="000000"/>
          <w:sz w:val="20"/>
          <w:szCs w:val="20"/>
        </w:rPr>
        <w:t>The table below presents revenues and EBT for reportable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3954"/>
        <w:gridCol w:w="36"/>
        <w:gridCol w:w="110"/>
        <w:gridCol w:w="863"/>
        <w:gridCol w:w="36"/>
        <w:gridCol w:w="36"/>
        <w:gridCol w:w="36"/>
        <w:gridCol w:w="36"/>
        <w:gridCol w:w="110"/>
        <w:gridCol w:w="826"/>
        <w:gridCol w:w="36"/>
        <w:gridCol w:w="36"/>
        <w:gridCol w:w="36"/>
        <w:gridCol w:w="36"/>
        <w:gridCol w:w="110"/>
        <w:gridCol w:w="828"/>
        <w:gridCol w:w="36"/>
        <w:gridCol w:w="36"/>
        <w:gridCol w:w="36"/>
        <w:gridCol w:w="36"/>
        <w:gridCol w:w="110"/>
        <w:gridCol w:w="828"/>
        <w:gridCol w:w="36"/>
      </w:tblGrid>
      <w:tr w:rsidR="00000000">
        <w:trPr>
          <w:divId w:val="1768963893"/>
        </w:trPr>
        <w:tc>
          <w:tcPr>
            <w:tcW w:w="50" w:type="pct"/>
            <w:vAlign w:val="center"/>
            <w:hideMark/>
          </w:tcPr>
          <w:p w:rsidR="00000000" w:rsidRDefault="000F0F8D">
            <w:pPr>
              <w:ind w:firstLine="360"/>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768963893"/>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768963893"/>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1768963893"/>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768963893"/>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6,472 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3,807 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19,287 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11,526 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1,489 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1,044 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4,762 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3,520 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768963893"/>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1,795 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603 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5,299 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1,748 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3,514 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2,335 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(2,236)</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(1,612)</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768963893"/>
        </w:trPr>
        <w:tc>
          <w:tcPr>
            <w:tcW w:w="0" w:type="auto"/>
            <w:gridSpan w:val="3"/>
            <w:shd w:val="clear" w:color="auto" w:fill="CCEE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1847787562"/>
        <w:rPr>
          <w:rFonts w:eastAsia="Times New Roman"/>
        </w:rPr>
      </w:pPr>
      <w:r>
        <w:rPr>
          <w:rFonts w:eastAsia="Times New Roman"/>
          <w:color w:val="000000"/>
          <w:sz w:val="20"/>
          <w:szCs w:val="20"/>
        </w:rPr>
        <w:t>Reconciling items for revenues and EBT in the previous table were as follows</w:t>
      </w:r>
      <w:r>
        <w:rPr>
          <w:rFonts w:eastAsia="Times New Roman"/>
          <w:color w:val="000000"/>
          <w:sz w:val="20"/>
          <w:szCs w:val="20"/>
        </w:rPr>
        <w:t xml:space="preserve">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3954"/>
        <w:gridCol w:w="36"/>
        <w:gridCol w:w="110"/>
        <w:gridCol w:w="863"/>
        <w:gridCol w:w="36"/>
        <w:gridCol w:w="36"/>
        <w:gridCol w:w="36"/>
        <w:gridCol w:w="36"/>
        <w:gridCol w:w="110"/>
        <w:gridCol w:w="826"/>
        <w:gridCol w:w="36"/>
        <w:gridCol w:w="36"/>
        <w:gridCol w:w="36"/>
        <w:gridCol w:w="36"/>
        <w:gridCol w:w="110"/>
        <w:gridCol w:w="828"/>
        <w:gridCol w:w="36"/>
        <w:gridCol w:w="36"/>
        <w:gridCol w:w="36"/>
        <w:gridCol w:w="36"/>
        <w:gridCol w:w="110"/>
        <w:gridCol w:w="828"/>
        <w:gridCol w:w="36"/>
      </w:tblGrid>
      <w:tr w:rsidR="00000000">
        <w:trPr>
          <w:divId w:val="1809585973"/>
        </w:trPr>
        <w:tc>
          <w:tcPr>
            <w:tcW w:w="50" w:type="pct"/>
            <w:vAlign w:val="center"/>
            <w:hideMark/>
          </w:tcPr>
          <w:p w:rsidR="00000000" w:rsidRDefault="000F0F8D">
            <w:pPr>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809585973"/>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809585973"/>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1809585973"/>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80958597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Nonreportable segments</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revenues (Note 2)</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80958597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revenues (Note 2)</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cost of revenues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(262)</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(271)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(1,325)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(275)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other income (Note 2)</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interest expense</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(142)</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(420)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(434)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Unallocated investment and other income, net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Nonreportable segments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809585973"/>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1318337806"/>
        <w:rPr>
          <w:rFonts w:eastAsia="Times New Roman"/>
        </w:rPr>
      </w:pPr>
      <w:r>
        <w:rPr>
          <w:rFonts w:eastAsia="Times New Roman"/>
          <w:b/>
          <w:bCs/>
          <w:color w:val="000000"/>
          <w:sz w:val="20"/>
          <w:szCs w:val="20"/>
        </w:rPr>
        <w:t xml:space="preserve">Note 7. Acquisitions </w:t>
      </w:r>
    </w:p>
    <w:p w:rsidR="00000000" w:rsidRDefault="000F0F8D">
      <w:pPr>
        <w:ind w:firstLine="360"/>
        <w:divId w:val="1274746643"/>
        <w:rPr>
          <w:rFonts w:eastAsia="Times New Roman"/>
        </w:rPr>
      </w:pPr>
      <w:r>
        <w:rPr>
          <w:rFonts w:eastAsia="Times New Roman"/>
          <w:color w:val="000000"/>
          <w:sz w:val="20"/>
          <w:szCs w:val="20"/>
        </w:rPr>
        <w:t xml:space="preserve">On March 16, 2021 </w:t>
      </w:r>
      <w:r>
        <w:rPr>
          <w:rFonts w:eastAsia="Times New Roman"/>
          <w:color w:val="000000"/>
          <w:sz w:val="20"/>
          <w:szCs w:val="20"/>
        </w:rPr>
        <w:t>(the Closing Date), we completed the acquisition of NuVia, Inc. (NUVIA) for $1.1 billion (net of cash acquired), substantially all of which was paid in cash. In connection with the acquisition, we assumed or replaced unvested NUVIA stock awards with Qualco</w:t>
      </w:r>
      <w:r>
        <w:rPr>
          <w:rFonts w:eastAsia="Times New Roman"/>
          <w:color w:val="000000"/>
          <w:sz w:val="20"/>
          <w:szCs w:val="20"/>
        </w:rPr>
        <w:t>mm stock awards with an estimated fair value of $258 million, for which $10 million was attributable to pre-acquisition services and included in the purchase price, and the remaining amount is recognized as compensation expense over the related post-acquis</w:t>
      </w:r>
      <w:r>
        <w:rPr>
          <w:rFonts w:eastAsia="Times New Roman"/>
          <w:color w:val="000000"/>
          <w:sz w:val="20"/>
          <w:szCs w:val="20"/>
        </w:rPr>
        <w:t>ition requisite service period of up to four years.</w:t>
      </w:r>
    </w:p>
    <w:p w:rsidR="00000000" w:rsidRDefault="000F0F8D">
      <w:pPr>
        <w:ind w:firstLine="360"/>
        <w:divId w:val="843125655"/>
        <w:rPr>
          <w:rFonts w:eastAsia="Times New Roman"/>
        </w:rPr>
      </w:pPr>
      <w:r>
        <w:rPr>
          <w:rFonts w:eastAsia="Times New Roman"/>
          <w:color w:val="000000"/>
          <w:sz w:val="20"/>
          <w:szCs w:val="20"/>
        </w:rPr>
        <w:t>NUVIA has certain in-process technologies and is comprised of a CPU (central processing unit) and technology design team with expertise in high performance processors, SoC (system-on-chip) and power manag</w:t>
      </w:r>
      <w:r>
        <w:rPr>
          <w:rFonts w:eastAsia="Times New Roman"/>
          <w:color w:val="000000"/>
          <w:sz w:val="20"/>
          <w:szCs w:val="20"/>
        </w:rPr>
        <w:t>ement for compute-intensive devices and applications. Upon completion of development, NUVIA’s technologies are expected to be integrated into certain QCT products.</w:t>
      </w:r>
    </w:p>
    <w:p w:rsidR="00000000" w:rsidRDefault="000F0F8D">
      <w:pPr>
        <w:jc w:val="center"/>
        <w:divId w:val="578486591"/>
        <w:rPr>
          <w:rFonts w:eastAsia="Times New Roman"/>
        </w:rPr>
      </w:pPr>
      <w:r>
        <w:rPr>
          <w:rFonts w:eastAsia="Times New Roman"/>
          <w:color w:val="000000"/>
          <w:sz w:val="20"/>
          <w:szCs w:val="20"/>
        </w:rPr>
        <w:t>19</w:t>
      </w:r>
    </w:p>
    <w:p w:rsidR="00000000" w:rsidRDefault="000F0F8D">
      <w:pPr>
        <w:rPr>
          <w:rFonts w:eastAsia="Times New Roman"/>
        </w:rPr>
      </w:pPr>
      <w:r>
        <w:rPr>
          <w:rFonts w:eastAsia="Times New Roman"/>
        </w:rPr>
        <w:pict>
          <v:rect id="_x0000_i1042" style="width:0;height:1.5pt" o:hralign="center" o:hrstd="t" o:hr="t" fillcolor="#a0a0a0" stroked="f"/>
        </w:pict>
      </w:r>
    </w:p>
    <w:p w:rsidR="00000000" w:rsidRDefault="000F0F8D">
      <w:pPr>
        <w:jc w:val="center"/>
        <w:divId w:val="725564306"/>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725564306"/>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725564306"/>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725564306"/>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725564306"/>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725564306"/>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ind w:firstLine="360"/>
        <w:divId w:val="2002544708"/>
        <w:rPr>
          <w:rFonts w:eastAsia="Times New Roman"/>
        </w:rPr>
      </w:pPr>
      <w:r>
        <w:rPr>
          <w:rFonts w:eastAsia="Times New Roman"/>
          <w:color w:val="000000"/>
          <w:sz w:val="20"/>
          <w:szCs w:val="20"/>
        </w:rPr>
        <w:t>We have not finalized the purchase price allocation. Accordingly, the preliminary purchase price allocation shown below could change as the fair values of the assets acquired and liabilities assumed, and the related income tax effects, are finalized during</w:t>
      </w:r>
      <w:r>
        <w:rPr>
          <w:rFonts w:eastAsia="Times New Roman"/>
          <w:color w:val="000000"/>
          <w:sz w:val="20"/>
          <w:szCs w:val="20"/>
        </w:rPr>
        <w:t xml:space="preserve"> the remainder of the measurement period (which will not exceed 12 months from the Closing Date). The preliminary allocation of the purchase price to the assets acquired and liabilities assumed based on their fair values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187"/>
        <w:gridCol w:w="36"/>
        <w:gridCol w:w="110"/>
        <w:gridCol w:w="882"/>
        <w:gridCol w:w="36"/>
      </w:tblGrid>
      <w:tr w:rsidR="00000000">
        <w:trPr>
          <w:divId w:val="696582605"/>
        </w:trPr>
        <w:tc>
          <w:tcPr>
            <w:tcW w:w="50" w:type="pct"/>
            <w:vAlign w:val="center"/>
            <w:hideMark/>
          </w:tcPr>
          <w:p w:rsidR="00000000" w:rsidRDefault="000F0F8D">
            <w:pPr>
              <w:ind w:firstLine="360"/>
              <w:rPr>
                <w:rFonts w:eastAsia="Times New Roman"/>
              </w:rPr>
            </w:pPr>
          </w:p>
        </w:tc>
        <w:tc>
          <w:tcPr>
            <w:tcW w:w="434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696582605"/>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Cash</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96582605"/>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In-process research and development (IPR&amp;D)</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96582605"/>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887 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96582605"/>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96582605"/>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96582605"/>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Liabilities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96582605"/>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assets acquired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ind w:firstLine="360"/>
        <w:divId w:val="298073129"/>
        <w:rPr>
          <w:rFonts w:eastAsia="Times New Roman"/>
        </w:rPr>
      </w:pPr>
      <w:r>
        <w:rPr>
          <w:rFonts w:eastAsia="Times New Roman"/>
          <w:color w:val="000000"/>
          <w:sz w:val="20"/>
          <w:szCs w:val="20"/>
        </w:rPr>
        <w:t>Goodwill recognized in this transaction is not deductible for tax purposes and was allocated to our QCT segment for annual impairment testing purposes. Goodwill is primarily attributable to assembled workforce and certain revenue and cost synergies expecte</w:t>
      </w:r>
      <w:r>
        <w:rPr>
          <w:rFonts w:eastAsia="Times New Roman"/>
          <w:color w:val="000000"/>
          <w:sz w:val="20"/>
          <w:szCs w:val="20"/>
        </w:rPr>
        <w:t>d to arise after the acquisition. IPR&amp;D is related to a single project, which is expected to be completed in fiscal 2023 and, upon completion, will be amortized over its useful life, which is expected to be seven years. The estimated fair value of the IPR&amp;</w:t>
      </w:r>
      <w:r>
        <w:rPr>
          <w:rFonts w:eastAsia="Times New Roman"/>
          <w:color w:val="000000"/>
          <w:sz w:val="20"/>
          <w:szCs w:val="20"/>
        </w:rPr>
        <w:t xml:space="preserve">D asset acquired was determined using an income approach based on significant inputs that were not observable. </w:t>
      </w:r>
    </w:p>
    <w:p w:rsidR="00000000" w:rsidRDefault="000F0F8D">
      <w:pPr>
        <w:ind w:firstLine="360"/>
        <w:divId w:val="2128624352"/>
        <w:rPr>
          <w:rFonts w:eastAsia="Times New Roman"/>
        </w:rPr>
      </w:pPr>
      <w:r>
        <w:rPr>
          <w:rFonts w:eastAsia="Times New Roman"/>
          <w:color w:val="000000"/>
          <w:sz w:val="20"/>
          <w:szCs w:val="20"/>
        </w:rPr>
        <w:t xml:space="preserve">Our results of operations for the three and nine months ended June 27, 2021 included the operating results of NUVIA since the Closing Date, the </w:t>
      </w:r>
      <w:r>
        <w:rPr>
          <w:rFonts w:eastAsia="Times New Roman"/>
          <w:color w:val="000000"/>
          <w:sz w:val="20"/>
          <w:szCs w:val="20"/>
        </w:rPr>
        <w:t>amounts of which were not material. Pro forma results of operations have not been presented because the effects of this acquisition were not material to our condensed consolidated results of operations.</w:t>
      </w:r>
    </w:p>
    <w:p w:rsidR="00000000" w:rsidRDefault="000F0F8D">
      <w:pPr>
        <w:divId w:val="1310282142"/>
        <w:rPr>
          <w:rFonts w:eastAsia="Times New Roman"/>
        </w:rPr>
      </w:pPr>
      <w:r>
        <w:rPr>
          <w:rFonts w:eastAsia="Times New Roman"/>
          <w:b/>
          <w:bCs/>
          <w:color w:val="000000"/>
          <w:sz w:val="20"/>
          <w:szCs w:val="20"/>
        </w:rPr>
        <w:t>Note 8. Fair Value Measurements</w:t>
      </w:r>
    </w:p>
    <w:p w:rsidR="00000000" w:rsidRDefault="000F0F8D">
      <w:pPr>
        <w:ind w:firstLine="360"/>
        <w:divId w:val="840850716"/>
        <w:rPr>
          <w:rFonts w:eastAsia="Times New Roman"/>
        </w:rPr>
      </w:pPr>
      <w:r>
        <w:rPr>
          <w:rFonts w:eastAsia="Times New Roman"/>
          <w:color w:val="000000"/>
          <w:sz w:val="20"/>
          <w:szCs w:val="20"/>
        </w:rPr>
        <w:t>The following table p</w:t>
      </w:r>
      <w:r>
        <w:rPr>
          <w:rFonts w:eastAsia="Times New Roman"/>
          <w:color w:val="000000"/>
          <w:sz w:val="20"/>
          <w:szCs w:val="20"/>
        </w:rPr>
        <w:t>resents our fair value hierarchy for assets and liabilities measured at fair value on a recurring basis at June 27, 2021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1"/>
        <w:gridCol w:w="826"/>
        <w:gridCol w:w="36"/>
        <w:gridCol w:w="36"/>
        <w:gridCol w:w="36"/>
        <w:gridCol w:w="36"/>
        <w:gridCol w:w="110"/>
        <w:gridCol w:w="826"/>
        <w:gridCol w:w="36"/>
      </w:tblGrid>
      <w:tr w:rsidR="00000000">
        <w:trPr>
          <w:divId w:val="1189755948"/>
        </w:trPr>
        <w:tc>
          <w:tcPr>
            <w:tcW w:w="50" w:type="pct"/>
            <w:vAlign w:val="center"/>
            <w:hideMark/>
          </w:tcPr>
          <w:p w:rsidR="00000000" w:rsidRDefault="000F0F8D">
            <w:pPr>
              <w:ind w:firstLine="360"/>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189755948"/>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Total</w:t>
            </w:r>
          </w:p>
        </w:tc>
      </w:tr>
      <w:tr w:rsidR="00000000">
        <w:trPr>
          <w:divId w:val="1189755948"/>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18975594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Cash equivalents</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3,147 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3,022 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6,169 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Marketable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189755948"/>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Corporate bonds and notes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5,035 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5,035 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Mortgage- and asset-backed securities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18975594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18975594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189755948"/>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marketable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investments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664 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673 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FFFF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assets measured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189755948"/>
        </w:trPr>
        <w:tc>
          <w:tcPr>
            <w:tcW w:w="0" w:type="auto"/>
            <w:gridSpan w:val="3"/>
            <w:vAlign w:val="center"/>
            <w:hideMark/>
          </w:tcPr>
          <w:p w:rsidR="00000000" w:rsidRDefault="000F0F8D">
            <w:pPr>
              <w:spacing w:after="100"/>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18975594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Derivative instruments</w:t>
            </w: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664 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664 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189755948"/>
        </w:trPr>
        <w:tc>
          <w:tcPr>
            <w:tcW w:w="0" w:type="auto"/>
            <w:gridSpan w:val="3"/>
            <w:shd w:val="clear" w:color="auto" w:fill="FFFF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liabilities measured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ind w:firstLine="360"/>
        <w:divId w:val="262764885"/>
        <w:rPr>
          <w:rFonts w:eastAsia="Times New Roman"/>
        </w:rPr>
      </w:pPr>
      <w:r>
        <w:rPr>
          <w:rFonts w:eastAsia="Times New Roman"/>
          <w:b/>
          <w:bCs/>
          <w:i/>
          <w:iCs/>
          <w:color w:val="000000"/>
          <w:sz w:val="20"/>
          <w:szCs w:val="20"/>
        </w:rPr>
        <w:t xml:space="preserve">Activity within Level 3 of the Fair Value Hierarchy. </w:t>
      </w:r>
      <w:r>
        <w:rPr>
          <w:rFonts w:eastAsia="Times New Roman"/>
          <w:color w:val="000000"/>
          <w:sz w:val="20"/>
          <w:szCs w:val="20"/>
        </w:rPr>
        <w:t>Other investments included in Level 3 at June 27, 2021 were comprised of non-marketable debt instruments. Activity for marketable</w:t>
      </w:r>
      <w:r>
        <w:rPr>
          <w:rFonts w:eastAsia="Times New Roman"/>
          <w:color w:val="000000"/>
          <w:sz w:val="20"/>
          <w:szCs w:val="20"/>
        </w:rPr>
        <w:t xml:space="preserve"> securities and other investments classified within Level 3 was insignificant during the nine months ended June 27, 2021 (primarily related to sales of auction rate securities and settlements of non-marketable debt instruments) and the nine months ended Ju</w:t>
      </w:r>
      <w:r>
        <w:rPr>
          <w:rFonts w:eastAsia="Times New Roman"/>
          <w:color w:val="000000"/>
          <w:sz w:val="20"/>
          <w:szCs w:val="20"/>
        </w:rPr>
        <w:t xml:space="preserve">ne 28, 2020 (primarily related to impairments of certain non-marketable debt instruments and purchases of non-marketable debt instruments). Activity for other liabilities </w:t>
      </w:r>
    </w:p>
    <w:p w:rsidR="00000000" w:rsidRDefault="000F0F8D">
      <w:pPr>
        <w:jc w:val="center"/>
        <w:divId w:val="1742410661"/>
        <w:rPr>
          <w:rFonts w:eastAsia="Times New Roman"/>
        </w:rPr>
      </w:pPr>
      <w:r>
        <w:rPr>
          <w:rFonts w:eastAsia="Times New Roman"/>
          <w:color w:val="000000"/>
          <w:sz w:val="20"/>
          <w:szCs w:val="20"/>
        </w:rPr>
        <w:t>20</w:t>
      </w:r>
    </w:p>
    <w:p w:rsidR="00000000" w:rsidRDefault="000F0F8D">
      <w:pPr>
        <w:rPr>
          <w:rFonts w:eastAsia="Times New Roman"/>
        </w:rPr>
      </w:pPr>
      <w:r>
        <w:rPr>
          <w:rFonts w:eastAsia="Times New Roman"/>
        </w:rPr>
        <w:pict>
          <v:rect id="_x0000_i1043" style="width:0;height:1.5pt" o:hralign="center" o:hrstd="t" o:hr="t" fillcolor="#a0a0a0" stroked="f"/>
        </w:pict>
      </w:r>
    </w:p>
    <w:p w:rsidR="00000000" w:rsidRDefault="000F0F8D">
      <w:pPr>
        <w:jc w:val="center"/>
        <w:divId w:val="842009300"/>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842009300"/>
          <w:jc w:val="center"/>
        </w:trPr>
        <w:tc>
          <w:tcPr>
            <w:tcW w:w="50" w:type="pct"/>
            <w:vAlign w:val="center"/>
            <w:hideMark/>
          </w:tcPr>
          <w:p w:rsidR="00000000" w:rsidRDefault="000F0F8D">
            <w:pPr>
              <w:jc w:val="center"/>
              <w:rPr>
                <w:rFonts w:eastAsia="Times New Roman"/>
              </w:rPr>
            </w:pPr>
          </w:p>
        </w:tc>
        <w:tc>
          <w:tcPr>
            <w:tcW w:w="9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948"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842009300"/>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QUALCOMM Incorporated</w:t>
            </w:r>
          </w:p>
        </w:tc>
      </w:tr>
      <w:tr w:rsidR="00000000">
        <w:trPr>
          <w:divId w:val="842009300"/>
          <w:jc w:val="center"/>
        </w:trPr>
        <w:tc>
          <w:tcPr>
            <w:tcW w:w="0" w:type="auto"/>
            <w:gridSpan w:val="3"/>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842009300"/>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842009300"/>
          <w:jc w:val="center"/>
        </w:trPr>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(Unaudited)</w:t>
            </w:r>
          </w:p>
        </w:tc>
      </w:tr>
    </w:tbl>
    <w:p w:rsidR="00000000" w:rsidRDefault="000F0F8D">
      <w:pPr>
        <w:divId w:val="1875533978"/>
        <w:rPr>
          <w:rFonts w:eastAsia="Times New Roman"/>
        </w:rPr>
      </w:pPr>
      <w:r>
        <w:rPr>
          <w:rFonts w:eastAsia="Times New Roman"/>
          <w:color w:val="000000"/>
          <w:sz w:val="20"/>
          <w:szCs w:val="20"/>
        </w:rPr>
        <w:t>classified within Level 3 was insignificant during the nine months ended June 28, 2020 (primarily related to payments of contingent consideration related to a certain business acquisition).</w:t>
      </w:r>
    </w:p>
    <w:p w:rsidR="00000000" w:rsidRDefault="000F0F8D">
      <w:pPr>
        <w:ind w:firstLine="360"/>
        <w:divId w:val="340277797"/>
        <w:rPr>
          <w:rFonts w:eastAsia="Times New Roman"/>
        </w:rPr>
      </w:pPr>
      <w:r>
        <w:rPr>
          <w:rFonts w:eastAsia="Times New Roman"/>
          <w:b/>
          <w:bCs/>
          <w:i/>
          <w:iCs/>
          <w:color w:val="000000"/>
          <w:sz w:val="20"/>
          <w:szCs w:val="20"/>
        </w:rPr>
        <w:t>Assets Measured and Recorded at Fair Value on a Nonrecurring Basis</w:t>
      </w:r>
      <w:r>
        <w:rPr>
          <w:rFonts w:eastAsia="Times New Roman"/>
          <w:b/>
          <w:bCs/>
          <w:i/>
          <w:iCs/>
          <w:color w:val="000000"/>
          <w:sz w:val="20"/>
          <w:szCs w:val="20"/>
        </w:rPr>
        <w:t xml:space="preserve">. </w:t>
      </w:r>
      <w:r>
        <w:rPr>
          <w:rFonts w:eastAsia="Times New Roman"/>
          <w:color w:val="000000"/>
          <w:sz w:val="20"/>
          <w:szCs w:val="20"/>
        </w:rPr>
        <w:t>We measure certain assets and liabilities at fair value on a nonrecurring basis. These assets and liabilities include equity method and non-marketable equity investments, assets acquired and liabilities assumed in an acquisition or in a nonmonetary excha</w:t>
      </w:r>
      <w:r>
        <w:rPr>
          <w:rFonts w:eastAsia="Times New Roman"/>
          <w:color w:val="000000"/>
          <w:sz w:val="20"/>
          <w:szCs w:val="20"/>
        </w:rPr>
        <w:t>nge, and property, plant and equipment and intangible assets that are written down to fair value when they are held for sale or determined to be impaired. During the nine months ended June 27, 2021 and June 28, 2020, certain of our non-marketable equity in</w:t>
      </w:r>
      <w:r>
        <w:rPr>
          <w:rFonts w:eastAsia="Times New Roman"/>
          <w:color w:val="000000"/>
          <w:sz w:val="20"/>
          <w:szCs w:val="20"/>
        </w:rPr>
        <w:t>vestments were written down to their estimated fair values, which was recorded as a component of impairment losses on other investments in investment and other income, net (Note 2), and certain other non-marketable equity investments were remeasured to the</w:t>
      </w:r>
      <w:r>
        <w:rPr>
          <w:rFonts w:eastAsia="Times New Roman"/>
          <w:color w:val="000000"/>
          <w:sz w:val="20"/>
          <w:szCs w:val="20"/>
        </w:rPr>
        <w:t xml:space="preserve">ir estimated fair values based on observable price changes in orderly transactions for identical or similar securities, which is recorded as a component of net gains on other investments in investment and other income, net (Note 2). The estimation of fair </w:t>
      </w:r>
      <w:r>
        <w:rPr>
          <w:rFonts w:eastAsia="Times New Roman"/>
          <w:color w:val="000000"/>
          <w:sz w:val="20"/>
          <w:szCs w:val="20"/>
        </w:rPr>
        <w:t>value used in the fair value measurements required the use of significant unobservable inputs, and as a result, the fair value measurements were classified as Level 3.</w:t>
      </w:r>
    </w:p>
    <w:p w:rsidR="00000000" w:rsidRDefault="000F0F8D">
      <w:pPr>
        <w:ind w:firstLine="360"/>
        <w:divId w:val="837812352"/>
        <w:rPr>
          <w:rFonts w:eastAsia="Times New Roman"/>
        </w:rPr>
      </w:pPr>
      <w:r>
        <w:rPr>
          <w:rFonts w:eastAsia="Times New Roman"/>
          <w:b/>
          <w:bCs/>
          <w:i/>
          <w:iCs/>
          <w:color w:val="000000"/>
          <w:sz w:val="20"/>
          <w:szCs w:val="20"/>
        </w:rPr>
        <w:t xml:space="preserve">Long-term Debt. </w:t>
      </w:r>
      <w:r>
        <w:rPr>
          <w:rFonts w:eastAsia="Times New Roman"/>
          <w:color w:val="000000"/>
          <w:sz w:val="20"/>
          <w:szCs w:val="20"/>
        </w:rPr>
        <w:t>At June 27, 2021 and September 27, 2020, the aggregate fair value of our</w:t>
      </w:r>
      <w:r>
        <w:rPr>
          <w:rFonts w:eastAsia="Times New Roman"/>
          <w:color w:val="000000"/>
          <w:sz w:val="20"/>
          <w:szCs w:val="20"/>
        </w:rPr>
        <w:t xml:space="preserve"> outstanding floating- and fixed-rate notes, based on Level 2 inputs, was approximately $17.0 billion and $17.5 billion, respectively.</w:t>
      </w:r>
    </w:p>
    <w:p w:rsidR="00000000" w:rsidRDefault="000F0F8D">
      <w:pPr>
        <w:divId w:val="807011567"/>
        <w:rPr>
          <w:rFonts w:eastAsia="Times New Roman"/>
        </w:rPr>
      </w:pPr>
      <w:r>
        <w:rPr>
          <w:rFonts w:eastAsia="Times New Roman"/>
          <w:b/>
          <w:bCs/>
          <w:color w:val="000000"/>
          <w:sz w:val="20"/>
          <w:szCs w:val="20"/>
        </w:rPr>
        <w:t>Note 9. Marketable Securities</w:t>
      </w:r>
    </w:p>
    <w:p w:rsidR="00000000" w:rsidRDefault="000F0F8D">
      <w:pPr>
        <w:ind w:firstLine="360"/>
        <w:divId w:val="1159881774"/>
        <w:rPr>
          <w:rFonts w:eastAsia="Times New Roman"/>
        </w:rPr>
      </w:pPr>
      <w:r>
        <w:rPr>
          <w:rFonts w:eastAsia="Times New Roman"/>
          <w:color w:val="000000"/>
          <w:sz w:val="20"/>
          <w:szCs w:val="20"/>
        </w:rPr>
        <w:t>Our marketable securities were comprised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3950"/>
        <w:gridCol w:w="39"/>
        <w:gridCol w:w="110"/>
        <w:gridCol w:w="862"/>
        <w:gridCol w:w="36"/>
        <w:gridCol w:w="36"/>
        <w:gridCol w:w="36"/>
        <w:gridCol w:w="36"/>
        <w:gridCol w:w="111"/>
        <w:gridCol w:w="824"/>
        <w:gridCol w:w="36"/>
        <w:gridCol w:w="36"/>
        <w:gridCol w:w="36"/>
        <w:gridCol w:w="36"/>
        <w:gridCol w:w="111"/>
        <w:gridCol w:w="826"/>
        <w:gridCol w:w="37"/>
        <w:gridCol w:w="37"/>
        <w:gridCol w:w="37"/>
        <w:gridCol w:w="37"/>
        <w:gridCol w:w="111"/>
        <w:gridCol w:w="825"/>
        <w:gridCol w:w="36"/>
      </w:tblGrid>
      <w:tr w:rsidR="00000000">
        <w:trPr>
          <w:divId w:val="1472094962"/>
        </w:trPr>
        <w:tc>
          <w:tcPr>
            <w:tcW w:w="50" w:type="pct"/>
            <w:vAlign w:val="center"/>
            <w:hideMark/>
          </w:tcPr>
          <w:p w:rsidR="00000000" w:rsidRDefault="000F0F8D">
            <w:pPr>
              <w:ind w:firstLine="360"/>
              <w:rPr>
                <w:rFonts w:eastAsia="Times New Roman"/>
              </w:rPr>
            </w:pPr>
          </w:p>
        </w:tc>
        <w:tc>
          <w:tcPr>
            <w:tcW w:w="241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Current</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Noncurrent (1)</w:t>
            </w:r>
          </w:p>
        </w:tc>
      </w:tr>
      <w:tr w:rsidR="00000000">
        <w:trPr>
          <w:divId w:val="1472094962"/>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rPr>
          <w:divId w:val="1472094962"/>
        </w:trPr>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Available-for-sale debt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w:t>
            </w:r>
          </w:p>
        </w:tc>
      </w:tr>
      <w:tr w:rsidR="00000000">
        <w:trPr>
          <w:divId w:val="1472094962"/>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Corporate bonds and notes</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5,035 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72094962"/>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Mortgage- and asset-backed and auction rate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72094962"/>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72094962"/>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available-for-sale debt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72094962"/>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72094962"/>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ind w:hanging="90"/>
              <w:divId w:val="1507943260"/>
              <w:rPr>
                <w:rFonts w:eastAsia="Times New Roman"/>
              </w:rPr>
            </w:pPr>
            <w:r>
              <w:rPr>
                <w:rFonts w:eastAsia="Times New Roman"/>
                <w:color w:val="000000"/>
                <w:sz w:val="18"/>
                <w:szCs w:val="18"/>
              </w:rPr>
              <w:t>Equity securities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72094962"/>
        </w:trPr>
        <w:tc>
          <w:tcPr>
            <w:tcW w:w="0" w:type="auto"/>
            <w:gridSpan w:val="3"/>
            <w:shd w:val="clear" w:color="auto" w:fill="FFFFFF"/>
            <w:tcMar>
              <w:top w:w="30" w:type="dxa"/>
              <w:left w:w="3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Time deposit (2)</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72094962"/>
        </w:trPr>
        <w:tc>
          <w:tcPr>
            <w:tcW w:w="0" w:type="auto"/>
            <w:gridSpan w:val="3"/>
            <w:shd w:val="clear" w:color="auto" w:fill="CCEEFF"/>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marketable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221334508"/>
        <w:rPr>
          <w:rFonts w:eastAsia="Times New Roman"/>
        </w:rPr>
      </w:pPr>
      <w:r>
        <w:rPr>
          <w:rFonts w:eastAsia="Times New Roman"/>
          <w:color w:val="000000"/>
          <w:sz w:val="18"/>
          <w:szCs w:val="18"/>
        </w:rPr>
        <w:t>(1) Noncurrent marketable securities were included in other assets.</w:t>
      </w:r>
    </w:p>
    <w:p w:rsidR="00000000" w:rsidRDefault="000F0F8D">
      <w:pPr>
        <w:divId w:val="753284894"/>
        <w:rPr>
          <w:rFonts w:eastAsia="Times New Roman"/>
        </w:rPr>
      </w:pPr>
      <w:r>
        <w:rPr>
          <w:rFonts w:eastAsia="Times New Roman"/>
          <w:color w:val="000000"/>
          <w:sz w:val="18"/>
          <w:szCs w:val="18"/>
        </w:rPr>
        <w:t>(2) At September 27, 2020, marketable securities also included a time deposit with an original matu</w:t>
      </w:r>
      <w:r>
        <w:rPr>
          <w:rFonts w:eastAsia="Times New Roman"/>
          <w:color w:val="000000"/>
          <w:sz w:val="18"/>
          <w:szCs w:val="18"/>
        </w:rPr>
        <w:t>rity of greater than 90 days.</w:t>
      </w:r>
    </w:p>
    <w:p w:rsidR="00000000" w:rsidRDefault="000F0F8D">
      <w:pPr>
        <w:ind w:firstLine="360"/>
        <w:divId w:val="119298725"/>
        <w:rPr>
          <w:rFonts w:eastAsia="Times New Roman"/>
        </w:rPr>
      </w:pPr>
      <w:r>
        <w:rPr>
          <w:rFonts w:eastAsia="Times New Roman"/>
          <w:color w:val="000000"/>
          <w:sz w:val="20"/>
          <w:szCs w:val="20"/>
        </w:rPr>
        <w:t>The contractual maturities of available-for-sale debt securities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187"/>
        <w:gridCol w:w="36"/>
        <w:gridCol w:w="110"/>
        <w:gridCol w:w="882"/>
        <w:gridCol w:w="36"/>
      </w:tblGrid>
      <w:tr w:rsidR="00000000">
        <w:trPr>
          <w:divId w:val="701635592"/>
        </w:trPr>
        <w:tc>
          <w:tcPr>
            <w:tcW w:w="50" w:type="pct"/>
            <w:vAlign w:val="center"/>
            <w:hideMark/>
          </w:tcPr>
          <w:p w:rsidR="00000000" w:rsidRDefault="000F0F8D">
            <w:pPr>
              <w:ind w:firstLine="360"/>
              <w:rPr>
                <w:rFonts w:eastAsia="Times New Roman"/>
              </w:rPr>
            </w:pPr>
          </w:p>
        </w:tc>
        <w:tc>
          <w:tcPr>
            <w:tcW w:w="434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701635592"/>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r>
      <w:tr w:rsidR="00000000">
        <w:trPr>
          <w:divId w:val="701635592"/>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Years to 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rPr>
            </w:pPr>
          </w:p>
        </w:tc>
      </w:tr>
      <w:tr w:rsidR="00000000">
        <w:trPr>
          <w:divId w:val="701635592"/>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Less than one year</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1,938 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701635592"/>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One to five years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3,107 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701635592"/>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701635592"/>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701635592"/>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No single maturity date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701635592"/>
        </w:trPr>
        <w:tc>
          <w:tcPr>
            <w:tcW w:w="0" w:type="auto"/>
            <w:gridSpan w:val="3"/>
            <w:shd w:val="clear" w:color="auto" w:fill="FFFFFF"/>
            <w:tcMar>
              <w:top w:w="30" w:type="dxa"/>
              <w:left w:w="24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ind w:firstLine="360"/>
        <w:divId w:val="1556118795"/>
        <w:rPr>
          <w:rFonts w:eastAsia="Times New Roman"/>
        </w:rPr>
      </w:pPr>
      <w:r>
        <w:rPr>
          <w:rFonts w:eastAsia="Times New Roman"/>
          <w:color w:val="000000"/>
          <w:sz w:val="20"/>
          <w:szCs w:val="20"/>
        </w:rPr>
        <w:t>Debt securities with no single maturity date included mortgage- and asset-backed securities.</w:t>
      </w:r>
    </w:p>
    <w:p w:rsidR="00000000" w:rsidRDefault="000F0F8D">
      <w:pPr>
        <w:jc w:val="center"/>
        <w:divId w:val="759718322"/>
        <w:rPr>
          <w:rFonts w:eastAsia="Times New Roman"/>
        </w:rPr>
      </w:pPr>
      <w:r>
        <w:rPr>
          <w:rFonts w:eastAsia="Times New Roman"/>
          <w:color w:val="000000"/>
          <w:sz w:val="20"/>
          <w:szCs w:val="20"/>
        </w:rPr>
        <w:t>21</w:t>
      </w:r>
    </w:p>
    <w:p w:rsidR="00000000" w:rsidRDefault="000F0F8D">
      <w:pPr>
        <w:rPr>
          <w:rFonts w:eastAsia="Times New Roman"/>
        </w:rPr>
      </w:pPr>
      <w:r>
        <w:rPr>
          <w:rFonts w:eastAsia="Times New Roman"/>
        </w:rPr>
        <w:pict>
          <v:rect id="_x0000_i1044" style="width:0;height:1.5pt" o:hralign="center" o:hrstd="t" o:hr="t" fillcolor="#a0a0a0" stroked="f"/>
        </w:pict>
      </w:r>
    </w:p>
    <w:p w:rsidR="00000000" w:rsidRDefault="000F0F8D">
      <w:pPr>
        <w:divId w:val="1689985686"/>
        <w:rPr>
          <w:rFonts w:eastAsia="Times New Roman"/>
        </w:rPr>
      </w:pPr>
    </w:p>
    <w:p w:rsidR="00000000" w:rsidRDefault="000F0F8D">
      <w:pPr>
        <w:divId w:val="563107063"/>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0F0F8D">
      <w:pPr>
        <w:ind w:firstLine="360"/>
        <w:divId w:val="968315648"/>
        <w:rPr>
          <w:rFonts w:eastAsia="Times New Roman"/>
        </w:rPr>
      </w:pPr>
      <w:r>
        <w:rPr>
          <w:rFonts w:eastAsia="Times New Roman"/>
          <w:color w:val="000000"/>
          <w:sz w:val="20"/>
          <w:szCs w:val="20"/>
        </w:rPr>
        <w:t>This</w:t>
      </w:r>
      <w:r>
        <w:rPr>
          <w:rFonts w:eastAsia="Times New Roman"/>
          <w:b/>
          <w:bCs/>
          <w:color w:val="000000"/>
          <w:sz w:val="20"/>
          <w:szCs w:val="20"/>
        </w:rPr>
        <w:t xml:space="preserve"> </w:t>
      </w:r>
      <w:r>
        <w:rPr>
          <w:rFonts w:eastAsia="Times New Roman"/>
          <w:color w:val="000000"/>
          <w:sz w:val="20"/>
          <w:szCs w:val="20"/>
        </w:rPr>
        <w:t>information should be read in conjunction with the condensed consolidated financial statements and the notes thereto in</w:t>
      </w:r>
      <w:r>
        <w:rPr>
          <w:rFonts w:eastAsia="Times New Roman"/>
          <w:color w:val="000000"/>
          <w:sz w:val="20"/>
          <w:szCs w:val="20"/>
        </w:rPr>
        <w:t xml:space="preserve">cluded in “Part I, Item 1” of this Quarterly Report and with “Management’s Discussion and Analysis of Financial Condition and Results of Operations” for the fiscal year ended September 27, 2020 contained in our 2020 Annual Report on Form 10-K. </w:t>
      </w:r>
    </w:p>
    <w:p w:rsidR="00000000" w:rsidRDefault="000F0F8D">
      <w:pPr>
        <w:ind w:firstLine="360"/>
        <w:divId w:val="1049257481"/>
        <w:rPr>
          <w:rFonts w:eastAsia="Times New Roman"/>
        </w:rPr>
      </w:pPr>
      <w:r>
        <w:rPr>
          <w:rFonts w:eastAsia="Times New Roman"/>
          <w:color w:val="000000"/>
          <w:sz w:val="20"/>
          <w:szCs w:val="20"/>
        </w:rPr>
        <w:t>This Quarte</w:t>
      </w:r>
      <w:r>
        <w:rPr>
          <w:rFonts w:eastAsia="Times New Roman"/>
          <w:color w:val="000000"/>
          <w:sz w:val="20"/>
          <w:szCs w:val="20"/>
        </w:rPr>
        <w:t>rly Report (including but not limited to this section titled Management’s Discussion and Analysis of Financial Condition and Results of Operations) contains forward-looking statements regarding our business, investments, financial condition, results of ope</w:t>
      </w:r>
      <w:r>
        <w:rPr>
          <w:rFonts w:eastAsia="Times New Roman"/>
          <w:color w:val="000000"/>
          <w:sz w:val="20"/>
          <w:szCs w:val="20"/>
        </w:rPr>
        <w:t>rations, cash flows and prospects. Forward-looking statements further include but are not limited to statements regarding industry, market, business, product, technology, commercial, competitive or consumer trends, including seasonality; the 5G transition;</w:t>
      </w:r>
      <w:r>
        <w:rPr>
          <w:rFonts w:eastAsia="Times New Roman"/>
          <w:color w:val="000000"/>
          <w:sz w:val="20"/>
          <w:szCs w:val="20"/>
        </w:rPr>
        <w:t xml:space="preserve"> our businesses, growth potential or strategies, or factors that may impact them; challenges to our licensing business, including by licensees, governments, governmental agencies or regulators, standards bodies or others; challenges to our QCT business; ot</w:t>
      </w:r>
      <w:r>
        <w:rPr>
          <w:rFonts w:eastAsia="Times New Roman"/>
          <w:color w:val="000000"/>
          <w:sz w:val="20"/>
          <w:szCs w:val="20"/>
        </w:rPr>
        <w:t xml:space="preserve">her legal or regulatory matters; competition; new or expanded product areas, adjacent industry segments and applications; costs or expenditures including research and development, selling, general and administrative, restructuring or restructuring-related </w:t>
      </w:r>
      <w:r>
        <w:rPr>
          <w:rFonts w:eastAsia="Times New Roman"/>
          <w:color w:val="000000"/>
          <w:sz w:val="20"/>
          <w:szCs w:val="20"/>
        </w:rPr>
        <w:t>charges, working capital or information technology (IT) systems; our debt, financing, stock repurchase or dividend programs; our liquidity and capital resources, including our expected increase in operating cash outflows to secure long-term capacity commit</w:t>
      </w:r>
      <w:r>
        <w:rPr>
          <w:rFonts w:eastAsia="Times New Roman"/>
          <w:color w:val="000000"/>
          <w:sz w:val="20"/>
          <w:szCs w:val="20"/>
        </w:rPr>
        <w:t>ments with certain of our suppliers; strategic investments or acquisitions, and the anticipated timing or benefits thereof; the potential impacts of the COVID-19 pandemic; adoption and application of future accounting guidance; tax law changes; our tax str</w:t>
      </w:r>
      <w:r>
        <w:rPr>
          <w:rFonts w:eastAsia="Times New Roman"/>
          <w:color w:val="000000"/>
          <w:sz w:val="20"/>
          <w:szCs w:val="20"/>
        </w:rPr>
        <w:t xml:space="preserve">ucture or strategies; U.S./China trade or national security policies; and the potential business or financial statement impacts of any of the above, among others. Words such as “expects,” “anticipates,” “intends,” “plans,” “believes,” “seeks,” “estimates” </w:t>
      </w:r>
      <w:r>
        <w:rPr>
          <w:rFonts w:eastAsia="Times New Roman"/>
          <w:color w:val="000000"/>
          <w:sz w:val="20"/>
          <w:szCs w:val="20"/>
        </w:rPr>
        <w:t>and similar expressions or variations of such words are intended to identify forward-looking statements, but are not the exclusive means of identifying forward-looking statements in this Quarterly Report.</w:t>
      </w:r>
    </w:p>
    <w:p w:rsidR="00000000" w:rsidRDefault="000F0F8D">
      <w:pPr>
        <w:ind w:firstLine="360"/>
        <w:divId w:val="444008160"/>
        <w:rPr>
          <w:rFonts w:eastAsia="Times New Roman"/>
        </w:rPr>
      </w:pPr>
      <w:r>
        <w:rPr>
          <w:rFonts w:eastAsia="Times New Roman"/>
          <w:color w:val="000000"/>
          <w:sz w:val="20"/>
          <w:szCs w:val="20"/>
        </w:rPr>
        <w:t>Although forward-looking statements in this Quarter</w:t>
      </w:r>
      <w:r>
        <w:rPr>
          <w:rFonts w:eastAsia="Times New Roman"/>
          <w:color w:val="000000"/>
          <w:sz w:val="20"/>
          <w:szCs w:val="20"/>
        </w:rPr>
        <w:t>ly Report reflect our good faith judgment, such statements can only be based on facts and factors currently known by us. Consequently, forward-looking statements are inherently subject to risks and uncertainties and actual results and outcomes may differ m</w:t>
      </w:r>
      <w:r>
        <w:rPr>
          <w:rFonts w:eastAsia="Times New Roman"/>
          <w:color w:val="000000"/>
          <w:sz w:val="20"/>
          <w:szCs w:val="20"/>
        </w:rPr>
        <w:t>aterially from the results and outcomes discussed in or anticipated by the forward-looking statements. Factors that could cause or contribute to such differences in results and outcomes include without limitation those discussed under the heading “Risk Fac</w:t>
      </w:r>
      <w:r>
        <w:rPr>
          <w:rFonts w:eastAsia="Times New Roman"/>
          <w:color w:val="000000"/>
          <w:sz w:val="20"/>
          <w:szCs w:val="20"/>
        </w:rPr>
        <w:t>tors” below, as well as those discussed elsewhere in this Quarterly Report</w:t>
      </w:r>
      <w:r>
        <w:rPr>
          <w:rFonts w:eastAsia="Times New Roman"/>
          <w:color w:val="000000"/>
          <w:sz w:val="20"/>
          <w:szCs w:val="20"/>
          <w:shd w:val="clear" w:color="auto" w:fill="FFFFFF"/>
        </w:rPr>
        <w:t>. Readers are ur</w:t>
      </w:r>
      <w:r>
        <w:rPr>
          <w:rFonts w:eastAsia="Times New Roman"/>
          <w:color w:val="000000"/>
          <w:sz w:val="20"/>
          <w:szCs w:val="20"/>
        </w:rPr>
        <w:t xml:space="preserve">ged not to place undue reliance on these forward-looking statements, which speak only as of the date of this Quarterly Report. We undertake no obligation to revise or update any forward-looking statements in order to reflect any event or circumstance that </w:t>
      </w:r>
      <w:r>
        <w:rPr>
          <w:rFonts w:eastAsia="Times New Roman"/>
          <w:color w:val="000000"/>
          <w:sz w:val="20"/>
          <w:szCs w:val="20"/>
        </w:rPr>
        <w:t>may arise after the date of this Quarterly Report. Readers are urged to carefully review and consider the various disclosures made in this Quarterly Report, which attempt to advise interested parties of the risks and factors that may affect our business, f</w:t>
      </w:r>
      <w:r>
        <w:rPr>
          <w:rFonts w:eastAsia="Times New Roman"/>
          <w:color w:val="000000"/>
          <w:sz w:val="20"/>
          <w:szCs w:val="20"/>
        </w:rPr>
        <w:t>inancial condition, results of operations and prospects.</w:t>
      </w:r>
    </w:p>
    <w:p w:rsidR="00000000" w:rsidRDefault="000F0F8D">
      <w:pPr>
        <w:divId w:val="1333295331"/>
        <w:rPr>
          <w:rFonts w:eastAsia="Times New Roman"/>
        </w:rPr>
      </w:pPr>
      <w:r>
        <w:rPr>
          <w:rFonts w:eastAsia="Times New Roman"/>
          <w:b/>
          <w:bCs/>
          <w:color w:val="000000"/>
          <w:sz w:val="20"/>
          <w:szCs w:val="20"/>
        </w:rPr>
        <w:t xml:space="preserve">Third Quarter Fiscal 2021 Overview </w:t>
      </w:r>
    </w:p>
    <w:p w:rsidR="00000000" w:rsidRDefault="000F0F8D">
      <w:pPr>
        <w:ind w:firstLine="360"/>
        <w:divId w:val="1432818926"/>
        <w:rPr>
          <w:rFonts w:eastAsia="Times New Roman"/>
        </w:rPr>
      </w:pPr>
      <w:r>
        <w:rPr>
          <w:rFonts w:eastAsia="Times New Roman"/>
          <w:color w:val="000000"/>
          <w:sz w:val="20"/>
          <w:szCs w:val="20"/>
        </w:rPr>
        <w:t xml:space="preserve">Revenues for the third quarter of fiscal 2021 were $8.1 billion, an increase of 65% compared to the year ago quarter, with net income of $2.0 billion, an increase </w:t>
      </w:r>
      <w:r>
        <w:rPr>
          <w:rFonts w:eastAsia="Times New Roman"/>
          <w:color w:val="000000"/>
          <w:sz w:val="20"/>
          <w:szCs w:val="20"/>
        </w:rPr>
        <w:t xml:space="preserve">of 140% compared to the year ago quarter. Highlights from the third quarter of fiscal 2021 included: </w:t>
      </w:r>
    </w:p>
    <w:p w:rsidR="00000000" w:rsidRDefault="000F0F8D">
      <w:pPr>
        <w:ind w:hanging="360"/>
        <w:divId w:val="19865801"/>
        <w:rPr>
          <w:rFonts w:eastAsia="Times New Roman"/>
        </w:rPr>
      </w:pPr>
      <w:r>
        <w:rPr>
          <w:rFonts w:eastAsia="Times New Roman"/>
          <w:color w:val="000000"/>
          <w:sz w:val="20"/>
          <w:szCs w:val="20"/>
        </w:rPr>
        <w:t>•QCT revenues increased by 70% in the third quarter of fiscal 2021 compared to the year ago quarter, primarily due to an increase in demand for 5G product</w:t>
      </w:r>
      <w:r>
        <w:rPr>
          <w:rFonts w:eastAsia="Times New Roman"/>
          <w:color w:val="000000"/>
          <w:sz w:val="20"/>
          <w:szCs w:val="20"/>
        </w:rPr>
        <w:t>s across handsets and RFFE, in part reflecting a recovery of the negative impacts of COVID-19, along with higher automotive and IoT revenues.</w:t>
      </w:r>
    </w:p>
    <w:p w:rsidR="00000000" w:rsidRDefault="000F0F8D">
      <w:pPr>
        <w:ind w:hanging="360"/>
        <w:divId w:val="1656178576"/>
        <w:rPr>
          <w:rFonts w:eastAsia="Times New Roman"/>
        </w:rPr>
      </w:pPr>
      <w:r>
        <w:rPr>
          <w:rFonts w:eastAsia="Times New Roman"/>
          <w:color w:val="000000"/>
          <w:sz w:val="20"/>
          <w:szCs w:val="20"/>
        </w:rPr>
        <w:t>•</w:t>
      </w:r>
      <w:r>
        <w:rPr>
          <w:rFonts w:eastAsia="Times New Roman"/>
          <w:color w:val="000000"/>
          <w:sz w:val="20"/>
          <w:szCs w:val="20"/>
        </w:rPr>
        <w:t xml:space="preserve">QTL revenues increased by 43% in the third quarter of fiscal 2021 compared to the year ago quarter, primarily due to an increase in estimated sales of 3G/4G/5G-based multimode products, which was primarily driven by a recovery from the negative impacts of </w:t>
      </w:r>
      <w:r>
        <w:rPr>
          <w:rFonts w:eastAsia="Times New Roman"/>
          <w:color w:val="000000"/>
          <w:sz w:val="20"/>
          <w:szCs w:val="20"/>
        </w:rPr>
        <w:t>COVID-19.</w:t>
      </w:r>
    </w:p>
    <w:p w:rsidR="00000000" w:rsidRDefault="000F0F8D">
      <w:pPr>
        <w:divId w:val="30345412"/>
        <w:rPr>
          <w:rFonts w:eastAsia="Times New Roman"/>
        </w:rPr>
      </w:pPr>
      <w:r>
        <w:rPr>
          <w:rFonts w:eastAsia="Times New Roman"/>
          <w:b/>
          <w:bCs/>
          <w:color w:val="000000"/>
          <w:sz w:val="20"/>
          <w:szCs w:val="20"/>
        </w:rPr>
        <w:t>Our Business and Operating Segments</w:t>
      </w:r>
    </w:p>
    <w:p w:rsidR="00000000" w:rsidRDefault="000F0F8D">
      <w:pPr>
        <w:ind w:firstLine="360"/>
        <w:divId w:val="1309020738"/>
        <w:rPr>
          <w:rFonts w:eastAsia="Times New Roman"/>
        </w:rPr>
      </w:pPr>
      <w:r>
        <w:rPr>
          <w:rFonts w:eastAsia="Times New Roman"/>
          <w:color w:val="000000"/>
          <w:sz w:val="20"/>
          <w:szCs w:val="20"/>
        </w:rPr>
        <w:t>We develop and commercialize foundational technologies and products used in mobile devices and other wireless products. We derive revenues principally from sales of integrated circuit products and licensing our</w:t>
      </w:r>
      <w:r>
        <w:rPr>
          <w:rFonts w:eastAsia="Times New Roman"/>
          <w:color w:val="000000"/>
          <w:sz w:val="20"/>
          <w:szCs w:val="20"/>
        </w:rPr>
        <w:t xml:space="preserve"> intellectual property, including patents and other rights.</w:t>
      </w:r>
    </w:p>
    <w:p w:rsidR="00000000" w:rsidRDefault="000F0F8D">
      <w:pPr>
        <w:ind w:firstLine="360"/>
        <w:divId w:val="56054631"/>
        <w:rPr>
          <w:rFonts w:eastAsia="Times New Roman"/>
        </w:rPr>
      </w:pPr>
      <w:r>
        <w:rPr>
          <w:rFonts w:eastAsia="Times New Roman"/>
          <w:color w:val="000000"/>
          <w:sz w:val="20"/>
          <w:szCs w:val="20"/>
        </w:rPr>
        <w:t>We are organized on the basis of products and services and have three reportable segments. We conduct business primarily through our QCT (Qualcomm CDMA Technologies) semiconductor business and our</w:t>
      </w:r>
      <w:r>
        <w:rPr>
          <w:rFonts w:eastAsia="Times New Roman"/>
          <w:color w:val="000000"/>
          <w:sz w:val="20"/>
          <w:szCs w:val="20"/>
        </w:rPr>
        <w:t xml:space="preserve"> QTL (Qualcomm Technology Licensing) licensing business. Our QSI (Qualcomm Strategic Initiatives) reportable segment makes strategic investments. We also have nonreportable segments, including QGOV (Qualcomm Government Technologies), our cloud AI inference</w:t>
      </w:r>
      <w:r>
        <w:rPr>
          <w:rFonts w:eastAsia="Times New Roman"/>
          <w:color w:val="000000"/>
          <w:sz w:val="20"/>
          <w:szCs w:val="20"/>
        </w:rPr>
        <w:t xml:space="preserve"> processing initiative and other technology and service initiatives. </w:t>
      </w:r>
    </w:p>
    <w:p w:rsidR="00000000" w:rsidRDefault="000F0F8D">
      <w:pPr>
        <w:jc w:val="center"/>
        <w:divId w:val="729377941"/>
        <w:rPr>
          <w:rFonts w:eastAsia="Times New Roman"/>
        </w:rPr>
      </w:pPr>
      <w:r>
        <w:rPr>
          <w:rFonts w:eastAsia="Times New Roman"/>
          <w:color w:val="000000"/>
          <w:sz w:val="20"/>
          <w:szCs w:val="20"/>
        </w:rPr>
        <w:t>22</w:t>
      </w:r>
    </w:p>
    <w:p w:rsidR="00000000" w:rsidRDefault="000F0F8D">
      <w:pPr>
        <w:rPr>
          <w:rFonts w:eastAsia="Times New Roman"/>
        </w:rPr>
      </w:pPr>
      <w:r>
        <w:rPr>
          <w:rFonts w:eastAsia="Times New Roman"/>
        </w:rPr>
        <w:pict>
          <v:rect id="_x0000_i1045" style="width:0;height:1.5pt" o:hralign="center" o:hrstd="t" o:hr="t" fillcolor="#a0a0a0" stroked="f"/>
        </w:pict>
      </w:r>
    </w:p>
    <w:p w:rsidR="00000000" w:rsidRDefault="000F0F8D">
      <w:pPr>
        <w:divId w:val="770929555"/>
        <w:rPr>
          <w:rFonts w:eastAsia="Times New Roman"/>
        </w:rPr>
      </w:pPr>
    </w:p>
    <w:p w:rsidR="00000000" w:rsidRDefault="000F0F8D">
      <w:pPr>
        <w:ind w:firstLine="360"/>
        <w:divId w:val="1927763655"/>
        <w:rPr>
          <w:rFonts w:eastAsia="Times New Roman"/>
        </w:rPr>
      </w:pPr>
      <w:r>
        <w:rPr>
          <w:rFonts w:eastAsia="Times New Roman"/>
          <w:color w:val="000000"/>
          <w:sz w:val="20"/>
          <w:szCs w:val="20"/>
        </w:rPr>
        <w:t>Our reportable segments are operated by QUALCOMM Incorporated and its direct and indirect subsidiaries. QTL is operated by QUALCOMM Incorporated</w:t>
      </w:r>
      <w:r>
        <w:rPr>
          <w:rFonts w:eastAsia="Times New Roman"/>
          <w:color w:val="000000"/>
          <w:sz w:val="20"/>
          <w:szCs w:val="20"/>
        </w:rPr>
        <w:t>, which owns the vast majority of our patent portfolio. Substantially all of our products and services businesses, including QCT, and substantially all of our engineering, research and development functions, are operated by Qualcomm Technologies, Inc. (QTI</w:t>
      </w:r>
      <w:r>
        <w:rPr>
          <w:rFonts w:eastAsia="Times New Roman"/>
          <w:color w:val="000000"/>
          <w:sz w:val="20"/>
          <w:szCs w:val="20"/>
        </w:rPr>
        <w:t>), a wholly-owned subsidiary of QUALCOMM Incorporated, and QTI’s subsidiaries. Neither QTI nor any of its subsidiaries has any right, power or authority to grant any licenses or other rights under or to any patents owned by QUALCOMM Incorporated.</w:t>
      </w:r>
    </w:p>
    <w:p w:rsidR="00000000" w:rsidRDefault="000F0F8D">
      <w:pPr>
        <w:ind w:firstLine="360"/>
        <w:divId w:val="800078530"/>
        <w:rPr>
          <w:rFonts w:eastAsia="Times New Roman"/>
        </w:rPr>
      </w:pPr>
      <w:r>
        <w:rPr>
          <w:rFonts w:eastAsia="Times New Roman"/>
          <w:b/>
          <w:bCs/>
          <w:i/>
          <w:iCs/>
          <w:color w:val="000000"/>
          <w:sz w:val="20"/>
          <w:szCs w:val="20"/>
        </w:rPr>
        <w:t>Seasonali</w:t>
      </w:r>
      <w:r>
        <w:rPr>
          <w:rFonts w:eastAsia="Times New Roman"/>
          <w:b/>
          <w:bCs/>
          <w:i/>
          <w:iCs/>
          <w:color w:val="000000"/>
          <w:sz w:val="20"/>
          <w:szCs w:val="20"/>
        </w:rPr>
        <w:t xml:space="preserve">ty. </w:t>
      </w:r>
      <w:r>
        <w:rPr>
          <w:rFonts w:eastAsia="Times New Roman"/>
          <w:color w:val="000000"/>
          <w:sz w:val="20"/>
          <w:szCs w:val="20"/>
        </w:rPr>
        <w:t>Many of our products and much of our intellectual property are incorporated into consumer wireless devices, which are subject to seasonality and other fluctuations in demand. Our revenues have historically fluctuated based on consumer demand for device</w:t>
      </w:r>
      <w:r>
        <w:rPr>
          <w:rFonts w:eastAsia="Times New Roman"/>
          <w:color w:val="000000"/>
          <w:sz w:val="20"/>
          <w:szCs w:val="20"/>
        </w:rPr>
        <w:t>s, as well as on the timing of customer/licensee device launches and/or innovation cycles (such as the transition to the next generation of wireless technologies). This has resulted in fluctuations in QCT revenues in advance of and during device launches i</w:t>
      </w:r>
      <w:r>
        <w:rPr>
          <w:rFonts w:eastAsia="Times New Roman"/>
          <w:color w:val="000000"/>
          <w:sz w:val="20"/>
          <w:szCs w:val="20"/>
        </w:rPr>
        <w:t>ncorporating our products and in QTL revenues when licensees’ sales occur. We expect QCT revenues to continue to be impacted by seasonal trends related to product launch timing for sales made to Apple under our multi-year chipset supply agreement. These tr</w:t>
      </w:r>
      <w:r>
        <w:rPr>
          <w:rFonts w:eastAsia="Times New Roman"/>
          <w:color w:val="000000"/>
          <w:sz w:val="20"/>
          <w:szCs w:val="20"/>
        </w:rPr>
        <w:t>ends may or may not continue in the future and have been impacted in the past by declines in consumer demand resulting from COVID-19. Further, the trends for QTL have been, and may in the future be, impacted by disputes and/or resolutions with licensees an</w:t>
      </w:r>
      <w:r>
        <w:rPr>
          <w:rFonts w:eastAsia="Times New Roman"/>
          <w:color w:val="000000"/>
          <w:sz w:val="20"/>
          <w:szCs w:val="20"/>
        </w:rPr>
        <w:t>d/or governmental investigations or proceedings.</w:t>
      </w:r>
    </w:p>
    <w:p w:rsidR="00000000" w:rsidRDefault="000F0F8D">
      <w:pPr>
        <w:divId w:val="931888224"/>
        <w:rPr>
          <w:rFonts w:eastAsia="Times New Roman"/>
        </w:rPr>
      </w:pPr>
      <w:r>
        <w:rPr>
          <w:rFonts w:eastAsia="Times New Roman"/>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996"/>
        <w:gridCol w:w="36"/>
        <w:gridCol w:w="110"/>
        <w:gridCol w:w="836"/>
        <w:gridCol w:w="36"/>
        <w:gridCol w:w="36"/>
        <w:gridCol w:w="36"/>
        <w:gridCol w:w="36"/>
        <w:gridCol w:w="110"/>
        <w:gridCol w:w="796"/>
        <w:gridCol w:w="36"/>
        <w:gridCol w:w="36"/>
        <w:gridCol w:w="36"/>
        <w:gridCol w:w="36"/>
        <w:gridCol w:w="111"/>
        <w:gridCol w:w="796"/>
        <w:gridCol w:w="37"/>
        <w:gridCol w:w="36"/>
        <w:gridCol w:w="36"/>
        <w:gridCol w:w="36"/>
        <w:gridCol w:w="110"/>
        <w:gridCol w:w="796"/>
        <w:gridCol w:w="36"/>
        <w:gridCol w:w="36"/>
        <w:gridCol w:w="36"/>
        <w:gridCol w:w="36"/>
        <w:gridCol w:w="110"/>
        <w:gridCol w:w="796"/>
        <w:gridCol w:w="36"/>
        <w:gridCol w:w="36"/>
        <w:gridCol w:w="36"/>
        <w:gridCol w:w="36"/>
        <w:gridCol w:w="111"/>
        <w:gridCol w:w="798"/>
        <w:gridCol w:w="36"/>
      </w:tblGrid>
      <w:tr w:rsidR="00000000">
        <w:trPr>
          <w:divId w:val="894004716"/>
        </w:trPr>
        <w:tc>
          <w:tcPr>
            <w:tcW w:w="50" w:type="pct"/>
            <w:vAlign w:val="center"/>
            <w:hideMark/>
          </w:tcPr>
          <w:p w:rsidR="00000000" w:rsidRDefault="000F0F8D">
            <w:pPr>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894004716"/>
        </w:trPr>
        <w:tc>
          <w:tcPr>
            <w:tcW w:w="0" w:type="auto"/>
            <w:gridSpan w:val="18"/>
            <w:tcMar>
              <w:top w:w="30" w:type="dxa"/>
              <w:left w:w="20" w:type="dxa"/>
              <w:bottom w:w="30" w:type="dxa"/>
              <w:right w:w="20" w:type="dxa"/>
            </w:tcMar>
            <w:vAlign w:val="bottom"/>
            <w:hideMark/>
          </w:tcPr>
          <w:p w:rsidR="00000000" w:rsidRDefault="000F0F8D">
            <w:pPr>
              <w:spacing w:after="100"/>
              <w:ind w:firstLine="360"/>
              <w:divId w:val="163404576"/>
              <w:rPr>
                <w:rFonts w:eastAsia="Times New Roman"/>
              </w:rPr>
            </w:pPr>
            <w:r>
              <w:rPr>
                <w:rFonts w:eastAsia="Times New Roman"/>
                <w:b/>
                <w:bCs/>
                <w:i/>
                <w:iCs/>
                <w:color w:val="000000"/>
                <w:sz w:val="20"/>
                <w:szCs w:val="20"/>
              </w:rPr>
              <w:t>Revenues (in millions)</w:t>
            </w:r>
          </w:p>
        </w:tc>
        <w:tc>
          <w:tcPr>
            <w:tcW w:w="0" w:type="auto"/>
            <w:gridSpan w:val="3"/>
            <w:tcMar>
              <w:top w:w="0" w:type="dxa"/>
              <w:left w:w="20" w:type="dxa"/>
              <w:bottom w:w="0" w:type="dxa"/>
              <w:right w:w="20" w:type="dxa"/>
            </w:tcMar>
            <w:vAlign w:val="center"/>
            <w:hideMark/>
          </w:tcPr>
          <w:p w:rsidR="00000000" w:rsidRDefault="000F0F8D">
            <w:pPr>
              <w:spacing w:after="100"/>
              <w:ind w:firstLine="36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94004716"/>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894004716"/>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894004716"/>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Equipment and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7,733 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94004716"/>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1,632 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1,099 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5,121 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3,809 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1,312 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94004716"/>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8,060 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24,230 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divId w:val="601228662"/>
        <w:rPr>
          <w:rFonts w:eastAsia="Times New Roman"/>
        </w:rPr>
      </w:pPr>
      <w:r>
        <w:rPr>
          <w:rFonts w:eastAsia="Times New Roman"/>
          <w:b/>
          <w:bCs/>
          <w:i/>
          <w:iCs/>
          <w:color w:val="000000"/>
          <w:sz w:val="20"/>
          <w:szCs w:val="20"/>
        </w:rPr>
        <w:t>Third quarter 2021 vs. 2020</w:t>
      </w:r>
    </w:p>
    <w:p w:rsidR="00000000" w:rsidRDefault="000F0F8D">
      <w:pPr>
        <w:divId w:val="467088409"/>
        <w:rPr>
          <w:rFonts w:eastAsia="Times New Roman"/>
        </w:rPr>
      </w:pPr>
      <w:r>
        <w:rPr>
          <w:rFonts w:eastAsia="Times New Roman"/>
          <w:color w:val="000000"/>
          <w:sz w:val="20"/>
          <w:szCs w:val="20"/>
        </w:rPr>
        <w:t>The increase in revenues in the third quarter of fiscal 2021 was primarily due to:</w:t>
      </w:r>
    </w:p>
    <w:p w:rsidR="00000000" w:rsidRDefault="000F0F8D">
      <w:pPr>
        <w:ind w:hanging="360"/>
        <w:divId w:val="1264849070"/>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w:t>
      </w:r>
      <w:r>
        <w:rPr>
          <w:rFonts w:eastAsia="Times New Roman"/>
          <w:color w:val="000000"/>
          <w:sz w:val="20"/>
          <w:szCs w:val="20"/>
        </w:rPr>
        <w:t>$2.6 billion in higher equipment and services revenues from our QCT segment</w:t>
      </w:r>
    </w:p>
    <w:p w:rsidR="00000000" w:rsidRDefault="000F0F8D">
      <w:pPr>
        <w:ind w:hanging="360"/>
        <w:divId w:val="1852335118"/>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$445 million in higher licensing revenues from our QTL segment</w:t>
      </w:r>
    </w:p>
    <w:p w:rsidR="00000000" w:rsidRDefault="000F0F8D">
      <w:pPr>
        <w:ind w:hanging="720"/>
        <w:divId w:val="167642035"/>
        <w:rPr>
          <w:rFonts w:eastAsia="Times New Roman"/>
        </w:rPr>
      </w:pPr>
      <w:r>
        <w:rPr>
          <w:rFonts w:eastAsia="Times New Roman"/>
          <w:b/>
          <w:bCs/>
          <w:i/>
          <w:iCs/>
          <w:color w:val="000000"/>
          <w:sz w:val="20"/>
          <w:szCs w:val="20"/>
        </w:rPr>
        <w:t>First nine months 2021 vs. 2020</w:t>
      </w:r>
    </w:p>
    <w:p w:rsidR="00000000" w:rsidRDefault="000F0F8D">
      <w:pPr>
        <w:divId w:val="16586642"/>
        <w:rPr>
          <w:rFonts w:eastAsia="Times New Roman"/>
        </w:rPr>
      </w:pPr>
      <w:r>
        <w:rPr>
          <w:rFonts w:eastAsia="Times New Roman"/>
          <w:color w:val="000000"/>
          <w:sz w:val="20"/>
          <w:szCs w:val="20"/>
        </w:rPr>
        <w:t>The increase in revenues in the first nine months of fiscal 2021 was primarily d</w:t>
      </w:r>
      <w:r>
        <w:rPr>
          <w:rFonts w:eastAsia="Times New Roman"/>
          <w:color w:val="000000"/>
          <w:sz w:val="20"/>
          <w:szCs w:val="20"/>
        </w:rPr>
        <w:t>ue to:</w:t>
      </w:r>
    </w:p>
    <w:p w:rsidR="00000000" w:rsidRDefault="000F0F8D">
      <w:pPr>
        <w:ind w:hanging="360"/>
        <w:divId w:val="1231189142"/>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$7.7 billion in higher equipment and services revenues from our QCT segment</w:t>
      </w:r>
    </w:p>
    <w:p w:rsidR="00000000" w:rsidRDefault="000F0F8D">
      <w:pPr>
        <w:ind w:hanging="360"/>
        <w:divId w:val="97421456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$1.2 billion in higher licensing revenues from our QTL segment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1912"/>
        <w:gridCol w:w="36"/>
        <w:gridCol w:w="110"/>
        <w:gridCol w:w="794"/>
        <w:gridCol w:w="170"/>
        <w:gridCol w:w="36"/>
        <w:gridCol w:w="36"/>
        <w:gridCol w:w="36"/>
        <w:gridCol w:w="110"/>
        <w:gridCol w:w="714"/>
        <w:gridCol w:w="170"/>
        <w:gridCol w:w="36"/>
        <w:gridCol w:w="36"/>
        <w:gridCol w:w="36"/>
        <w:gridCol w:w="111"/>
        <w:gridCol w:w="714"/>
        <w:gridCol w:w="37"/>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083797734"/>
        </w:trPr>
        <w:tc>
          <w:tcPr>
            <w:tcW w:w="50" w:type="pct"/>
            <w:vAlign w:val="center"/>
            <w:hideMark/>
          </w:tcPr>
          <w:p w:rsidR="00000000" w:rsidRDefault="000F0F8D">
            <w:pPr>
              <w:ind w:hanging="360"/>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083797734"/>
        </w:trPr>
        <w:tc>
          <w:tcPr>
            <w:tcW w:w="0" w:type="auto"/>
            <w:gridSpan w:val="18"/>
            <w:tcMar>
              <w:top w:w="30" w:type="dxa"/>
              <w:left w:w="380" w:type="dxa"/>
              <w:bottom w:w="30" w:type="dxa"/>
              <w:right w:w="20" w:type="dxa"/>
            </w:tcMar>
            <w:vAlign w:val="bottom"/>
            <w:hideMark/>
          </w:tcPr>
          <w:p w:rsidR="00000000" w:rsidRDefault="000F0F8D">
            <w:pPr>
              <w:spacing w:after="100"/>
              <w:rPr>
                <w:rFonts w:eastAsia="Times New Roman"/>
              </w:rPr>
            </w:pPr>
            <w:r>
              <w:rPr>
                <w:rFonts w:eastAsia="Times New Roman"/>
                <w:b/>
                <w:bCs/>
                <w:i/>
                <w:iCs/>
                <w:color w:val="000000"/>
                <w:sz w:val="20"/>
                <w:szCs w:val="20"/>
              </w:rPr>
              <w:t>Costs and Expenses (in millions, except percentages)</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083797734"/>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083797734"/>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1083797734"/>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xml:space="preserve">Cost of 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083797734"/>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Gross margin</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bl>
    <w:p w:rsidR="00000000" w:rsidRDefault="000F0F8D">
      <w:pPr>
        <w:divId w:val="1181892668"/>
        <w:rPr>
          <w:rFonts w:eastAsia="Times New Roman"/>
        </w:rPr>
      </w:pPr>
      <w:r>
        <w:rPr>
          <w:rFonts w:eastAsia="Times New Roman"/>
          <w:b/>
          <w:bCs/>
          <w:i/>
          <w:iCs/>
          <w:color w:val="000000"/>
          <w:sz w:val="20"/>
          <w:szCs w:val="20"/>
        </w:rPr>
        <w:t>Third quarter 2021 vs. 2020</w:t>
      </w:r>
    </w:p>
    <w:p w:rsidR="00000000" w:rsidRDefault="000F0F8D">
      <w:pPr>
        <w:divId w:val="1532911036"/>
        <w:rPr>
          <w:rFonts w:eastAsia="Times New Roman"/>
        </w:rPr>
      </w:pPr>
      <w:r>
        <w:rPr>
          <w:rFonts w:eastAsia="Times New Roman"/>
          <w:color w:val="000000"/>
          <w:sz w:val="20"/>
          <w:szCs w:val="20"/>
        </w:rPr>
        <w:t>Gross margin percentage increased in the third quarter of fiscal 2021 primarily due to higher QTL revenues.</w:t>
      </w:r>
    </w:p>
    <w:p w:rsidR="00000000" w:rsidRDefault="000F0F8D">
      <w:pPr>
        <w:ind w:hanging="720"/>
        <w:divId w:val="365714494"/>
        <w:rPr>
          <w:rFonts w:eastAsia="Times New Roman"/>
        </w:rPr>
      </w:pPr>
      <w:r>
        <w:rPr>
          <w:rFonts w:eastAsia="Times New Roman"/>
          <w:b/>
          <w:bCs/>
          <w:i/>
          <w:iCs/>
          <w:color w:val="000000"/>
          <w:sz w:val="20"/>
          <w:szCs w:val="20"/>
        </w:rPr>
        <w:t>First nine months 2021 vs. 2020</w:t>
      </w:r>
    </w:p>
    <w:p w:rsidR="00000000" w:rsidRDefault="000F0F8D">
      <w:pPr>
        <w:divId w:val="1426998482"/>
        <w:rPr>
          <w:rFonts w:eastAsia="Times New Roman"/>
        </w:rPr>
      </w:pPr>
      <w:r>
        <w:rPr>
          <w:rFonts w:eastAsia="Times New Roman"/>
          <w:color w:val="000000"/>
          <w:sz w:val="20"/>
          <w:szCs w:val="20"/>
        </w:rPr>
        <w:t>Gross margin percentage remained flat in the first nine months of fiscal 2021.</w:t>
      </w:r>
    </w:p>
    <w:p w:rsidR="00000000" w:rsidRDefault="000F0F8D">
      <w:pPr>
        <w:jc w:val="center"/>
        <w:divId w:val="1345353951"/>
        <w:rPr>
          <w:rFonts w:eastAsia="Times New Roman"/>
        </w:rPr>
      </w:pPr>
      <w:r>
        <w:rPr>
          <w:rFonts w:eastAsia="Times New Roman"/>
          <w:color w:val="000000"/>
          <w:sz w:val="20"/>
          <w:szCs w:val="20"/>
        </w:rPr>
        <w:t>23</w:t>
      </w:r>
    </w:p>
    <w:p w:rsidR="00000000" w:rsidRDefault="000F0F8D">
      <w:pPr>
        <w:rPr>
          <w:rFonts w:eastAsia="Times New Roman"/>
        </w:rPr>
      </w:pPr>
      <w:r>
        <w:rPr>
          <w:rFonts w:eastAsia="Times New Roman"/>
        </w:rPr>
        <w:pict>
          <v:rect id="_x0000_i1046" style="width:0;height:1.5pt" o:hralign="center" o:hrstd="t" o:hr="t" fillcolor="#a0a0a0" stroked="f"/>
        </w:pict>
      </w:r>
    </w:p>
    <w:p w:rsidR="00000000" w:rsidRDefault="000F0F8D">
      <w:pPr>
        <w:divId w:val="41124107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11"/>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006057764"/>
        </w:trPr>
        <w:tc>
          <w:tcPr>
            <w:tcW w:w="50" w:type="pct"/>
            <w:vAlign w:val="center"/>
            <w:hideMark/>
          </w:tcPr>
          <w:p w:rsidR="00000000" w:rsidRDefault="000F0F8D">
            <w:pPr>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006057764"/>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006057764"/>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1006057764"/>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006057764"/>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006057764"/>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006057764"/>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006057764"/>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divId w:val="1016732606"/>
        <w:rPr>
          <w:rFonts w:eastAsia="Times New Roman"/>
        </w:rPr>
      </w:pPr>
      <w:r>
        <w:rPr>
          <w:rFonts w:eastAsia="Times New Roman"/>
          <w:b/>
          <w:bCs/>
          <w:i/>
          <w:iCs/>
          <w:color w:val="000000"/>
          <w:sz w:val="20"/>
          <w:szCs w:val="20"/>
        </w:rPr>
        <w:t>Third quarter 2021 vs. 2020</w:t>
      </w:r>
    </w:p>
    <w:p w:rsidR="00000000" w:rsidRDefault="000F0F8D">
      <w:pPr>
        <w:divId w:val="1379357215"/>
        <w:rPr>
          <w:rFonts w:eastAsia="Times New Roman"/>
        </w:rPr>
      </w:pPr>
      <w:r>
        <w:rPr>
          <w:rFonts w:eastAsia="Times New Roman"/>
          <w:color w:val="000000"/>
          <w:sz w:val="20"/>
          <w:szCs w:val="20"/>
        </w:rPr>
        <w:t>The increase in research and development expenses in the third quarter of fiscal 2021 was primarily due to:</w:t>
      </w:r>
    </w:p>
    <w:p w:rsidR="00000000" w:rsidRDefault="000F0F8D">
      <w:pPr>
        <w:ind w:hanging="360"/>
        <w:divId w:val="102266630"/>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$248 million increase dr</w:t>
      </w:r>
      <w:r>
        <w:rPr>
          <w:rFonts w:eastAsia="Times New Roman"/>
          <w:color w:val="000000"/>
          <w:sz w:val="20"/>
          <w:szCs w:val="20"/>
        </w:rPr>
        <w:t>iven by higher costs related to the development of wireless and integrated circuit technologies (including 5G and application processor technologies), a portion of which was attributable to higher employee cash incentive program costs</w:t>
      </w:r>
    </w:p>
    <w:p w:rsidR="00000000" w:rsidRDefault="000F0F8D">
      <w:pPr>
        <w:ind w:hanging="360"/>
        <w:divId w:val="1320381201"/>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$103 million increase in share-based compensation expense</w:t>
      </w:r>
    </w:p>
    <w:p w:rsidR="00000000" w:rsidRDefault="000F0F8D">
      <w:pPr>
        <w:ind w:hanging="720"/>
        <w:divId w:val="9993571"/>
        <w:rPr>
          <w:rFonts w:eastAsia="Times New Roman"/>
        </w:rPr>
      </w:pPr>
      <w:r>
        <w:rPr>
          <w:rFonts w:eastAsia="Times New Roman"/>
          <w:b/>
          <w:bCs/>
          <w:i/>
          <w:iCs/>
          <w:color w:val="000000"/>
          <w:sz w:val="20"/>
          <w:szCs w:val="20"/>
        </w:rPr>
        <w:t>First nine months 2021 vs. 2020</w:t>
      </w:r>
    </w:p>
    <w:p w:rsidR="00000000" w:rsidRDefault="000F0F8D">
      <w:pPr>
        <w:divId w:val="2091658885"/>
        <w:rPr>
          <w:rFonts w:eastAsia="Times New Roman"/>
        </w:rPr>
      </w:pPr>
      <w:r>
        <w:rPr>
          <w:rFonts w:eastAsia="Times New Roman"/>
          <w:color w:val="000000"/>
          <w:sz w:val="20"/>
          <w:szCs w:val="20"/>
        </w:rPr>
        <w:t>The increase in research and development expenses in the first nine months of fiscal 2021 was primarily due to:</w:t>
      </w:r>
    </w:p>
    <w:p w:rsidR="00000000" w:rsidRDefault="000F0F8D">
      <w:pPr>
        <w:ind w:hanging="360"/>
        <w:divId w:val="952907042"/>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$585 million increase driven by higher costs rela</w:t>
      </w:r>
      <w:r>
        <w:rPr>
          <w:rFonts w:eastAsia="Times New Roman"/>
          <w:color w:val="000000"/>
          <w:sz w:val="20"/>
          <w:szCs w:val="20"/>
        </w:rPr>
        <w:t>ted to the development of wireless and integrated circuit technologies (including 5G and application processor technologies), a portion of which was attributable to higher employee cash incentive program costs</w:t>
      </w:r>
    </w:p>
    <w:p w:rsidR="00000000" w:rsidRDefault="000F0F8D">
      <w:pPr>
        <w:ind w:hanging="360"/>
        <w:divId w:val="2003466239"/>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$267 million increase in share-based comp</w:t>
      </w:r>
      <w:r>
        <w:rPr>
          <w:rFonts w:eastAsia="Times New Roman"/>
          <w:color w:val="000000"/>
          <w:sz w:val="20"/>
          <w:szCs w:val="20"/>
        </w:rPr>
        <w:t>ensation expense</w:t>
      </w:r>
    </w:p>
    <w:p w:rsidR="00000000" w:rsidRDefault="000F0F8D">
      <w:pPr>
        <w:ind w:hanging="360"/>
        <w:divId w:val="384260127"/>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$52 million increase in expenses driven by revaluation of our deferred compensation obligation on improved stock market performance (which resulted in a corresponding increase in net gains on deferred compensation plan assets within i</w:t>
      </w:r>
      <w:r>
        <w:rPr>
          <w:rFonts w:eastAsia="Times New Roman"/>
          <w:color w:val="000000"/>
          <w:sz w:val="20"/>
          <w:szCs w:val="20"/>
        </w:rPr>
        <w:t>nvestment and other income, net due to the revaluation of the related assets)</w:t>
      </w:r>
    </w:p>
    <w:tbl>
      <w:tblPr>
        <w:tblW w:w="5000" w:type="pct"/>
        <w:tblCellMar>
          <w:top w:w="15" w:type="dxa"/>
          <w:left w:w="15" w:type="dxa"/>
          <w:bottom w:w="15" w:type="dxa"/>
          <w:right w:w="15" w:type="dxa"/>
        </w:tblCellMar>
        <w:tblLook w:val="04A0" w:firstRow="1" w:lastRow="0" w:firstColumn="1" w:lastColumn="0" w:noHBand="0" w:noVBand="1"/>
      </w:tblPr>
      <w:tblGrid>
        <w:gridCol w:w="42"/>
        <w:gridCol w:w="1907"/>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554899013"/>
        </w:trPr>
        <w:tc>
          <w:tcPr>
            <w:tcW w:w="50" w:type="pct"/>
            <w:vAlign w:val="center"/>
            <w:hideMark/>
          </w:tcPr>
          <w:p w:rsidR="00000000" w:rsidRDefault="000F0F8D">
            <w:pPr>
              <w:ind w:hanging="360"/>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554899013"/>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554899013"/>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554899013"/>
        </w:trPr>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55489901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55489901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Selling, general and administrative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55489901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55489901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divId w:val="1922644062"/>
        <w:rPr>
          <w:rFonts w:eastAsia="Times New Roman"/>
        </w:rPr>
      </w:pPr>
      <w:r>
        <w:rPr>
          <w:rFonts w:eastAsia="Times New Roman"/>
          <w:b/>
          <w:bCs/>
          <w:i/>
          <w:iCs/>
          <w:color w:val="000000"/>
          <w:sz w:val="20"/>
          <w:szCs w:val="20"/>
        </w:rPr>
        <w:t>Third quarter 2021 vs. 2020</w:t>
      </w:r>
    </w:p>
    <w:p w:rsidR="00000000" w:rsidRDefault="000F0F8D">
      <w:pPr>
        <w:divId w:val="53554420"/>
        <w:rPr>
          <w:rFonts w:eastAsia="Times New Roman"/>
        </w:rPr>
      </w:pPr>
      <w:r>
        <w:rPr>
          <w:rFonts w:eastAsia="Times New Roman"/>
          <w:color w:val="000000"/>
          <w:sz w:val="20"/>
          <w:szCs w:val="20"/>
        </w:rPr>
        <w:t>The increase in selling, general and administrative expenses in the third</w:t>
      </w:r>
      <w:r>
        <w:rPr>
          <w:rFonts w:eastAsia="Times New Roman"/>
          <w:color w:val="000000"/>
          <w:sz w:val="20"/>
          <w:szCs w:val="20"/>
        </w:rPr>
        <w:t xml:space="preserve"> quarter of fiscal 2021 was primarily due to:</w:t>
      </w:r>
    </w:p>
    <w:p w:rsidR="00000000" w:rsidRDefault="000F0F8D">
      <w:pPr>
        <w:ind w:hanging="360"/>
        <w:divId w:val="417756457"/>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$101 million increase in employee-related expenses, a portion of which was attributable to higher employee cash incentive program costs</w:t>
      </w:r>
    </w:p>
    <w:p w:rsidR="00000000" w:rsidRDefault="000F0F8D">
      <w:pPr>
        <w:ind w:hanging="360"/>
        <w:divId w:val="1657414790"/>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$23 million increase in share-based compensation expense</w:t>
      </w:r>
    </w:p>
    <w:p w:rsidR="00000000" w:rsidRDefault="000F0F8D">
      <w:pPr>
        <w:ind w:hanging="360"/>
        <w:divId w:val="69962478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w:t>
      </w:r>
      <w:r>
        <w:rPr>
          <w:rFonts w:eastAsia="Times New Roman"/>
          <w:color w:val="000000"/>
          <w:sz w:val="20"/>
          <w:szCs w:val="20"/>
        </w:rPr>
        <w:t xml:space="preserve">3 million decrease in litigation costs </w:t>
      </w:r>
    </w:p>
    <w:p w:rsidR="00000000" w:rsidRDefault="000F0F8D">
      <w:pPr>
        <w:ind w:hanging="720"/>
        <w:divId w:val="126510264"/>
        <w:rPr>
          <w:rFonts w:eastAsia="Times New Roman"/>
        </w:rPr>
      </w:pPr>
      <w:r>
        <w:rPr>
          <w:rFonts w:eastAsia="Times New Roman"/>
          <w:b/>
          <w:bCs/>
          <w:i/>
          <w:iCs/>
          <w:color w:val="000000"/>
          <w:sz w:val="20"/>
          <w:szCs w:val="20"/>
        </w:rPr>
        <w:t>First nine months 2021 vs. 2020</w:t>
      </w:r>
    </w:p>
    <w:p w:rsidR="00000000" w:rsidRDefault="000F0F8D">
      <w:pPr>
        <w:divId w:val="471362335"/>
        <w:rPr>
          <w:rFonts w:eastAsia="Times New Roman"/>
        </w:rPr>
      </w:pPr>
      <w:r>
        <w:rPr>
          <w:rFonts w:eastAsia="Times New Roman"/>
          <w:color w:val="000000"/>
          <w:sz w:val="20"/>
          <w:szCs w:val="20"/>
        </w:rPr>
        <w:t>The increase in selling, general and administrative expenses in the first nine months of fiscal 2021 was primarily due to:</w:t>
      </w:r>
    </w:p>
    <w:p w:rsidR="00000000" w:rsidRDefault="000F0F8D">
      <w:pPr>
        <w:ind w:hanging="360"/>
        <w:divId w:val="831989638"/>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$120 million increase in employee-related expenses, prim</w:t>
      </w:r>
      <w:r>
        <w:rPr>
          <w:rFonts w:eastAsia="Times New Roman"/>
          <w:color w:val="000000"/>
          <w:sz w:val="20"/>
          <w:szCs w:val="20"/>
        </w:rPr>
        <w:t>arily driven by higher employee cash incentive program costs</w:t>
      </w:r>
    </w:p>
    <w:p w:rsidR="00000000" w:rsidRDefault="000F0F8D">
      <w:pPr>
        <w:ind w:hanging="360"/>
        <w:divId w:val="1315142023"/>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$66 million increase in share-based compensation expense</w:t>
      </w:r>
    </w:p>
    <w:p w:rsidR="00000000" w:rsidRDefault="000F0F8D">
      <w:pPr>
        <w:ind w:hanging="360"/>
        <w:divId w:val="1652708673"/>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$46 million increase in expenses driven by revaluation of our deferred compensation obligation on improved stock market performance (which resulted in a corresponding increase in net gains on deferred compensation plan assets within investment and other in</w:t>
      </w:r>
      <w:r>
        <w:rPr>
          <w:rFonts w:eastAsia="Times New Roman"/>
          <w:color w:val="000000"/>
          <w:sz w:val="20"/>
          <w:szCs w:val="20"/>
        </w:rPr>
        <w:t>come, net due to the revaluation of the related assets)</w:t>
      </w:r>
    </w:p>
    <w:p w:rsidR="00000000" w:rsidRDefault="000F0F8D">
      <w:pPr>
        <w:ind w:hanging="360"/>
        <w:divId w:val="110148924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xml:space="preserve">    $61 million decrease in litigation costs </w:t>
      </w:r>
    </w:p>
    <w:tbl>
      <w:tblPr>
        <w:tblW w:w="5000" w:type="pct"/>
        <w:tblCellMar>
          <w:top w:w="15" w:type="dxa"/>
          <w:left w:w="15" w:type="dxa"/>
          <w:bottom w:w="15" w:type="dxa"/>
          <w:right w:w="15" w:type="dxa"/>
        </w:tblCellMar>
        <w:tblLook w:val="04A0" w:firstRow="1" w:lastRow="0" w:firstColumn="1" w:lastColumn="0" w:noHBand="0" w:noVBand="1"/>
      </w:tblPr>
      <w:tblGrid>
        <w:gridCol w:w="37"/>
        <w:gridCol w:w="1994"/>
        <w:gridCol w:w="36"/>
        <w:gridCol w:w="111"/>
        <w:gridCol w:w="835"/>
        <w:gridCol w:w="37"/>
        <w:gridCol w:w="36"/>
        <w:gridCol w:w="36"/>
        <w:gridCol w:w="36"/>
        <w:gridCol w:w="111"/>
        <w:gridCol w:w="794"/>
        <w:gridCol w:w="37"/>
        <w:gridCol w:w="36"/>
        <w:gridCol w:w="36"/>
        <w:gridCol w:w="36"/>
        <w:gridCol w:w="111"/>
        <w:gridCol w:w="796"/>
        <w:gridCol w:w="36"/>
        <w:gridCol w:w="36"/>
        <w:gridCol w:w="36"/>
        <w:gridCol w:w="36"/>
        <w:gridCol w:w="111"/>
        <w:gridCol w:w="796"/>
        <w:gridCol w:w="37"/>
        <w:gridCol w:w="36"/>
        <w:gridCol w:w="36"/>
        <w:gridCol w:w="36"/>
        <w:gridCol w:w="110"/>
        <w:gridCol w:w="796"/>
        <w:gridCol w:w="36"/>
        <w:gridCol w:w="36"/>
        <w:gridCol w:w="36"/>
        <w:gridCol w:w="36"/>
        <w:gridCol w:w="111"/>
        <w:gridCol w:w="798"/>
        <w:gridCol w:w="36"/>
      </w:tblGrid>
      <w:tr w:rsidR="00000000">
        <w:trPr>
          <w:divId w:val="1028288729"/>
        </w:trPr>
        <w:tc>
          <w:tcPr>
            <w:tcW w:w="50" w:type="pct"/>
            <w:vAlign w:val="center"/>
            <w:hideMark/>
          </w:tcPr>
          <w:p w:rsidR="00000000" w:rsidRDefault="000F0F8D">
            <w:pPr>
              <w:ind w:hanging="360"/>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028288729"/>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028288729"/>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1028288729"/>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ind w:hanging="720"/>
        <w:divId w:val="1549761495"/>
        <w:rPr>
          <w:rFonts w:eastAsia="Times New Roman"/>
        </w:rPr>
      </w:pPr>
      <w:r>
        <w:rPr>
          <w:rFonts w:eastAsia="Times New Roman"/>
          <w:b/>
          <w:bCs/>
          <w:i/>
          <w:iCs/>
          <w:color w:val="000000"/>
          <w:sz w:val="20"/>
          <w:szCs w:val="20"/>
        </w:rPr>
        <w:t>First nine months 2020</w:t>
      </w:r>
    </w:p>
    <w:p w:rsidR="00000000" w:rsidRDefault="000F0F8D">
      <w:pPr>
        <w:divId w:val="646782922"/>
        <w:rPr>
          <w:rFonts w:eastAsia="Times New Roman"/>
        </w:rPr>
      </w:pPr>
      <w:r>
        <w:rPr>
          <w:rFonts w:eastAsia="Times New Roman"/>
          <w:color w:val="000000"/>
          <w:sz w:val="20"/>
          <w:szCs w:val="20"/>
        </w:rPr>
        <w:t>Other income in the first nine months of fiscal 2020 consisted of a $23 million gain related to a favorable legal settlement.</w:t>
      </w:r>
    </w:p>
    <w:p w:rsidR="00000000" w:rsidRDefault="000F0F8D">
      <w:pPr>
        <w:jc w:val="center"/>
        <w:divId w:val="705181597"/>
        <w:rPr>
          <w:rFonts w:eastAsia="Times New Roman"/>
        </w:rPr>
      </w:pPr>
      <w:r>
        <w:rPr>
          <w:rFonts w:eastAsia="Times New Roman"/>
          <w:color w:val="000000"/>
          <w:sz w:val="20"/>
          <w:szCs w:val="20"/>
        </w:rPr>
        <w:t>24</w:t>
      </w:r>
    </w:p>
    <w:p w:rsidR="00000000" w:rsidRDefault="000F0F8D">
      <w:pPr>
        <w:rPr>
          <w:rFonts w:eastAsia="Times New Roman"/>
        </w:rPr>
      </w:pPr>
      <w:r>
        <w:rPr>
          <w:rFonts w:eastAsia="Times New Roman"/>
        </w:rPr>
        <w:pict>
          <v:rect id="_x0000_i1047" style="width:0;height:1.5pt" o:hralign="center" o:hrstd="t" o:hr="t" fillcolor="#a0a0a0" stroked="f"/>
        </w:pict>
      </w:r>
    </w:p>
    <w:p w:rsidR="00000000" w:rsidRDefault="000F0F8D">
      <w:pPr>
        <w:divId w:val="20028073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985"/>
        <w:gridCol w:w="40"/>
        <w:gridCol w:w="110"/>
        <w:gridCol w:w="835"/>
        <w:gridCol w:w="36"/>
        <w:gridCol w:w="36"/>
        <w:gridCol w:w="36"/>
        <w:gridCol w:w="36"/>
        <w:gridCol w:w="110"/>
        <w:gridCol w:w="795"/>
        <w:gridCol w:w="36"/>
        <w:gridCol w:w="36"/>
        <w:gridCol w:w="36"/>
        <w:gridCol w:w="36"/>
        <w:gridCol w:w="111"/>
        <w:gridCol w:w="796"/>
        <w:gridCol w:w="37"/>
        <w:gridCol w:w="36"/>
        <w:gridCol w:w="36"/>
        <w:gridCol w:w="36"/>
        <w:gridCol w:w="110"/>
        <w:gridCol w:w="796"/>
        <w:gridCol w:w="36"/>
        <w:gridCol w:w="36"/>
        <w:gridCol w:w="36"/>
        <w:gridCol w:w="36"/>
        <w:gridCol w:w="110"/>
        <w:gridCol w:w="796"/>
        <w:gridCol w:w="36"/>
        <w:gridCol w:w="36"/>
        <w:gridCol w:w="36"/>
        <w:gridCol w:w="36"/>
        <w:gridCol w:w="111"/>
        <w:gridCol w:w="798"/>
        <w:gridCol w:w="36"/>
      </w:tblGrid>
      <w:tr w:rsidR="00000000">
        <w:trPr>
          <w:divId w:val="677193185"/>
        </w:trPr>
        <w:tc>
          <w:tcPr>
            <w:tcW w:w="50" w:type="pct"/>
            <w:vAlign w:val="center"/>
            <w:hideMark/>
          </w:tcPr>
          <w:p w:rsidR="00000000" w:rsidRDefault="000F0F8D">
            <w:pPr>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677193185"/>
        </w:trPr>
        <w:tc>
          <w:tcPr>
            <w:tcW w:w="0" w:type="auto"/>
            <w:gridSpan w:val="24"/>
            <w:tcMar>
              <w:top w:w="30" w:type="dxa"/>
              <w:left w:w="290" w:type="dxa"/>
              <w:bottom w:w="30" w:type="dxa"/>
              <w:right w:w="20" w:type="dxa"/>
            </w:tcMar>
            <w:vAlign w:val="bottom"/>
            <w:hideMark/>
          </w:tcPr>
          <w:p w:rsidR="00000000" w:rsidRDefault="000F0F8D">
            <w:pPr>
              <w:spacing w:after="100"/>
              <w:rPr>
                <w:rFonts w:eastAsia="Times New Roman"/>
              </w:rPr>
            </w:pPr>
            <w:r>
              <w:rPr>
                <w:rFonts w:eastAsia="Times New Roman"/>
                <w:b/>
                <w:bCs/>
                <w:i/>
                <w:iCs/>
                <w:color w:val="000000"/>
                <w:sz w:val="20"/>
                <w:szCs w:val="20"/>
              </w:rPr>
              <w:t>Interest Expense and Investment and Other Income, Net (in millions)</w:t>
            </w: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77193185"/>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677193185"/>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677193185"/>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77193185"/>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77193185"/>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Investment and other income, net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677193185"/>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Interest and dividend income</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on deferred compensation plan assets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(349)</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77193185"/>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gains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Equity in net earnings (losses) of investees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677193185"/>
        </w:trPr>
        <w:tc>
          <w:tcPr>
            <w:tcW w:w="0" w:type="auto"/>
            <w:gridSpan w:val="3"/>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losses on foreign currency transactions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677193185"/>
        </w:trPr>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bl>
    <w:p w:rsidR="00000000" w:rsidRDefault="000F0F8D">
      <w:pPr>
        <w:ind w:firstLine="360"/>
        <w:divId w:val="1179782455"/>
        <w:rPr>
          <w:rFonts w:eastAsia="Times New Roman"/>
        </w:rPr>
      </w:pPr>
      <w:r>
        <w:rPr>
          <w:rFonts w:eastAsia="Times New Roman"/>
          <w:color w:val="000000"/>
          <w:sz w:val="20"/>
          <w:szCs w:val="20"/>
        </w:rPr>
        <w:t xml:space="preserve">Net gains on other investments for the nine months ended June 27, 2021 was driven primarily by realized gains resulting from the sale of certain of our QSI non-marketable investments. The </w:t>
      </w:r>
      <w:r>
        <w:rPr>
          <w:rFonts w:eastAsia="Times New Roman"/>
          <w:color w:val="000000"/>
          <w:sz w:val="20"/>
          <w:szCs w:val="20"/>
        </w:rPr>
        <w:t>impairment losses on other investments for the nine months ended June 28, 2020 were due in part to the impact COVID-19 had on certain of our investees. A significant portion of the impairment losses related to our investment in OneWeb who filed for bankrup</w:t>
      </w:r>
      <w:r>
        <w:rPr>
          <w:rFonts w:eastAsia="Times New Roman"/>
          <w:color w:val="000000"/>
          <w:sz w:val="20"/>
          <w:szCs w:val="20"/>
        </w:rPr>
        <w:t xml:space="preserve">tcy in the second quarter of fiscal 2020. </w:t>
      </w:r>
    </w:p>
    <w:p w:rsidR="00000000" w:rsidRDefault="000F0F8D">
      <w:pPr>
        <w:divId w:val="2074500603"/>
        <w:rPr>
          <w:rFonts w:eastAsia="Times New Roman"/>
        </w:rPr>
      </w:pPr>
      <w:r>
        <w:rPr>
          <w:rFonts w:eastAsia="Times New Roman"/>
          <w:b/>
          <w:bCs/>
          <w:i/>
          <w:iCs/>
          <w:color w:val="000000"/>
          <w:sz w:val="20"/>
          <w:szCs w:val="20"/>
        </w:rPr>
        <w:t>Income Tax Expense (in millions, except percentages)</w:t>
      </w:r>
    </w:p>
    <w:p w:rsidR="00000000" w:rsidRDefault="000F0F8D">
      <w:pPr>
        <w:ind w:firstLine="360"/>
        <w:divId w:val="2083410484"/>
        <w:rPr>
          <w:rFonts w:eastAsia="Times New Roman"/>
        </w:rPr>
      </w:pPr>
      <w:r>
        <w:rPr>
          <w:rFonts w:eastAsia="Times New Roman"/>
          <w:color w:val="000000"/>
          <w:sz w:val="20"/>
          <w:szCs w:val="20"/>
        </w:rPr>
        <w:t>The following table summarizes the primary factors that caused our income tax provision to differ from the expected income tax provision at the U.S. federal sta</w:t>
      </w:r>
      <w:r>
        <w:rPr>
          <w:rFonts w:eastAsia="Times New Roman"/>
          <w:color w:val="000000"/>
          <w:sz w:val="20"/>
          <w:szCs w:val="20"/>
        </w:rPr>
        <w:t>tutory rate:</w:t>
      </w:r>
    </w:p>
    <w:tbl>
      <w:tblPr>
        <w:tblW w:w="5000" w:type="pct"/>
        <w:tblCellMar>
          <w:top w:w="15" w:type="dxa"/>
          <w:left w:w="15" w:type="dxa"/>
          <w:bottom w:w="15" w:type="dxa"/>
          <w:right w:w="15" w:type="dxa"/>
        </w:tblCellMar>
        <w:tblLook w:val="04A0" w:firstRow="1" w:lastRow="0" w:firstColumn="1" w:lastColumn="0" w:noHBand="0" w:noVBand="1"/>
      </w:tblPr>
      <w:tblGrid>
        <w:gridCol w:w="39"/>
        <w:gridCol w:w="3958"/>
        <w:gridCol w:w="38"/>
        <w:gridCol w:w="110"/>
        <w:gridCol w:w="778"/>
        <w:gridCol w:w="170"/>
        <w:gridCol w:w="36"/>
        <w:gridCol w:w="36"/>
        <w:gridCol w:w="36"/>
        <w:gridCol w:w="110"/>
        <w:gridCol w:w="683"/>
        <w:gridCol w:w="170"/>
        <w:gridCol w:w="36"/>
        <w:gridCol w:w="36"/>
        <w:gridCol w:w="36"/>
        <w:gridCol w:w="110"/>
        <w:gridCol w:w="683"/>
        <w:gridCol w:w="170"/>
        <w:gridCol w:w="36"/>
        <w:gridCol w:w="36"/>
        <w:gridCol w:w="36"/>
        <w:gridCol w:w="110"/>
        <w:gridCol w:w="683"/>
        <w:gridCol w:w="170"/>
      </w:tblGrid>
      <w:tr w:rsidR="00000000">
        <w:trPr>
          <w:divId w:val="879198140"/>
        </w:trPr>
        <w:tc>
          <w:tcPr>
            <w:tcW w:w="50" w:type="pct"/>
            <w:vAlign w:val="center"/>
            <w:hideMark/>
          </w:tcPr>
          <w:p w:rsidR="00000000" w:rsidRDefault="000F0F8D">
            <w:pPr>
              <w:ind w:firstLine="360"/>
              <w:rPr>
                <w:rFonts w:eastAsia="Times New Roman"/>
              </w:rPr>
            </w:pPr>
          </w:p>
        </w:tc>
        <w:tc>
          <w:tcPr>
            <w:tcW w:w="248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879198140"/>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879198140"/>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r>
      <w:tr w:rsidR="00000000">
        <w:trPr>
          <w:divId w:val="879198140"/>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Benefit from foreign-derived intangible income (FDII) deduction</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(119)</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Excess tax benefit associated with share-based awards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(258)</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Benefit related to the research and development tax credit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Audit settlement with Internal Revenue Service</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Foreign currency gains related to foreign withholding tax receivable</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79198140"/>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Benefit from releasing valuation allowance on capital losses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     Income tax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879198140"/>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r>
    </w:tbl>
    <w:p w:rsidR="00000000" w:rsidRDefault="000F0F8D">
      <w:pPr>
        <w:ind w:firstLine="360"/>
        <w:divId w:val="3678253"/>
        <w:rPr>
          <w:rFonts w:eastAsia="Times New Roman"/>
        </w:rPr>
      </w:pPr>
      <w:r>
        <w:rPr>
          <w:rFonts w:eastAsia="Times New Roman"/>
          <w:color w:val="000000"/>
          <w:sz w:val="20"/>
          <w:szCs w:val="20"/>
        </w:rPr>
        <w:t>We estimate our annual effective income tax rate to be 11% for fiscal 2021, which is lower than the U.S. federal statutory rate, primarily due to a significant portion of our income qualifying for preferential</w:t>
      </w:r>
      <w:r>
        <w:rPr>
          <w:rFonts w:eastAsia="Times New Roman"/>
          <w:color w:val="000000"/>
          <w:sz w:val="20"/>
          <w:szCs w:val="20"/>
        </w:rPr>
        <w:t xml:space="preserve"> treatment as foreign-derived intangible income (FDII) at a 13% effective tax rate, excess tax benefits associated with share-based awards and benefits from our federal research and development tax credit. </w:t>
      </w:r>
    </w:p>
    <w:p w:rsidR="00000000" w:rsidRDefault="000F0F8D">
      <w:pPr>
        <w:ind w:firstLine="360"/>
        <w:divId w:val="1740982558"/>
        <w:rPr>
          <w:rFonts w:eastAsia="Times New Roman"/>
        </w:rPr>
      </w:pPr>
      <w:r>
        <w:rPr>
          <w:rFonts w:eastAsia="Times New Roman"/>
          <w:color w:val="000000"/>
          <w:sz w:val="20"/>
          <w:szCs w:val="20"/>
        </w:rPr>
        <w:t>In the first quarter of fiscal 2021, the United S</w:t>
      </w:r>
      <w:r>
        <w:rPr>
          <w:rFonts w:eastAsia="Times New Roman"/>
          <w:color w:val="000000"/>
          <w:sz w:val="20"/>
          <w:szCs w:val="20"/>
        </w:rPr>
        <w:t>tates Treasury Department issued final regulations on the foreign tax credit, which generally are applicable beginning in fiscal 2021, with certain provisions retroactive to fiscal 2019. As a result of these regulations, our fiscal 2021 estimated annual ef</w:t>
      </w:r>
      <w:r>
        <w:rPr>
          <w:rFonts w:eastAsia="Times New Roman"/>
          <w:color w:val="000000"/>
          <w:sz w:val="20"/>
          <w:szCs w:val="20"/>
        </w:rPr>
        <w:t xml:space="preserve">fective tax rate increased by approximately 1%. The retroactive </w:t>
      </w:r>
    </w:p>
    <w:p w:rsidR="00000000" w:rsidRDefault="000F0F8D">
      <w:pPr>
        <w:jc w:val="center"/>
        <w:divId w:val="322318223"/>
        <w:rPr>
          <w:rFonts w:eastAsia="Times New Roman"/>
        </w:rPr>
      </w:pPr>
      <w:r>
        <w:rPr>
          <w:rFonts w:eastAsia="Times New Roman"/>
          <w:color w:val="000000"/>
          <w:sz w:val="20"/>
          <w:szCs w:val="20"/>
        </w:rPr>
        <w:t>25</w:t>
      </w:r>
    </w:p>
    <w:p w:rsidR="00000000" w:rsidRDefault="000F0F8D">
      <w:pPr>
        <w:rPr>
          <w:rFonts w:eastAsia="Times New Roman"/>
        </w:rPr>
      </w:pPr>
      <w:r>
        <w:rPr>
          <w:rFonts w:eastAsia="Times New Roman"/>
        </w:rPr>
        <w:pict>
          <v:rect id="_x0000_i1048" style="width:0;height:1.5pt" o:hralign="center" o:hrstd="t" o:hr="t" fillcolor="#a0a0a0" stroked="f"/>
        </w:pict>
      </w:r>
    </w:p>
    <w:p w:rsidR="00000000" w:rsidRDefault="000F0F8D">
      <w:pPr>
        <w:divId w:val="223414373"/>
        <w:rPr>
          <w:rFonts w:eastAsia="Times New Roman"/>
        </w:rPr>
      </w:pPr>
    </w:p>
    <w:p w:rsidR="00000000" w:rsidRDefault="000F0F8D">
      <w:pPr>
        <w:divId w:val="1476871479"/>
        <w:rPr>
          <w:rFonts w:eastAsia="Times New Roman"/>
        </w:rPr>
      </w:pPr>
      <w:r>
        <w:rPr>
          <w:rFonts w:eastAsia="Times New Roman"/>
          <w:color w:val="000000"/>
          <w:sz w:val="20"/>
          <w:szCs w:val="20"/>
        </w:rPr>
        <w:t>impact resulting from these new regulations, which was related to fiscal 2019 and fiscal 2020 and recorded discretely in the first quarter of fiscal 2</w:t>
      </w:r>
      <w:r>
        <w:rPr>
          <w:rFonts w:eastAsia="Times New Roman"/>
          <w:color w:val="000000"/>
          <w:sz w:val="20"/>
          <w:szCs w:val="20"/>
        </w:rPr>
        <w:t>021, was not significant.</w:t>
      </w:r>
    </w:p>
    <w:p w:rsidR="00000000" w:rsidRDefault="000F0F8D">
      <w:pPr>
        <w:divId w:val="1717580031"/>
        <w:rPr>
          <w:rFonts w:eastAsia="Times New Roman"/>
        </w:rPr>
      </w:pPr>
      <w:r>
        <w:rPr>
          <w:rFonts w:eastAsia="Times New Roman"/>
          <w:b/>
          <w:bCs/>
          <w:color w:val="000000"/>
          <w:sz w:val="20"/>
          <w:szCs w:val="20"/>
        </w:rPr>
        <w:t>Segment Results</w:t>
      </w:r>
    </w:p>
    <w:p w:rsidR="00000000" w:rsidRDefault="000F0F8D">
      <w:pPr>
        <w:ind w:firstLine="360"/>
        <w:divId w:val="1328289871"/>
        <w:rPr>
          <w:rFonts w:eastAsia="Times New Roman"/>
        </w:rPr>
      </w:pPr>
      <w:r>
        <w:rPr>
          <w:rFonts w:eastAsia="Times New Roman"/>
          <w:color w:val="000000"/>
          <w:sz w:val="20"/>
          <w:szCs w:val="20"/>
        </w:rPr>
        <w:t>The following should be read in conjunction with our financial results for the third quarter and first nine months of fiscal 2021 for each reportable segment included in this Quarterly Report in “Notes to Condensed</w:t>
      </w:r>
      <w:r>
        <w:rPr>
          <w:rFonts w:eastAsia="Times New Roman"/>
          <w:color w:val="000000"/>
          <w:sz w:val="20"/>
          <w:szCs w:val="20"/>
        </w:rPr>
        <w:t xml:space="preserve"> Consolidated Financial Statements, Note 6. Segment Information.”</w:t>
      </w:r>
    </w:p>
    <w:p w:rsidR="00000000" w:rsidRDefault="000F0F8D">
      <w:pPr>
        <w:divId w:val="597567703"/>
        <w:rPr>
          <w:rFonts w:eastAsia="Times New Roman"/>
        </w:rPr>
      </w:pPr>
      <w:r>
        <w:rPr>
          <w:rFonts w:eastAsia="Times New Roman"/>
          <w:b/>
          <w:bCs/>
          <w:i/>
          <w:iCs/>
          <w:color w:val="000000"/>
          <w:sz w:val="20"/>
          <w:szCs w:val="20"/>
        </w:rPr>
        <w:t>QCT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909"/>
        <w:gridCol w:w="37"/>
        <w:gridCol w:w="110"/>
        <w:gridCol w:w="794"/>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42280217"/>
          <w:jc w:val="center"/>
        </w:trPr>
        <w:tc>
          <w:tcPr>
            <w:tcW w:w="50" w:type="pct"/>
            <w:vAlign w:val="center"/>
            <w:hideMark/>
          </w:tcPr>
          <w:p w:rsidR="00000000" w:rsidRDefault="000F0F8D">
            <w:pPr>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42280217"/>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42280217"/>
          <w:jc w:val="center"/>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142280217"/>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42280217"/>
          <w:jc w:val="center"/>
        </w:trPr>
        <w:tc>
          <w:tcPr>
            <w:tcW w:w="0" w:type="auto"/>
            <w:gridSpan w:val="3"/>
            <w:shd w:val="clear" w:color="auto" w:fill="CCEE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Handsets (1)</w:t>
            </w: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3,863 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2,457 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1,406 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12,144 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7,461 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4,683 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2280217"/>
          <w:jc w:val="center"/>
        </w:trPr>
        <w:tc>
          <w:tcPr>
            <w:tcW w:w="0" w:type="auto"/>
            <w:gridSpan w:val="3"/>
            <w:shd w:val="clear" w:color="auto" w:fill="FFFFFF"/>
            <w:tcMar>
              <w:top w:w="30" w:type="dxa"/>
              <w:left w:w="155"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RFFE (2)</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957 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510 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2,921 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1,509 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1,412 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2280217"/>
          <w:jc w:val="center"/>
        </w:trPr>
        <w:tc>
          <w:tcPr>
            <w:tcW w:w="0" w:type="auto"/>
            <w:gridSpan w:val="3"/>
            <w:shd w:val="clear" w:color="auto" w:fill="CCEEFF"/>
            <w:tcMar>
              <w:top w:w="30" w:type="dxa"/>
              <w:left w:w="14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Automotive (3)</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705 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2280217"/>
          <w:jc w:val="center"/>
        </w:trPr>
        <w:tc>
          <w:tcPr>
            <w:tcW w:w="0" w:type="auto"/>
            <w:gridSpan w:val="3"/>
            <w:shd w:val="clear" w:color="auto" w:fill="FFFFFF"/>
            <w:tcMar>
              <w:top w:w="30" w:type="dxa"/>
              <w:left w:w="14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IoT (internet of things) (4)</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1,399 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765 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634 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3,517 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2,100 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1,417 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2280217"/>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19,287 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2280217"/>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b/>
                <w:bCs/>
                <w:color w:val="000000"/>
                <w:sz w:val="18"/>
                <w:szCs w:val="18"/>
              </w:rPr>
              <w:t>EBT (5)</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42280217"/>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jc w:val="right"/>
              <w:rPr>
                <w:rFonts w:eastAsia="Times New Roman"/>
              </w:rPr>
            </w:pPr>
            <w:r>
              <w:rPr>
                <w:rFonts w:eastAsia="Times New Roman"/>
                <w:color w:val="000000"/>
                <w:sz w:val="18"/>
                <w:szCs w:val="18"/>
              </w:rPr>
              <w:t>12 points</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jc w:val="right"/>
              <w:rPr>
                <w:rFonts w:eastAsia="Times New Roman"/>
              </w:rPr>
            </w:pPr>
            <w:r>
              <w:rPr>
                <w:rFonts w:eastAsia="Times New Roman"/>
                <w:color w:val="000000"/>
                <w:sz w:val="18"/>
                <w:szCs w:val="18"/>
              </w:rPr>
              <w:t>12 points</w:t>
            </w:r>
          </w:p>
        </w:tc>
      </w:tr>
      <w:tr w:rsidR="00000000">
        <w:trPr>
          <w:divId w:val="142280217"/>
          <w:jc w:val="center"/>
        </w:trPr>
        <w:tc>
          <w:tcPr>
            <w:tcW w:w="0" w:type="auto"/>
            <w:gridSpan w:val="3"/>
            <w:vAlign w:val="center"/>
            <w:hideMark/>
          </w:tcPr>
          <w:p w:rsidR="00000000" w:rsidRDefault="000F0F8D">
            <w:pPr>
              <w:spacing w:after="100"/>
              <w:jc w:val="right"/>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42280217"/>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divId w:val="1782186421"/>
        <w:rPr>
          <w:rFonts w:eastAsia="Times New Roman"/>
        </w:rPr>
      </w:pPr>
      <w:r>
        <w:rPr>
          <w:rFonts w:eastAsia="Times New Roman"/>
          <w:color w:val="000000"/>
          <w:sz w:val="18"/>
          <w:szCs w:val="18"/>
        </w:rPr>
        <w:t xml:space="preserve">(1) Includes revenues from products sold for use in mobile handsets, excluding RFFE (radio frequency front-end) components. </w:t>
      </w:r>
    </w:p>
    <w:p w:rsidR="00000000" w:rsidRDefault="000F0F8D">
      <w:pPr>
        <w:divId w:val="1991517832"/>
        <w:rPr>
          <w:rFonts w:eastAsia="Times New Roman"/>
        </w:rPr>
      </w:pPr>
      <w:r>
        <w:rPr>
          <w:rFonts w:eastAsia="Times New Roman"/>
          <w:color w:val="000000"/>
          <w:sz w:val="18"/>
          <w:szCs w:val="18"/>
        </w:rPr>
        <w:t xml:space="preserve">(2) Includes all revenues from sales of 4G, 5G sub-6 and 5G millimeter wave RFFE products (a substantial portion of which are sold </w:t>
      </w:r>
      <w:r>
        <w:rPr>
          <w:rFonts w:eastAsia="Times New Roman"/>
          <w:color w:val="000000"/>
          <w:sz w:val="18"/>
          <w:szCs w:val="18"/>
        </w:rPr>
        <w:t xml:space="preserve">for use in handsets) and excludes radio frequency transceiver components. </w:t>
      </w:r>
    </w:p>
    <w:p w:rsidR="00000000" w:rsidRDefault="000F0F8D">
      <w:pPr>
        <w:divId w:val="1074543486"/>
        <w:rPr>
          <w:rFonts w:eastAsia="Times New Roman"/>
        </w:rPr>
      </w:pPr>
      <w:r>
        <w:rPr>
          <w:rFonts w:eastAsia="Times New Roman"/>
          <w:color w:val="000000"/>
          <w:sz w:val="18"/>
          <w:szCs w:val="18"/>
        </w:rPr>
        <w:t>(3) Includes revenues from products sold for use in automobiles, including telematics, connectivity and infotainment (also known as digital cockpit).</w:t>
      </w:r>
    </w:p>
    <w:p w:rsidR="00000000" w:rsidRDefault="000F0F8D">
      <w:pPr>
        <w:divId w:val="1961374411"/>
        <w:rPr>
          <w:rFonts w:eastAsia="Times New Roman"/>
        </w:rPr>
      </w:pPr>
      <w:r>
        <w:rPr>
          <w:rFonts w:eastAsia="Times New Roman"/>
          <w:color w:val="000000"/>
          <w:sz w:val="18"/>
          <w:szCs w:val="18"/>
        </w:rPr>
        <w:t>(4) Primarily includes products</w:t>
      </w:r>
      <w:r>
        <w:rPr>
          <w:rFonts w:eastAsia="Times New Roman"/>
          <w:color w:val="000000"/>
          <w:sz w:val="18"/>
          <w:szCs w:val="18"/>
        </w:rPr>
        <w:t xml:space="preserve"> sold for use in the following industry segments and applications: consumer (including computing, voice and music and XR), industrial (including handhelds, retail, transportation and logistics, and utilities) and edge networking (including mobile broadband</w:t>
      </w:r>
      <w:r>
        <w:rPr>
          <w:rFonts w:eastAsia="Times New Roman"/>
          <w:color w:val="000000"/>
          <w:sz w:val="18"/>
          <w:szCs w:val="18"/>
        </w:rPr>
        <w:t xml:space="preserve"> and wireless access points).</w:t>
      </w:r>
    </w:p>
    <w:p w:rsidR="00000000" w:rsidRDefault="000F0F8D">
      <w:pPr>
        <w:divId w:val="843398124"/>
        <w:rPr>
          <w:rFonts w:eastAsia="Times New Roman"/>
        </w:rPr>
      </w:pPr>
      <w:r>
        <w:rPr>
          <w:rFonts w:eastAsia="Times New Roman"/>
          <w:color w:val="000000"/>
          <w:sz w:val="18"/>
          <w:szCs w:val="18"/>
        </w:rPr>
        <w:t>(5) Earnings (loss) before income taxes.</w:t>
      </w:r>
    </w:p>
    <w:p w:rsidR="00000000" w:rsidRDefault="000F0F8D">
      <w:pPr>
        <w:ind w:firstLine="360"/>
        <w:divId w:val="1407650135"/>
        <w:rPr>
          <w:rFonts w:eastAsia="Times New Roman"/>
        </w:rPr>
      </w:pPr>
      <w:r>
        <w:rPr>
          <w:rFonts w:eastAsia="Times New Roman"/>
          <w:color w:val="000000"/>
          <w:sz w:val="20"/>
          <w:szCs w:val="20"/>
        </w:rPr>
        <w:t xml:space="preserve">Substantially all of QCT’s revenues consist of equipment and services revenues, which were $6.4 billion and $3.8 billion in the third quarter of fiscal 2021 and 2020, respectively, and </w:t>
      </w:r>
      <w:r>
        <w:rPr>
          <w:rFonts w:eastAsia="Times New Roman"/>
          <w:color w:val="000000"/>
          <w:sz w:val="20"/>
          <w:szCs w:val="20"/>
        </w:rPr>
        <w:t>$19.0 billion and $11.3 billion in the first nine months of fiscal 2021 and 2020, respectively. QCT handsets, automotive and IoT revenues mostly relate to sales of our stand-alone Mobile Data Modems, Snapdragon platforms (which include processors and modem</w:t>
      </w:r>
      <w:r>
        <w:rPr>
          <w:rFonts w:eastAsia="Times New Roman"/>
          <w:color w:val="000000"/>
          <w:sz w:val="20"/>
          <w:szCs w:val="20"/>
        </w:rPr>
        <w:t xml:space="preserve">s), radio frequency transceiver, power management and wireless connectivity integrated chipsets. </w:t>
      </w:r>
    </w:p>
    <w:p w:rsidR="00000000" w:rsidRDefault="000F0F8D">
      <w:pPr>
        <w:ind w:firstLine="360"/>
        <w:divId w:val="1655257544"/>
        <w:rPr>
          <w:rFonts w:eastAsia="Times New Roman"/>
        </w:rPr>
      </w:pPr>
      <w:r>
        <w:rPr>
          <w:rFonts w:eastAsia="Times New Roman"/>
          <w:color w:val="000000"/>
          <w:sz w:val="20"/>
          <w:szCs w:val="20"/>
        </w:rPr>
        <w:t>QCT results for the third quarter and first nine months of fiscal 2021 compared to the prior year reflect a recovery from the negative impacts of COVID-19.</w:t>
      </w:r>
    </w:p>
    <w:p w:rsidR="00000000" w:rsidRDefault="000F0F8D">
      <w:pPr>
        <w:divId w:val="1316837590"/>
        <w:rPr>
          <w:rFonts w:eastAsia="Times New Roman"/>
        </w:rPr>
      </w:pPr>
      <w:r>
        <w:rPr>
          <w:rFonts w:eastAsia="Times New Roman"/>
          <w:b/>
          <w:bCs/>
          <w:i/>
          <w:iCs/>
          <w:color w:val="000000"/>
          <w:sz w:val="20"/>
          <w:szCs w:val="20"/>
        </w:rPr>
        <w:t>Th</w:t>
      </w:r>
      <w:r>
        <w:rPr>
          <w:rFonts w:eastAsia="Times New Roman"/>
          <w:b/>
          <w:bCs/>
          <w:i/>
          <w:iCs/>
          <w:color w:val="000000"/>
          <w:sz w:val="20"/>
          <w:szCs w:val="20"/>
        </w:rPr>
        <w:t>ird quarter 2021 vs. 2020</w:t>
      </w:r>
    </w:p>
    <w:p w:rsidR="00000000" w:rsidRDefault="000F0F8D">
      <w:pPr>
        <w:divId w:val="870411535"/>
        <w:rPr>
          <w:rFonts w:eastAsia="Times New Roman"/>
        </w:rPr>
      </w:pPr>
      <w:r>
        <w:rPr>
          <w:rFonts w:eastAsia="Times New Roman"/>
          <w:color w:val="000000"/>
          <w:sz w:val="20"/>
          <w:szCs w:val="20"/>
        </w:rPr>
        <w:t>The increase in QCT revenues in the third quarter of fiscal 2021 was primarily due to:</w:t>
      </w:r>
    </w:p>
    <w:p w:rsidR="00000000" w:rsidRDefault="000F0F8D">
      <w:pPr>
        <w:ind w:hanging="360"/>
        <w:divId w:val="190686691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handsets revenues, primarily driven by $893 million in higher chipset shipments and $445 million in higher revenues per chipset, bo</w:t>
      </w:r>
      <w:r>
        <w:rPr>
          <w:rFonts w:eastAsia="Times New Roman"/>
          <w:color w:val="000000"/>
          <w:sz w:val="20"/>
          <w:szCs w:val="20"/>
        </w:rPr>
        <w:t>th of which were primarily due to an increase in demand for 5G products from Apple and other major OEMs</w:t>
      </w:r>
    </w:p>
    <w:p w:rsidR="00000000" w:rsidRDefault="000F0F8D">
      <w:pPr>
        <w:ind w:hanging="360"/>
        <w:divId w:val="190120487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RFFE revenues, primarily driven by an increase in demand for 4G/5G products from major OEMs</w:t>
      </w:r>
    </w:p>
    <w:p w:rsidR="00000000" w:rsidRDefault="000F0F8D">
      <w:pPr>
        <w:ind w:hanging="360"/>
        <w:divId w:val="26419766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automotive revenues, primarily drive</w:t>
      </w:r>
      <w:r>
        <w:rPr>
          <w:rFonts w:eastAsia="Times New Roman"/>
          <w:color w:val="000000"/>
          <w:sz w:val="20"/>
          <w:szCs w:val="20"/>
        </w:rPr>
        <w:t xml:space="preserve">n by an increase in demand for telematics and infotainment products </w:t>
      </w:r>
    </w:p>
    <w:p w:rsidR="00000000" w:rsidRDefault="000F0F8D">
      <w:pPr>
        <w:ind w:hanging="360"/>
        <w:divId w:val="111459162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IoT revenues, primarily driven by an increase in demand across consumer, edge networking and industrial</w:t>
      </w:r>
    </w:p>
    <w:p w:rsidR="00000000" w:rsidRDefault="000F0F8D">
      <w:pPr>
        <w:divId w:val="1321226415"/>
        <w:rPr>
          <w:rFonts w:eastAsia="Times New Roman"/>
        </w:rPr>
      </w:pPr>
      <w:r>
        <w:rPr>
          <w:rFonts w:eastAsia="Times New Roman"/>
          <w:color w:val="000000"/>
          <w:sz w:val="20"/>
          <w:szCs w:val="20"/>
        </w:rPr>
        <w:t>QCT EBT as a percentage of revenues increased in the third quarter of fiscal 2021 primarily due to:</w:t>
      </w:r>
    </w:p>
    <w:p w:rsidR="00000000" w:rsidRDefault="000F0F8D">
      <w:pPr>
        <w:ind w:hanging="360"/>
        <w:divId w:val="189943773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rsidR="00000000" w:rsidRDefault="000F0F8D">
      <w:pPr>
        <w:ind w:hanging="360"/>
        <w:divId w:val="3003557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operating ex</w:t>
      </w:r>
      <w:r>
        <w:rPr>
          <w:rFonts w:eastAsia="Times New Roman"/>
          <w:color w:val="000000"/>
          <w:sz w:val="20"/>
          <w:szCs w:val="20"/>
        </w:rPr>
        <w:t>penses, primarily driven by higher research and development expenses</w:t>
      </w:r>
    </w:p>
    <w:p w:rsidR="00000000" w:rsidRDefault="000F0F8D">
      <w:pPr>
        <w:ind w:hanging="720"/>
        <w:divId w:val="957644449"/>
        <w:rPr>
          <w:rFonts w:eastAsia="Times New Roman"/>
        </w:rPr>
      </w:pPr>
      <w:r>
        <w:rPr>
          <w:rFonts w:eastAsia="Times New Roman"/>
          <w:b/>
          <w:bCs/>
          <w:i/>
          <w:iCs/>
          <w:color w:val="000000"/>
          <w:sz w:val="20"/>
          <w:szCs w:val="20"/>
        </w:rPr>
        <w:t>First nine months 2021 vs. 2020</w:t>
      </w:r>
    </w:p>
    <w:p w:rsidR="00000000" w:rsidRDefault="000F0F8D">
      <w:pPr>
        <w:divId w:val="201983350"/>
        <w:rPr>
          <w:rFonts w:eastAsia="Times New Roman"/>
        </w:rPr>
      </w:pPr>
      <w:r>
        <w:rPr>
          <w:rFonts w:eastAsia="Times New Roman"/>
          <w:color w:val="000000"/>
          <w:sz w:val="20"/>
          <w:szCs w:val="20"/>
        </w:rPr>
        <w:t>The increase in QCT revenues in the first nine months of fiscal 2021 was primarily due to:</w:t>
      </w:r>
    </w:p>
    <w:p w:rsidR="00000000" w:rsidRDefault="000F0F8D">
      <w:pPr>
        <w:ind w:hanging="360"/>
        <w:divId w:val="19300765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handsets revenues, primarily driven by $3.2 billion in higher chipset shipments and $1.3 billion in higher revenues per chipset, both of which were prima</w:t>
      </w:r>
      <w:r>
        <w:rPr>
          <w:rFonts w:eastAsia="Times New Roman"/>
          <w:color w:val="000000"/>
          <w:sz w:val="20"/>
          <w:szCs w:val="20"/>
        </w:rPr>
        <w:t>rily due to an increase in demand for 5G products from Apple and other major OEMs</w:t>
      </w:r>
    </w:p>
    <w:p w:rsidR="00000000" w:rsidRDefault="000F0F8D">
      <w:pPr>
        <w:jc w:val="center"/>
        <w:divId w:val="392238670"/>
        <w:rPr>
          <w:rFonts w:eastAsia="Times New Roman"/>
        </w:rPr>
      </w:pPr>
      <w:r>
        <w:rPr>
          <w:rFonts w:eastAsia="Times New Roman"/>
          <w:color w:val="000000"/>
          <w:sz w:val="20"/>
          <w:szCs w:val="20"/>
        </w:rPr>
        <w:t>26</w:t>
      </w:r>
    </w:p>
    <w:p w:rsidR="00000000" w:rsidRDefault="000F0F8D">
      <w:pPr>
        <w:rPr>
          <w:rFonts w:eastAsia="Times New Roman"/>
        </w:rPr>
      </w:pPr>
      <w:r>
        <w:rPr>
          <w:rFonts w:eastAsia="Times New Roman"/>
        </w:rPr>
        <w:pict>
          <v:rect id="_x0000_i1049" style="width:0;height:1.5pt" o:hralign="center" o:hrstd="t" o:hr="t" fillcolor="#a0a0a0" stroked="f"/>
        </w:pict>
      </w:r>
    </w:p>
    <w:p w:rsidR="00000000" w:rsidRDefault="000F0F8D">
      <w:pPr>
        <w:divId w:val="758065048"/>
        <w:rPr>
          <w:rFonts w:eastAsia="Times New Roman"/>
        </w:rPr>
      </w:pPr>
    </w:p>
    <w:p w:rsidR="00000000" w:rsidRDefault="000F0F8D">
      <w:pPr>
        <w:ind w:hanging="360"/>
        <w:divId w:val="138591255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RFFE revenues, primarily driven by an increase in demand for 4G/5G products from Apple and other major OEMs</w:t>
      </w:r>
    </w:p>
    <w:p w:rsidR="00000000" w:rsidRDefault="000F0F8D">
      <w:pPr>
        <w:ind w:hanging="360"/>
        <w:divId w:val="123798158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higher </w:t>
      </w:r>
      <w:r>
        <w:rPr>
          <w:rFonts w:eastAsia="Times New Roman"/>
          <w:color w:val="000000"/>
          <w:sz w:val="20"/>
          <w:szCs w:val="20"/>
        </w:rPr>
        <w:t xml:space="preserve">automotive revenues, primarily driven by an increase in demand for telematics and infotainment products </w:t>
      </w:r>
    </w:p>
    <w:p w:rsidR="00000000" w:rsidRDefault="000F0F8D">
      <w:pPr>
        <w:ind w:hanging="360"/>
        <w:divId w:val="205961946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IoT revenues, primarily driven by an increase in demand across consumer, edge networking and industrial</w:t>
      </w:r>
    </w:p>
    <w:p w:rsidR="00000000" w:rsidRDefault="000F0F8D">
      <w:pPr>
        <w:divId w:val="1826972199"/>
        <w:rPr>
          <w:rFonts w:eastAsia="Times New Roman"/>
        </w:rPr>
      </w:pPr>
      <w:r>
        <w:rPr>
          <w:rFonts w:eastAsia="Times New Roman"/>
          <w:color w:val="000000"/>
          <w:sz w:val="20"/>
          <w:szCs w:val="20"/>
        </w:rPr>
        <w:t>QCT EBT as a percentage of revenues</w:t>
      </w:r>
      <w:r>
        <w:rPr>
          <w:rFonts w:eastAsia="Times New Roman"/>
          <w:color w:val="000000"/>
          <w:sz w:val="20"/>
          <w:szCs w:val="20"/>
        </w:rPr>
        <w:t xml:space="preserve"> increased in the first nine months of fiscal 2021 primarily due to:</w:t>
      </w:r>
    </w:p>
    <w:p w:rsidR="00000000" w:rsidRDefault="000F0F8D">
      <w:pPr>
        <w:ind w:hanging="360"/>
        <w:divId w:val="20769245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rsidR="00000000" w:rsidRDefault="000F0F8D">
      <w:pPr>
        <w:ind w:hanging="360"/>
        <w:divId w:val="88888024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expenses</w:t>
      </w:r>
    </w:p>
    <w:p w:rsidR="00000000" w:rsidRDefault="000F0F8D">
      <w:pPr>
        <w:divId w:val="1420714259"/>
        <w:rPr>
          <w:rFonts w:eastAsia="Times New Roman"/>
        </w:rPr>
      </w:pPr>
      <w:r>
        <w:rPr>
          <w:rFonts w:eastAsia="Times New Roman"/>
          <w:b/>
          <w:bCs/>
          <w:i/>
          <w:iCs/>
          <w:color w:val="000000"/>
          <w:sz w:val="20"/>
          <w:szCs w:val="20"/>
        </w:rPr>
        <w:t>QTL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12"/>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991055205"/>
          <w:jc w:val="center"/>
        </w:trPr>
        <w:tc>
          <w:tcPr>
            <w:tcW w:w="50" w:type="pct"/>
            <w:vAlign w:val="center"/>
            <w:hideMark/>
          </w:tcPr>
          <w:p w:rsidR="00000000" w:rsidRDefault="000F0F8D">
            <w:pPr>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1991055205"/>
          <w:jc w:val="center"/>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1991055205"/>
          <w:jc w:val="center"/>
        </w:trPr>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Licensing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99105520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EBT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646 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407 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3,514 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2,335 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1,179 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1991055205"/>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991055205"/>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jc w:val="right"/>
              <w:rPr>
                <w:rFonts w:eastAsia="Times New Roman"/>
              </w:rPr>
            </w:pPr>
            <w:r>
              <w:rPr>
                <w:rFonts w:eastAsia="Times New Roman"/>
                <w:color w:val="000000"/>
                <w:sz w:val="18"/>
                <w:szCs w:val="18"/>
              </w:rPr>
              <w:t>9 points</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jc w:val="right"/>
              <w:rPr>
                <w:rFonts w:eastAsia="Times New Roman"/>
              </w:rPr>
            </w:pPr>
            <w:r>
              <w:rPr>
                <w:rFonts w:eastAsia="Times New Roman"/>
                <w:color w:val="000000"/>
                <w:sz w:val="18"/>
                <w:szCs w:val="18"/>
              </w:rPr>
              <w:t>8 points</w:t>
            </w:r>
          </w:p>
        </w:tc>
      </w:tr>
    </w:tbl>
    <w:p w:rsidR="00000000" w:rsidRDefault="000F0F8D">
      <w:pPr>
        <w:ind w:firstLine="360"/>
        <w:divId w:val="290482927"/>
        <w:rPr>
          <w:rFonts w:eastAsia="Times New Roman"/>
        </w:rPr>
      </w:pPr>
      <w:r>
        <w:rPr>
          <w:rFonts w:eastAsia="Times New Roman"/>
          <w:color w:val="000000"/>
          <w:sz w:val="20"/>
          <w:szCs w:val="20"/>
        </w:rPr>
        <w:t>As a result of the global patent license agreement entered into with Huawei in July 2020, QTL results for the first nine months of fisc</w:t>
      </w:r>
      <w:r>
        <w:rPr>
          <w:rFonts w:eastAsia="Times New Roman"/>
          <w:color w:val="000000"/>
          <w:sz w:val="20"/>
          <w:szCs w:val="20"/>
        </w:rPr>
        <w:t>al 2021 included revenues for royalties due on sales made by Huawei in the December 2020, March 2021 and June 2021 quarters. We did not record any revenues in the first nine months of fiscal 2020 for royalties due on the sales of Huawei’s consumer wireless</w:t>
      </w:r>
      <w:r>
        <w:rPr>
          <w:rFonts w:eastAsia="Times New Roman"/>
          <w:color w:val="000000"/>
          <w:sz w:val="20"/>
          <w:szCs w:val="20"/>
        </w:rPr>
        <w:t xml:space="preserve"> products. </w:t>
      </w:r>
    </w:p>
    <w:p w:rsidR="00000000" w:rsidRDefault="000F0F8D">
      <w:pPr>
        <w:divId w:val="181363413"/>
        <w:rPr>
          <w:rFonts w:eastAsia="Times New Roman"/>
        </w:rPr>
      </w:pPr>
      <w:r>
        <w:rPr>
          <w:rFonts w:eastAsia="Times New Roman"/>
          <w:b/>
          <w:bCs/>
          <w:i/>
          <w:iCs/>
          <w:color w:val="000000"/>
          <w:sz w:val="20"/>
          <w:szCs w:val="20"/>
        </w:rPr>
        <w:t>Third quarter 2021 vs. 2020</w:t>
      </w:r>
    </w:p>
    <w:p w:rsidR="00000000" w:rsidRDefault="000F0F8D">
      <w:pPr>
        <w:divId w:val="833641843"/>
        <w:rPr>
          <w:rFonts w:eastAsia="Times New Roman"/>
        </w:rPr>
      </w:pPr>
      <w:r>
        <w:rPr>
          <w:rFonts w:eastAsia="Times New Roman"/>
          <w:color w:val="000000"/>
          <w:sz w:val="20"/>
          <w:szCs w:val="20"/>
        </w:rPr>
        <w:t xml:space="preserve">The increase in QTL licensing revenues in the third quarter of fiscal 2021 was primarily due to: </w:t>
      </w:r>
    </w:p>
    <w:p w:rsidR="00000000" w:rsidRDefault="000F0F8D">
      <w:pPr>
        <w:ind w:hanging="360"/>
        <w:divId w:val="58222582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$380 million in higher estimated sales of 3G/4G/5G-based multimode products, primarily due to a recovery from the negative impacts of COVID-19 and, to a lesser extent, due to the new license agreement with Huawei</w:t>
      </w:r>
    </w:p>
    <w:p w:rsidR="00000000" w:rsidRDefault="000F0F8D">
      <w:pPr>
        <w:ind w:hanging="360"/>
        <w:divId w:val="104602373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$77 million in higher estimated revenu</w:t>
      </w:r>
      <w:r>
        <w:rPr>
          <w:rFonts w:eastAsia="Times New Roman"/>
          <w:color w:val="000000"/>
          <w:sz w:val="20"/>
          <w:szCs w:val="20"/>
        </w:rPr>
        <w:t>es per unit, primarily due to favorable mix</w:t>
      </w:r>
    </w:p>
    <w:p w:rsidR="00000000" w:rsidRDefault="000F0F8D">
      <w:pPr>
        <w:divId w:val="910693640"/>
        <w:rPr>
          <w:rFonts w:eastAsia="Times New Roman"/>
        </w:rPr>
      </w:pPr>
      <w:r>
        <w:rPr>
          <w:rFonts w:eastAsia="Times New Roman"/>
          <w:color w:val="000000"/>
          <w:sz w:val="20"/>
          <w:szCs w:val="20"/>
        </w:rPr>
        <w:t xml:space="preserve">QTL EBT as a percentage of revenues increased in the third quarter of fiscal 2021 primarily due to: </w:t>
      </w:r>
    </w:p>
    <w:p w:rsidR="00000000" w:rsidRDefault="000F0F8D">
      <w:pPr>
        <w:ind w:hanging="360"/>
        <w:divId w:val="172078647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rsidR="00000000" w:rsidRDefault="000F0F8D">
      <w:pPr>
        <w:ind w:hanging="360"/>
        <w:divId w:val="61066988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expenses</w:t>
      </w:r>
    </w:p>
    <w:p w:rsidR="00000000" w:rsidRDefault="000F0F8D">
      <w:pPr>
        <w:divId w:val="758058879"/>
        <w:rPr>
          <w:rFonts w:eastAsia="Times New Roman"/>
        </w:rPr>
      </w:pPr>
      <w:r>
        <w:rPr>
          <w:rFonts w:eastAsia="Times New Roman"/>
          <w:b/>
          <w:bCs/>
          <w:i/>
          <w:iCs/>
          <w:color w:val="000000"/>
          <w:sz w:val="20"/>
          <w:szCs w:val="20"/>
        </w:rPr>
        <w:t>First nine months 2021 vs. 2020</w:t>
      </w:r>
    </w:p>
    <w:p w:rsidR="00000000" w:rsidRDefault="000F0F8D">
      <w:pPr>
        <w:divId w:val="59252529"/>
        <w:rPr>
          <w:rFonts w:eastAsia="Times New Roman"/>
        </w:rPr>
      </w:pPr>
      <w:r>
        <w:rPr>
          <w:rFonts w:eastAsia="Times New Roman"/>
          <w:color w:val="000000"/>
          <w:sz w:val="20"/>
          <w:szCs w:val="20"/>
        </w:rPr>
        <w:t>The increase in QTL licensing revenues in the first nine months of fiscal 2021 was primarily due to:</w:t>
      </w:r>
    </w:p>
    <w:p w:rsidR="00000000" w:rsidRDefault="000F0F8D">
      <w:pPr>
        <w:ind w:hanging="360"/>
        <w:divId w:val="62261506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$1.2 billion in higher estimat</w:t>
      </w:r>
      <w:r>
        <w:rPr>
          <w:rFonts w:eastAsia="Times New Roman"/>
          <w:color w:val="000000"/>
          <w:sz w:val="20"/>
          <w:szCs w:val="20"/>
        </w:rPr>
        <w:t>ed sales of 3G/4G/5G-based multimode products, primarily due to a recovery from the negative impacts of COVID-19 and, to a lesser extent, due to the new license agreement with Huawei</w:t>
      </w:r>
    </w:p>
    <w:p w:rsidR="00000000" w:rsidRDefault="000F0F8D">
      <w:pPr>
        <w:ind w:hanging="360"/>
        <w:divId w:val="118420167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$190 million in higher estimated revenues per unit, primarily due to</w:t>
      </w:r>
      <w:r>
        <w:rPr>
          <w:rFonts w:eastAsia="Times New Roman"/>
          <w:color w:val="000000"/>
          <w:sz w:val="20"/>
          <w:szCs w:val="20"/>
        </w:rPr>
        <w:t xml:space="preserve"> favorable mix</w:t>
      </w:r>
    </w:p>
    <w:p w:rsidR="00000000" w:rsidRDefault="000F0F8D">
      <w:pPr>
        <w:ind w:hanging="360"/>
        <w:divId w:val="194610706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$109 million in lower royalty revenues related to devices sold in prior periods</w:t>
      </w:r>
    </w:p>
    <w:p w:rsidR="00000000" w:rsidRDefault="000F0F8D">
      <w:pPr>
        <w:divId w:val="978925761"/>
        <w:rPr>
          <w:rFonts w:eastAsia="Times New Roman"/>
        </w:rPr>
      </w:pPr>
      <w:r>
        <w:rPr>
          <w:rFonts w:eastAsia="Times New Roman"/>
          <w:color w:val="000000"/>
          <w:sz w:val="20"/>
          <w:szCs w:val="20"/>
        </w:rPr>
        <w:t>QTL EBT as a percentage of revenues increased in the first nine months of fiscal 2021 primarily due to:</w:t>
      </w:r>
    </w:p>
    <w:p w:rsidR="00000000" w:rsidRDefault="000F0F8D">
      <w:pPr>
        <w:ind w:hanging="360"/>
        <w:divId w:val="140568823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color w:val="000000"/>
          <w:sz w:val="20"/>
          <w:szCs w:val="20"/>
        </w:rPr>
        <w:t>    </w:t>
      </w:r>
      <w:r>
        <w:rPr>
          <w:rFonts w:eastAsia="Times New Roman"/>
          <w:color w:val="000000"/>
          <w:sz w:val="20"/>
          <w:szCs w:val="20"/>
        </w:rPr>
        <w:t>higher revenues</w:t>
      </w:r>
    </w:p>
    <w:p w:rsidR="00000000" w:rsidRDefault="000F0F8D">
      <w:pPr>
        <w:ind w:hanging="360"/>
        <w:divId w:val="89700860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operating expenses,</w:t>
      </w:r>
      <w:r>
        <w:rPr>
          <w:rFonts w:eastAsia="Times New Roman"/>
          <w:color w:val="000000"/>
          <w:sz w:val="20"/>
          <w:szCs w:val="20"/>
        </w:rPr>
        <w:t xml:space="preserve"> primarily driven by higher research and development expenses</w:t>
      </w:r>
    </w:p>
    <w:p w:rsidR="00000000" w:rsidRDefault="000F0F8D">
      <w:pPr>
        <w:ind w:firstLine="360"/>
        <w:divId w:val="590889728"/>
        <w:rPr>
          <w:rFonts w:eastAsia="Times New Roman"/>
        </w:rPr>
      </w:pPr>
      <w:r>
        <w:rPr>
          <w:rFonts w:eastAsia="Times New Roman"/>
          <w:b/>
          <w:bCs/>
          <w:i/>
          <w:iCs/>
          <w:color w:val="000000"/>
          <w:sz w:val="20"/>
          <w:szCs w:val="20"/>
        </w:rPr>
        <w:t>QSI Segment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94"/>
        <w:gridCol w:w="36"/>
        <w:gridCol w:w="111"/>
        <w:gridCol w:w="835"/>
        <w:gridCol w:w="37"/>
        <w:gridCol w:w="36"/>
        <w:gridCol w:w="36"/>
        <w:gridCol w:w="36"/>
        <w:gridCol w:w="111"/>
        <w:gridCol w:w="794"/>
        <w:gridCol w:w="37"/>
        <w:gridCol w:w="36"/>
        <w:gridCol w:w="36"/>
        <w:gridCol w:w="36"/>
        <w:gridCol w:w="111"/>
        <w:gridCol w:w="794"/>
        <w:gridCol w:w="36"/>
        <w:gridCol w:w="36"/>
        <w:gridCol w:w="36"/>
        <w:gridCol w:w="36"/>
        <w:gridCol w:w="111"/>
        <w:gridCol w:w="796"/>
        <w:gridCol w:w="37"/>
        <w:gridCol w:w="36"/>
        <w:gridCol w:w="36"/>
        <w:gridCol w:w="36"/>
        <w:gridCol w:w="111"/>
        <w:gridCol w:w="796"/>
        <w:gridCol w:w="37"/>
        <w:gridCol w:w="36"/>
        <w:gridCol w:w="36"/>
        <w:gridCol w:w="36"/>
        <w:gridCol w:w="111"/>
        <w:gridCol w:w="798"/>
        <w:gridCol w:w="36"/>
      </w:tblGrid>
      <w:tr w:rsidR="00000000">
        <w:trPr>
          <w:divId w:val="428282472"/>
          <w:jc w:val="center"/>
        </w:trPr>
        <w:tc>
          <w:tcPr>
            <w:tcW w:w="50" w:type="pct"/>
            <w:vAlign w:val="center"/>
            <w:hideMark/>
          </w:tcPr>
          <w:p w:rsidR="00000000" w:rsidRDefault="000F0F8D">
            <w:pPr>
              <w:ind w:firstLine="360"/>
              <w:rPr>
                <w:rFonts w:eastAsia="Times New Roman"/>
              </w:rPr>
            </w:pPr>
          </w:p>
        </w:tc>
        <w:tc>
          <w:tcPr>
            <w:tcW w:w="12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33"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r>
      <w:tr w:rsidR="00000000">
        <w:trPr>
          <w:divId w:val="428282472"/>
          <w:jc w:val="center"/>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r>
      <w:tr w:rsidR="00000000">
        <w:trPr>
          <w:divId w:val="428282472"/>
          <w:jc w:val="center"/>
        </w:trPr>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Equipment and services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428282472"/>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EBT</w:t>
            </w: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156 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412 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(58)</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470 </w:t>
            </w:r>
          </w:p>
        </w:tc>
        <w:tc>
          <w:tcPr>
            <w:tcW w:w="0" w:type="auto"/>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428282472"/>
          <w:jc w:val="center"/>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428282472"/>
          <w:jc w:val="center"/>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divId w:val="930239896"/>
        <w:rPr>
          <w:rFonts w:eastAsia="Times New Roman"/>
        </w:rPr>
      </w:pPr>
      <w:r>
        <w:rPr>
          <w:rFonts w:eastAsia="Times New Roman"/>
          <w:b/>
          <w:bCs/>
          <w:i/>
          <w:iCs/>
          <w:color w:val="000000"/>
          <w:sz w:val="20"/>
          <w:szCs w:val="20"/>
        </w:rPr>
        <w:t>Third quarter 2021 vs. 2020</w:t>
      </w:r>
    </w:p>
    <w:p w:rsidR="00000000" w:rsidRDefault="000F0F8D">
      <w:pPr>
        <w:divId w:val="1469860366"/>
        <w:rPr>
          <w:rFonts w:eastAsia="Times New Roman"/>
        </w:rPr>
      </w:pPr>
      <w:r>
        <w:rPr>
          <w:rFonts w:eastAsia="Times New Roman"/>
          <w:color w:val="000000"/>
          <w:sz w:val="20"/>
          <w:szCs w:val="20"/>
        </w:rPr>
        <w:t>QSI EBT remained approximately flat in the third quarter of fiscal 2</w:t>
      </w:r>
      <w:r>
        <w:rPr>
          <w:rFonts w:eastAsia="Times New Roman"/>
          <w:color w:val="000000"/>
          <w:sz w:val="20"/>
          <w:szCs w:val="20"/>
        </w:rPr>
        <w:t>021.</w:t>
      </w:r>
    </w:p>
    <w:p w:rsidR="00000000" w:rsidRDefault="000F0F8D">
      <w:pPr>
        <w:ind w:hanging="720"/>
        <w:divId w:val="481308955"/>
        <w:rPr>
          <w:rFonts w:eastAsia="Times New Roman"/>
        </w:rPr>
      </w:pPr>
      <w:r>
        <w:rPr>
          <w:rFonts w:eastAsia="Times New Roman"/>
          <w:b/>
          <w:bCs/>
          <w:i/>
          <w:iCs/>
          <w:color w:val="000000"/>
          <w:sz w:val="20"/>
          <w:szCs w:val="20"/>
        </w:rPr>
        <w:t>First nine months 2021 vs. 2020</w:t>
      </w:r>
    </w:p>
    <w:p w:rsidR="00000000" w:rsidRDefault="000F0F8D">
      <w:pPr>
        <w:divId w:val="1646812432"/>
        <w:rPr>
          <w:rFonts w:eastAsia="Times New Roman"/>
        </w:rPr>
      </w:pPr>
      <w:r>
        <w:rPr>
          <w:rFonts w:eastAsia="Times New Roman"/>
          <w:color w:val="000000"/>
          <w:sz w:val="20"/>
          <w:szCs w:val="20"/>
        </w:rPr>
        <w:t>The increase in QSI EBT in the first nine months of fiscal 2021 was primarily due to:</w:t>
      </w:r>
    </w:p>
    <w:p w:rsidR="00000000" w:rsidRDefault="000F0F8D">
      <w:pPr>
        <w:ind w:hanging="360"/>
        <w:divId w:val="161397311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$322 million decrease in impairment losses on other investments, of which a significant portion related to our investment in One</w:t>
      </w:r>
      <w:r>
        <w:rPr>
          <w:rFonts w:eastAsia="Times New Roman"/>
          <w:color w:val="000000"/>
          <w:sz w:val="20"/>
          <w:szCs w:val="20"/>
        </w:rPr>
        <w:t>Web</w:t>
      </w:r>
    </w:p>
    <w:p w:rsidR="00000000" w:rsidRDefault="000F0F8D">
      <w:pPr>
        <w:ind w:hanging="360"/>
        <w:divId w:val="93640066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$113 million increase in net gains on investments</w:t>
      </w:r>
    </w:p>
    <w:p w:rsidR="00000000" w:rsidRDefault="000F0F8D">
      <w:pPr>
        <w:ind w:hanging="360"/>
        <w:divId w:val="70132030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$37 million increase in our share of earnings in equity method investments</w:t>
      </w:r>
    </w:p>
    <w:p w:rsidR="00000000" w:rsidRDefault="000F0F8D">
      <w:pPr>
        <w:jc w:val="center"/>
        <w:divId w:val="1497649033"/>
        <w:rPr>
          <w:rFonts w:eastAsia="Times New Roman"/>
        </w:rPr>
      </w:pPr>
      <w:r>
        <w:rPr>
          <w:rFonts w:eastAsia="Times New Roman"/>
          <w:color w:val="000000"/>
          <w:sz w:val="20"/>
          <w:szCs w:val="20"/>
        </w:rPr>
        <w:t>27</w:t>
      </w:r>
    </w:p>
    <w:p w:rsidR="00000000" w:rsidRDefault="000F0F8D">
      <w:pPr>
        <w:rPr>
          <w:rFonts w:eastAsia="Times New Roman"/>
        </w:rPr>
      </w:pPr>
      <w:r>
        <w:rPr>
          <w:rFonts w:eastAsia="Times New Roman"/>
        </w:rPr>
        <w:pict>
          <v:rect id="_x0000_i1050" style="width:0;height:1.5pt" o:hralign="center" o:hrstd="t" o:hr="t" fillcolor="#a0a0a0" stroked="f"/>
        </w:pict>
      </w:r>
    </w:p>
    <w:p w:rsidR="00000000" w:rsidRDefault="000F0F8D">
      <w:pPr>
        <w:divId w:val="427164643"/>
        <w:rPr>
          <w:rFonts w:eastAsia="Times New Roman"/>
        </w:rPr>
      </w:pPr>
    </w:p>
    <w:p w:rsidR="00000000" w:rsidRDefault="000F0F8D">
      <w:pPr>
        <w:divId w:val="363218589"/>
        <w:rPr>
          <w:rFonts w:eastAsia="Times New Roman"/>
        </w:rPr>
      </w:pPr>
      <w:r>
        <w:rPr>
          <w:rFonts w:eastAsia="Times New Roman"/>
          <w:b/>
          <w:bCs/>
          <w:color w:val="000000"/>
          <w:sz w:val="20"/>
          <w:szCs w:val="20"/>
        </w:rPr>
        <w:t>Looking Forward</w:t>
      </w:r>
    </w:p>
    <w:p w:rsidR="00000000" w:rsidRDefault="000F0F8D">
      <w:pPr>
        <w:ind w:firstLine="360"/>
        <w:divId w:val="605961491"/>
        <w:rPr>
          <w:rFonts w:eastAsia="Times New Roman"/>
        </w:rPr>
      </w:pPr>
      <w:r>
        <w:rPr>
          <w:rFonts w:eastAsia="Times New Roman"/>
          <w:color w:val="000000"/>
          <w:sz w:val="20"/>
          <w:szCs w:val="20"/>
        </w:rPr>
        <w:t>In the coming years, we expect new consumer demand for 3G/4G/5G multimode and 5G products and services to continue to ramp around the world as we transition from 3G/4G multimode and 4G products and services. We believe that 5G will continue to drive adopti</w:t>
      </w:r>
      <w:r>
        <w:rPr>
          <w:rFonts w:eastAsia="Times New Roman"/>
          <w:color w:val="000000"/>
          <w:sz w:val="20"/>
          <w:szCs w:val="20"/>
        </w:rPr>
        <w:t>on of certain technologies that are already commonly used in smartphones by industry segments and applications beyond mobile, such as automotive and IoT. We believe it is important that we remain a leader in 5G technology development, standardization, inte</w:t>
      </w:r>
      <w:r>
        <w:rPr>
          <w:rFonts w:eastAsia="Times New Roman"/>
          <w:color w:val="000000"/>
          <w:sz w:val="20"/>
          <w:szCs w:val="20"/>
        </w:rPr>
        <w:t xml:space="preserve">llectual property creation and licensing, and a leading developer and supplier of 5G integrated circuit products in order to sustain and grow our business long-term. </w:t>
      </w:r>
    </w:p>
    <w:p w:rsidR="00000000" w:rsidRDefault="000F0F8D">
      <w:pPr>
        <w:ind w:hanging="360"/>
        <w:divId w:val="584457132"/>
        <w:rPr>
          <w:rFonts w:eastAsia="Times New Roman"/>
        </w:rPr>
      </w:pPr>
      <w:r>
        <w:rPr>
          <w:rFonts w:eastAsia="Times New Roman"/>
          <w:color w:val="000000"/>
          <w:sz w:val="20"/>
          <w:szCs w:val="20"/>
        </w:rPr>
        <w:t>As we look forward to the next several months and beyond, our business may be impacted by</w:t>
      </w:r>
      <w:r>
        <w:rPr>
          <w:rFonts w:eastAsia="Times New Roman"/>
          <w:color w:val="000000"/>
          <w:sz w:val="20"/>
          <w:szCs w:val="20"/>
        </w:rPr>
        <w:t xml:space="preserve"> the following key items:</w:t>
      </w:r>
    </w:p>
    <w:p w:rsidR="00000000" w:rsidRDefault="000F0F8D">
      <w:pPr>
        <w:ind w:hanging="360"/>
        <w:divId w:val="942687253"/>
        <w:rPr>
          <w:rFonts w:eastAsia="Times New Roman"/>
        </w:rPr>
      </w:pPr>
      <w:r>
        <w:rPr>
          <w:rFonts w:eastAsia="Times New Roman"/>
          <w:color w:val="000000"/>
          <w:sz w:val="20"/>
          <w:szCs w:val="20"/>
        </w:rPr>
        <w:t>•We expect QCT revenues in the fourth quarter of fiscal 2021 to continue to be favorably impacted compared to the prior year due to increased demand across handset, RFFE and IoT revenue streams.</w:t>
      </w:r>
    </w:p>
    <w:p w:rsidR="00000000" w:rsidRDefault="000F0F8D">
      <w:pPr>
        <w:ind w:hanging="360"/>
        <w:divId w:val="1694723544"/>
        <w:rPr>
          <w:rFonts w:eastAsia="Times New Roman"/>
        </w:rPr>
      </w:pPr>
      <w:r>
        <w:rPr>
          <w:rFonts w:eastAsia="Times New Roman"/>
          <w:color w:val="000000"/>
          <w:sz w:val="20"/>
          <w:szCs w:val="20"/>
        </w:rPr>
        <w:t xml:space="preserve">•We have entered into several, and </w:t>
      </w:r>
      <w:r>
        <w:rPr>
          <w:rFonts w:eastAsia="Times New Roman"/>
          <w:color w:val="000000"/>
          <w:sz w:val="20"/>
          <w:szCs w:val="20"/>
        </w:rPr>
        <w:t>we expect to enter into additional, multi-year capacity purchase commitments with certain suppliers of our integrated circuit products in an effort to secure commitments for future supply, which we expect will allow us to realize benefits from increased de</w:t>
      </w:r>
      <w:r>
        <w:rPr>
          <w:rFonts w:eastAsia="Times New Roman"/>
          <w:color w:val="000000"/>
          <w:sz w:val="20"/>
          <w:szCs w:val="20"/>
        </w:rPr>
        <w:t>mand for integrated circuit products by the end of the calendar year, particularly from certain Chinese OEMs as they continue to position to gain device share.</w:t>
      </w:r>
    </w:p>
    <w:p w:rsidR="00000000" w:rsidRDefault="000F0F8D">
      <w:pPr>
        <w:ind w:hanging="360"/>
        <w:divId w:val="860164517"/>
        <w:rPr>
          <w:rFonts w:eastAsia="Times New Roman"/>
        </w:rPr>
      </w:pPr>
      <w:r>
        <w:rPr>
          <w:rFonts w:eastAsia="Times New Roman"/>
          <w:color w:val="000000"/>
          <w:sz w:val="20"/>
          <w:szCs w:val="20"/>
        </w:rPr>
        <w:t xml:space="preserve">•We expect commercial 5G network deployments and device launches will continue through calendar </w:t>
      </w:r>
      <w:r>
        <w:rPr>
          <w:rFonts w:eastAsia="Times New Roman"/>
          <w:color w:val="000000"/>
          <w:sz w:val="20"/>
          <w:szCs w:val="20"/>
        </w:rPr>
        <w:t>2021 and beyo</w:t>
      </w:r>
      <w:r>
        <w:rPr>
          <w:rFonts w:eastAsia="Times New Roman"/>
          <w:color w:val="000000"/>
          <w:sz w:val="20"/>
          <w:szCs w:val="20"/>
          <w:shd w:val="clear" w:color="auto" w:fill="FFFFFF"/>
        </w:rPr>
        <w:t xml:space="preserve">nd. </w:t>
      </w:r>
    </w:p>
    <w:p w:rsidR="00000000" w:rsidRDefault="000F0F8D">
      <w:pPr>
        <w:ind w:hanging="360"/>
        <w:divId w:val="2110195549"/>
        <w:rPr>
          <w:rFonts w:eastAsia="Times New Roman"/>
        </w:rPr>
      </w:pPr>
      <w:r>
        <w:rPr>
          <w:rFonts w:eastAsia="Times New Roman"/>
          <w:color w:val="000000"/>
          <w:sz w:val="20"/>
          <w:szCs w:val="20"/>
        </w:rPr>
        <w:t>•We expect our research and development costs will increase compared to the prior year, primarily due to increased investment towards advancements in 5G and application processor technologies and certain other long-term initiatives, as we</w:t>
      </w:r>
      <w:r>
        <w:rPr>
          <w:rFonts w:eastAsia="Times New Roman"/>
          <w:color w:val="000000"/>
          <w:sz w:val="20"/>
          <w:szCs w:val="20"/>
        </w:rPr>
        <w:t>ll as an increase in share-based compensation expense.</w:t>
      </w:r>
    </w:p>
    <w:p w:rsidR="00000000" w:rsidRDefault="000F0F8D">
      <w:pPr>
        <w:ind w:hanging="360"/>
        <w:divId w:val="2115637243"/>
        <w:rPr>
          <w:rFonts w:eastAsia="Times New Roman"/>
        </w:rPr>
      </w:pPr>
      <w:r>
        <w:rPr>
          <w:rFonts w:eastAsia="Times New Roman"/>
          <w:color w:val="000000"/>
          <w:sz w:val="20"/>
          <w:szCs w:val="20"/>
        </w:rPr>
        <w:t>•We expect continued intense competition, particularly in China.</w:t>
      </w:r>
    </w:p>
    <w:p w:rsidR="00000000" w:rsidRDefault="000F0F8D">
      <w:pPr>
        <w:ind w:hanging="360"/>
        <w:divId w:val="535043817"/>
        <w:rPr>
          <w:rFonts w:eastAsia="Times New Roman"/>
        </w:rPr>
      </w:pPr>
      <w:r>
        <w:rPr>
          <w:rFonts w:eastAsia="Times New Roman"/>
          <w:color w:val="000000"/>
          <w:sz w:val="20"/>
          <w:szCs w:val="20"/>
        </w:rPr>
        <w:t>•Current U.S./China trade relations and/or national security protection policies may negatively impact our business, growth prospects an</w:t>
      </w:r>
      <w:r>
        <w:rPr>
          <w:rFonts w:eastAsia="Times New Roman"/>
          <w:color w:val="000000"/>
          <w:sz w:val="20"/>
          <w:szCs w:val="20"/>
        </w:rPr>
        <w:t>d results of operations. See “Risk Factors” in this Quarterly Report, including the Risk Factor titled “</w:t>
      </w:r>
      <w:r>
        <w:rPr>
          <w:rFonts w:eastAsia="Times New Roman"/>
          <w:i/>
          <w:iCs/>
          <w:color w:val="000000"/>
          <w:sz w:val="20"/>
          <w:szCs w:val="20"/>
        </w:rPr>
        <w:t>A significant portion of our business is concentrated in China, and the risks of such concentration are exacerbated by U.S./China trade and national sec</w:t>
      </w:r>
      <w:r>
        <w:rPr>
          <w:rFonts w:eastAsia="Times New Roman"/>
          <w:i/>
          <w:iCs/>
          <w:color w:val="000000"/>
          <w:sz w:val="20"/>
          <w:szCs w:val="20"/>
        </w:rPr>
        <w:t>urity tensions.</w:t>
      </w:r>
      <w:r>
        <w:rPr>
          <w:rFonts w:eastAsia="Times New Roman"/>
          <w:color w:val="000000"/>
          <w:sz w:val="20"/>
          <w:szCs w:val="20"/>
        </w:rPr>
        <w:t>”</w:t>
      </w:r>
    </w:p>
    <w:p w:rsidR="00000000" w:rsidRDefault="000F0F8D">
      <w:pPr>
        <w:ind w:hanging="360"/>
        <w:divId w:val="1750157980"/>
        <w:rPr>
          <w:rFonts w:eastAsia="Times New Roman"/>
        </w:rPr>
      </w:pPr>
      <w:r>
        <w:rPr>
          <w:rFonts w:eastAsia="Times New Roman"/>
          <w:color w:val="000000"/>
          <w:sz w:val="20"/>
          <w:szCs w:val="20"/>
        </w:rPr>
        <w:t xml:space="preserve">•The COVID-19 pandemic has resulted in significant economic uncertainty, which resulted in a global recession. While the pandemic has had a negative impact on consumer demand for some devices that incorporate our products and intellectual </w:t>
      </w:r>
      <w:r>
        <w:rPr>
          <w:rFonts w:eastAsia="Times New Roman"/>
          <w:color w:val="000000"/>
          <w:sz w:val="20"/>
          <w:szCs w:val="20"/>
        </w:rPr>
        <w:t>property, as compared to economic conditions and consumer demand prior to the pandemic, we currently do not expect a significant impact on our results of operations in the future due to COVID-19. The degree to which the COVID-19 pandemic impacts our busine</w:t>
      </w:r>
      <w:r>
        <w:rPr>
          <w:rFonts w:eastAsia="Times New Roman"/>
          <w:color w:val="000000"/>
          <w:sz w:val="20"/>
          <w:szCs w:val="20"/>
        </w:rPr>
        <w:t>ss, financial condition and results of operations will depend on future developments, which are highly uncertain. See “Risk Factors” in this Quarterly Report, specifically the Risk Factor titled “</w:t>
      </w:r>
      <w:r>
        <w:rPr>
          <w:rFonts w:eastAsia="Times New Roman"/>
          <w:i/>
          <w:iCs/>
          <w:color w:val="000000"/>
          <w:sz w:val="20"/>
          <w:szCs w:val="20"/>
        </w:rPr>
        <w:t>The coronavirus (COVID-19) pandemic has had an adverse effec</w:t>
      </w:r>
      <w:r>
        <w:rPr>
          <w:rFonts w:eastAsia="Times New Roman"/>
          <w:i/>
          <w:iCs/>
          <w:color w:val="000000"/>
          <w:sz w:val="20"/>
          <w:szCs w:val="20"/>
        </w:rPr>
        <w:t>t on our business and results of operations, and may continue to impact us in the future.”</w:t>
      </w:r>
      <w:r>
        <w:rPr>
          <w:rFonts w:eastAsia="Times New Roman"/>
          <w:color w:val="000000"/>
          <w:sz w:val="20"/>
          <w:szCs w:val="20"/>
        </w:rPr>
        <w:t xml:space="preserve"> </w:t>
      </w:r>
    </w:p>
    <w:p w:rsidR="00000000" w:rsidRDefault="000F0F8D">
      <w:pPr>
        <w:ind w:firstLine="360"/>
        <w:divId w:val="1754743981"/>
        <w:rPr>
          <w:rFonts w:eastAsia="Times New Roman"/>
        </w:rPr>
      </w:pPr>
      <w:r>
        <w:rPr>
          <w:rFonts w:eastAsia="Times New Roman"/>
          <w:color w:val="000000"/>
          <w:sz w:val="20"/>
          <w:szCs w:val="20"/>
        </w:rPr>
        <w:t xml:space="preserve">In addition to the foregoing business and market-based matters, we continue to devote resources to working with and educating participants in the wireless industry </w:t>
      </w:r>
      <w:r>
        <w:rPr>
          <w:rFonts w:eastAsia="Times New Roman"/>
          <w:color w:val="000000"/>
          <w:sz w:val="20"/>
          <w:szCs w:val="20"/>
        </w:rPr>
        <w:t>and governments as to the benefits of our licensing program and our extensive technology investments in promoting a highly competitive and innovative wireless industry. However, we expect that certain companies may continue to be dissatisfied with the need</w:t>
      </w:r>
      <w:r>
        <w:rPr>
          <w:rFonts w:eastAsia="Times New Roman"/>
          <w:color w:val="000000"/>
          <w:sz w:val="20"/>
          <w:szCs w:val="20"/>
        </w:rPr>
        <w:t xml:space="preserve"> to pay reasonable royalties for the use of our technologies and not welcome the success of our licensing program in enabling new, highly cost-effective competitors to their products. Accordingly, such companies, and/or governments or regulators, may conti</w:t>
      </w:r>
      <w:r>
        <w:rPr>
          <w:rFonts w:eastAsia="Times New Roman"/>
          <w:color w:val="000000"/>
          <w:sz w:val="20"/>
          <w:szCs w:val="20"/>
        </w:rPr>
        <w:t>nue to challenge our business model in various forums throughout the world.</w:t>
      </w:r>
    </w:p>
    <w:p w:rsidR="00000000" w:rsidRDefault="000F0F8D">
      <w:pPr>
        <w:ind w:firstLine="360"/>
        <w:divId w:val="1313679449"/>
        <w:rPr>
          <w:rFonts w:eastAsia="Times New Roman"/>
        </w:rPr>
      </w:pPr>
      <w:r>
        <w:rPr>
          <w:rFonts w:eastAsia="Times New Roman"/>
          <w:color w:val="000000"/>
          <w:sz w:val="20"/>
          <w:szCs w:val="20"/>
        </w:rPr>
        <w:t>Further discussion of risks related to our business is provided in the section titled “Risk Factors” included in this Quarterly Report.</w:t>
      </w:r>
    </w:p>
    <w:p w:rsidR="00000000" w:rsidRDefault="000F0F8D">
      <w:pPr>
        <w:jc w:val="center"/>
        <w:divId w:val="1817452905"/>
        <w:rPr>
          <w:rFonts w:eastAsia="Times New Roman"/>
        </w:rPr>
      </w:pPr>
      <w:r>
        <w:rPr>
          <w:rFonts w:eastAsia="Times New Roman"/>
          <w:color w:val="000000"/>
          <w:sz w:val="20"/>
          <w:szCs w:val="20"/>
        </w:rPr>
        <w:t>28</w:t>
      </w:r>
    </w:p>
    <w:p w:rsidR="00000000" w:rsidRDefault="000F0F8D">
      <w:pPr>
        <w:rPr>
          <w:rFonts w:eastAsia="Times New Roman"/>
        </w:rPr>
      </w:pPr>
      <w:r>
        <w:rPr>
          <w:rFonts w:eastAsia="Times New Roman"/>
        </w:rPr>
        <w:pict>
          <v:rect id="_x0000_i1051" style="width:0;height:1.5pt" o:hralign="center" o:hrstd="t" o:hr="t" fillcolor="#a0a0a0" stroked="f"/>
        </w:pict>
      </w:r>
    </w:p>
    <w:p w:rsidR="00000000" w:rsidRDefault="000F0F8D">
      <w:pPr>
        <w:divId w:val="1544904470"/>
        <w:rPr>
          <w:rFonts w:eastAsia="Times New Roman"/>
        </w:rPr>
      </w:pPr>
    </w:p>
    <w:p w:rsidR="00000000" w:rsidRDefault="000F0F8D">
      <w:pPr>
        <w:divId w:val="1514879597"/>
        <w:rPr>
          <w:rFonts w:eastAsia="Times New Roman"/>
        </w:rPr>
      </w:pPr>
      <w:r>
        <w:rPr>
          <w:rFonts w:eastAsia="Times New Roman"/>
          <w:b/>
          <w:bCs/>
          <w:color w:val="000000"/>
          <w:sz w:val="20"/>
          <w:szCs w:val="20"/>
        </w:rPr>
        <w:t>Li</w:t>
      </w:r>
      <w:r>
        <w:rPr>
          <w:rFonts w:eastAsia="Times New Roman"/>
          <w:b/>
          <w:bCs/>
          <w:color w:val="000000"/>
          <w:sz w:val="20"/>
          <w:szCs w:val="20"/>
        </w:rPr>
        <w:t>quidity and Capital Resources</w:t>
      </w:r>
    </w:p>
    <w:p w:rsidR="00000000" w:rsidRDefault="000F0F8D">
      <w:pPr>
        <w:ind w:firstLine="360"/>
        <w:divId w:val="2132438201"/>
        <w:rPr>
          <w:rFonts w:eastAsia="Times New Roman"/>
        </w:rPr>
      </w:pPr>
      <w:r>
        <w:rPr>
          <w:rFonts w:eastAsia="Times New Roman"/>
          <w:color w:val="000000"/>
          <w:sz w:val="20"/>
          <w:szCs w:val="20"/>
        </w:rPr>
        <w:t>Our principal sources of liquidity are our existing cash, cash equivalents and marketable securities, cash generated from operations and cash provided by our debt programs. The following tables present selected financial infor</w:t>
      </w:r>
      <w:r>
        <w:rPr>
          <w:rFonts w:eastAsia="Times New Roman"/>
          <w:color w:val="000000"/>
          <w:sz w:val="20"/>
          <w:szCs w:val="20"/>
        </w:rPr>
        <w:t>mation related to our liquidity at June 27, 2021 and September 27, 2020 and for the first nine months of fiscal 2021 and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00"/>
        <w:gridCol w:w="36"/>
        <w:gridCol w:w="110"/>
        <w:gridCol w:w="858"/>
        <w:gridCol w:w="36"/>
        <w:gridCol w:w="36"/>
        <w:gridCol w:w="36"/>
        <w:gridCol w:w="36"/>
        <w:gridCol w:w="111"/>
        <w:gridCol w:w="823"/>
        <w:gridCol w:w="36"/>
        <w:gridCol w:w="36"/>
        <w:gridCol w:w="36"/>
        <w:gridCol w:w="36"/>
        <w:gridCol w:w="111"/>
        <w:gridCol w:w="823"/>
        <w:gridCol w:w="36"/>
        <w:gridCol w:w="36"/>
        <w:gridCol w:w="36"/>
      </w:tblGrid>
      <w:tr w:rsidR="00000000">
        <w:trPr>
          <w:divId w:val="125467683"/>
        </w:trPr>
        <w:tc>
          <w:tcPr>
            <w:tcW w:w="50" w:type="pct"/>
            <w:vAlign w:val="center"/>
            <w:hideMark/>
          </w:tcPr>
          <w:p w:rsidR="00000000" w:rsidRDefault="000F0F8D">
            <w:pPr>
              <w:ind w:firstLine="360"/>
              <w:rPr>
                <w:rFonts w:eastAsia="Times New Roman"/>
              </w:rPr>
            </w:pPr>
          </w:p>
        </w:tc>
        <w:tc>
          <w:tcPr>
            <w:tcW w:w="306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0F0F8D">
            <w:pPr>
              <w:spacing w:after="100"/>
              <w:jc w:val="center"/>
              <w:rPr>
                <w:rFonts w:eastAsia="Times New Roman"/>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Cash, cash equivalents and marketable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12,907 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2,952 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4,003 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(1,051)</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Inventories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3,133 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2,598 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Short-term debt</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2,045 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1,545 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13,695 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15,226 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(1,531)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divId w:val="125467683"/>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1,714 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1,872 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(158)</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vAlign w:val="center"/>
            <w:hideMark/>
          </w:tcPr>
          <w:p w:rsidR="00000000" w:rsidRDefault="000F0F8D">
            <w:pPr>
              <w:spacing w:after="100"/>
              <w:jc w:val="right"/>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061"/>
        <w:gridCol w:w="144"/>
        <w:gridCol w:w="144"/>
        <w:gridCol w:w="908"/>
        <w:gridCol w:w="144"/>
        <w:gridCol w:w="144"/>
        <w:gridCol w:w="144"/>
        <w:gridCol w:w="144"/>
        <w:gridCol w:w="144"/>
        <w:gridCol w:w="908"/>
        <w:gridCol w:w="144"/>
        <w:gridCol w:w="144"/>
        <w:gridCol w:w="144"/>
        <w:gridCol w:w="144"/>
        <w:gridCol w:w="144"/>
        <w:gridCol w:w="908"/>
        <w:gridCol w:w="144"/>
        <w:gridCol w:w="160"/>
        <w:gridCol w:w="160"/>
        <w:gridCol w:w="160"/>
        <w:gridCol w:w="480"/>
        <w:gridCol w:w="480"/>
        <w:gridCol w:w="480"/>
      </w:tblGrid>
      <w:tr w:rsidR="00000000">
        <w:trPr>
          <w:jc w:val="center"/>
        </w:trPr>
        <w:tc>
          <w:tcPr>
            <w:tcW w:w="50" w:type="pct"/>
            <w:vAlign w:val="center"/>
            <w:hideMark/>
          </w:tcPr>
          <w:p w:rsidR="00000000" w:rsidRDefault="000F0F8D">
            <w:pPr>
              <w:rPr>
                <w:rFonts w:eastAsia="Times New Roman"/>
              </w:rPr>
            </w:pPr>
          </w:p>
        </w:tc>
        <w:tc>
          <w:tcPr>
            <w:tcW w:w="30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4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4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Nine Months Ended</w:t>
            </w: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c>
          <w:tcPr>
            <w:tcW w:w="0" w:type="auto"/>
            <w:vAlign w:val="center"/>
            <w:hideMark/>
          </w:tcPr>
          <w:p w:rsidR="00000000" w:rsidRDefault="000F0F8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27,</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Change</w:t>
            </w:r>
          </w:p>
        </w:tc>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9,459 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cash used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(3,406)</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(4,925)</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1,519 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Net cash used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(5,396)</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(4,871)</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(525)</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ind w:firstLine="360"/>
        <w:divId w:val="1807889165"/>
        <w:rPr>
          <w:rFonts w:eastAsia="Times New Roman"/>
        </w:rPr>
      </w:pPr>
      <w:r>
        <w:rPr>
          <w:rFonts w:eastAsia="Times New Roman"/>
          <w:color w:val="000000"/>
          <w:sz w:val="20"/>
          <w:szCs w:val="20"/>
        </w:rPr>
        <w:t>The net increase in c</w:t>
      </w:r>
      <w:r>
        <w:rPr>
          <w:rFonts w:eastAsia="Times New Roman"/>
          <w:color w:val="000000"/>
          <w:sz w:val="20"/>
          <w:szCs w:val="20"/>
        </w:rPr>
        <w:t>ash, cash equivalents and marketable securities was primarily due to net cash provided by operating activities, $234 million in proceeds from other investments and $174 million in proceeds from the issuance of common stock (primarily under our Employee Sto</w:t>
      </w:r>
      <w:r>
        <w:rPr>
          <w:rFonts w:eastAsia="Times New Roman"/>
          <w:color w:val="000000"/>
          <w:sz w:val="20"/>
          <w:szCs w:val="20"/>
        </w:rPr>
        <w:t>ck Purchase Plan), partially offset by $2.6 billion in payments to repurchase shares of our common stock, $2.2 billion in cash dividends paid, $1.5 billion in capital expenditures, $1.3 billion in cash paid for acquisitions and other investments (primarily</w:t>
      </w:r>
      <w:r>
        <w:rPr>
          <w:rFonts w:eastAsia="Times New Roman"/>
          <w:color w:val="000000"/>
          <w:sz w:val="20"/>
          <w:szCs w:val="20"/>
        </w:rPr>
        <w:t xml:space="preserve"> related to the acquisition of NUVIA) and $710 million in payments of tax withholdings related to the vesting of share-based awards.</w:t>
      </w:r>
    </w:p>
    <w:p w:rsidR="00000000" w:rsidRDefault="000F0F8D">
      <w:pPr>
        <w:ind w:firstLine="360"/>
        <w:divId w:val="210264275"/>
        <w:rPr>
          <w:rFonts w:eastAsia="Times New Roman"/>
        </w:rPr>
      </w:pPr>
      <w:r>
        <w:rPr>
          <w:rFonts w:eastAsia="Times New Roman"/>
          <w:color w:val="000000"/>
          <w:sz w:val="20"/>
          <w:szCs w:val="20"/>
        </w:rPr>
        <w:t xml:space="preserve">The decrease in accounts receivable was primarily due to payments under the previously disclosed settlement agreement with </w:t>
      </w:r>
      <w:r>
        <w:rPr>
          <w:rFonts w:eastAsia="Times New Roman"/>
          <w:color w:val="000000"/>
          <w:sz w:val="20"/>
          <w:szCs w:val="20"/>
        </w:rPr>
        <w:t>Huawei. Huawei paid the final installment under such agreement subsequent to June 27, 2021 in accordance with the agreed upon payment schedule. The decrease in accounts receivable was also partially attributable to the timing of collection of payments from</w:t>
      </w:r>
      <w:r>
        <w:rPr>
          <w:rFonts w:eastAsia="Times New Roman"/>
          <w:color w:val="000000"/>
          <w:sz w:val="20"/>
          <w:szCs w:val="20"/>
        </w:rPr>
        <w:t xml:space="preserve"> certain of our QTL licensees. The increase in inventories was primarily driven by the increase in demand for 5G products.</w:t>
      </w:r>
    </w:p>
    <w:p w:rsidR="00000000" w:rsidRDefault="000F0F8D">
      <w:pPr>
        <w:ind w:firstLine="360"/>
        <w:divId w:val="808667206"/>
        <w:rPr>
          <w:rFonts w:eastAsia="Times New Roman"/>
        </w:rPr>
      </w:pPr>
      <w:r>
        <w:rPr>
          <w:rFonts w:eastAsia="Times New Roman"/>
          <w:b/>
          <w:bCs/>
          <w:i/>
          <w:iCs/>
          <w:color w:val="000000"/>
          <w:sz w:val="20"/>
          <w:szCs w:val="20"/>
        </w:rPr>
        <w:t xml:space="preserve">Debt. </w:t>
      </w:r>
      <w:r>
        <w:rPr>
          <w:rFonts w:eastAsia="Times New Roman"/>
          <w:color w:val="000000"/>
          <w:sz w:val="20"/>
          <w:szCs w:val="20"/>
        </w:rPr>
        <w:t>At June 27, 2021, we had $15.5 billion of principal floating- and fixed-rate notes outstanding, $1.5 billion of which matures i</w:t>
      </w:r>
      <w:r>
        <w:rPr>
          <w:rFonts w:eastAsia="Times New Roman"/>
          <w:color w:val="000000"/>
          <w:sz w:val="20"/>
          <w:szCs w:val="20"/>
        </w:rPr>
        <w:t xml:space="preserve">n May 2022. The remaining debt has maturity dates in 2023 through 2050. </w:t>
      </w:r>
    </w:p>
    <w:p w:rsidR="00000000" w:rsidRDefault="000F0F8D">
      <w:pPr>
        <w:ind w:firstLine="360"/>
        <w:divId w:val="917522044"/>
        <w:rPr>
          <w:rFonts w:eastAsia="Times New Roman"/>
        </w:rPr>
      </w:pPr>
      <w:r>
        <w:rPr>
          <w:rFonts w:eastAsia="Times New Roman"/>
          <w:color w:val="000000"/>
          <w:sz w:val="20"/>
          <w:szCs w:val="20"/>
        </w:rPr>
        <w:t>We have an unsecured commercial paper program, which provides for the issuance of up to $4.5 billion of commercial paper. Net proceeds from this program are used for general corporate</w:t>
      </w:r>
      <w:r>
        <w:rPr>
          <w:rFonts w:eastAsia="Times New Roman"/>
          <w:color w:val="000000"/>
          <w:sz w:val="20"/>
          <w:szCs w:val="20"/>
        </w:rPr>
        <w:t xml:space="preserve"> purposes. At June 27, 2021, we had $500 million of commercial paper outstanding.</w:t>
      </w:r>
    </w:p>
    <w:p w:rsidR="00000000" w:rsidRDefault="000F0F8D">
      <w:pPr>
        <w:ind w:firstLine="360"/>
        <w:divId w:val="270892568"/>
        <w:rPr>
          <w:rFonts w:eastAsia="Times New Roman"/>
        </w:rPr>
      </w:pPr>
      <w:r>
        <w:rPr>
          <w:rFonts w:eastAsia="Times New Roman"/>
          <w:color w:val="000000"/>
          <w:sz w:val="20"/>
          <w:szCs w:val="20"/>
        </w:rPr>
        <w:t>On December 8, 2020, we entered into a Revolving Credit Facility replacing our prior Amended and Restated Revolving Credit Facility. There were no outstanding borrowings unde</w:t>
      </w:r>
      <w:r>
        <w:rPr>
          <w:rFonts w:eastAsia="Times New Roman"/>
          <w:color w:val="000000"/>
          <w:sz w:val="20"/>
          <w:szCs w:val="20"/>
        </w:rPr>
        <w:t>r the Amended and Restated Revolving Credit Facility at the time of termination. The Revolving Credit Facility provides for unsecured revolving facility loans, swing line loans and letters of credit in an aggregate amount of up to $4.5 billion, which expir</w:t>
      </w:r>
      <w:r>
        <w:rPr>
          <w:rFonts w:eastAsia="Times New Roman"/>
          <w:color w:val="000000"/>
          <w:sz w:val="20"/>
          <w:szCs w:val="20"/>
        </w:rPr>
        <w:t xml:space="preserve">es on December 8, 2025. At June 27, 2021, no amounts were outstanding under the Revolving Credit Facility. </w:t>
      </w:r>
    </w:p>
    <w:p w:rsidR="00000000" w:rsidRDefault="000F0F8D">
      <w:pPr>
        <w:ind w:firstLine="360"/>
        <w:divId w:val="73167939"/>
        <w:rPr>
          <w:rFonts w:eastAsia="Times New Roman"/>
        </w:rPr>
      </w:pPr>
      <w:r>
        <w:rPr>
          <w:rFonts w:eastAsia="Times New Roman"/>
          <w:color w:val="000000"/>
          <w:sz w:val="20"/>
          <w:szCs w:val="20"/>
        </w:rPr>
        <w:t>We expect to issue debt in the future. The amount and timing of such debt will depend on a number of factors, including but not limited to maturitie</w:t>
      </w:r>
      <w:r>
        <w:rPr>
          <w:rFonts w:eastAsia="Times New Roman"/>
          <w:color w:val="000000"/>
          <w:sz w:val="20"/>
          <w:szCs w:val="20"/>
        </w:rPr>
        <w:t>s of our existing debt, acquisitions and strategic investments, favorable and/or acceptable interest rates and changes in corporate income tax law. Additional information regarding our outstanding debt is provided in “Notes to Consolidated Financial Statem</w:t>
      </w:r>
      <w:r>
        <w:rPr>
          <w:rFonts w:eastAsia="Times New Roman"/>
          <w:color w:val="000000"/>
          <w:sz w:val="20"/>
          <w:szCs w:val="20"/>
        </w:rPr>
        <w:t xml:space="preserve">ents, Note 6. Debt” in our 2020 Annual Report on Form 10-K. </w:t>
      </w:r>
    </w:p>
    <w:p w:rsidR="00000000" w:rsidRDefault="000F0F8D">
      <w:pPr>
        <w:ind w:firstLine="360"/>
        <w:divId w:val="1674994869"/>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At June 27, 2021, we estimated remaining future payments of $1.9 billion for the one-time U.S. repatriation tax accrued in fiscal 2018, after application of certain tax credits, whi</w:t>
      </w:r>
      <w:r>
        <w:rPr>
          <w:rFonts w:eastAsia="Times New Roman"/>
          <w:color w:val="000000"/>
          <w:sz w:val="20"/>
          <w:szCs w:val="20"/>
        </w:rPr>
        <w:t>ch is payable in installments over the next five years. At June 27, 2021, other current liabilities included $196 million for the next installment due in January 2022. Additional information regarding our income taxes is provided in this Quarterly Report i</w:t>
      </w:r>
      <w:r>
        <w:rPr>
          <w:rFonts w:eastAsia="Times New Roman"/>
          <w:color w:val="000000"/>
          <w:sz w:val="20"/>
          <w:szCs w:val="20"/>
        </w:rPr>
        <w:t>n “Notes to Condensed Consolidated Financial Statements, Note 3. Income Taxes.”</w:t>
      </w:r>
    </w:p>
    <w:p w:rsidR="00000000" w:rsidRDefault="000F0F8D">
      <w:pPr>
        <w:jc w:val="center"/>
        <w:divId w:val="460465167"/>
        <w:rPr>
          <w:rFonts w:eastAsia="Times New Roman"/>
        </w:rPr>
      </w:pPr>
      <w:r>
        <w:rPr>
          <w:rFonts w:eastAsia="Times New Roman"/>
          <w:color w:val="000000"/>
          <w:sz w:val="20"/>
          <w:szCs w:val="20"/>
        </w:rPr>
        <w:t>29</w:t>
      </w:r>
    </w:p>
    <w:p w:rsidR="00000000" w:rsidRDefault="000F0F8D">
      <w:pPr>
        <w:rPr>
          <w:rFonts w:eastAsia="Times New Roman"/>
        </w:rPr>
      </w:pPr>
      <w:r>
        <w:rPr>
          <w:rFonts w:eastAsia="Times New Roman"/>
        </w:rPr>
        <w:pict>
          <v:rect id="_x0000_i1052" style="width:0;height:1.5pt" o:hralign="center" o:hrstd="t" o:hr="t" fillcolor="#a0a0a0" stroked="f"/>
        </w:pict>
      </w:r>
    </w:p>
    <w:p w:rsidR="00000000" w:rsidRDefault="000F0F8D">
      <w:pPr>
        <w:divId w:val="412043758"/>
        <w:rPr>
          <w:rFonts w:eastAsia="Times New Roman"/>
        </w:rPr>
      </w:pPr>
    </w:p>
    <w:p w:rsidR="00000000" w:rsidRDefault="000F0F8D">
      <w:pPr>
        <w:ind w:firstLine="360"/>
        <w:divId w:val="230359690"/>
        <w:rPr>
          <w:rFonts w:eastAsia="Times New Roman"/>
        </w:rPr>
      </w:pPr>
      <w:r>
        <w:rPr>
          <w:rFonts w:eastAsia="Times New Roman"/>
          <w:b/>
          <w:bCs/>
          <w:i/>
          <w:iCs/>
          <w:color w:val="000000"/>
          <w:sz w:val="20"/>
          <w:szCs w:val="20"/>
        </w:rPr>
        <w:t xml:space="preserve">Capital Return Program. </w:t>
      </w:r>
      <w:r>
        <w:rPr>
          <w:rFonts w:eastAsia="Times New Roman"/>
          <w:color w:val="000000"/>
          <w:sz w:val="20"/>
          <w:szCs w:val="20"/>
        </w:rPr>
        <w:t>I</w:t>
      </w:r>
      <w:r>
        <w:rPr>
          <w:rFonts w:eastAsia="Times New Roman"/>
          <w:color w:val="000000"/>
          <w:sz w:val="20"/>
          <w:szCs w:val="20"/>
          <w:shd w:val="clear" w:color="auto" w:fill="FFFFFF"/>
        </w:rPr>
        <w:t xml:space="preserve">n fiscal 2018, we announced a stock repurchase program authorizing us to repurchase up to $30 billion of our </w:t>
      </w:r>
      <w:r>
        <w:rPr>
          <w:rFonts w:eastAsia="Times New Roman"/>
          <w:color w:val="000000"/>
          <w:sz w:val="20"/>
          <w:szCs w:val="20"/>
          <w:shd w:val="clear" w:color="auto" w:fill="FFFFFF"/>
        </w:rPr>
        <w:t>common stock.</w:t>
      </w:r>
      <w:r>
        <w:rPr>
          <w:rFonts w:eastAsia="Times New Roman"/>
          <w:color w:val="000000"/>
          <w:sz w:val="20"/>
          <w:szCs w:val="20"/>
        </w:rPr>
        <w:t xml:space="preserve"> </w:t>
      </w:r>
      <w:r>
        <w:rPr>
          <w:rFonts w:eastAsia="Times New Roman"/>
          <w:color w:val="000000"/>
          <w:sz w:val="20"/>
          <w:szCs w:val="20"/>
          <w:shd w:val="clear" w:color="auto" w:fill="FFFFFF"/>
        </w:rPr>
        <w:t xml:space="preserve">The stock repurchase program has no expiration date. </w:t>
      </w:r>
      <w:r>
        <w:rPr>
          <w:rFonts w:eastAsia="Times New Roman"/>
          <w:color w:val="000000"/>
          <w:sz w:val="20"/>
          <w:szCs w:val="20"/>
        </w:rPr>
        <w:t xml:space="preserve">In the first nine months of fiscal 2021, </w:t>
      </w:r>
      <w:r>
        <w:rPr>
          <w:rFonts w:eastAsia="Times New Roman"/>
          <w:color w:val="000000"/>
          <w:sz w:val="20"/>
          <w:szCs w:val="20"/>
          <w:shd w:val="clear" w:color="auto" w:fill="FFFFFF"/>
        </w:rPr>
        <w:t xml:space="preserve">we repurchased and retired </w:t>
      </w:r>
      <w:r>
        <w:rPr>
          <w:rFonts w:eastAsia="Times New Roman"/>
          <w:color w:val="000000"/>
          <w:sz w:val="20"/>
          <w:szCs w:val="20"/>
        </w:rPr>
        <w:t>18 million shares of our common stock for $2.6 billion, befo</w:t>
      </w:r>
      <w:r>
        <w:rPr>
          <w:rFonts w:eastAsia="Times New Roman"/>
          <w:color w:val="000000"/>
          <w:sz w:val="20"/>
          <w:szCs w:val="20"/>
          <w:shd w:val="clear" w:color="auto" w:fill="FFFFFF"/>
        </w:rPr>
        <w:t>re commissions. At June 27, 2021, $2.0 billion remained autho</w:t>
      </w:r>
      <w:r>
        <w:rPr>
          <w:rFonts w:eastAsia="Times New Roman"/>
          <w:color w:val="000000"/>
          <w:sz w:val="20"/>
          <w:szCs w:val="20"/>
          <w:shd w:val="clear" w:color="auto" w:fill="FFFFFF"/>
        </w:rPr>
        <w:t>rized for repurchase under the stock repurchase program. Our stock repurchase program is subject to periodic evaluations to determine when and if repurchases are in the best interests of our stockholders, and we may accelerate, suspend, delay or discontinu</w:t>
      </w:r>
      <w:r>
        <w:rPr>
          <w:rFonts w:eastAsia="Times New Roman"/>
          <w:color w:val="000000"/>
          <w:sz w:val="20"/>
          <w:szCs w:val="20"/>
          <w:shd w:val="clear" w:color="auto" w:fill="FFFFFF"/>
        </w:rPr>
        <w:t xml:space="preserve">e repurchases at any time. </w:t>
      </w:r>
    </w:p>
    <w:p w:rsidR="00000000" w:rsidRDefault="000F0F8D">
      <w:pPr>
        <w:ind w:firstLine="360"/>
        <w:divId w:val="2081713961"/>
        <w:rPr>
          <w:rFonts w:eastAsia="Times New Roman"/>
        </w:rPr>
      </w:pPr>
      <w:r>
        <w:rPr>
          <w:rFonts w:eastAsia="Times New Roman"/>
          <w:color w:val="000000"/>
          <w:sz w:val="20"/>
          <w:szCs w:val="20"/>
        </w:rPr>
        <w:t>In the first nine months of fiscal 2021, we paid cash dividends totaling $2.2 billion, or $1.98 per share. On July 14, 2021, we announced a cash dividend of $0.68 per share on our common stock, payable on September 23, 2021 to s</w:t>
      </w:r>
      <w:r>
        <w:rPr>
          <w:rFonts w:eastAsia="Times New Roman"/>
          <w:color w:val="000000"/>
          <w:sz w:val="20"/>
          <w:szCs w:val="20"/>
        </w:rPr>
        <w:t xml:space="preserve">tockholders of record as of the close of business on September 2, 2021. We currently intend to continue to use cash dividends as a means of returning capital to stockholders, subject to capital availability and our view that cash dividends are in the best </w:t>
      </w:r>
      <w:r>
        <w:rPr>
          <w:rFonts w:eastAsia="Times New Roman"/>
          <w:color w:val="000000"/>
          <w:sz w:val="20"/>
          <w:szCs w:val="20"/>
        </w:rPr>
        <w:t>interests of our stockholders, among other factors.</w:t>
      </w:r>
    </w:p>
    <w:p w:rsidR="00000000" w:rsidRDefault="000F0F8D">
      <w:pPr>
        <w:ind w:firstLine="360"/>
        <w:divId w:val="830100869"/>
        <w:rPr>
          <w:rFonts w:eastAsia="Times New Roman"/>
        </w:rPr>
      </w:pPr>
      <w:r>
        <w:rPr>
          <w:rFonts w:eastAsia="Times New Roman"/>
          <w:b/>
          <w:bCs/>
          <w:i/>
          <w:iCs/>
          <w:color w:val="000000"/>
          <w:sz w:val="20"/>
          <w:szCs w:val="20"/>
        </w:rPr>
        <w:t>Long-term Capacity Commitments</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In the third quarter of fiscal 2021, we entered into several multi-year capacity purchase commitments with certain suppliers of our integrated circuit products. Failure to meet future minimum purchase volumes may result in incremental fees or the loss of a</w:t>
      </w:r>
      <w:r>
        <w:rPr>
          <w:rFonts w:eastAsia="Times New Roman"/>
          <w:color w:val="000000"/>
          <w:sz w:val="20"/>
          <w:szCs w:val="20"/>
        </w:rPr>
        <w:t>mounts paid in advance. We currently expect to meet all future minimum purchase volume commitments in addition to other requirements related to advance and/or ongoing payment obligations. As a result of these arrangements, our future purchase obligation co</w:t>
      </w:r>
      <w:r>
        <w:rPr>
          <w:rFonts w:eastAsia="Times New Roman"/>
          <w:color w:val="000000"/>
          <w:sz w:val="20"/>
          <w:szCs w:val="20"/>
        </w:rPr>
        <w:t>mmitments have increased materially since September 27, 2020. As of June 27, 2021, approximately $900 million remained unpaid related to advance and/or ongoing payments under these agreements. We expect an increase in operating cash outflows as we make pay</w:t>
      </w:r>
      <w:r>
        <w:rPr>
          <w:rFonts w:eastAsia="Times New Roman"/>
          <w:color w:val="000000"/>
          <w:sz w:val="20"/>
          <w:szCs w:val="20"/>
        </w:rPr>
        <w:t>ment under these arrangements and as we enter into additional agreements with certain suppliers of our integrated circuit products.</w:t>
      </w:r>
    </w:p>
    <w:p w:rsidR="00000000" w:rsidRDefault="000F0F8D">
      <w:pPr>
        <w:ind w:firstLine="360"/>
        <w:divId w:val="1663777819"/>
        <w:rPr>
          <w:rFonts w:eastAsia="Times New Roman"/>
        </w:rPr>
      </w:pPr>
      <w:r>
        <w:rPr>
          <w:rFonts w:eastAsia="Times New Roman"/>
          <w:b/>
          <w:bCs/>
          <w:i/>
          <w:iCs/>
          <w:color w:val="000000"/>
          <w:sz w:val="20"/>
          <w:szCs w:val="20"/>
        </w:rPr>
        <w:t xml:space="preserve">Additional Capital Requirements. </w:t>
      </w:r>
      <w:r>
        <w:rPr>
          <w:rFonts w:eastAsia="Times New Roman"/>
          <w:color w:val="000000"/>
          <w:sz w:val="20"/>
          <w:szCs w:val="20"/>
        </w:rPr>
        <w:t xml:space="preserve">Expected working and other capital requirements are described in our 2020 Annual Report on </w:t>
      </w:r>
      <w:r>
        <w:rPr>
          <w:rFonts w:eastAsia="Times New Roman"/>
          <w:color w:val="000000"/>
          <w:sz w:val="20"/>
          <w:szCs w:val="20"/>
        </w:rPr>
        <w:t>Form 10-K in “Part II, Item 7. Management’s Discussion and Analysis of Financial Condition and Results of Operations.” At June 27, 2021, other than for the changes disclosed in the “Notes to Condensed Consolidated Financial Statements” and “Liquidity and C</w:t>
      </w:r>
      <w:r>
        <w:rPr>
          <w:rFonts w:eastAsia="Times New Roman"/>
          <w:color w:val="000000"/>
          <w:sz w:val="20"/>
          <w:szCs w:val="20"/>
        </w:rPr>
        <w:t>apital Resources” in this Quarterly Report, there have been no other material changes to our expected working and other capital requirements or contractual obligations described in our 2020 Annual Report on Form 10-K.</w:t>
      </w:r>
    </w:p>
    <w:p w:rsidR="00000000" w:rsidRDefault="000F0F8D">
      <w:pPr>
        <w:ind w:firstLine="360"/>
        <w:divId w:val="74404522"/>
        <w:rPr>
          <w:rFonts w:eastAsia="Times New Roman"/>
        </w:rPr>
      </w:pPr>
      <w:r>
        <w:rPr>
          <w:rFonts w:eastAsia="Times New Roman"/>
          <w:color w:val="000000"/>
          <w:sz w:val="20"/>
          <w:szCs w:val="20"/>
        </w:rPr>
        <w:t>Further, regulatory authorities in cer</w:t>
      </w:r>
      <w:r>
        <w:rPr>
          <w:rFonts w:eastAsia="Times New Roman"/>
          <w:color w:val="000000"/>
          <w:sz w:val="20"/>
          <w:szCs w:val="20"/>
        </w:rPr>
        <w:t>tain jurisdictions have investigated our business practices and instituted proceedings against us and they or other regulatory authorities may do so in the future. Additionally, certain of our direct and indirect customers and licensees have pursued, and o</w:t>
      </w:r>
      <w:r>
        <w:rPr>
          <w:rFonts w:eastAsia="Times New Roman"/>
          <w:color w:val="000000"/>
          <w:sz w:val="20"/>
          <w:szCs w:val="20"/>
        </w:rPr>
        <w:t>thers may in the future pursue, litigation, arbitration or other strategies against us related to our business. Unfavorable resolutions of one or more of these matters have had and could in the future have a material adverse effect on our business, revenue</w:t>
      </w:r>
      <w:r>
        <w:rPr>
          <w:rFonts w:eastAsia="Times New Roman"/>
          <w:color w:val="000000"/>
          <w:sz w:val="20"/>
          <w:szCs w:val="20"/>
        </w:rPr>
        <w:t xml:space="preserve">s, results of operations, financial condition and cash flows. See “Notes to Condensed Consolidated Financial Statements, Note 5. Commitments and Contingencies” and “Risk Factors” in this Quarterly Report. </w:t>
      </w:r>
    </w:p>
    <w:p w:rsidR="00000000" w:rsidRDefault="000F0F8D">
      <w:pPr>
        <w:ind w:firstLine="360"/>
        <w:divId w:val="1582369032"/>
        <w:rPr>
          <w:rFonts w:eastAsia="Times New Roman"/>
        </w:rPr>
      </w:pPr>
      <w:r>
        <w:rPr>
          <w:rFonts w:eastAsia="Times New Roman"/>
          <w:color w:val="000000"/>
          <w:sz w:val="20"/>
          <w:szCs w:val="20"/>
          <w:shd w:val="clear" w:color="auto" w:fill="FFFFFF"/>
        </w:rPr>
        <w:t>We believe, based on our current business plan and</w:t>
      </w:r>
      <w:r>
        <w:rPr>
          <w:rFonts w:eastAsia="Times New Roman"/>
          <w:color w:val="000000"/>
          <w:sz w:val="20"/>
          <w:szCs w:val="20"/>
          <w:shd w:val="clear" w:color="auto" w:fill="FFFFFF"/>
        </w:rPr>
        <w:t xml:space="preserve"> the facts and factors known by us, our cash, cash equivalents and marketable securities, our expected cash flow generated from operations and our expected financing activities will satisfy our working and other capital requirements for at least the next 1</w:t>
      </w:r>
      <w:r>
        <w:rPr>
          <w:rFonts w:eastAsia="Times New Roman"/>
          <w:color w:val="000000"/>
          <w:sz w:val="20"/>
          <w:szCs w:val="20"/>
          <w:shd w:val="clear" w:color="auto" w:fill="FFFFFF"/>
        </w:rPr>
        <w:t>2 months and thereafter for the foreseeable future. See “Risk Factors” in this Quarterly Report.</w:t>
      </w:r>
    </w:p>
    <w:p w:rsidR="00000000" w:rsidRDefault="000F0F8D">
      <w:pPr>
        <w:divId w:val="2026983118"/>
        <w:rPr>
          <w:rFonts w:eastAsia="Times New Roman"/>
        </w:rPr>
      </w:pPr>
      <w:r>
        <w:rPr>
          <w:rFonts w:eastAsia="Times New Roman"/>
          <w:b/>
          <w:bCs/>
          <w:color w:val="000000"/>
          <w:sz w:val="20"/>
          <w:szCs w:val="20"/>
        </w:rPr>
        <w:t>Recent Accounting Guidance</w:t>
      </w:r>
    </w:p>
    <w:p w:rsidR="00000000" w:rsidRDefault="000F0F8D">
      <w:pPr>
        <w:ind w:firstLine="360"/>
        <w:divId w:val="1518427722"/>
        <w:rPr>
          <w:rFonts w:eastAsia="Times New Roman"/>
        </w:rPr>
      </w:pPr>
      <w:r>
        <w:rPr>
          <w:rFonts w:eastAsia="Times New Roman"/>
          <w:color w:val="000000"/>
          <w:sz w:val="20"/>
          <w:szCs w:val="20"/>
        </w:rPr>
        <w:t xml:space="preserve">Information regarding recent accounting guidance and the impact of such guidance on our condensed consolidated financial statements </w:t>
      </w:r>
      <w:r>
        <w:rPr>
          <w:rFonts w:eastAsia="Times New Roman"/>
          <w:color w:val="000000"/>
          <w:sz w:val="20"/>
          <w:szCs w:val="20"/>
        </w:rPr>
        <w:t>is provided in this Quarterly Report in “Notes to Condensed Consolidated Financial Statements, Note 1. Basis of Presentation and Significant Accounting Policies Update.”</w:t>
      </w:r>
    </w:p>
    <w:p w:rsidR="00000000" w:rsidRDefault="000F0F8D">
      <w:pPr>
        <w:divId w:val="1405293935"/>
        <w:rPr>
          <w:rFonts w:eastAsia="Times New Roman"/>
        </w:rPr>
      </w:pPr>
      <w:r>
        <w:rPr>
          <w:rFonts w:eastAsia="Times New Roman"/>
          <w:b/>
          <w:bCs/>
          <w:color w:val="000000"/>
          <w:sz w:val="20"/>
          <w:szCs w:val="20"/>
        </w:rPr>
        <w:t>Risk Factors</w:t>
      </w:r>
    </w:p>
    <w:p w:rsidR="00000000" w:rsidRDefault="000F0F8D">
      <w:pPr>
        <w:ind w:firstLine="360"/>
        <w:divId w:val="1442802516"/>
        <w:rPr>
          <w:rFonts w:eastAsia="Times New Roman"/>
        </w:rPr>
      </w:pPr>
      <w:r>
        <w:rPr>
          <w:rFonts w:eastAsia="Times New Roman"/>
          <w:color w:val="000000"/>
          <w:sz w:val="20"/>
          <w:szCs w:val="20"/>
        </w:rPr>
        <w:t>You should consider each of the following factors in evaluating our busin</w:t>
      </w:r>
      <w:r>
        <w:rPr>
          <w:rFonts w:eastAsia="Times New Roman"/>
          <w:color w:val="000000"/>
          <w:sz w:val="20"/>
          <w:szCs w:val="20"/>
        </w:rPr>
        <w:t>ess and our prospects. However, the risks and uncertainties described below are not the only ones we face. Additional risks and uncertainties not presently known to us or that we currently consider immaterial may also negatively impact our business, result</w:t>
      </w:r>
      <w:r>
        <w:rPr>
          <w:rFonts w:eastAsia="Times New Roman"/>
          <w:color w:val="000000"/>
          <w:sz w:val="20"/>
          <w:szCs w:val="20"/>
        </w:rPr>
        <w:t>s of operations, cash flows and financial condition, and require significant management time and attention. In that case, the trading price of our common stock could decline. In addition to the risks and uncertainties set forth in the Risk Factor below tit</w:t>
      </w:r>
      <w:r>
        <w:rPr>
          <w:rFonts w:eastAsia="Times New Roman"/>
          <w:color w:val="000000"/>
          <w:sz w:val="20"/>
          <w:szCs w:val="20"/>
        </w:rPr>
        <w:t xml:space="preserve">led </w:t>
      </w:r>
      <w:r>
        <w:rPr>
          <w:rFonts w:eastAsia="Times New Roman"/>
          <w:i/>
          <w:iCs/>
          <w:color w:val="000000"/>
          <w:sz w:val="20"/>
          <w:szCs w:val="20"/>
        </w:rPr>
        <w:t xml:space="preserve">“The coronavirus (COVID-19) pandemic has had an adverse effect on our business and results of operations, and may continue to impact us in the future,” </w:t>
      </w:r>
      <w:r>
        <w:rPr>
          <w:rFonts w:eastAsia="Times New Roman"/>
          <w:color w:val="000000"/>
          <w:sz w:val="20"/>
          <w:szCs w:val="20"/>
        </w:rPr>
        <w:t>many of the risks and uncertainties set forth in the other Risk Factors below could be exacerbated b</w:t>
      </w:r>
      <w:r>
        <w:rPr>
          <w:rFonts w:eastAsia="Times New Roman"/>
          <w:color w:val="000000"/>
          <w:sz w:val="20"/>
          <w:szCs w:val="20"/>
        </w:rPr>
        <w:t xml:space="preserve">y the COVID-19 pandemic, government and business responses thereto and any further resulting decline in the global business and economic environment, and may be impacted by the extent and speed of the global economic recovery. You should also consider the </w:t>
      </w:r>
      <w:r>
        <w:rPr>
          <w:rFonts w:eastAsia="Times New Roman"/>
          <w:color w:val="000000"/>
          <w:sz w:val="20"/>
          <w:szCs w:val="20"/>
        </w:rPr>
        <w:t xml:space="preserve">other information set forth in this Quarterly Report in evaluating our business and our prospects, including but not limited to our financial statements and the related notes, and “Part I, Item 2. Management’s Discussion and Analysis of Financial </w:t>
      </w:r>
    </w:p>
    <w:p w:rsidR="00000000" w:rsidRDefault="000F0F8D">
      <w:pPr>
        <w:jc w:val="center"/>
        <w:divId w:val="325866715"/>
        <w:rPr>
          <w:rFonts w:eastAsia="Times New Roman"/>
        </w:rPr>
      </w:pPr>
      <w:r>
        <w:rPr>
          <w:rFonts w:eastAsia="Times New Roman"/>
          <w:color w:val="000000"/>
          <w:sz w:val="20"/>
          <w:szCs w:val="20"/>
        </w:rPr>
        <w:t>30</w:t>
      </w:r>
    </w:p>
    <w:p w:rsidR="00000000" w:rsidRDefault="000F0F8D">
      <w:pPr>
        <w:rPr>
          <w:rFonts w:eastAsia="Times New Roman"/>
        </w:rPr>
      </w:pPr>
      <w:r>
        <w:rPr>
          <w:rFonts w:eastAsia="Times New Roman"/>
        </w:rPr>
        <w:pict>
          <v:rect id="_x0000_i1053" style="width:0;height:1.5pt" o:hralign="center" o:hrstd="t" o:hr="t" fillcolor="#a0a0a0" stroked="f"/>
        </w:pict>
      </w:r>
    </w:p>
    <w:p w:rsidR="00000000" w:rsidRDefault="000F0F8D">
      <w:pPr>
        <w:divId w:val="2098166622"/>
        <w:rPr>
          <w:rFonts w:eastAsia="Times New Roman"/>
        </w:rPr>
      </w:pPr>
    </w:p>
    <w:p w:rsidR="00000000" w:rsidRDefault="000F0F8D">
      <w:pPr>
        <w:divId w:val="711997754"/>
        <w:rPr>
          <w:rFonts w:eastAsia="Times New Roman"/>
        </w:rPr>
      </w:pPr>
      <w:r>
        <w:rPr>
          <w:rFonts w:eastAsia="Times New Roman"/>
          <w:color w:val="000000"/>
          <w:sz w:val="20"/>
          <w:szCs w:val="20"/>
        </w:rPr>
        <w:t xml:space="preserve">Condition and Results of Operations.” References to “and,” “or” and “and/or” should be read to include the others, as appropriate. </w:t>
      </w:r>
    </w:p>
    <w:p w:rsidR="00000000" w:rsidRDefault="000F0F8D">
      <w:pPr>
        <w:divId w:val="81226697"/>
        <w:rPr>
          <w:rFonts w:eastAsia="Times New Roman"/>
        </w:rPr>
      </w:pPr>
      <w:r>
        <w:rPr>
          <w:rFonts w:eastAsia="Times New Roman"/>
          <w:b/>
          <w:bCs/>
          <w:color w:val="000000"/>
          <w:sz w:val="20"/>
          <w:szCs w:val="20"/>
        </w:rPr>
        <w:t>RISKS RELATED TO THE CORONAVIRUS (COVID-19) PANDEMIC</w:t>
      </w:r>
    </w:p>
    <w:p w:rsidR="00000000" w:rsidRDefault="000F0F8D">
      <w:pPr>
        <w:divId w:val="383524005"/>
        <w:rPr>
          <w:rFonts w:eastAsia="Times New Roman"/>
        </w:rPr>
      </w:pPr>
      <w:r>
        <w:rPr>
          <w:rFonts w:eastAsia="Times New Roman"/>
          <w:b/>
          <w:bCs/>
          <w:i/>
          <w:iCs/>
          <w:color w:val="000000"/>
          <w:sz w:val="20"/>
          <w:szCs w:val="20"/>
        </w:rPr>
        <w:t>The coronavirus (COVID-19) pandemic has had an adverse effect on our business and results of operations, and may continue to impact us in the future.</w:t>
      </w:r>
    </w:p>
    <w:p w:rsidR="00000000" w:rsidRDefault="000F0F8D">
      <w:pPr>
        <w:ind w:firstLine="360"/>
        <w:divId w:val="2084331626"/>
        <w:rPr>
          <w:rFonts w:eastAsia="Times New Roman"/>
        </w:rPr>
      </w:pPr>
      <w:r>
        <w:rPr>
          <w:rFonts w:eastAsia="Times New Roman"/>
          <w:color w:val="000000"/>
          <w:sz w:val="20"/>
          <w:szCs w:val="20"/>
        </w:rPr>
        <w:t xml:space="preserve">The rapid, global spread of COVID-19 and the fear it </w:t>
      </w:r>
      <w:r>
        <w:rPr>
          <w:rFonts w:eastAsia="Times New Roman"/>
          <w:color w:val="000000"/>
          <w:sz w:val="20"/>
          <w:szCs w:val="20"/>
        </w:rPr>
        <w:t>created resulted in significant economic uncertainty, significant declines in business and consumer confidence and global demand in the wireless industry (among others) and a global economic slowdown, which resulted in a global recession. Specifically, the</w:t>
      </w:r>
      <w:r>
        <w:rPr>
          <w:rFonts w:eastAsia="Times New Roman"/>
          <w:color w:val="000000"/>
          <w:sz w:val="20"/>
          <w:szCs w:val="20"/>
        </w:rPr>
        <w:t xml:space="preserve"> decline in demand for smartphones and other consumer devices sold by our customers or licensees resulted in decreased demand for our integrated circuit products (which are incorporated into such devices) and a decrease in the royalties we earned on the li</w:t>
      </w:r>
      <w:r>
        <w:rPr>
          <w:rFonts w:eastAsia="Times New Roman"/>
          <w:color w:val="000000"/>
          <w:sz w:val="20"/>
          <w:szCs w:val="20"/>
        </w:rPr>
        <w:t>censing of our intellectual property (which is dependent upon the number of such devices sold that utilize our intellectual property). However, we currently do not expect a significant impact on our results of operations in the future due to the COVID-19 p</w:t>
      </w:r>
      <w:r>
        <w:rPr>
          <w:rFonts w:eastAsia="Times New Roman"/>
          <w:color w:val="000000"/>
          <w:sz w:val="20"/>
          <w:szCs w:val="20"/>
        </w:rPr>
        <w:t>andemic.</w:t>
      </w:r>
    </w:p>
    <w:p w:rsidR="00000000" w:rsidRDefault="000F0F8D">
      <w:pPr>
        <w:ind w:firstLine="360"/>
        <w:divId w:val="1453937072"/>
        <w:rPr>
          <w:rFonts w:eastAsia="Times New Roman"/>
        </w:rPr>
      </w:pPr>
      <w:r>
        <w:rPr>
          <w:rFonts w:eastAsia="Times New Roman"/>
          <w:color w:val="000000"/>
          <w:sz w:val="20"/>
          <w:szCs w:val="20"/>
        </w:rPr>
        <w:t xml:space="preserve">Further, while to date we have not seen a significant impact on our manufacturing facilities or our supply chain due to the COVID-19 pandemic, the ability of our suppliers to deliver on their commitments to us, or our ability to ship our products </w:t>
      </w:r>
      <w:r>
        <w:rPr>
          <w:rFonts w:eastAsia="Times New Roman"/>
          <w:color w:val="000000"/>
          <w:sz w:val="20"/>
          <w:szCs w:val="20"/>
        </w:rPr>
        <w:t>to our customers, may be negatively impacted by the pandemic and/or government responses thereto, such as travel bans and restrictions, quarantines, shelter-in-place and social distancing orders, declarations of states of emergency and shutdowns.</w:t>
      </w:r>
    </w:p>
    <w:p w:rsidR="00000000" w:rsidRDefault="000F0F8D">
      <w:pPr>
        <w:ind w:firstLine="360"/>
        <w:divId w:val="1934434152"/>
        <w:rPr>
          <w:rFonts w:eastAsia="Times New Roman"/>
        </w:rPr>
      </w:pPr>
      <w:r>
        <w:rPr>
          <w:rFonts w:eastAsia="Times New Roman"/>
          <w:color w:val="000000"/>
          <w:sz w:val="20"/>
          <w:szCs w:val="20"/>
        </w:rPr>
        <w:t xml:space="preserve">Although </w:t>
      </w:r>
      <w:r>
        <w:rPr>
          <w:rFonts w:eastAsia="Times New Roman"/>
          <w:color w:val="000000"/>
          <w:sz w:val="20"/>
          <w:szCs w:val="20"/>
        </w:rPr>
        <w:t>the spread of COVID-19 has caused us to modify our workforce practices, such as having the vast majority of our employees working from home, we have not experienced a significant negative impact to our business or results of operations. However, we could b</w:t>
      </w:r>
      <w:r>
        <w:rPr>
          <w:rFonts w:eastAsia="Times New Roman"/>
          <w:color w:val="000000"/>
          <w:sz w:val="20"/>
          <w:szCs w:val="20"/>
        </w:rPr>
        <w:t>e negatively affected in the future if, among others, a significant number of our employees, or employees who perform critical functions, become ill and/or are quarantined as the result of exposure to COVID-19, or if government policies restrict the abilit</w:t>
      </w:r>
      <w:r>
        <w:rPr>
          <w:rFonts w:eastAsia="Times New Roman"/>
          <w:color w:val="000000"/>
          <w:sz w:val="20"/>
          <w:szCs w:val="20"/>
        </w:rPr>
        <w:t xml:space="preserve">y of those employees to perform their critical functions. For example, we have offices and a significant number of employees located in India, which recently experienced a significant spike in COVID-19 infections. </w:t>
      </w:r>
    </w:p>
    <w:p w:rsidR="00000000" w:rsidRDefault="000F0F8D">
      <w:pPr>
        <w:ind w:firstLine="360"/>
        <w:divId w:val="1826555766"/>
        <w:rPr>
          <w:rFonts w:eastAsia="Times New Roman"/>
        </w:rPr>
      </w:pPr>
      <w:r>
        <w:rPr>
          <w:rFonts w:eastAsia="Times New Roman"/>
          <w:color w:val="000000"/>
          <w:sz w:val="20"/>
          <w:szCs w:val="20"/>
        </w:rPr>
        <w:t>The COVID-19 pandemic could also impact o</w:t>
      </w:r>
      <w:r>
        <w:rPr>
          <w:rFonts w:eastAsia="Times New Roman"/>
          <w:color w:val="000000"/>
          <w:sz w:val="20"/>
          <w:szCs w:val="20"/>
        </w:rPr>
        <w:t>ur business, results of operations and financial condition through delayed, reduced or cancelled customer orders; the inability of our customers or licensees to purchase or pay for our products or technologies; the insolvency of key suppliers, customers or</w:t>
      </w:r>
      <w:r>
        <w:rPr>
          <w:rFonts w:eastAsia="Times New Roman"/>
          <w:color w:val="000000"/>
          <w:sz w:val="20"/>
          <w:szCs w:val="20"/>
        </w:rPr>
        <w:t xml:space="preserve"> licensees; delays in reporting or payments from our customers or licensees; or failures by other counterparties. Additionally, federal, state or foreign governments may in the future increase corporate tax rates, increase employer payroll tax obligations </w:t>
      </w:r>
      <w:r>
        <w:rPr>
          <w:rFonts w:eastAsia="Times New Roman"/>
          <w:color w:val="000000"/>
          <w:sz w:val="20"/>
          <w:szCs w:val="20"/>
        </w:rPr>
        <w:t xml:space="preserve">and/or otherwise change tax laws to pay for stimulus and other actions that may be taken as a result of COVID-19. </w:t>
      </w:r>
    </w:p>
    <w:p w:rsidR="00000000" w:rsidRDefault="000F0F8D">
      <w:pPr>
        <w:ind w:firstLine="360"/>
        <w:divId w:val="1240751790"/>
        <w:rPr>
          <w:rFonts w:eastAsia="Times New Roman"/>
        </w:rPr>
      </w:pPr>
      <w:r>
        <w:rPr>
          <w:rFonts w:eastAsia="Times New Roman"/>
          <w:color w:val="000000"/>
          <w:sz w:val="20"/>
          <w:szCs w:val="20"/>
        </w:rPr>
        <w:t>The degree to which the COVID-19 pandemic impacts our future business, results of operations and financial condition will depend on future de</w:t>
      </w:r>
      <w:r>
        <w:rPr>
          <w:rFonts w:eastAsia="Times New Roman"/>
          <w:color w:val="000000"/>
          <w:sz w:val="20"/>
          <w:szCs w:val="20"/>
        </w:rPr>
        <w:t>velopments, which are uncertain, including but not limited to the duration, spread and severity of the pandemic; the availability, adoption and efficacy of vaccines; the spread and severity of variants of COVID-19, and the protection afforded by vaccines a</w:t>
      </w:r>
      <w:r>
        <w:rPr>
          <w:rFonts w:eastAsia="Times New Roman"/>
          <w:color w:val="000000"/>
          <w:sz w:val="20"/>
          <w:szCs w:val="20"/>
        </w:rPr>
        <w:t xml:space="preserve">gainst such variants; government responses and other actions to mitigate the spread of and to treat COVID-19; and when and to what extent normal business, economic and social activity and conditions resume. We are similarly unable to predict the extent to </w:t>
      </w:r>
      <w:r>
        <w:rPr>
          <w:rFonts w:eastAsia="Times New Roman"/>
          <w:color w:val="000000"/>
          <w:sz w:val="20"/>
          <w:szCs w:val="20"/>
        </w:rPr>
        <w:t>which the pandemic impacts our customers, licensees, suppliers and other partners and their financial conditions, but adverse effects on these parties could also adversely affect us. Finally, the COVID-19 pandemic may make it harder for management to estim</w:t>
      </w:r>
      <w:r>
        <w:rPr>
          <w:rFonts w:eastAsia="Times New Roman"/>
          <w:color w:val="000000"/>
          <w:sz w:val="20"/>
          <w:szCs w:val="20"/>
        </w:rPr>
        <w:t>ate the future performance of our business.</w:t>
      </w:r>
    </w:p>
    <w:p w:rsidR="00000000" w:rsidRDefault="000F0F8D">
      <w:pPr>
        <w:divId w:val="1679192088"/>
        <w:rPr>
          <w:rFonts w:eastAsia="Times New Roman"/>
        </w:rPr>
      </w:pPr>
      <w:r>
        <w:rPr>
          <w:rFonts w:eastAsia="Times New Roman"/>
          <w:b/>
          <w:bCs/>
          <w:color w:val="000000"/>
          <w:sz w:val="20"/>
          <w:szCs w:val="20"/>
        </w:rPr>
        <w:t>RISKS RELATED TO INDUSTRY DYNAMICS AND COMPETITION</w:t>
      </w:r>
    </w:p>
    <w:p w:rsidR="00000000" w:rsidRDefault="000F0F8D">
      <w:pPr>
        <w:divId w:val="1653871782"/>
        <w:rPr>
          <w:rFonts w:eastAsia="Times New Roman"/>
        </w:rPr>
      </w:pPr>
      <w:r>
        <w:rPr>
          <w:rFonts w:eastAsia="Times New Roman"/>
          <w:b/>
          <w:bCs/>
          <w:i/>
          <w:iCs/>
          <w:color w:val="000000"/>
          <w:sz w:val="20"/>
          <w:szCs w:val="20"/>
        </w:rPr>
        <w:t>Our revenues depend on our customers’ and licensees’ sales of products and services based on CDMA, OFDMA and other communications technologies, including 5G, and</w:t>
      </w:r>
      <w:r>
        <w:rPr>
          <w:rFonts w:eastAsia="Times New Roman"/>
          <w:b/>
          <w:bCs/>
          <w:i/>
          <w:iCs/>
          <w:color w:val="000000"/>
          <w:sz w:val="20"/>
          <w:szCs w:val="20"/>
        </w:rPr>
        <w:t xml:space="preserve"> customer demand for our products based on these technologies.</w:t>
      </w:r>
    </w:p>
    <w:p w:rsidR="00000000" w:rsidRDefault="000F0F8D">
      <w:pPr>
        <w:ind w:firstLine="360"/>
        <w:divId w:val="612319913"/>
        <w:rPr>
          <w:rFonts w:eastAsia="Times New Roman"/>
        </w:rPr>
      </w:pPr>
      <w:r>
        <w:rPr>
          <w:rFonts w:eastAsia="Times New Roman"/>
          <w:color w:val="000000"/>
          <w:sz w:val="20"/>
          <w:szCs w:val="20"/>
        </w:rPr>
        <w:t>We develop, patent and commercialize technology and products based on CDMA, OFDMA and other communications technologies, which are primarily wireless. We depend on our customers and licensees t</w:t>
      </w:r>
      <w:r>
        <w:rPr>
          <w:rFonts w:eastAsia="Times New Roman"/>
          <w:color w:val="000000"/>
          <w:sz w:val="20"/>
          <w:szCs w:val="20"/>
        </w:rPr>
        <w:t>o develop devices and services based on these technologies with value-added features to drive consumer demand for new 3G/4G and 3G/4G/5G multimode devices, as well as 4G single-mode devices, and to establish the selling prices for such devices. Further, th</w:t>
      </w:r>
      <w:r>
        <w:rPr>
          <w:rFonts w:eastAsia="Times New Roman"/>
          <w:color w:val="000000"/>
          <w:sz w:val="20"/>
          <w:szCs w:val="20"/>
        </w:rPr>
        <w:t>e timing of our shipments of our products is dependent on the timing of our customers’ and licensees’ deployments of new devices and services based on these technologies. Increasingly, we also depend on operators of wireless networks, our customers and lic</w:t>
      </w:r>
      <w:r>
        <w:rPr>
          <w:rFonts w:eastAsia="Times New Roman"/>
          <w:color w:val="000000"/>
          <w:sz w:val="20"/>
          <w:szCs w:val="20"/>
        </w:rPr>
        <w:t>ensees and other third parties to incorporate these technologies into new device types and into industries and applications beyond mobile, such as automotive and IoT, among others.</w:t>
      </w:r>
    </w:p>
    <w:p w:rsidR="00000000" w:rsidRDefault="000F0F8D">
      <w:pPr>
        <w:ind w:firstLine="360"/>
        <w:divId w:val="1536969633"/>
        <w:rPr>
          <w:rFonts w:eastAsia="Times New Roman"/>
        </w:rPr>
      </w:pPr>
      <w:r>
        <w:rPr>
          <w:rFonts w:eastAsia="Times New Roman"/>
          <w:color w:val="000000"/>
          <w:sz w:val="20"/>
          <w:szCs w:val="20"/>
        </w:rPr>
        <w:t>We have historically been successful during wireless technology transitions</w:t>
      </w:r>
      <w:r>
        <w:rPr>
          <w:rFonts w:eastAsia="Times New Roman"/>
          <w:color w:val="000000"/>
          <w:sz w:val="20"/>
          <w:szCs w:val="20"/>
        </w:rPr>
        <w:t>, including 3G, 4G and now 5G. Commercial deployments of 5G networks and devices have begun and will continue. However, the timing and scale of such deployments, in certain regions, have been and may in the future be delayed due to the COVID-19 pandemic.</w:t>
      </w:r>
    </w:p>
    <w:p w:rsidR="00000000" w:rsidRDefault="000F0F8D">
      <w:pPr>
        <w:jc w:val="center"/>
        <w:divId w:val="1855224024"/>
        <w:rPr>
          <w:rFonts w:eastAsia="Times New Roman"/>
        </w:rPr>
      </w:pPr>
      <w:r>
        <w:rPr>
          <w:rFonts w:eastAsia="Times New Roman"/>
          <w:color w:val="000000"/>
          <w:sz w:val="20"/>
          <w:szCs w:val="20"/>
        </w:rPr>
        <w:t>3</w:t>
      </w:r>
      <w:r>
        <w:rPr>
          <w:rFonts w:eastAsia="Times New Roman"/>
          <w:color w:val="000000"/>
          <w:sz w:val="20"/>
          <w:szCs w:val="20"/>
        </w:rPr>
        <w:t>1</w:t>
      </w:r>
    </w:p>
    <w:p w:rsidR="00000000" w:rsidRDefault="000F0F8D">
      <w:pPr>
        <w:rPr>
          <w:rFonts w:eastAsia="Times New Roman"/>
        </w:rPr>
      </w:pPr>
      <w:r>
        <w:rPr>
          <w:rFonts w:eastAsia="Times New Roman"/>
        </w:rPr>
        <w:pict>
          <v:rect id="_x0000_i1054" style="width:0;height:1.5pt" o:hralign="center" o:hrstd="t" o:hr="t" fillcolor="#a0a0a0" stroked="f"/>
        </w:pict>
      </w:r>
    </w:p>
    <w:p w:rsidR="00000000" w:rsidRDefault="000F0F8D">
      <w:pPr>
        <w:divId w:val="74976586"/>
        <w:rPr>
          <w:rFonts w:eastAsia="Times New Roman"/>
        </w:rPr>
      </w:pPr>
    </w:p>
    <w:p w:rsidR="00000000" w:rsidRDefault="000F0F8D">
      <w:pPr>
        <w:ind w:firstLine="360"/>
        <w:divId w:val="1602492491"/>
        <w:rPr>
          <w:rFonts w:eastAsia="Times New Roman"/>
        </w:rPr>
      </w:pPr>
      <w:r>
        <w:rPr>
          <w:rFonts w:eastAsia="Times New Roman"/>
          <w:color w:val="000000"/>
          <w:sz w:val="20"/>
          <w:szCs w:val="20"/>
        </w:rPr>
        <w:t>We believe it is critical that we remain a leader in 5G technology development, standardization, intellectual property creation and technology licensing, and that we develop, commercialize and be a leading supplier o</w:t>
      </w:r>
      <w:r>
        <w:rPr>
          <w:rFonts w:eastAsia="Times New Roman"/>
          <w:color w:val="000000"/>
          <w:sz w:val="20"/>
          <w:szCs w:val="20"/>
        </w:rPr>
        <w:t>f 5G integrated circuit products, in order to sustain and grow our business long-term.</w:t>
      </w:r>
    </w:p>
    <w:p w:rsidR="00000000" w:rsidRDefault="000F0F8D">
      <w:pPr>
        <w:ind w:firstLine="360"/>
        <w:divId w:val="128255955"/>
        <w:rPr>
          <w:rFonts w:eastAsia="Times New Roman"/>
        </w:rPr>
      </w:pPr>
      <w:r>
        <w:rPr>
          <w:rFonts w:eastAsia="Times New Roman"/>
          <w:color w:val="000000"/>
          <w:sz w:val="20"/>
          <w:szCs w:val="20"/>
        </w:rPr>
        <w:t xml:space="preserve">Our revenues and growth in revenues could be negatively impacted, our business may be harmed and our substantial investments in these technologies may not provide us an </w:t>
      </w:r>
      <w:r>
        <w:rPr>
          <w:rFonts w:eastAsia="Times New Roman"/>
          <w:color w:val="000000"/>
          <w:sz w:val="20"/>
          <w:szCs w:val="20"/>
        </w:rPr>
        <w:t>adequate return if: our customers’ and licensees’ revenues and sales of products, particularly premium-tier products, and services using these technologies, and average selling prices of such products, decline due to, for example, the maturity of smartphon</w:t>
      </w:r>
      <w:r>
        <w:rPr>
          <w:rFonts w:eastAsia="Times New Roman"/>
          <w:color w:val="000000"/>
          <w:sz w:val="20"/>
          <w:szCs w:val="20"/>
        </w:rPr>
        <w:t>e penetration in developed regions and China; we do not continue to maintain our intellectual property and technical leadership in 5G; we are unable to drive the adoption of our products into networks and devices, including devices beyond mobile; or consum</w:t>
      </w:r>
      <w:r>
        <w:rPr>
          <w:rFonts w:eastAsia="Times New Roman"/>
          <w:color w:val="000000"/>
          <w:sz w:val="20"/>
          <w:szCs w:val="20"/>
        </w:rPr>
        <w:t xml:space="preserve">ers’ rates of replacement of smartphones and other computing devices decline. </w:t>
      </w:r>
    </w:p>
    <w:p w:rsidR="00000000" w:rsidRDefault="000F0F8D">
      <w:pPr>
        <w:divId w:val="1168980302"/>
        <w:rPr>
          <w:rFonts w:eastAsia="Times New Roman"/>
        </w:rPr>
      </w:pPr>
      <w:r>
        <w:rPr>
          <w:rFonts w:eastAsia="Times New Roman"/>
          <w:b/>
          <w:bCs/>
          <w:i/>
          <w:iCs/>
          <w:color w:val="000000"/>
          <w:sz w:val="20"/>
          <w:szCs w:val="20"/>
        </w:rPr>
        <w:t>Our industry is subject to intense competition in an environment of rapid technological change. Our success depends in part on our ability to adapt to such change and compete ef</w:t>
      </w:r>
      <w:r>
        <w:rPr>
          <w:rFonts w:eastAsia="Times New Roman"/>
          <w:b/>
          <w:bCs/>
          <w:i/>
          <w:iCs/>
          <w:color w:val="000000"/>
          <w:sz w:val="20"/>
          <w:szCs w:val="20"/>
        </w:rPr>
        <w:t>fectively; and such change and competition could result in decreased demand for our products and technologies or declining average selling prices for our products or those of our customers or licensees.</w:t>
      </w:r>
    </w:p>
    <w:p w:rsidR="00000000" w:rsidRDefault="000F0F8D">
      <w:pPr>
        <w:ind w:firstLine="360"/>
        <w:divId w:val="171915753"/>
        <w:rPr>
          <w:rFonts w:eastAsia="Times New Roman"/>
        </w:rPr>
      </w:pPr>
      <w:r>
        <w:rPr>
          <w:rFonts w:eastAsia="Times New Roman"/>
          <w:color w:val="000000"/>
          <w:sz w:val="20"/>
          <w:szCs w:val="20"/>
        </w:rPr>
        <w:t>Our products and technologies face significant compet</w:t>
      </w:r>
      <w:r>
        <w:rPr>
          <w:rFonts w:eastAsia="Times New Roman"/>
          <w:color w:val="000000"/>
          <w:sz w:val="20"/>
          <w:szCs w:val="20"/>
        </w:rPr>
        <w:t>ition. Competition may intensify as our current competitors expand their product offerings, improve their products or reduce the prices of their products as part of a strategy to maintain existing business and customers or attract new business and customer</w:t>
      </w:r>
      <w:r>
        <w:rPr>
          <w:rFonts w:eastAsia="Times New Roman"/>
          <w:color w:val="000000"/>
          <w:sz w:val="20"/>
          <w:szCs w:val="20"/>
        </w:rPr>
        <w:t>s, as new opportunities develop, and as new competitors enter the industry. Competition in wireless communications is affected by various factors that include, among others: OEM concentrations; vertical integration; competition in certain geographic region</w:t>
      </w:r>
      <w:r>
        <w:rPr>
          <w:rFonts w:eastAsia="Times New Roman"/>
          <w:color w:val="000000"/>
          <w:sz w:val="20"/>
          <w:szCs w:val="20"/>
        </w:rPr>
        <w:t>s; government intervention or support of national industries or competitors; the ability to maintain product differentiation as the result of evolving industry standards and speed of technological change (including the transition to smaller geometry proces</w:t>
      </w:r>
      <w:r>
        <w:rPr>
          <w:rFonts w:eastAsia="Times New Roman"/>
          <w:color w:val="000000"/>
          <w:sz w:val="20"/>
          <w:szCs w:val="20"/>
        </w:rPr>
        <w:t>s technologies and the demand for always on, always connected capabilities); access to capacity in the supply chain; and value-added features that drive selling prices and consumer demand for new 3G/4G and 3G/4G/5G multimode devices, as well as 3G and 4G s</w:t>
      </w:r>
      <w:r>
        <w:rPr>
          <w:rFonts w:eastAsia="Times New Roman"/>
          <w:color w:val="000000"/>
          <w:sz w:val="20"/>
          <w:szCs w:val="20"/>
        </w:rPr>
        <w:t>ingle-mode devices.</w:t>
      </w:r>
    </w:p>
    <w:p w:rsidR="00000000" w:rsidRDefault="000F0F8D">
      <w:pPr>
        <w:ind w:firstLine="360"/>
        <w:divId w:val="1169440764"/>
        <w:rPr>
          <w:rFonts w:eastAsia="Times New Roman"/>
        </w:rPr>
      </w:pPr>
      <w:r>
        <w:rPr>
          <w:rFonts w:eastAsia="Times New Roman"/>
          <w:color w:val="000000"/>
          <w:sz w:val="20"/>
          <w:szCs w:val="20"/>
        </w:rPr>
        <w:t>We anticipate that additional competitors will introduce products as a result of growth opportunities in wireless communications, the trend toward global expansion by foreign and domestic competitors, and technological and public policy</w:t>
      </w:r>
      <w:r>
        <w:rPr>
          <w:rFonts w:eastAsia="Times New Roman"/>
          <w:color w:val="000000"/>
          <w:sz w:val="20"/>
          <w:szCs w:val="20"/>
        </w:rPr>
        <w:t xml:space="preserve"> changes. Additionally, the semiconductor industry has experienced and may continue to experience consolidation, which could result in significant changes to the competitive landscape. For example, if any key supplier of technologies and intellectual prope</w:t>
      </w:r>
      <w:r>
        <w:rPr>
          <w:rFonts w:eastAsia="Times New Roman"/>
          <w:color w:val="000000"/>
          <w:sz w:val="20"/>
          <w:szCs w:val="20"/>
        </w:rPr>
        <w:t>rty to the semiconductor industry was sold to one of our competitors, it could negatively affect our ability to procure or license such technologies and intellectual property in the future, at all or upon acceptable terms, which could have wide-ranging imp</w:t>
      </w:r>
      <w:r>
        <w:rPr>
          <w:rFonts w:eastAsia="Times New Roman"/>
          <w:color w:val="000000"/>
          <w:sz w:val="20"/>
          <w:szCs w:val="20"/>
        </w:rPr>
        <w:t>acts on our business and operations.</w:t>
      </w:r>
    </w:p>
    <w:p w:rsidR="00000000" w:rsidRDefault="000F0F8D">
      <w:pPr>
        <w:ind w:firstLine="360"/>
        <w:divId w:val="1061174973"/>
        <w:rPr>
          <w:rFonts w:eastAsia="Times New Roman"/>
        </w:rPr>
      </w:pPr>
      <w:r>
        <w:rPr>
          <w:rFonts w:eastAsia="Times New Roman"/>
          <w:color w:val="000000"/>
          <w:sz w:val="20"/>
          <w:szCs w:val="20"/>
        </w:rPr>
        <w:t>We expect that our future success will depend on, among other factors, our ability to:</w:t>
      </w:r>
    </w:p>
    <w:p w:rsidR="00000000" w:rsidRDefault="000F0F8D">
      <w:pPr>
        <w:ind w:hanging="360"/>
        <w:divId w:val="2067870812"/>
        <w:rPr>
          <w:rFonts w:eastAsia="Times New Roman"/>
        </w:rPr>
      </w:pPr>
      <w:r>
        <w:rPr>
          <w:rFonts w:eastAsia="Times New Roman"/>
          <w:color w:val="000000"/>
          <w:sz w:val="20"/>
          <w:szCs w:val="20"/>
        </w:rPr>
        <w:t>•</w:t>
      </w:r>
      <w:r>
        <w:rPr>
          <w:rFonts w:eastAsia="Times New Roman"/>
          <w:color w:val="000000"/>
          <w:sz w:val="20"/>
          <w:szCs w:val="20"/>
        </w:rPr>
        <w:t>differentiate our integrated circuit products with innovative technologies across multiple products and features (e.g., modem, radio frequency front-end (RFFE), including millimeter wave (mmWave), graphics and other processors, camera and connectivity) and</w:t>
      </w:r>
      <w:r>
        <w:rPr>
          <w:rFonts w:eastAsia="Times New Roman"/>
          <w:color w:val="000000"/>
          <w:sz w:val="20"/>
          <w:szCs w:val="20"/>
        </w:rPr>
        <w:t xml:space="preserve"> with smaller geometry process technologies that drive both performance and lower power consumption;</w:t>
      </w:r>
    </w:p>
    <w:p w:rsidR="00000000" w:rsidRDefault="000F0F8D">
      <w:pPr>
        <w:ind w:hanging="360"/>
        <w:divId w:val="945649151"/>
        <w:rPr>
          <w:rFonts w:eastAsia="Times New Roman"/>
        </w:rPr>
      </w:pPr>
      <w:r>
        <w:rPr>
          <w:rFonts w:eastAsia="Times New Roman"/>
          <w:color w:val="000000"/>
          <w:sz w:val="20"/>
          <w:szCs w:val="20"/>
        </w:rPr>
        <w:t>•develop and offer integrated circuit products at competitive cost and price points to effectively cover all geographic regions and all device tiers;</w:t>
      </w:r>
    </w:p>
    <w:p w:rsidR="00000000" w:rsidRDefault="000F0F8D">
      <w:pPr>
        <w:ind w:hanging="360"/>
        <w:divId w:val="1551650197"/>
        <w:rPr>
          <w:rFonts w:eastAsia="Times New Roman"/>
        </w:rPr>
      </w:pPr>
      <w:r>
        <w:rPr>
          <w:rFonts w:eastAsia="Times New Roman"/>
          <w:color w:val="000000"/>
          <w:sz w:val="20"/>
          <w:szCs w:val="20"/>
        </w:rPr>
        <w:t>•cont</w:t>
      </w:r>
      <w:r>
        <w:rPr>
          <w:rFonts w:eastAsia="Times New Roman"/>
          <w:color w:val="000000"/>
          <w:sz w:val="20"/>
          <w:szCs w:val="20"/>
        </w:rPr>
        <w:t>inue to be a leader in mobile, and drive the adoption of our technologies and integrated circuit products, including RFFE, into the most popular device models and across a broad spectrum of devices in mobile, such as smartphones, tablets, laptops and other</w:t>
      </w:r>
      <w:r>
        <w:rPr>
          <w:rFonts w:eastAsia="Times New Roman"/>
          <w:color w:val="000000"/>
          <w:sz w:val="20"/>
          <w:szCs w:val="20"/>
        </w:rPr>
        <w:t xml:space="preserve"> mobile computing devices;</w:t>
      </w:r>
    </w:p>
    <w:p w:rsidR="00000000" w:rsidRDefault="000F0F8D">
      <w:pPr>
        <w:ind w:hanging="360"/>
        <w:divId w:val="1645164248"/>
        <w:rPr>
          <w:rFonts w:eastAsia="Times New Roman"/>
        </w:rPr>
      </w:pPr>
      <w:r>
        <w:rPr>
          <w:rFonts w:eastAsia="Times New Roman"/>
          <w:color w:val="000000"/>
          <w:sz w:val="20"/>
          <w:szCs w:val="20"/>
        </w:rPr>
        <w:t>•increase or accelerate adoption of our technologies and products in industry segments and applications outside of mobile, including automotive and IoT;</w:t>
      </w:r>
    </w:p>
    <w:p w:rsidR="00000000" w:rsidRDefault="000F0F8D">
      <w:pPr>
        <w:ind w:hanging="360"/>
        <w:divId w:val="161432691"/>
        <w:rPr>
          <w:rFonts w:eastAsia="Times New Roman"/>
        </w:rPr>
      </w:pPr>
      <w:r>
        <w:rPr>
          <w:rFonts w:eastAsia="Times New Roman"/>
          <w:color w:val="000000"/>
          <w:sz w:val="20"/>
          <w:szCs w:val="20"/>
        </w:rPr>
        <w:t>•maintain or accelerate demand for our integrated circuit products at the pr</w:t>
      </w:r>
      <w:r>
        <w:rPr>
          <w:rFonts w:eastAsia="Times New Roman"/>
          <w:color w:val="000000"/>
          <w:sz w:val="20"/>
          <w:szCs w:val="20"/>
        </w:rPr>
        <w:t>emium device tier, while also driving the adoption of our products into high, mid- and low-tier devices across all regions;</w:t>
      </w:r>
    </w:p>
    <w:p w:rsidR="00000000" w:rsidRDefault="000F0F8D">
      <w:pPr>
        <w:ind w:hanging="360"/>
        <w:divId w:val="233590017"/>
        <w:rPr>
          <w:rFonts w:eastAsia="Times New Roman"/>
        </w:rPr>
      </w:pPr>
      <w:r>
        <w:rPr>
          <w:rFonts w:eastAsia="Times New Roman"/>
          <w:color w:val="000000"/>
          <w:sz w:val="20"/>
          <w:szCs w:val="20"/>
        </w:rPr>
        <w:t xml:space="preserve">•remain a leader in 5G (and 4G) technology development, standardization, intellectual property creation and licensing, and develop, </w:t>
      </w:r>
      <w:r>
        <w:rPr>
          <w:rFonts w:eastAsia="Times New Roman"/>
          <w:color w:val="000000"/>
          <w:sz w:val="20"/>
          <w:szCs w:val="20"/>
        </w:rPr>
        <w:t xml:space="preserve">commercialize and remain a leading supplier of 5G (and 4G) integrated circuit products, including RFFE products; </w:t>
      </w:r>
    </w:p>
    <w:p w:rsidR="00000000" w:rsidRDefault="000F0F8D">
      <w:pPr>
        <w:ind w:hanging="360"/>
        <w:divId w:val="1156922336"/>
        <w:rPr>
          <w:rFonts w:eastAsia="Times New Roman"/>
        </w:rPr>
      </w:pPr>
      <w:r>
        <w:rPr>
          <w:rFonts w:eastAsia="Times New Roman"/>
          <w:color w:val="000000"/>
          <w:sz w:val="20"/>
          <w:szCs w:val="20"/>
        </w:rPr>
        <w:t>•maintain access to sufficient capacity in the supply chain relative to our competitors to meet customer demand;</w:t>
      </w:r>
    </w:p>
    <w:p w:rsidR="00000000" w:rsidRDefault="000F0F8D">
      <w:pPr>
        <w:jc w:val="center"/>
        <w:divId w:val="688606181"/>
        <w:rPr>
          <w:rFonts w:eastAsia="Times New Roman"/>
        </w:rPr>
      </w:pPr>
      <w:r>
        <w:rPr>
          <w:rFonts w:eastAsia="Times New Roman"/>
          <w:color w:val="000000"/>
          <w:sz w:val="20"/>
          <w:szCs w:val="20"/>
        </w:rPr>
        <w:t>32</w:t>
      </w:r>
    </w:p>
    <w:p w:rsidR="00000000" w:rsidRDefault="000F0F8D">
      <w:pPr>
        <w:rPr>
          <w:rFonts w:eastAsia="Times New Roman"/>
        </w:rPr>
      </w:pPr>
      <w:r>
        <w:rPr>
          <w:rFonts w:eastAsia="Times New Roman"/>
        </w:rPr>
        <w:pict>
          <v:rect id="_x0000_i1055" style="width:0;height:1.5pt" o:hralign="center" o:hrstd="t" o:hr="t" fillcolor="#a0a0a0" stroked="f"/>
        </w:pict>
      </w:r>
    </w:p>
    <w:p w:rsidR="00000000" w:rsidRDefault="000F0F8D">
      <w:pPr>
        <w:divId w:val="879978309"/>
        <w:rPr>
          <w:rFonts w:eastAsia="Times New Roman"/>
        </w:rPr>
      </w:pPr>
    </w:p>
    <w:p w:rsidR="00000000" w:rsidRDefault="000F0F8D">
      <w:pPr>
        <w:ind w:hanging="360"/>
        <w:divId w:val="562907640"/>
        <w:rPr>
          <w:rFonts w:eastAsia="Times New Roman"/>
        </w:rPr>
      </w:pPr>
      <w:r>
        <w:rPr>
          <w:rFonts w:eastAsia="Times New Roman"/>
          <w:color w:val="000000"/>
          <w:sz w:val="20"/>
          <w:szCs w:val="20"/>
        </w:rPr>
        <w:t>•create standalone value and contribute to the success of our existing businesses through acquisitions, joint ventures and other transactions, and by developing customer, licensee, vendor, distributor and other channel</w:t>
      </w:r>
      <w:r>
        <w:rPr>
          <w:rFonts w:eastAsia="Times New Roman"/>
          <w:color w:val="000000"/>
          <w:sz w:val="20"/>
          <w:szCs w:val="20"/>
        </w:rPr>
        <w:t xml:space="preserve"> relationships in new industry segments and applications and with disruptive technologies and products; </w:t>
      </w:r>
    </w:p>
    <w:p w:rsidR="00000000" w:rsidRDefault="000F0F8D">
      <w:pPr>
        <w:ind w:hanging="360"/>
        <w:divId w:val="1338387717"/>
        <w:rPr>
          <w:rFonts w:eastAsia="Times New Roman"/>
        </w:rPr>
      </w:pPr>
      <w:r>
        <w:rPr>
          <w:rFonts w:eastAsia="Times New Roman"/>
          <w:color w:val="000000"/>
          <w:sz w:val="20"/>
          <w:szCs w:val="20"/>
        </w:rPr>
        <w:t>•identify potential acquisition targets that will grow or sustain our business or address strategic needs, reach agreement on terms acceptable to us, c</w:t>
      </w:r>
      <w:r>
        <w:rPr>
          <w:rFonts w:eastAsia="Times New Roman"/>
          <w:color w:val="000000"/>
          <w:sz w:val="20"/>
          <w:szCs w:val="20"/>
        </w:rPr>
        <w:t xml:space="preserve">lose the transactions and effectively integrate these new businesses, products and technologies; </w:t>
      </w:r>
    </w:p>
    <w:p w:rsidR="00000000" w:rsidRDefault="000F0F8D">
      <w:pPr>
        <w:ind w:hanging="360"/>
        <w:divId w:val="971403839"/>
        <w:rPr>
          <w:rFonts w:eastAsia="Times New Roman"/>
        </w:rPr>
      </w:pPr>
      <w:r>
        <w:rPr>
          <w:rFonts w:eastAsia="Times New Roman"/>
          <w:color w:val="000000"/>
          <w:sz w:val="20"/>
          <w:szCs w:val="20"/>
        </w:rPr>
        <w:t xml:space="preserve">•provide leading products and technologies to OEMs, high level operating systems (HLOS) providers, operators, cloud providers and other industry participants </w:t>
      </w:r>
      <w:r>
        <w:rPr>
          <w:rFonts w:eastAsia="Times New Roman"/>
          <w:color w:val="000000"/>
          <w:sz w:val="20"/>
          <w:szCs w:val="20"/>
        </w:rPr>
        <w:t>as competitors, new industry entrants and other factors continue to affect the industry landscape;</w:t>
      </w:r>
    </w:p>
    <w:p w:rsidR="00000000" w:rsidRDefault="000F0F8D">
      <w:pPr>
        <w:ind w:hanging="360"/>
        <w:divId w:val="157884885"/>
        <w:rPr>
          <w:rFonts w:eastAsia="Times New Roman"/>
        </w:rPr>
      </w:pPr>
      <w:r>
        <w:rPr>
          <w:rFonts w:eastAsia="Times New Roman"/>
          <w:color w:val="000000"/>
          <w:sz w:val="20"/>
          <w:szCs w:val="20"/>
        </w:rPr>
        <w:t>•be a preferred partner and sustain preferred relationships providing integrated circuit products that support multiple operating system and infrastructure p</w:t>
      </w:r>
      <w:r>
        <w:rPr>
          <w:rFonts w:eastAsia="Times New Roman"/>
          <w:color w:val="000000"/>
          <w:sz w:val="20"/>
          <w:szCs w:val="20"/>
        </w:rPr>
        <w:t>latforms to industry participants that effectively commercialize new devices using these platforms; and</w:t>
      </w:r>
    </w:p>
    <w:p w:rsidR="00000000" w:rsidRDefault="000F0F8D">
      <w:pPr>
        <w:ind w:hanging="360"/>
        <w:divId w:val="2058817278"/>
        <w:rPr>
          <w:rFonts w:eastAsia="Times New Roman"/>
        </w:rPr>
      </w:pPr>
      <w:r>
        <w:rPr>
          <w:rFonts w:eastAsia="Times New Roman"/>
          <w:color w:val="000000"/>
          <w:sz w:val="20"/>
          <w:szCs w:val="20"/>
        </w:rPr>
        <w:t>•continue to develop brand recognition to effectively compete against better known companies in computing and other consumer driven segments and to deep</w:t>
      </w:r>
      <w:r>
        <w:rPr>
          <w:rFonts w:eastAsia="Times New Roman"/>
          <w:color w:val="000000"/>
          <w:sz w:val="20"/>
          <w:szCs w:val="20"/>
        </w:rPr>
        <w:t>en our presence in significant emerging regions and China.</w:t>
      </w:r>
    </w:p>
    <w:p w:rsidR="00000000" w:rsidRDefault="000F0F8D">
      <w:pPr>
        <w:ind w:firstLine="360"/>
        <w:divId w:val="792291073"/>
        <w:rPr>
          <w:rFonts w:eastAsia="Times New Roman"/>
        </w:rPr>
      </w:pPr>
      <w:r>
        <w:rPr>
          <w:rFonts w:eastAsia="Times New Roman"/>
          <w:color w:val="000000"/>
          <w:sz w:val="20"/>
          <w:szCs w:val="20"/>
        </w:rPr>
        <w:t>We compete with many different semiconductor companies, ranging from multinational companies with integrated research and development, manufacturing, sales and marketing organizations across a broa</w:t>
      </w:r>
      <w:r>
        <w:rPr>
          <w:rFonts w:eastAsia="Times New Roman"/>
          <w:color w:val="000000"/>
          <w:sz w:val="20"/>
          <w:szCs w:val="20"/>
        </w:rPr>
        <w:t>d spectrum of product lines, to companies that are focused on a single application, industry segment or standard product, including those that produce products for mobile, automotive and IoT, among others. Most of these competitors compete with us with res</w:t>
      </w:r>
      <w:r>
        <w:rPr>
          <w:rFonts w:eastAsia="Times New Roman"/>
          <w:color w:val="000000"/>
          <w:sz w:val="20"/>
          <w:szCs w:val="20"/>
        </w:rPr>
        <w:t xml:space="preserve">pect to some, but not all, of our businesses or product lines. Companies that design integrated circuits based on CDMA, OFDMA, Wi-Fi or their derivatives are generally competitors or potential competitors. Examples (some of which are strategic partners of </w:t>
      </w:r>
      <w:r>
        <w:rPr>
          <w:rFonts w:eastAsia="Times New Roman"/>
          <w:color w:val="000000"/>
          <w:sz w:val="20"/>
          <w:szCs w:val="20"/>
        </w:rPr>
        <w:t>ours in other areas) include Broadcom, HiSilicon, MediaTek, Nvidia, NXP Semiconductors, Qorvo, Samsung, Skyworks, Texas Instruments and UNISOC (formally known as Spreadtrum Communications). Some of these current and potential competitors may have advantage</w:t>
      </w:r>
      <w:r>
        <w:rPr>
          <w:rFonts w:eastAsia="Times New Roman"/>
          <w:color w:val="000000"/>
          <w:sz w:val="20"/>
          <w:szCs w:val="20"/>
        </w:rPr>
        <w:t>s over us that include, among others: motivation by our customers in certain circumstances to use our competitors’ integrated circuit products, to utilize their own internally-developed integrated circuit products, or sell such products to others, or to ut</w:t>
      </w:r>
      <w:r>
        <w:rPr>
          <w:rFonts w:eastAsia="Times New Roman"/>
          <w:color w:val="000000"/>
          <w:sz w:val="20"/>
          <w:szCs w:val="20"/>
        </w:rPr>
        <w:t>ilize alternative technologies; lower cost structures or a willingness and ability to accept lower prices or lower margins for their products, particularly in China; foreign government support of other technologies, competitors or OEMs that sell devices th</w:t>
      </w:r>
      <w:r>
        <w:rPr>
          <w:rFonts w:eastAsia="Times New Roman"/>
          <w:color w:val="000000"/>
          <w:sz w:val="20"/>
          <w:szCs w:val="20"/>
        </w:rPr>
        <w:t>at do not contain our integrated circuit products; better known brand names; ownership and control of manufacturing facilities and greater expertise in manufacturing processes; more extensive relationships with local distribution companies and OEMs in cert</w:t>
      </w:r>
      <w:r>
        <w:rPr>
          <w:rFonts w:eastAsia="Times New Roman"/>
          <w:color w:val="000000"/>
          <w:sz w:val="20"/>
          <w:szCs w:val="20"/>
        </w:rPr>
        <w:t xml:space="preserve">ain geographic regions (such as China); more experience in adjacent industry segments and applications beyond mobile (such as automotive and IoT); and a more established presence in certain regions. </w:t>
      </w:r>
    </w:p>
    <w:p w:rsidR="00000000" w:rsidRDefault="000F0F8D">
      <w:pPr>
        <w:ind w:firstLine="360"/>
        <w:divId w:val="773718998"/>
        <w:rPr>
          <w:rFonts w:eastAsia="Times New Roman"/>
        </w:rPr>
      </w:pPr>
      <w:r>
        <w:rPr>
          <w:rFonts w:eastAsia="Times New Roman"/>
          <w:color w:val="000000"/>
          <w:sz w:val="20"/>
          <w:szCs w:val="20"/>
        </w:rPr>
        <w:t>In addition, certain of our largest integrated circuit c</w:t>
      </w:r>
      <w:r>
        <w:rPr>
          <w:rFonts w:eastAsia="Times New Roman"/>
          <w:color w:val="000000"/>
          <w:sz w:val="20"/>
          <w:szCs w:val="20"/>
        </w:rPr>
        <w:t>ustomers have in the past utilized, currently utilize and may in the future utilize our competitors’ integrated circuit products in some (or all) of their devices, rather than our products. Further, certain of those customers have developed, are developing</w:t>
      </w:r>
      <w:r>
        <w:rPr>
          <w:rFonts w:eastAsia="Times New Roman"/>
          <w:color w:val="000000"/>
          <w:sz w:val="20"/>
          <w:szCs w:val="20"/>
        </w:rPr>
        <w:t xml:space="preserve"> or may develop their own integrated circuit products (effectively making them competitors), which they have in the past utilized, currently utilize and may in the future utilize in some (or all) of their devices, rather than our products. See also the Ris</w:t>
      </w:r>
      <w:r>
        <w:rPr>
          <w:rFonts w:eastAsia="Times New Roman"/>
          <w:color w:val="000000"/>
          <w:sz w:val="20"/>
          <w:szCs w:val="20"/>
        </w:rPr>
        <w:t>k Factor titled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r>
        <w:rPr>
          <w:rFonts w:eastAsia="Times New Roman"/>
          <w:color w:val="000000"/>
          <w:sz w:val="20"/>
          <w:szCs w:val="20"/>
        </w:rPr>
        <w:t>.” Further, political actions, including trade and/or national se</w:t>
      </w:r>
      <w:r>
        <w:rPr>
          <w:rFonts w:eastAsia="Times New Roman"/>
          <w:color w:val="000000"/>
          <w:sz w:val="20"/>
          <w:szCs w:val="20"/>
        </w:rPr>
        <w:t>curity protection policies, or other actions by governments, particularly the U.S. and Chinese governments, have in the past, currently are and could in the future limit or prevent us from transacting business with certain of our customers or suppliers, li</w:t>
      </w:r>
      <w:r>
        <w:rPr>
          <w:rFonts w:eastAsia="Times New Roman"/>
          <w:color w:val="000000"/>
          <w:sz w:val="20"/>
          <w:szCs w:val="20"/>
        </w:rPr>
        <w:t xml:space="preserve">mit, prevent or discourage certain of our customers or suppliers from transacting business with us, or make it more expensive to do so. This could advantage our competitors by enabling them with increased sales, economies of scale, operating income and/or </w:t>
      </w:r>
      <w:r>
        <w:rPr>
          <w:rFonts w:eastAsia="Times New Roman"/>
          <w:color w:val="000000"/>
          <w:sz w:val="20"/>
          <w:szCs w:val="20"/>
        </w:rPr>
        <w:t>cash flows and/or enable critical technology transfer, allowing them to increase their investments in technology development, research and development and commercialization of products. See also the Risk Factor titled “</w:t>
      </w:r>
      <w:r>
        <w:rPr>
          <w:rFonts w:eastAsia="Times New Roman"/>
          <w:i/>
          <w:iCs/>
          <w:color w:val="000000"/>
          <w:sz w:val="20"/>
          <w:szCs w:val="20"/>
        </w:rPr>
        <w:t>A significant portion of our business</w:t>
      </w:r>
      <w:r>
        <w:rPr>
          <w:rFonts w:eastAsia="Times New Roman"/>
          <w:i/>
          <w:iCs/>
          <w:color w:val="000000"/>
          <w:sz w:val="20"/>
          <w:szCs w:val="20"/>
        </w:rPr>
        <w:t xml:space="preserve"> is concentrated in China, and the risks of such concentration are exacerbated by U.S./China trade and national security tensions.</w:t>
      </w:r>
      <w:r>
        <w:rPr>
          <w:rFonts w:eastAsia="Times New Roman"/>
          <w:color w:val="000000"/>
          <w:sz w:val="20"/>
          <w:szCs w:val="20"/>
        </w:rPr>
        <w:t xml:space="preserve">” Further, certain of our competitors develop and sell multiple components (including integrated circuit products) for use in </w:t>
      </w:r>
      <w:r>
        <w:rPr>
          <w:rFonts w:eastAsia="Times New Roman"/>
          <w:color w:val="000000"/>
          <w:sz w:val="20"/>
          <w:szCs w:val="20"/>
        </w:rPr>
        <w:t>devices and sell those components together to OEMs. Our competitors’ sales of multiple components put us (and our discrete integrated circuit products) at a competitive disadvantage. Certain of our competitors also develop and sell infrastructure equipment</w:t>
      </w:r>
      <w:r>
        <w:rPr>
          <w:rFonts w:eastAsia="Times New Roman"/>
          <w:color w:val="000000"/>
          <w:sz w:val="20"/>
          <w:szCs w:val="20"/>
        </w:rPr>
        <w:t xml:space="preserve"> for wireless networks and can optimize their integrated circuit products to perform on such networks to a degree that we are not able to, which again puts us at a competitive disadvantage.</w:t>
      </w:r>
    </w:p>
    <w:p w:rsidR="00000000" w:rsidRDefault="000F0F8D">
      <w:pPr>
        <w:ind w:firstLine="360"/>
        <w:divId w:val="972909358"/>
        <w:rPr>
          <w:rFonts w:eastAsia="Times New Roman"/>
        </w:rPr>
      </w:pPr>
      <w:r>
        <w:rPr>
          <w:rFonts w:eastAsia="Times New Roman"/>
          <w:color w:val="000000"/>
          <w:sz w:val="20"/>
          <w:szCs w:val="20"/>
        </w:rPr>
        <w:t xml:space="preserve">Competition in any or all product tiers may result in the loss of </w:t>
      </w:r>
      <w:r>
        <w:rPr>
          <w:rFonts w:eastAsia="Times New Roman"/>
          <w:color w:val="000000"/>
          <w:sz w:val="20"/>
          <w:szCs w:val="20"/>
        </w:rPr>
        <w:t>business or customers, which would negatively impact our business, revenues, results of operations, cash flows and financial condition. Such competition may also reduce average selling prices for our chipset products or the products of our customers and li</w:t>
      </w:r>
      <w:r>
        <w:rPr>
          <w:rFonts w:eastAsia="Times New Roman"/>
          <w:color w:val="000000"/>
          <w:sz w:val="20"/>
          <w:szCs w:val="20"/>
        </w:rPr>
        <w:t xml:space="preserve">censees. Certain of these dynamics are </w:t>
      </w:r>
    </w:p>
    <w:p w:rsidR="00000000" w:rsidRDefault="000F0F8D">
      <w:pPr>
        <w:jc w:val="center"/>
        <w:divId w:val="1845053469"/>
        <w:rPr>
          <w:rFonts w:eastAsia="Times New Roman"/>
        </w:rPr>
      </w:pPr>
      <w:r>
        <w:rPr>
          <w:rFonts w:eastAsia="Times New Roman"/>
          <w:color w:val="000000"/>
          <w:sz w:val="20"/>
          <w:szCs w:val="20"/>
        </w:rPr>
        <w:t>33</w:t>
      </w:r>
    </w:p>
    <w:p w:rsidR="00000000" w:rsidRDefault="000F0F8D">
      <w:pPr>
        <w:rPr>
          <w:rFonts w:eastAsia="Times New Roman"/>
        </w:rPr>
      </w:pPr>
      <w:r>
        <w:rPr>
          <w:rFonts w:eastAsia="Times New Roman"/>
        </w:rPr>
        <w:pict>
          <v:rect id="_x0000_i1056" style="width:0;height:1.5pt" o:hralign="center" o:hrstd="t" o:hr="t" fillcolor="#a0a0a0" stroked="f"/>
        </w:pict>
      </w:r>
    </w:p>
    <w:p w:rsidR="00000000" w:rsidRDefault="000F0F8D">
      <w:pPr>
        <w:divId w:val="977955998"/>
        <w:rPr>
          <w:rFonts w:eastAsia="Times New Roman"/>
        </w:rPr>
      </w:pPr>
    </w:p>
    <w:p w:rsidR="00000000" w:rsidRDefault="000F0F8D">
      <w:pPr>
        <w:divId w:val="1901670019"/>
        <w:rPr>
          <w:rFonts w:eastAsia="Times New Roman"/>
        </w:rPr>
      </w:pPr>
      <w:r>
        <w:rPr>
          <w:rFonts w:eastAsia="Times New Roman"/>
          <w:color w:val="000000"/>
          <w:sz w:val="20"/>
          <w:szCs w:val="20"/>
        </w:rPr>
        <w:t>particularly pronounced in emerging regions and China where competitors may have lower cost structures or may have a willingness and ability to accept lower prices or lower m</w:t>
      </w:r>
      <w:r>
        <w:rPr>
          <w:rFonts w:eastAsia="Times New Roman"/>
          <w:color w:val="000000"/>
          <w:sz w:val="20"/>
          <w:szCs w:val="20"/>
        </w:rPr>
        <w:t>argins on their products. Reductions in the average selling prices of our chipset products, without a corresponding increase in volumes, would negatively impact our revenues, and without corresponding decreases in average unit costs, would negatively impac</w:t>
      </w:r>
      <w:r>
        <w:rPr>
          <w:rFonts w:eastAsia="Times New Roman"/>
          <w:color w:val="000000"/>
          <w:sz w:val="20"/>
          <w:szCs w:val="20"/>
        </w:rPr>
        <w:t xml:space="preserve">t our margins. In addition, reductions in the average selling prices of our licensees’ products, unless offset by an increase in volumes, would generally decrease total royalties payable to us, negatively impacting our licensing revenues. </w:t>
      </w:r>
    </w:p>
    <w:p w:rsidR="00000000" w:rsidRDefault="000F0F8D">
      <w:pPr>
        <w:divId w:val="1821533215"/>
        <w:rPr>
          <w:rFonts w:eastAsia="Times New Roman"/>
        </w:rPr>
      </w:pPr>
      <w:r>
        <w:rPr>
          <w:rFonts w:eastAsia="Times New Roman"/>
          <w:b/>
          <w:bCs/>
          <w:color w:val="000000"/>
          <w:sz w:val="20"/>
          <w:szCs w:val="20"/>
        </w:rPr>
        <w:t>RISKS RELATED TO</w:t>
      </w:r>
      <w:r>
        <w:rPr>
          <w:rFonts w:eastAsia="Times New Roman"/>
          <w:b/>
          <w:bCs/>
          <w:color w:val="000000"/>
          <w:sz w:val="20"/>
          <w:szCs w:val="20"/>
        </w:rPr>
        <w:t xml:space="preserve"> OUR OPERATING BUSINESSES</w:t>
      </w:r>
    </w:p>
    <w:p w:rsidR="00000000" w:rsidRDefault="000F0F8D">
      <w:pPr>
        <w:divId w:val="713115594"/>
        <w:rPr>
          <w:rFonts w:eastAsia="Times New Roman"/>
        </w:rPr>
      </w:pPr>
      <w:r>
        <w:rPr>
          <w:rFonts w:eastAsia="Times New Roman"/>
          <w:b/>
          <w:bCs/>
          <w:i/>
          <w:iCs/>
          <w:color w:val="000000"/>
          <w:sz w:val="20"/>
          <w:szCs w:val="20"/>
        </w:rPr>
        <w:t>We derive a significant portion of our revenues from a small number of customers and licensees, and particularly from their sale of premium tier devices. If revenues derived from these customers or licensees decrease or the timing</w:t>
      </w:r>
      <w:r>
        <w:rPr>
          <w:rFonts w:eastAsia="Times New Roman"/>
          <w:b/>
          <w:bCs/>
          <w:i/>
          <w:iCs/>
          <w:color w:val="000000"/>
          <w:sz w:val="20"/>
          <w:szCs w:val="20"/>
        </w:rPr>
        <w:t xml:space="preserve"> of such revenues fluctuates, our business and results of operations could be negatively affected.</w:t>
      </w:r>
    </w:p>
    <w:p w:rsidR="00000000" w:rsidRDefault="000F0F8D">
      <w:pPr>
        <w:ind w:firstLine="360"/>
        <w:divId w:val="567345375"/>
        <w:rPr>
          <w:rFonts w:eastAsia="Times New Roman"/>
        </w:rPr>
      </w:pPr>
      <w:r>
        <w:rPr>
          <w:rFonts w:eastAsia="Times New Roman"/>
          <w:color w:val="000000"/>
          <w:sz w:val="20"/>
          <w:szCs w:val="20"/>
        </w:rPr>
        <w:t>We derive a significant portion of our revenues from a small number of customers and licensees, and particularly from their sale of premium tier devices, and</w:t>
      </w:r>
      <w:r>
        <w:rPr>
          <w:rFonts w:eastAsia="Times New Roman"/>
          <w:color w:val="000000"/>
          <w:sz w:val="20"/>
          <w:szCs w:val="20"/>
        </w:rPr>
        <w:t xml:space="preserve"> we expect this trend to continue in the foreseeable future. Our industry is experiencing and may continue to experience concentration of device share among a few companies, particularly at the premium tier, contributing to this trend. Chinese OEMs continu</w:t>
      </w:r>
      <w:r>
        <w:rPr>
          <w:rFonts w:eastAsia="Times New Roman"/>
          <w:color w:val="000000"/>
          <w:sz w:val="20"/>
          <w:szCs w:val="20"/>
        </w:rPr>
        <w:t>e to grow their device share in China and are increasing their device share in regions outside of China, and we derive a significant portion of our revenues from a small number of these OEMs as well. See also “Notes to Condensed Consolidated Financial Stat</w:t>
      </w:r>
      <w:r>
        <w:rPr>
          <w:rFonts w:eastAsia="Times New Roman"/>
          <w:color w:val="000000"/>
          <w:sz w:val="20"/>
          <w:szCs w:val="20"/>
        </w:rPr>
        <w:t>ements, Note 2. Composition of Certain Financial Statement Items - Concentrations.”</w:t>
      </w:r>
    </w:p>
    <w:p w:rsidR="00000000" w:rsidRDefault="000F0F8D">
      <w:pPr>
        <w:ind w:firstLine="360"/>
        <w:divId w:val="1755711126"/>
        <w:rPr>
          <w:rFonts w:eastAsia="Times New Roman"/>
        </w:rPr>
      </w:pPr>
      <w:r>
        <w:rPr>
          <w:rFonts w:eastAsia="Times New Roman"/>
          <w:color w:val="000000"/>
          <w:sz w:val="20"/>
          <w:szCs w:val="20"/>
        </w:rPr>
        <w:t>In addition, a number of our largest integrated circuit customers have developed, are developing or may develop their own integrated circuit products, or may choose our com</w:t>
      </w:r>
      <w:r>
        <w:rPr>
          <w:rFonts w:eastAsia="Times New Roman"/>
          <w:color w:val="000000"/>
          <w:sz w:val="20"/>
          <w:szCs w:val="20"/>
        </w:rPr>
        <w:t>petitors’ integrated circuit products, which they have in the past utilized, currently utilize and may in the future utilize in some (or all) of their devices, rather than our products, which could significantly reduce the revenues we derive from these cus</w:t>
      </w:r>
      <w:r>
        <w:rPr>
          <w:rFonts w:eastAsia="Times New Roman"/>
          <w:color w:val="000000"/>
          <w:sz w:val="20"/>
          <w:szCs w:val="20"/>
        </w:rPr>
        <w:t>tomers. See also the Risk Factor titled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r>
        <w:rPr>
          <w:rFonts w:eastAsia="Times New Roman"/>
          <w:color w:val="000000"/>
          <w:sz w:val="20"/>
          <w:szCs w:val="20"/>
        </w:rPr>
        <w:t>.”</w:t>
      </w:r>
    </w:p>
    <w:p w:rsidR="00000000" w:rsidRDefault="000F0F8D">
      <w:pPr>
        <w:ind w:firstLine="360"/>
        <w:divId w:val="703864140"/>
        <w:rPr>
          <w:rFonts w:eastAsia="Times New Roman"/>
        </w:rPr>
      </w:pPr>
      <w:r>
        <w:rPr>
          <w:rFonts w:eastAsia="Times New Roman"/>
          <w:color w:val="000000"/>
          <w:sz w:val="20"/>
          <w:szCs w:val="20"/>
        </w:rPr>
        <w:t xml:space="preserve">Further, political actions, including </w:t>
      </w:r>
      <w:r>
        <w:rPr>
          <w:rFonts w:eastAsia="Times New Roman"/>
          <w:color w:val="000000"/>
          <w:sz w:val="20"/>
          <w:szCs w:val="20"/>
        </w:rPr>
        <w:t>trade and/or national security protection policies, or other actions by governments, particularly the U.S. and Chinese governments, have in the past, currently are and could in the future limit or prevent us from transacting business with certain of our cu</w:t>
      </w:r>
      <w:r>
        <w:rPr>
          <w:rFonts w:eastAsia="Times New Roman"/>
          <w:color w:val="000000"/>
          <w:sz w:val="20"/>
          <w:szCs w:val="20"/>
        </w:rPr>
        <w:t>stomers, limit, prevent or discourage those customers from transacting business with us, or make it more expensive to do so, any of which could also significantly reduce the revenues we derive from these customers. See also the Risk Factor titled “</w:t>
      </w:r>
      <w:r>
        <w:rPr>
          <w:rFonts w:eastAsia="Times New Roman"/>
          <w:i/>
          <w:iCs/>
          <w:color w:val="000000"/>
          <w:sz w:val="20"/>
          <w:szCs w:val="20"/>
        </w:rPr>
        <w:t>A signif</w:t>
      </w:r>
      <w:r>
        <w:rPr>
          <w:rFonts w:eastAsia="Times New Roman"/>
          <w:i/>
          <w:iCs/>
          <w:color w:val="000000"/>
          <w:sz w:val="20"/>
          <w:szCs w:val="20"/>
        </w:rPr>
        <w:t>icant portion of our business is concentrated in China, and the risks of such concentration are exacerbated by U.S./China trade and national security tensions</w:t>
      </w:r>
      <w:r>
        <w:rPr>
          <w:rFonts w:eastAsia="Times New Roman"/>
          <w:color w:val="000000"/>
          <w:sz w:val="20"/>
          <w:szCs w:val="20"/>
        </w:rPr>
        <w:t>.”</w:t>
      </w:r>
    </w:p>
    <w:p w:rsidR="00000000" w:rsidRDefault="000F0F8D">
      <w:pPr>
        <w:ind w:firstLine="360"/>
        <w:divId w:val="2061049367"/>
        <w:rPr>
          <w:rFonts w:eastAsia="Times New Roman"/>
        </w:rPr>
      </w:pPr>
      <w:r>
        <w:rPr>
          <w:rFonts w:eastAsia="Times New Roman"/>
          <w:color w:val="000000"/>
          <w:sz w:val="20"/>
          <w:szCs w:val="20"/>
        </w:rPr>
        <w:t>In addition, we spend a significant amount of engineering and development time, funds and resou</w:t>
      </w:r>
      <w:r>
        <w:rPr>
          <w:rFonts w:eastAsia="Times New Roman"/>
          <w:color w:val="000000"/>
          <w:sz w:val="20"/>
          <w:szCs w:val="20"/>
        </w:rPr>
        <w:t>rces in understanding our key customers’ feedback and/or specifications and attempt to incorporate such input into our product launches and technologies. These efforts may not require or result in purchase commitments from such customers or we may have low</w:t>
      </w:r>
      <w:r>
        <w:rPr>
          <w:rFonts w:eastAsia="Times New Roman"/>
          <w:color w:val="000000"/>
          <w:sz w:val="20"/>
          <w:szCs w:val="20"/>
        </w:rPr>
        <w:t>er purchases from such customers than expected, and consequently, we may not achieve the anticipated revenues from these efforts, or these efforts may result in non-recoverable costs.</w:t>
      </w:r>
    </w:p>
    <w:p w:rsidR="00000000" w:rsidRDefault="000F0F8D">
      <w:pPr>
        <w:ind w:firstLine="360"/>
        <w:divId w:val="1462265410"/>
        <w:rPr>
          <w:rFonts w:eastAsia="Times New Roman"/>
        </w:rPr>
      </w:pPr>
      <w:r>
        <w:rPr>
          <w:rFonts w:eastAsia="Times New Roman"/>
          <w:color w:val="000000"/>
          <w:sz w:val="20"/>
          <w:szCs w:val="20"/>
        </w:rPr>
        <w:t>The loss of any one of our significant customers, a reduction in the pur</w:t>
      </w:r>
      <w:r>
        <w:rPr>
          <w:rFonts w:eastAsia="Times New Roman"/>
          <w:color w:val="000000"/>
          <w:sz w:val="20"/>
          <w:szCs w:val="20"/>
        </w:rPr>
        <w:t>chases of our products by such customers or the cancellation of significant purchases by any of these customers, whether due to the use of their own integrated circuit products or our competitors’ integrated circuit products, government restrictions, the C</w:t>
      </w:r>
      <w:r>
        <w:rPr>
          <w:rFonts w:eastAsia="Times New Roman"/>
          <w:color w:val="000000"/>
          <w:sz w:val="20"/>
          <w:szCs w:val="20"/>
        </w:rPr>
        <w:t>OVID-19 pandemic or otherwise, would reduce our revenues and could harm our ability to achieve or sustain expected results of operations, and a delay of significant purchases, even if only temporary, would reduce our revenues in the period of the delay. An</w:t>
      </w:r>
      <w:r>
        <w:rPr>
          <w:rFonts w:eastAsia="Times New Roman"/>
          <w:color w:val="000000"/>
          <w:sz w:val="20"/>
          <w:szCs w:val="20"/>
        </w:rPr>
        <w:t xml:space="preserve">y such reduction in revenues would also impact our cash resources available for other purposes, such as research and development. </w:t>
      </w:r>
    </w:p>
    <w:p w:rsidR="00000000" w:rsidRDefault="000F0F8D">
      <w:pPr>
        <w:ind w:firstLine="360"/>
        <w:divId w:val="717969603"/>
        <w:rPr>
          <w:rFonts w:eastAsia="Times New Roman"/>
        </w:rPr>
      </w:pPr>
      <w:r>
        <w:rPr>
          <w:rFonts w:eastAsia="Times New Roman"/>
          <w:color w:val="000000"/>
          <w:sz w:val="20"/>
          <w:szCs w:val="20"/>
        </w:rPr>
        <w:t xml:space="preserve">Further, the concentration of device share among a few companies, and the corresponding purchasing power of these companies, </w:t>
      </w:r>
      <w:r>
        <w:rPr>
          <w:rFonts w:eastAsia="Times New Roman"/>
          <w:color w:val="000000"/>
          <w:sz w:val="20"/>
          <w:szCs w:val="20"/>
        </w:rPr>
        <w:t>may result in lower prices for our products which, if not accompanied by a sufficient increase in the volume of purchases of our products, could have an adverse effect on our revenues and margins. In addition, the timing and size of purchases by our signif</w:t>
      </w:r>
      <w:r>
        <w:rPr>
          <w:rFonts w:eastAsia="Times New Roman"/>
          <w:color w:val="000000"/>
          <w:sz w:val="20"/>
          <w:szCs w:val="20"/>
        </w:rPr>
        <w:t xml:space="preserve">icant customers may be impacted by the timing of such customers’ new or next generation product introductions, over which we have no control, and the timing and success of such introductions may cause our revenues and results of operations to fluctuate. </w:t>
      </w:r>
    </w:p>
    <w:p w:rsidR="00000000" w:rsidRDefault="000F0F8D">
      <w:pPr>
        <w:ind w:firstLine="360"/>
        <w:divId w:val="1633747706"/>
        <w:rPr>
          <w:rFonts w:eastAsia="Times New Roman"/>
        </w:rPr>
      </w:pPr>
      <w:r>
        <w:rPr>
          <w:rFonts w:eastAsia="Times New Roman"/>
          <w:color w:val="000000"/>
          <w:sz w:val="20"/>
          <w:szCs w:val="20"/>
        </w:rPr>
        <w:t>A</w:t>
      </w:r>
      <w:r>
        <w:rPr>
          <w:rFonts w:eastAsia="Times New Roman"/>
          <w:color w:val="000000"/>
          <w:sz w:val="20"/>
          <w:szCs w:val="20"/>
        </w:rPr>
        <w:t xml:space="preserve">pple purchases our MDM (or thin modem) products, which do not include our integrated application processor technology, and which have lower revenue and margin contributions than our combined modem and application processor products. Further, to the extent </w:t>
      </w:r>
      <w:r>
        <w:rPr>
          <w:rFonts w:eastAsia="Times New Roman"/>
          <w:color w:val="000000"/>
          <w:sz w:val="20"/>
          <w:szCs w:val="20"/>
        </w:rPr>
        <w:t>Apple takes device share from our customers who purchase our integrated modem and application processor products, our revenues and margins may be negatively impacted.</w:t>
      </w:r>
    </w:p>
    <w:p w:rsidR="00000000" w:rsidRDefault="000F0F8D">
      <w:pPr>
        <w:ind w:firstLine="360"/>
        <w:divId w:val="1206599981"/>
        <w:rPr>
          <w:rFonts w:eastAsia="Times New Roman"/>
        </w:rPr>
      </w:pPr>
      <w:r>
        <w:rPr>
          <w:rFonts w:eastAsia="Times New Roman"/>
          <w:color w:val="000000"/>
          <w:sz w:val="20"/>
          <w:szCs w:val="20"/>
        </w:rPr>
        <w:t xml:space="preserve">Our industry has also experienced, and we expect it will continue to experience, slowing </w:t>
      </w:r>
      <w:r>
        <w:rPr>
          <w:rFonts w:eastAsia="Times New Roman"/>
          <w:color w:val="000000"/>
          <w:sz w:val="20"/>
          <w:szCs w:val="20"/>
        </w:rPr>
        <w:t xml:space="preserve">growth in the premium-tier device segment due to, among other factors, lengthening replacement cycles in developed regions, where premium-tier </w:t>
      </w:r>
    </w:p>
    <w:p w:rsidR="00000000" w:rsidRDefault="000F0F8D">
      <w:pPr>
        <w:jc w:val="center"/>
        <w:divId w:val="1961571366"/>
        <w:rPr>
          <w:rFonts w:eastAsia="Times New Roman"/>
        </w:rPr>
      </w:pPr>
      <w:r>
        <w:rPr>
          <w:rFonts w:eastAsia="Times New Roman"/>
          <w:color w:val="000000"/>
          <w:sz w:val="20"/>
          <w:szCs w:val="20"/>
        </w:rPr>
        <w:t>34</w:t>
      </w:r>
    </w:p>
    <w:p w:rsidR="00000000" w:rsidRDefault="000F0F8D">
      <w:pPr>
        <w:rPr>
          <w:rFonts w:eastAsia="Times New Roman"/>
        </w:rPr>
      </w:pPr>
      <w:r>
        <w:rPr>
          <w:rFonts w:eastAsia="Times New Roman"/>
        </w:rPr>
        <w:pict>
          <v:rect id="_x0000_i1057" style="width:0;height:1.5pt" o:hralign="center" o:hrstd="t" o:hr="t" fillcolor="#a0a0a0" stroked="f"/>
        </w:pict>
      </w:r>
    </w:p>
    <w:p w:rsidR="00000000" w:rsidRDefault="000F0F8D">
      <w:pPr>
        <w:divId w:val="101146650"/>
        <w:rPr>
          <w:rFonts w:eastAsia="Times New Roman"/>
        </w:rPr>
      </w:pPr>
    </w:p>
    <w:p w:rsidR="00000000" w:rsidRDefault="000F0F8D">
      <w:pPr>
        <w:divId w:val="457728389"/>
        <w:rPr>
          <w:rFonts w:eastAsia="Times New Roman"/>
        </w:rPr>
      </w:pPr>
      <w:r>
        <w:rPr>
          <w:rFonts w:eastAsia="Times New Roman"/>
          <w:color w:val="000000"/>
          <w:sz w:val="20"/>
          <w:szCs w:val="20"/>
        </w:rPr>
        <w:t>smartphones are common; increasing consumer demand in emerging regions where premium-tier smartphones are less common and replacement cycles are on average longer than in developed regions and are continuing to lengthen; and a maturing premium-tier smartph</w:t>
      </w:r>
      <w:r>
        <w:rPr>
          <w:rFonts w:eastAsia="Times New Roman"/>
          <w:color w:val="000000"/>
          <w:sz w:val="20"/>
          <w:szCs w:val="20"/>
        </w:rPr>
        <w:t>one industry in which demand is increasingly driven by new product launches and innovation cycles.</w:t>
      </w:r>
    </w:p>
    <w:p w:rsidR="00000000" w:rsidRDefault="000F0F8D">
      <w:pPr>
        <w:ind w:firstLine="360"/>
        <w:divId w:val="1336835819"/>
        <w:rPr>
          <w:rFonts w:eastAsia="Times New Roman"/>
        </w:rPr>
      </w:pPr>
      <w:r>
        <w:rPr>
          <w:rFonts w:eastAsia="Times New Roman"/>
          <w:color w:val="000000"/>
          <w:sz w:val="20"/>
          <w:szCs w:val="20"/>
        </w:rPr>
        <w:t>A reduction in sales of premium-tier devices, a reduction in sales of our premium-tier integrated circuit products (which have a higher revenue and margin co</w:t>
      </w:r>
      <w:r>
        <w:rPr>
          <w:rFonts w:eastAsia="Times New Roman"/>
          <w:color w:val="000000"/>
          <w:sz w:val="20"/>
          <w:szCs w:val="20"/>
        </w:rPr>
        <w:t>ntribution than our lower-tier integrated circuit products), or a shift in share away from OEMs that utilize our premium-tier products, would reduce our revenues and margins and may harm our ability to achieve or sustain expected financial results. Any suc</w:t>
      </w:r>
      <w:r>
        <w:rPr>
          <w:rFonts w:eastAsia="Times New Roman"/>
          <w:color w:val="000000"/>
          <w:sz w:val="20"/>
          <w:szCs w:val="20"/>
        </w:rPr>
        <w:t xml:space="preserve">h reduction in revenues would also impact our cash resources available for other purposes, such as research and development. </w:t>
      </w:r>
    </w:p>
    <w:p w:rsidR="00000000" w:rsidRDefault="000F0F8D">
      <w:pPr>
        <w:ind w:firstLine="360"/>
        <w:divId w:val="896084117"/>
        <w:rPr>
          <w:rFonts w:eastAsia="Times New Roman"/>
        </w:rPr>
      </w:pPr>
      <w:r>
        <w:rPr>
          <w:rFonts w:eastAsia="Times New Roman"/>
          <w:color w:val="000000"/>
          <w:sz w:val="20"/>
          <w:szCs w:val="20"/>
        </w:rPr>
        <w:t>Although we have more than 300 licensees, we derive a significant portion of our licensing revenues from a limited number of licen</w:t>
      </w:r>
      <w:r>
        <w:rPr>
          <w:rFonts w:eastAsia="Times New Roman"/>
          <w:color w:val="000000"/>
          <w:sz w:val="20"/>
          <w:szCs w:val="20"/>
        </w:rPr>
        <w:t xml:space="preserve">sees, which includes a number of Chinese OEMs. In the event that one or more of our significant licensees fail to meet their reporting and payment obligations, or we are unable to renew or modify one or more of their license agreements under similar terms </w:t>
      </w:r>
      <w:r>
        <w:rPr>
          <w:rFonts w:eastAsia="Times New Roman"/>
          <w:color w:val="000000"/>
          <w:sz w:val="20"/>
          <w:szCs w:val="20"/>
        </w:rPr>
        <w:t>as their existing agreements, our revenues, results of operations and cash flows would be adversely impacted. Moreover, the future growth and success of our core licensing business will depend in part on the ability of our licensees to develop, introduce a</w:t>
      </w:r>
      <w:r>
        <w:rPr>
          <w:rFonts w:eastAsia="Times New Roman"/>
          <w:color w:val="000000"/>
          <w:sz w:val="20"/>
          <w:szCs w:val="20"/>
        </w:rPr>
        <w:t xml:space="preserve">nd deliver high-volume products that achieve and sustain customer acceptance. We do not have control over the product development, sales efforts or pricing of products by our licensees, and our licensees might not be successful. Reductions in sales of our </w:t>
      </w:r>
      <w:r>
        <w:rPr>
          <w:rFonts w:eastAsia="Times New Roman"/>
          <w:color w:val="000000"/>
          <w:sz w:val="20"/>
          <w:szCs w:val="20"/>
        </w:rPr>
        <w:t>licensees’ products, or reductions in the average selling prices of wireless devices sold by our licensees without a sufficient increase in the volumes of such devices sold, would generally have an adverse effect on our licensing revenues. Such adverse imp</w:t>
      </w:r>
      <w:r>
        <w:rPr>
          <w:rFonts w:eastAsia="Times New Roman"/>
          <w:color w:val="000000"/>
          <w:sz w:val="20"/>
          <w:szCs w:val="20"/>
        </w:rPr>
        <w:t>act may be mitigated by our per unit royalty caps that apply to certain categories of our licensees’ complete wireless devices, namely smartphones, tablets, laptops and smartwatches.</w:t>
      </w:r>
    </w:p>
    <w:p w:rsidR="00000000" w:rsidRDefault="000F0F8D">
      <w:pPr>
        <w:divId w:val="22362365"/>
        <w:rPr>
          <w:rFonts w:eastAsia="Times New Roman"/>
        </w:rPr>
      </w:pPr>
      <w:r>
        <w:rPr>
          <w:rFonts w:eastAsia="Times New Roman"/>
          <w:b/>
          <w:bCs/>
          <w:i/>
          <w:iCs/>
          <w:color w:val="000000"/>
          <w:sz w:val="20"/>
          <w:szCs w:val="20"/>
        </w:rPr>
        <w:t>Our business, particularly our semiconductor business, may suffer as a re</w:t>
      </w:r>
      <w:r>
        <w:rPr>
          <w:rFonts w:eastAsia="Times New Roman"/>
          <w:b/>
          <w:bCs/>
          <w:i/>
          <w:iCs/>
          <w:color w:val="000000"/>
          <w:sz w:val="20"/>
          <w:szCs w:val="20"/>
        </w:rPr>
        <w:t>sult of our customers vertically integrating (i.e., developing their own integrated circuit products).</w:t>
      </w:r>
    </w:p>
    <w:p w:rsidR="00000000" w:rsidRDefault="000F0F8D">
      <w:pPr>
        <w:ind w:firstLine="360"/>
        <w:divId w:val="1362318877"/>
        <w:rPr>
          <w:rFonts w:eastAsia="Times New Roman"/>
        </w:rPr>
      </w:pPr>
      <w:r>
        <w:rPr>
          <w:rFonts w:eastAsia="Times New Roman"/>
          <w:color w:val="000000"/>
          <w:sz w:val="20"/>
          <w:szCs w:val="20"/>
        </w:rPr>
        <w:t>Certain of our largest integrated circuit customers (for example, Samsung) develop their own integrated circuit products, which they have in the past uti</w:t>
      </w:r>
      <w:r>
        <w:rPr>
          <w:rFonts w:eastAsia="Times New Roman"/>
          <w:color w:val="000000"/>
          <w:sz w:val="20"/>
          <w:szCs w:val="20"/>
        </w:rPr>
        <w:t>lized, and currently utilize, in certain of their devices and may in the future utilize in some (or all) of their devices, rather than our products (and they have and may continue to sell their integrated circuit products to third parties, discretely or to</w:t>
      </w:r>
      <w:r>
        <w:rPr>
          <w:rFonts w:eastAsia="Times New Roman"/>
          <w:color w:val="000000"/>
          <w:sz w:val="20"/>
          <w:szCs w:val="20"/>
        </w:rPr>
        <w:t xml:space="preserve">gether with certain of their other products, in competition with us). </w:t>
      </w:r>
    </w:p>
    <w:p w:rsidR="00000000" w:rsidRDefault="000F0F8D">
      <w:pPr>
        <w:ind w:firstLine="360"/>
        <w:divId w:val="1241059932"/>
        <w:rPr>
          <w:rFonts w:eastAsia="Times New Roman"/>
        </w:rPr>
      </w:pPr>
      <w:r>
        <w:rPr>
          <w:rFonts w:eastAsia="Times New Roman"/>
          <w:color w:val="000000"/>
          <w:sz w:val="20"/>
          <w:szCs w:val="20"/>
        </w:rPr>
        <w:t>Apple has utilized modem products of one of our competitors in some of its devices rather than our products, and solely utilized one of our competitors’ products in several of its prior</w:t>
      </w:r>
      <w:r>
        <w:rPr>
          <w:rFonts w:eastAsia="Times New Roman"/>
          <w:color w:val="000000"/>
          <w:sz w:val="20"/>
          <w:szCs w:val="20"/>
        </w:rPr>
        <w:t xml:space="preserve"> device launches. In April 2019, we entered into a new multi-year chipset supply agreement with Apple and began shipping modems under this agreement in the third quarter of fiscal 2020. In December 2019, Apple acquired Intel’s modem assets and is developin</w:t>
      </w:r>
      <w:r>
        <w:rPr>
          <w:rFonts w:eastAsia="Times New Roman"/>
          <w:color w:val="000000"/>
          <w:sz w:val="20"/>
          <w:szCs w:val="20"/>
        </w:rPr>
        <w:t xml:space="preserve">g its own modem products using these assets. Accordingly, Apple is expected to use its own modem products, rather than our products, in some (or all) of its future devices. </w:t>
      </w:r>
    </w:p>
    <w:p w:rsidR="00000000" w:rsidRDefault="000F0F8D">
      <w:pPr>
        <w:ind w:firstLine="360"/>
        <w:divId w:val="1661036915"/>
        <w:rPr>
          <w:rFonts w:eastAsia="Times New Roman"/>
        </w:rPr>
      </w:pPr>
      <w:r>
        <w:rPr>
          <w:rFonts w:eastAsia="Times New Roman"/>
          <w:color w:val="000000"/>
          <w:sz w:val="20"/>
          <w:szCs w:val="20"/>
        </w:rPr>
        <w:t>Similarly, we derive a significant portion of our revenues from Chinese OEMs. Cert</w:t>
      </w:r>
      <w:r>
        <w:rPr>
          <w:rFonts w:eastAsia="Times New Roman"/>
          <w:color w:val="000000"/>
          <w:sz w:val="20"/>
          <w:szCs w:val="20"/>
        </w:rPr>
        <w:t xml:space="preserve">ain of our customers in China have developed, and others may in the future develop, their own integrated circuit products and use such integrated circuit products in their devices rather than our integrated circuit products, including due to pressure from </w:t>
      </w:r>
      <w:r>
        <w:rPr>
          <w:rFonts w:eastAsia="Times New Roman"/>
          <w:color w:val="000000"/>
          <w:sz w:val="20"/>
          <w:szCs w:val="20"/>
        </w:rPr>
        <w:t xml:space="preserve">or policies of the Chinese government (whose </w:t>
      </w:r>
      <w:r>
        <w:rPr>
          <w:rFonts w:eastAsia="Times New Roman"/>
          <w:i/>
          <w:iCs/>
          <w:color w:val="000000"/>
          <w:sz w:val="20"/>
          <w:szCs w:val="20"/>
        </w:rPr>
        <w:t>Made in China 2025</w:t>
      </w:r>
      <w:r>
        <w:rPr>
          <w:rFonts w:eastAsia="Times New Roman"/>
          <w:color w:val="000000"/>
          <w:sz w:val="20"/>
          <w:szCs w:val="20"/>
        </w:rPr>
        <w:t xml:space="preserve"> campaign targets 70% semiconductor self-sufficiency by 2025), concerns over losing access to our integrated circuit products as a result of actual, threatened or potential U.S. or Chinese gove</w:t>
      </w:r>
      <w:r>
        <w:rPr>
          <w:rFonts w:eastAsia="Times New Roman"/>
          <w:color w:val="000000"/>
          <w:sz w:val="20"/>
          <w:szCs w:val="20"/>
        </w:rPr>
        <w:t xml:space="preserve">rnment actions or policies, including trade protection or national security policies, or other reasons. </w:t>
      </w:r>
    </w:p>
    <w:p w:rsidR="00000000" w:rsidRDefault="000F0F8D">
      <w:pPr>
        <w:ind w:firstLine="360"/>
        <w:divId w:val="366949962"/>
        <w:rPr>
          <w:rFonts w:eastAsia="Times New Roman"/>
        </w:rPr>
      </w:pPr>
      <w:r>
        <w:rPr>
          <w:rFonts w:eastAsia="Times New Roman"/>
          <w:color w:val="000000"/>
          <w:sz w:val="20"/>
          <w:szCs w:val="20"/>
        </w:rPr>
        <w:t>If some or all of our largest customers and/or the largest smartphone OEMs utilize their own integrated circuit/modem products in some (or all) of thei</w:t>
      </w:r>
      <w:r>
        <w:rPr>
          <w:rFonts w:eastAsia="Times New Roman"/>
          <w:color w:val="000000"/>
          <w:sz w:val="20"/>
          <w:szCs w:val="20"/>
        </w:rPr>
        <w:t>r devices rather than our products, our business, revenues, results of operations, cash flows and financial position could be materially adversely impacted. See also the Risk Factor titled “</w:t>
      </w:r>
      <w:r>
        <w:rPr>
          <w:rFonts w:eastAsia="Times New Roman"/>
          <w:i/>
          <w:iCs/>
          <w:color w:val="000000"/>
          <w:sz w:val="20"/>
          <w:szCs w:val="20"/>
        </w:rPr>
        <w:t>We derive a significant portion of our revenues from a small numbe</w:t>
      </w:r>
      <w:r>
        <w:rPr>
          <w:rFonts w:eastAsia="Times New Roman"/>
          <w:i/>
          <w:iCs/>
          <w:color w:val="000000"/>
          <w:sz w:val="20"/>
          <w:szCs w:val="20"/>
        </w:rPr>
        <w:t>r of customers and licensees, and particularly from their sale of premium tier devices. If revenues derived from these customers or licensees decrease or the timing of such revenues fluctuates, our business and results of operations could be negatively aff</w:t>
      </w:r>
      <w:r>
        <w:rPr>
          <w:rFonts w:eastAsia="Times New Roman"/>
          <w:i/>
          <w:iCs/>
          <w:color w:val="000000"/>
          <w:sz w:val="20"/>
          <w:szCs w:val="20"/>
        </w:rPr>
        <w:t>ected</w:t>
      </w:r>
      <w:r>
        <w:rPr>
          <w:rFonts w:eastAsia="Times New Roman"/>
          <w:color w:val="000000"/>
          <w:sz w:val="20"/>
          <w:szCs w:val="20"/>
        </w:rPr>
        <w:t>.”</w:t>
      </w:r>
    </w:p>
    <w:p w:rsidR="00000000" w:rsidRDefault="000F0F8D">
      <w:pPr>
        <w:divId w:val="1480656809"/>
        <w:rPr>
          <w:rFonts w:eastAsia="Times New Roman"/>
        </w:rPr>
      </w:pPr>
      <w:r>
        <w:rPr>
          <w:rFonts w:eastAsia="Times New Roman"/>
          <w:b/>
          <w:bCs/>
          <w:i/>
          <w:iCs/>
          <w:color w:val="000000"/>
          <w:sz w:val="20"/>
          <w:szCs w:val="20"/>
        </w:rPr>
        <w:t>A significant portion of our business is concentrated in China, and the risks of such concentration are exacerbated by U.S./China trade and national security tensions.</w:t>
      </w:r>
    </w:p>
    <w:p w:rsidR="00000000" w:rsidRDefault="000F0F8D">
      <w:pPr>
        <w:ind w:firstLine="360"/>
        <w:divId w:val="2049405445"/>
        <w:rPr>
          <w:rFonts w:eastAsia="Times New Roman"/>
        </w:rPr>
      </w:pPr>
      <w:r>
        <w:rPr>
          <w:rFonts w:eastAsia="Times New Roman"/>
          <w:color w:val="000000"/>
          <w:sz w:val="20"/>
          <w:szCs w:val="20"/>
        </w:rPr>
        <w:t>We derive a significant portion of our revenues from Chinese OEMs, and from non-</w:t>
      </w:r>
      <w:r>
        <w:rPr>
          <w:rFonts w:eastAsia="Times New Roman"/>
          <w:color w:val="000000"/>
          <w:sz w:val="20"/>
          <w:szCs w:val="20"/>
        </w:rPr>
        <w:t>Chinese OEMs that utilize our integrated circuit products in their devices and sell those devices into China, which has the largest number of smartphone users in the world. We also source certain critical integrated circuit products from suppliers in China</w:t>
      </w:r>
      <w:r>
        <w:rPr>
          <w:rFonts w:eastAsia="Times New Roman"/>
          <w:color w:val="000000"/>
          <w:sz w:val="20"/>
          <w:szCs w:val="20"/>
        </w:rPr>
        <w:t>.</w:t>
      </w:r>
    </w:p>
    <w:p w:rsidR="00000000" w:rsidRDefault="000F0F8D">
      <w:pPr>
        <w:ind w:firstLine="360"/>
        <w:divId w:val="1278953152"/>
        <w:rPr>
          <w:rFonts w:eastAsia="Times New Roman"/>
        </w:rPr>
      </w:pPr>
      <w:r>
        <w:rPr>
          <w:rFonts w:eastAsia="Times New Roman"/>
          <w:color w:val="000000"/>
          <w:sz w:val="20"/>
          <w:szCs w:val="20"/>
        </w:rPr>
        <w:t xml:space="preserve">Due to various factors, including pressure, encouragement or incentives from, or policies of, the Chinese government (including its </w:t>
      </w:r>
      <w:r>
        <w:rPr>
          <w:rFonts w:eastAsia="Times New Roman"/>
          <w:i/>
          <w:iCs/>
          <w:color w:val="000000"/>
          <w:sz w:val="20"/>
          <w:szCs w:val="20"/>
        </w:rPr>
        <w:t>Made in China 2025</w:t>
      </w:r>
      <w:r>
        <w:rPr>
          <w:rFonts w:eastAsia="Times New Roman"/>
          <w:color w:val="000000"/>
          <w:sz w:val="20"/>
          <w:szCs w:val="20"/>
        </w:rPr>
        <w:t xml:space="preserve"> campaign), concerns over losing access to our integrated circuit products as a result of actual, threat</w:t>
      </w:r>
      <w:r>
        <w:rPr>
          <w:rFonts w:eastAsia="Times New Roman"/>
          <w:color w:val="000000"/>
          <w:sz w:val="20"/>
          <w:szCs w:val="20"/>
        </w:rPr>
        <w:t xml:space="preserve">ened or potential U.S. or Chinese government actions or policies, including trade protection or national security </w:t>
      </w:r>
    </w:p>
    <w:p w:rsidR="00000000" w:rsidRDefault="000F0F8D">
      <w:pPr>
        <w:jc w:val="center"/>
        <w:divId w:val="1373846524"/>
        <w:rPr>
          <w:rFonts w:eastAsia="Times New Roman"/>
        </w:rPr>
      </w:pPr>
      <w:r>
        <w:rPr>
          <w:rFonts w:eastAsia="Times New Roman"/>
          <w:color w:val="000000"/>
          <w:sz w:val="20"/>
          <w:szCs w:val="20"/>
        </w:rPr>
        <w:t>35</w:t>
      </w:r>
    </w:p>
    <w:p w:rsidR="00000000" w:rsidRDefault="000F0F8D">
      <w:pPr>
        <w:rPr>
          <w:rFonts w:eastAsia="Times New Roman"/>
        </w:rPr>
      </w:pPr>
      <w:r>
        <w:rPr>
          <w:rFonts w:eastAsia="Times New Roman"/>
        </w:rPr>
        <w:pict>
          <v:rect id="_x0000_i1058" style="width:0;height:1.5pt" o:hralign="center" o:hrstd="t" o:hr="t" fillcolor="#a0a0a0" stroked="f"/>
        </w:pict>
      </w:r>
    </w:p>
    <w:p w:rsidR="00000000" w:rsidRDefault="000F0F8D">
      <w:pPr>
        <w:divId w:val="437062692"/>
        <w:rPr>
          <w:rFonts w:eastAsia="Times New Roman"/>
        </w:rPr>
      </w:pPr>
    </w:p>
    <w:p w:rsidR="00000000" w:rsidRDefault="000F0F8D">
      <w:pPr>
        <w:divId w:val="1522622247"/>
        <w:rPr>
          <w:rFonts w:eastAsia="Times New Roman"/>
        </w:rPr>
      </w:pPr>
      <w:r>
        <w:rPr>
          <w:rFonts w:eastAsia="Times New Roman"/>
          <w:color w:val="000000"/>
          <w:sz w:val="20"/>
          <w:szCs w:val="20"/>
        </w:rPr>
        <w:t>policies, or other reasons, some of our Chinese integrated circuit customers have developed, and oth</w:t>
      </w:r>
      <w:r>
        <w:rPr>
          <w:rFonts w:eastAsia="Times New Roman"/>
          <w:color w:val="000000"/>
          <w:sz w:val="20"/>
          <w:szCs w:val="20"/>
        </w:rPr>
        <w:t xml:space="preserve">ers may in the future develop, their own integrated circuit products and use such integrated circuit products in their devices, or use our competitors’ integrated circuit products in their devices, rather than our products. </w:t>
      </w:r>
    </w:p>
    <w:p w:rsidR="00000000" w:rsidRDefault="000F0F8D">
      <w:pPr>
        <w:ind w:firstLine="360"/>
        <w:divId w:val="1897467643"/>
        <w:rPr>
          <w:rFonts w:eastAsia="Times New Roman"/>
        </w:rPr>
      </w:pPr>
      <w:r>
        <w:rPr>
          <w:rFonts w:eastAsia="Times New Roman"/>
          <w:color w:val="000000"/>
          <w:sz w:val="20"/>
          <w:szCs w:val="20"/>
        </w:rPr>
        <w:t>Political actions, including tr</w:t>
      </w:r>
      <w:r>
        <w:rPr>
          <w:rFonts w:eastAsia="Times New Roman"/>
          <w:color w:val="000000"/>
          <w:sz w:val="20"/>
          <w:szCs w:val="20"/>
        </w:rPr>
        <w:t xml:space="preserve">ade protection and national security policies of the U.S. and Chinese governments, such as tariffs, bans or placing companies on restricted entity lists, have in the past, currently are and could in the future limit or prevent us from transacting business </w:t>
      </w:r>
      <w:r>
        <w:rPr>
          <w:rFonts w:eastAsia="Times New Roman"/>
          <w:color w:val="000000"/>
          <w:sz w:val="20"/>
          <w:szCs w:val="20"/>
        </w:rPr>
        <w:t>with certain of our Chinese customers or suppliers, limit, prevent or discourage certain of our Chinese customers or suppliers from transacting business with us, or make it more expensive to do so. Given our revenue concentration in China, if, due to actua</w:t>
      </w:r>
      <w:r>
        <w:rPr>
          <w:rFonts w:eastAsia="Times New Roman"/>
          <w:color w:val="000000"/>
          <w:sz w:val="20"/>
          <w:szCs w:val="20"/>
        </w:rPr>
        <w:t>l, threatened or potential U.S. or Chinese government actions or policies, we were further limited in, or prohibited from, selling our integrated circuit products to Chinese OEMs; if our non-Chinese OEM customers were limited in, or prohibited from, sellin</w:t>
      </w:r>
      <w:r>
        <w:rPr>
          <w:rFonts w:eastAsia="Times New Roman"/>
          <w:color w:val="000000"/>
          <w:sz w:val="20"/>
          <w:szCs w:val="20"/>
        </w:rPr>
        <w:t>g devices into China that incorporate our integrated circuit products; if Chinese OEMs develop and use their own integrated circuit products or use our competitors’ integrated circuit products in some (or all) of their devices rather than our integrated ci</w:t>
      </w:r>
      <w:r>
        <w:rPr>
          <w:rFonts w:eastAsia="Times New Roman"/>
          <w:color w:val="000000"/>
          <w:sz w:val="20"/>
          <w:szCs w:val="20"/>
        </w:rPr>
        <w:t xml:space="preserve">rcuit products; if Chinese tariffs on our integrated circuit products or on devices which incorporate our integrated circuit products made purchasing such products or devices more expensive to Chinese OEMs or Chinese consumers; or if our Chinese licensees </w:t>
      </w:r>
      <w:r>
        <w:rPr>
          <w:rFonts w:eastAsia="Times New Roman"/>
          <w:color w:val="000000"/>
          <w:sz w:val="20"/>
          <w:szCs w:val="20"/>
        </w:rPr>
        <w:t>delay or cease making payments of license fees they owe us, our business, revenues, results of operations, cash flows and financial position could be materially harmed. Similarly, if, due to U.S. or Chinese government actions or policies, we were limited i</w:t>
      </w:r>
      <w:r>
        <w:rPr>
          <w:rFonts w:eastAsia="Times New Roman"/>
          <w:color w:val="000000"/>
          <w:sz w:val="20"/>
          <w:szCs w:val="20"/>
        </w:rPr>
        <w:t xml:space="preserve">n or prohibited from obtaining critical integrated circuit products from our suppliers in China, our business, revenues, results of operations, cash flows and financial position could be materially harmed. </w:t>
      </w:r>
    </w:p>
    <w:p w:rsidR="00000000" w:rsidRDefault="000F0F8D">
      <w:pPr>
        <w:ind w:firstLine="360"/>
        <w:divId w:val="1135492418"/>
        <w:rPr>
          <w:rFonts w:eastAsia="Times New Roman"/>
        </w:rPr>
      </w:pPr>
      <w:r>
        <w:rPr>
          <w:rFonts w:eastAsia="Times New Roman"/>
          <w:color w:val="000000"/>
          <w:sz w:val="20"/>
          <w:szCs w:val="20"/>
        </w:rPr>
        <w:t>Finally, government policies in China that regula</w:t>
      </w:r>
      <w:r>
        <w:rPr>
          <w:rFonts w:eastAsia="Times New Roman"/>
          <w:color w:val="000000"/>
          <w:sz w:val="20"/>
          <w:szCs w:val="20"/>
        </w:rPr>
        <w:t>te the amount and timing of funds that may flow out of the country have impacted and may continue to impact the timing of our receipt of, and/or ability to receive, payments from our customers and licensees in China, which may negatively impact our cash fl</w:t>
      </w:r>
      <w:r>
        <w:rPr>
          <w:rFonts w:eastAsia="Times New Roman"/>
          <w:color w:val="000000"/>
          <w:sz w:val="20"/>
          <w:szCs w:val="20"/>
        </w:rPr>
        <w:t>ows.</w:t>
      </w:r>
    </w:p>
    <w:p w:rsidR="00000000" w:rsidRDefault="000F0F8D">
      <w:pPr>
        <w:divId w:val="338776867"/>
        <w:rPr>
          <w:rFonts w:eastAsia="Times New Roman"/>
        </w:rPr>
      </w:pPr>
      <w:r>
        <w:rPr>
          <w:rFonts w:eastAsia="Times New Roman"/>
          <w:b/>
          <w:bCs/>
          <w:color w:val="000000"/>
          <w:sz w:val="20"/>
          <w:szCs w:val="20"/>
        </w:rPr>
        <w:t xml:space="preserve">RISKS SPECIFIC TO OUR LICENSING BUSINESS </w:t>
      </w:r>
    </w:p>
    <w:p w:rsidR="00000000" w:rsidRDefault="000F0F8D">
      <w:pPr>
        <w:divId w:val="298851190"/>
        <w:rPr>
          <w:rFonts w:eastAsia="Times New Roman"/>
        </w:rPr>
      </w:pPr>
      <w:r>
        <w:rPr>
          <w:rFonts w:eastAsia="Times New Roman"/>
          <w:b/>
          <w:bCs/>
          <w:i/>
          <w:iCs/>
          <w:color w:val="000000"/>
          <w:sz w:val="20"/>
          <w:szCs w:val="20"/>
        </w:rPr>
        <w:t>Efforts by some OEMs to avoid paying fair and reasonable royalties for the use of our intellectual property may require the investment of substantial management time and financial resources and may result in l</w:t>
      </w:r>
      <w:r>
        <w:rPr>
          <w:rFonts w:eastAsia="Times New Roman"/>
          <w:b/>
          <w:bCs/>
          <w:i/>
          <w:iCs/>
          <w:color w:val="000000"/>
          <w:sz w:val="20"/>
          <w:szCs w:val="20"/>
        </w:rPr>
        <w:t xml:space="preserve">egal decisions or actions by governments, courts, regulators or agencies, Standards Development Organizations (SDOs) or other industry organizations that harm our business. </w:t>
      </w:r>
    </w:p>
    <w:p w:rsidR="00000000" w:rsidRDefault="000F0F8D">
      <w:pPr>
        <w:ind w:firstLine="360"/>
        <w:divId w:val="306401859"/>
        <w:rPr>
          <w:rFonts w:eastAsia="Times New Roman"/>
        </w:rPr>
      </w:pPr>
      <w:r>
        <w:rPr>
          <w:rFonts w:eastAsia="Times New Roman"/>
          <w:color w:val="000000"/>
          <w:sz w:val="20"/>
          <w:szCs w:val="20"/>
        </w:rPr>
        <w:t xml:space="preserve">From time to time, companies initiate various strategies to attempt to negotiate, </w:t>
      </w:r>
      <w:r>
        <w:rPr>
          <w:rFonts w:eastAsia="Times New Roman"/>
          <w:color w:val="000000"/>
          <w:sz w:val="20"/>
          <w:szCs w:val="20"/>
        </w:rPr>
        <w:t>renegotiate, reduce and/or eliminate their need to pay royalties to us for the use of our intellectual property. These strategies have included: (i) litigation, often alleging infringement of patents held by such companies, patent misuse, patent exhaustion</w:t>
      </w:r>
      <w:r>
        <w:rPr>
          <w:rFonts w:eastAsia="Times New Roman"/>
          <w:color w:val="000000"/>
          <w:sz w:val="20"/>
          <w:szCs w:val="20"/>
        </w:rPr>
        <w:t>, patent invalidity or unenforceability of our patents or licenses, alleging that we do not license our patents on fair, reasonable and nondiscriminatory (FRAND) terms, or alleging some form of unfair competition or competition law violation; (ii) taking p</w:t>
      </w:r>
      <w:r>
        <w:rPr>
          <w:rFonts w:eastAsia="Times New Roman"/>
          <w:color w:val="000000"/>
          <w:sz w:val="20"/>
          <w:szCs w:val="20"/>
        </w:rPr>
        <w:t>ositions contrary to our understanding (and/or the plain language) of their contracts with us; (iii) appeals to governmental authorities; (iv) collective action, including working with wireless operators, standards bodies, other like-minded companies and o</w:t>
      </w:r>
      <w:r>
        <w:rPr>
          <w:rFonts w:eastAsia="Times New Roman"/>
          <w:color w:val="000000"/>
          <w:sz w:val="20"/>
          <w:szCs w:val="20"/>
        </w:rPr>
        <w:t>rganizations, on both formal and informal bases, to adopt intellectual property policies and practices that could have the effect of limiting returns on intellectual property innovations; (v) lobbying governmental regulators and elected officials for the p</w:t>
      </w:r>
      <w:r>
        <w:rPr>
          <w:rFonts w:eastAsia="Times New Roman"/>
          <w:color w:val="000000"/>
          <w:sz w:val="20"/>
          <w:szCs w:val="20"/>
        </w:rPr>
        <w:t>urpose of seeking the reduction of royalty rates or the base on which royalties are calculated, seeking to impose some form of compulsory licensing or weakening a patent holder’s ability to enforce its rights or obtain a fair return for such rights; and (v</w:t>
      </w:r>
      <w:r>
        <w:rPr>
          <w:rFonts w:eastAsia="Times New Roman"/>
          <w:color w:val="000000"/>
          <w:sz w:val="20"/>
          <w:szCs w:val="20"/>
        </w:rPr>
        <w:t>i) attempts by licensees to shift their royalty obligation to their suppliers in order to lower the wholesale (i.e., licensee’s) selling price on which the royalty is calculated.</w:t>
      </w:r>
    </w:p>
    <w:p w:rsidR="00000000" w:rsidRDefault="000F0F8D">
      <w:pPr>
        <w:ind w:firstLine="360"/>
        <w:divId w:val="1958902086"/>
        <w:rPr>
          <w:rFonts w:eastAsia="Times New Roman"/>
        </w:rPr>
      </w:pPr>
      <w:r>
        <w:rPr>
          <w:rFonts w:eastAsia="Times New Roman"/>
          <w:color w:val="000000"/>
          <w:sz w:val="20"/>
          <w:szCs w:val="20"/>
        </w:rPr>
        <w:t>In addition, certain licensees have disputed, underreported, underpaid, not r</w:t>
      </w:r>
      <w:r>
        <w:rPr>
          <w:rFonts w:eastAsia="Times New Roman"/>
          <w:color w:val="000000"/>
          <w:sz w:val="20"/>
          <w:szCs w:val="20"/>
        </w:rPr>
        <w:t>eported or not paid royalties owed to us under their license agreements or reported to us in a manner that is not in compliance with their contractual obligations, and certain companies have yet to enter into or have delayed entering into or renewing licen</w:t>
      </w:r>
      <w:r>
        <w:rPr>
          <w:rFonts w:eastAsia="Times New Roman"/>
          <w:color w:val="000000"/>
          <w:sz w:val="20"/>
          <w:szCs w:val="20"/>
        </w:rPr>
        <w:t>se agreements with us for their use of our intellectual property, and they or others may engage in such behavior in the future. The fact that one or more licensees dispute, underreport, underpay, do not report or do not pay royalties owed to us may encoura</w:t>
      </w:r>
      <w:r>
        <w:rPr>
          <w:rFonts w:eastAsia="Times New Roman"/>
          <w:color w:val="000000"/>
          <w:sz w:val="20"/>
          <w:szCs w:val="20"/>
        </w:rPr>
        <w:t>ge other licensees to take similar actions or not renew their existing license agreements, and may encourage other licensees or unlicensed companies to delay entering into, or to not enter into, new license agreements. Further, to the extent such licensees</w:t>
      </w:r>
      <w:r>
        <w:rPr>
          <w:rFonts w:eastAsia="Times New Roman"/>
          <w:color w:val="000000"/>
          <w:sz w:val="20"/>
          <w:szCs w:val="20"/>
        </w:rPr>
        <w:t xml:space="preserve"> and companies increase their device share, the negative impact of their underreporting, underpayment, non-payment or non-reporting on our business, revenues, results of operations, cash flows and financial condition will be exacerbated.</w:t>
      </w:r>
    </w:p>
    <w:p w:rsidR="00000000" w:rsidRDefault="000F0F8D">
      <w:pPr>
        <w:ind w:firstLine="360"/>
        <w:divId w:val="262885427"/>
        <w:rPr>
          <w:rFonts w:eastAsia="Times New Roman"/>
        </w:rPr>
      </w:pPr>
      <w:r>
        <w:rPr>
          <w:rFonts w:eastAsia="Times New Roman"/>
          <w:color w:val="000000"/>
          <w:sz w:val="20"/>
          <w:szCs w:val="20"/>
        </w:rPr>
        <w:t>We have been in th</w:t>
      </w:r>
      <w:r>
        <w:rPr>
          <w:rFonts w:eastAsia="Times New Roman"/>
          <w:color w:val="000000"/>
          <w:sz w:val="20"/>
          <w:szCs w:val="20"/>
        </w:rPr>
        <w:t>e past and are currently subject to various litigation and governmental investigations and proceedings. Certain of these matters are described more fully in this Quarterly Report in “Notes to Condensed Consolidated Financial Statements, Note 5. Commitments</w:t>
      </w:r>
      <w:r>
        <w:rPr>
          <w:rFonts w:eastAsia="Times New Roman"/>
          <w:color w:val="000000"/>
          <w:sz w:val="20"/>
          <w:szCs w:val="20"/>
        </w:rPr>
        <w:t xml:space="preserve"> and Contingencies.” We may become subject to other litigation or governmental investigations or proceedings in the future. Additionally, certain of our direct and indirect customers and licensees have pursued, and others may in the future pursue, litigati</w:t>
      </w:r>
      <w:r>
        <w:rPr>
          <w:rFonts w:eastAsia="Times New Roman"/>
          <w:color w:val="000000"/>
          <w:sz w:val="20"/>
          <w:szCs w:val="20"/>
        </w:rPr>
        <w:t xml:space="preserve">on or arbitration against us related to our business. Unfavorable </w:t>
      </w:r>
    </w:p>
    <w:p w:rsidR="00000000" w:rsidRDefault="000F0F8D">
      <w:pPr>
        <w:jc w:val="center"/>
        <w:divId w:val="1351032001"/>
        <w:rPr>
          <w:rFonts w:eastAsia="Times New Roman"/>
        </w:rPr>
      </w:pPr>
      <w:r>
        <w:rPr>
          <w:rFonts w:eastAsia="Times New Roman"/>
          <w:color w:val="000000"/>
          <w:sz w:val="20"/>
          <w:szCs w:val="20"/>
        </w:rPr>
        <w:t>36</w:t>
      </w:r>
    </w:p>
    <w:p w:rsidR="00000000" w:rsidRDefault="000F0F8D">
      <w:pPr>
        <w:rPr>
          <w:rFonts w:eastAsia="Times New Roman"/>
        </w:rPr>
      </w:pPr>
      <w:r>
        <w:rPr>
          <w:rFonts w:eastAsia="Times New Roman"/>
        </w:rPr>
        <w:pict>
          <v:rect id="_x0000_i1059" style="width:0;height:1.5pt" o:hralign="center" o:hrstd="t" o:hr="t" fillcolor="#a0a0a0" stroked="f"/>
        </w:pict>
      </w:r>
    </w:p>
    <w:p w:rsidR="00000000" w:rsidRDefault="000F0F8D">
      <w:pPr>
        <w:divId w:val="1341733936"/>
        <w:rPr>
          <w:rFonts w:eastAsia="Times New Roman"/>
        </w:rPr>
      </w:pPr>
    </w:p>
    <w:p w:rsidR="00000000" w:rsidRDefault="000F0F8D">
      <w:pPr>
        <w:divId w:val="38479459"/>
        <w:rPr>
          <w:rFonts w:eastAsia="Times New Roman"/>
        </w:rPr>
      </w:pPr>
      <w:r>
        <w:rPr>
          <w:rFonts w:eastAsia="Times New Roman"/>
          <w:color w:val="000000"/>
          <w:sz w:val="20"/>
          <w:szCs w:val="20"/>
        </w:rPr>
        <w:t>resolutions of one or more of these matters have had and could in the future have a material adverse effect on our business, revenues, results of op</w:t>
      </w:r>
      <w:r>
        <w:rPr>
          <w:rFonts w:eastAsia="Times New Roman"/>
          <w:color w:val="000000"/>
          <w:sz w:val="20"/>
          <w:szCs w:val="20"/>
        </w:rPr>
        <w:t xml:space="preserve">erations, cash flows and financial condition. See also the Risk Factors below titled </w:t>
      </w:r>
      <w:r>
        <w:rPr>
          <w:rFonts w:eastAsia="Times New Roman"/>
          <w:i/>
          <w:iCs/>
          <w:color w:val="000000"/>
          <w:sz w:val="20"/>
          <w:szCs w:val="20"/>
        </w:rPr>
        <w:t>“Changes in our patent licensing practices, whether due to governmental investigations, legal challenges or otherwise, could adversely impact our business and results of o</w:t>
      </w:r>
      <w:r>
        <w:rPr>
          <w:rFonts w:eastAsia="Times New Roman"/>
          <w:i/>
          <w:iCs/>
          <w:color w:val="000000"/>
          <w:sz w:val="20"/>
          <w:szCs w:val="20"/>
        </w:rPr>
        <w:t>perations</w:t>
      </w:r>
      <w:r>
        <w:rPr>
          <w:rFonts w:eastAsia="Times New Roman"/>
          <w:color w:val="000000"/>
          <w:sz w:val="20"/>
          <w:szCs w:val="20"/>
        </w:rPr>
        <w:t>” and “</w:t>
      </w:r>
      <w:r>
        <w:rPr>
          <w:rFonts w:eastAsia="Times New Roman"/>
          <w:i/>
          <w:iCs/>
          <w:color w:val="000000"/>
          <w:sz w:val="20"/>
          <w:szCs w:val="20"/>
        </w:rPr>
        <w:t>Our business may suffer as a result of adverse rulings in government investigations or proceedings.</w:t>
      </w:r>
      <w:r>
        <w:rPr>
          <w:rFonts w:eastAsia="Times New Roman"/>
          <w:color w:val="000000"/>
          <w:sz w:val="20"/>
          <w:szCs w:val="20"/>
        </w:rPr>
        <w:t>”</w:t>
      </w:r>
    </w:p>
    <w:p w:rsidR="00000000" w:rsidRDefault="000F0F8D">
      <w:pPr>
        <w:ind w:firstLine="360"/>
        <w:divId w:val="838083855"/>
        <w:rPr>
          <w:rFonts w:eastAsia="Times New Roman"/>
        </w:rPr>
      </w:pPr>
      <w:r>
        <w:rPr>
          <w:rFonts w:eastAsia="Times New Roman"/>
          <w:color w:val="000000"/>
          <w:sz w:val="20"/>
          <w:szCs w:val="20"/>
        </w:rPr>
        <w:t>In addition, in connection with our participation in SDOs, we, like other patent owners, generally have made contractual commitments to suc</w:t>
      </w:r>
      <w:r>
        <w:rPr>
          <w:rFonts w:eastAsia="Times New Roman"/>
          <w:color w:val="000000"/>
          <w:sz w:val="20"/>
          <w:szCs w:val="20"/>
        </w:rPr>
        <w:t>h organizations to license those of our patents that would necessarily be infringed by standard-compliant products as set forth in those commitments (referred to as standard-essential patents). Some manufacturers and users of standard-compliant products ad</w:t>
      </w:r>
      <w:r>
        <w:rPr>
          <w:rFonts w:eastAsia="Times New Roman"/>
          <w:color w:val="000000"/>
          <w:sz w:val="20"/>
          <w:szCs w:val="20"/>
        </w:rPr>
        <w:t>vance interpretations of these commitments that are adverse to our licensing business, including interpretations that would limit the amount of royalties that we could collect on the licensing of our standard-essential patent portfolio.</w:t>
      </w:r>
    </w:p>
    <w:p w:rsidR="00000000" w:rsidRDefault="000F0F8D">
      <w:pPr>
        <w:ind w:firstLine="360"/>
        <w:divId w:val="1144352451"/>
        <w:rPr>
          <w:rFonts w:eastAsia="Times New Roman"/>
        </w:rPr>
      </w:pPr>
      <w:r>
        <w:rPr>
          <w:rFonts w:eastAsia="Times New Roman"/>
          <w:color w:val="000000"/>
          <w:sz w:val="20"/>
          <w:szCs w:val="20"/>
        </w:rPr>
        <w:t>Further, some third parties have proposed significant changes to existing intellectual property policies for implementation by SDOs and other industry organizations with the goal of significantly devaluing standard-essential patents. For example, some have</w:t>
      </w:r>
      <w:r>
        <w:rPr>
          <w:rFonts w:eastAsia="Times New Roman"/>
          <w:color w:val="000000"/>
          <w:sz w:val="20"/>
          <w:szCs w:val="20"/>
        </w:rPr>
        <w:t xml:space="preserve"> put forth proposals which would require a maximum aggregate intellectual property royalty rate for the use of all standard-essential patents owned by all of the member companies to be applied to the selling price of any product implementing the relevant s</w:t>
      </w:r>
      <w:r>
        <w:rPr>
          <w:rFonts w:eastAsia="Times New Roman"/>
          <w:color w:val="000000"/>
          <w:sz w:val="20"/>
          <w:szCs w:val="20"/>
        </w:rPr>
        <w:t>tandard. They have further proposed that such maximum aggregate royalty rate be apportioned to each member company with standard-essential patents based upon the number of standard-essential patents held by such company. Others have proposed that injunctio</w:t>
      </w:r>
      <w:r>
        <w:rPr>
          <w:rFonts w:eastAsia="Times New Roman"/>
          <w:color w:val="000000"/>
          <w:sz w:val="20"/>
          <w:szCs w:val="20"/>
        </w:rPr>
        <w:t>ns should not be an available remedy for infringement of standard-essential patents and have made proposals that could severely limit damage awards and other remedies by courts for patent infringement (e.g., by severely limiting the base upon which the roy</w:t>
      </w:r>
      <w:r>
        <w:rPr>
          <w:rFonts w:eastAsia="Times New Roman"/>
          <w:color w:val="000000"/>
          <w:sz w:val="20"/>
          <w:szCs w:val="20"/>
        </w:rPr>
        <w:t>alty rate may be applied). A number of these strategies are purportedly based on interpretations of the policies of certain SDOs concerning the licensing of patents that are or may be essential to industry standards and on our (or other companies’) alleged</w:t>
      </w:r>
      <w:r>
        <w:rPr>
          <w:rFonts w:eastAsia="Times New Roman"/>
          <w:color w:val="000000"/>
          <w:sz w:val="20"/>
          <w:szCs w:val="20"/>
        </w:rPr>
        <w:t xml:space="preserve"> failure to abide by these policies. </w:t>
      </w:r>
    </w:p>
    <w:p w:rsidR="00000000" w:rsidRDefault="000F0F8D">
      <w:pPr>
        <w:ind w:firstLine="360"/>
        <w:divId w:val="1372221136"/>
        <w:rPr>
          <w:rFonts w:eastAsia="Times New Roman"/>
        </w:rPr>
      </w:pPr>
      <w:r>
        <w:rPr>
          <w:rFonts w:eastAsia="Times New Roman"/>
          <w:color w:val="000000"/>
          <w:sz w:val="20"/>
          <w:szCs w:val="20"/>
        </w:rPr>
        <w:t>Some SDOs, courts and governmental agencies have adopted, and may in the future adopt, some or all of these interpretations or proposals in a manner adverse to our interests, including in litigation to which we may not</w:t>
      </w:r>
      <w:r>
        <w:rPr>
          <w:rFonts w:eastAsia="Times New Roman"/>
          <w:color w:val="000000"/>
          <w:sz w:val="20"/>
          <w:szCs w:val="20"/>
        </w:rPr>
        <w:t xml:space="preserve"> be a party. Further, SDOs in certain countries may attempt to modify widely accepted standards and claim the resulting standard as their own.</w:t>
      </w:r>
    </w:p>
    <w:p w:rsidR="00000000" w:rsidRDefault="000F0F8D">
      <w:pPr>
        <w:ind w:firstLine="360"/>
        <w:divId w:val="1112673759"/>
        <w:rPr>
          <w:rFonts w:eastAsia="Times New Roman"/>
        </w:rPr>
      </w:pPr>
      <w:r>
        <w:rPr>
          <w:rFonts w:eastAsia="Times New Roman"/>
          <w:color w:val="000000"/>
          <w:sz w:val="20"/>
          <w:szCs w:val="20"/>
        </w:rPr>
        <w:t>We expect that such proposals, interpretations and strategies will continue in the future, and if successful, our</w:t>
      </w:r>
      <w:r>
        <w:rPr>
          <w:rFonts w:eastAsia="Times New Roman"/>
          <w:color w:val="000000"/>
          <w:sz w:val="20"/>
          <w:szCs w:val="20"/>
        </w:rPr>
        <w:t xml:space="preserve"> business model would be harmed, either by limiting or eliminating our ability to collect royalties (or by reducing the royalties we can collect) on all or a portion of our standard-essential patent portfolio, limiting our return on investment with respect</w:t>
      </w:r>
      <w:r>
        <w:rPr>
          <w:rFonts w:eastAsia="Times New Roman"/>
          <w:color w:val="000000"/>
          <w:sz w:val="20"/>
          <w:szCs w:val="20"/>
        </w:rPr>
        <w:t xml:space="preserve"> to new technologies, limiting our ability to seek injunctions against infringers of our standard-essential patents, constraining our ability to make licensing commitments when submitting our technologies for inclusion in future standards (which could make</w:t>
      </w:r>
      <w:r>
        <w:rPr>
          <w:rFonts w:eastAsia="Times New Roman"/>
          <w:color w:val="000000"/>
          <w:sz w:val="20"/>
          <w:szCs w:val="20"/>
        </w:rPr>
        <w:t xml:space="preserve"> our technologies less likely to be included in such standards) or forcing us to work outside of SDOs or other industry groups to promote our new technologies, and our revenues, results of operations and cash flows could be negatively impacted. In addition</w:t>
      </w:r>
      <w:r>
        <w:rPr>
          <w:rFonts w:eastAsia="Times New Roman"/>
          <w:color w:val="000000"/>
          <w:sz w:val="20"/>
          <w:szCs w:val="20"/>
        </w:rPr>
        <w:t>, the legal and other costs associated with asserting or defending our positions have been and continue to be significant. We expect that such challenges, regardless of their merits, will continue into the foreseeable future and will require the investment</w:t>
      </w:r>
      <w:r>
        <w:rPr>
          <w:rFonts w:eastAsia="Times New Roman"/>
          <w:color w:val="000000"/>
          <w:sz w:val="20"/>
          <w:szCs w:val="20"/>
        </w:rPr>
        <w:t xml:space="preserve"> of substantial management time and financial resources.</w:t>
      </w:r>
    </w:p>
    <w:p w:rsidR="00000000" w:rsidRDefault="000F0F8D">
      <w:pPr>
        <w:divId w:val="1021511529"/>
        <w:rPr>
          <w:rFonts w:eastAsia="Times New Roman"/>
        </w:rPr>
      </w:pPr>
      <w:r>
        <w:rPr>
          <w:rFonts w:eastAsia="Times New Roman"/>
          <w:b/>
          <w:bCs/>
          <w:i/>
          <w:iCs/>
          <w:color w:val="000000"/>
          <w:sz w:val="20"/>
          <w:szCs w:val="20"/>
        </w:rPr>
        <w:t>Changes in our patent licensing practices, whether due to</w:t>
      </w:r>
      <w:r>
        <w:rPr>
          <w:rFonts w:eastAsia="Times New Roman"/>
          <w:color w:val="000000"/>
          <w:sz w:val="20"/>
          <w:szCs w:val="20"/>
        </w:rPr>
        <w:t xml:space="preserve"> </w:t>
      </w:r>
      <w:r>
        <w:rPr>
          <w:rFonts w:eastAsia="Times New Roman"/>
          <w:b/>
          <w:bCs/>
          <w:i/>
          <w:iCs/>
          <w:color w:val="000000"/>
          <w:sz w:val="20"/>
          <w:szCs w:val="20"/>
        </w:rPr>
        <w:t>governmental investigations, legal challenges or otherwise, could adversely impact our business and results of operations.</w:t>
      </w:r>
    </w:p>
    <w:p w:rsidR="00000000" w:rsidRDefault="000F0F8D">
      <w:pPr>
        <w:ind w:firstLine="360"/>
        <w:divId w:val="1237012830"/>
        <w:rPr>
          <w:rFonts w:eastAsia="Times New Roman"/>
        </w:rPr>
      </w:pPr>
      <w:r>
        <w:rPr>
          <w:rFonts w:eastAsia="Times New Roman"/>
          <w:color w:val="000000"/>
          <w:sz w:val="20"/>
          <w:szCs w:val="20"/>
        </w:rPr>
        <w:t>As described in the Risk Factor below titled “</w:t>
      </w:r>
      <w:r>
        <w:rPr>
          <w:rFonts w:eastAsia="Times New Roman"/>
          <w:i/>
          <w:iCs/>
          <w:color w:val="000000"/>
          <w:sz w:val="20"/>
          <w:szCs w:val="20"/>
        </w:rPr>
        <w:t>Our business may suffer as a result of adverse rulings in government investigations or proceedings</w:t>
      </w:r>
      <w:r>
        <w:rPr>
          <w:rFonts w:eastAsia="Times New Roman"/>
          <w:color w:val="000000"/>
          <w:sz w:val="20"/>
          <w:szCs w:val="20"/>
        </w:rPr>
        <w:t>,” we have been in the past subject to various governmental investigations and legal proceedings challenging our</w:t>
      </w:r>
      <w:r>
        <w:rPr>
          <w:rFonts w:eastAsia="Times New Roman"/>
          <w:color w:val="000000"/>
          <w:sz w:val="20"/>
          <w:szCs w:val="20"/>
        </w:rPr>
        <w:t xml:space="preserve"> patent licensing (or chipset sales) practices. We are currently subject to certain governmental investigations and/or legal proceedings described more fully in this Quarterly Report in “Notes to Condensed Consolidated Financial Statements, Note 5. Commitm</w:t>
      </w:r>
      <w:r>
        <w:rPr>
          <w:rFonts w:eastAsia="Times New Roman"/>
          <w:color w:val="000000"/>
          <w:sz w:val="20"/>
          <w:szCs w:val="20"/>
        </w:rPr>
        <w:t>ents and Contingencies.” We believe that one intent of certain of these governmental investigations and legal proceedings has been to reduce the amount of royalties that licensees are required to pay to us for their use of our intellectual property. We may</w:t>
      </w:r>
      <w:r>
        <w:rPr>
          <w:rFonts w:eastAsia="Times New Roman"/>
          <w:color w:val="000000"/>
          <w:sz w:val="20"/>
          <w:szCs w:val="20"/>
        </w:rPr>
        <w:t xml:space="preserve"> become subject to other governmental investigations or legal proceedings challenging our patent licensing practices in the future. </w:t>
      </w:r>
    </w:p>
    <w:p w:rsidR="00000000" w:rsidRDefault="000F0F8D">
      <w:pPr>
        <w:ind w:firstLine="360"/>
        <w:divId w:val="471093757"/>
        <w:rPr>
          <w:rFonts w:eastAsia="Times New Roman"/>
        </w:rPr>
      </w:pPr>
      <w:r>
        <w:rPr>
          <w:rFonts w:eastAsia="Times New Roman"/>
          <w:color w:val="000000"/>
          <w:sz w:val="20"/>
          <w:szCs w:val="20"/>
        </w:rPr>
        <w:t>If we were required to reduce the royalty rates in our patent license agreements, our revenues, earnings and cash flows wou</w:t>
      </w:r>
      <w:r>
        <w:rPr>
          <w:rFonts w:eastAsia="Times New Roman"/>
          <w:color w:val="000000"/>
          <w:sz w:val="20"/>
          <w:szCs w:val="20"/>
        </w:rPr>
        <w:t>ld be negatively impacted absent a sufficient increase in the volume of sales of devices upon which royalties are paid. Similarly, if we were required to reduce the base on which our royalties are calculated, our revenues, results of operations and cash fl</w:t>
      </w:r>
      <w:r>
        <w:rPr>
          <w:rFonts w:eastAsia="Times New Roman"/>
          <w:color w:val="000000"/>
          <w:sz w:val="20"/>
          <w:szCs w:val="20"/>
        </w:rPr>
        <w:t xml:space="preserve">ows would be negatively impacted unless there was a sufficient increase in the volume of sales of devices upon which royalties are paid or we were able to increase our royalty rates to offset the decrease in revenues resulting from such lower royalty base </w:t>
      </w:r>
      <w:r>
        <w:rPr>
          <w:rFonts w:eastAsia="Times New Roman"/>
          <w:color w:val="000000"/>
          <w:sz w:val="20"/>
          <w:szCs w:val="20"/>
        </w:rPr>
        <w:t>(assuming the absolute royalty dollars were below any relevant royalty caps).</w:t>
      </w:r>
    </w:p>
    <w:p w:rsidR="00000000" w:rsidRDefault="000F0F8D">
      <w:pPr>
        <w:jc w:val="center"/>
        <w:divId w:val="39986498"/>
        <w:rPr>
          <w:rFonts w:eastAsia="Times New Roman"/>
        </w:rPr>
      </w:pPr>
      <w:r>
        <w:rPr>
          <w:rFonts w:eastAsia="Times New Roman"/>
          <w:color w:val="000000"/>
          <w:sz w:val="20"/>
          <w:szCs w:val="20"/>
        </w:rPr>
        <w:t>37</w:t>
      </w:r>
    </w:p>
    <w:p w:rsidR="00000000" w:rsidRDefault="000F0F8D">
      <w:pPr>
        <w:rPr>
          <w:rFonts w:eastAsia="Times New Roman"/>
        </w:rPr>
      </w:pPr>
      <w:r>
        <w:rPr>
          <w:rFonts w:eastAsia="Times New Roman"/>
        </w:rPr>
        <w:pict>
          <v:rect id="_x0000_i1060" style="width:0;height:1.5pt" o:hralign="center" o:hrstd="t" o:hr="t" fillcolor="#a0a0a0" stroked="f"/>
        </w:pict>
      </w:r>
    </w:p>
    <w:p w:rsidR="00000000" w:rsidRDefault="000F0F8D">
      <w:pPr>
        <w:divId w:val="1817334532"/>
        <w:rPr>
          <w:rFonts w:eastAsia="Times New Roman"/>
        </w:rPr>
      </w:pPr>
    </w:p>
    <w:p w:rsidR="00000000" w:rsidRDefault="000F0F8D">
      <w:pPr>
        <w:ind w:firstLine="360"/>
        <w:divId w:val="449209053"/>
        <w:rPr>
          <w:rFonts w:eastAsia="Times New Roman"/>
        </w:rPr>
      </w:pPr>
      <w:r>
        <w:rPr>
          <w:rFonts w:eastAsia="Times New Roman"/>
          <w:color w:val="000000"/>
          <w:sz w:val="20"/>
          <w:szCs w:val="20"/>
        </w:rPr>
        <w:t>If we were required to grant patent licenses to chipset manufacturers (which could lead to implementing a more complex, multi-level lice</w:t>
      </w:r>
      <w:r>
        <w:rPr>
          <w:rFonts w:eastAsia="Times New Roman"/>
          <w:color w:val="000000"/>
          <w:sz w:val="20"/>
          <w:szCs w:val="20"/>
        </w:rPr>
        <w:t>nsing structure in which we license certain portions of our patent portfolio to chipset manufacturers and other portions to OEMs), we would incur additional transaction costs, which may be significant, and we could incur delays in recognizing revenues unti</w:t>
      </w:r>
      <w:r>
        <w:rPr>
          <w:rFonts w:eastAsia="Times New Roman"/>
          <w:color w:val="000000"/>
          <w:sz w:val="20"/>
          <w:szCs w:val="20"/>
        </w:rPr>
        <w:t>l license negotiations were completed. In addition, our licensing revenues and earnings would be negatively impacted if we were not able to obtain, in the aggregate, equivalent revenues under such a multi-level licensing structure.</w:t>
      </w:r>
    </w:p>
    <w:p w:rsidR="00000000" w:rsidRDefault="000F0F8D">
      <w:pPr>
        <w:ind w:firstLine="360"/>
        <w:divId w:val="1493720041"/>
        <w:rPr>
          <w:rFonts w:eastAsia="Times New Roman"/>
        </w:rPr>
      </w:pPr>
      <w:r>
        <w:rPr>
          <w:rFonts w:eastAsia="Times New Roman"/>
          <w:color w:val="000000"/>
          <w:sz w:val="20"/>
          <w:szCs w:val="20"/>
        </w:rPr>
        <w:t>If we were required to s</w:t>
      </w:r>
      <w:r>
        <w:rPr>
          <w:rFonts w:eastAsia="Times New Roman"/>
          <w:color w:val="000000"/>
          <w:sz w:val="20"/>
          <w:szCs w:val="20"/>
        </w:rPr>
        <w:t xml:space="preserve">ell chipsets to OEMs that do not have a license to our patents, our licensing program could be negatively impacted by patent exhaustion claims raised by such unlicensed OEMs (i.e., claims that our sale of chipsets to such OEMs forecloses us from asserting </w:t>
      </w:r>
      <w:r>
        <w:rPr>
          <w:rFonts w:eastAsia="Times New Roman"/>
          <w:color w:val="000000"/>
          <w:sz w:val="20"/>
          <w:szCs w:val="20"/>
        </w:rPr>
        <w:t>any patents substantially embodied by the chipsets against such OEMs). Such sales would provide OEMs with a defense in the event we asserted our patents against them to obtain licensing revenue for those patents. This could have a material adverse effect o</w:t>
      </w:r>
      <w:r>
        <w:rPr>
          <w:rFonts w:eastAsia="Times New Roman"/>
          <w:color w:val="000000"/>
          <w:sz w:val="20"/>
          <w:szCs w:val="20"/>
        </w:rPr>
        <w:t>n our licensing program and our results of operations, cash flows and financial condition.</w:t>
      </w:r>
    </w:p>
    <w:p w:rsidR="00000000" w:rsidRDefault="000F0F8D">
      <w:pPr>
        <w:ind w:firstLine="360"/>
        <w:divId w:val="620264058"/>
        <w:rPr>
          <w:rFonts w:eastAsia="Times New Roman"/>
        </w:rPr>
      </w:pPr>
      <w:r>
        <w:rPr>
          <w:rFonts w:eastAsia="Times New Roman"/>
          <w:color w:val="000000"/>
          <w:sz w:val="20"/>
          <w:szCs w:val="20"/>
        </w:rPr>
        <w:t>To the extent that we were required to implement any of these new licensing and/or business practices, including by modifying or renegotiating our existing license a</w:t>
      </w:r>
      <w:r>
        <w:rPr>
          <w:rFonts w:eastAsia="Times New Roman"/>
          <w:color w:val="000000"/>
          <w:sz w:val="20"/>
          <w:szCs w:val="20"/>
        </w:rPr>
        <w:t>greements or pursuing other commercial arrangements, we would incur additional transaction costs, which may be significant, we could incur delays in recognizing revenues until license negotiations were completed, and our business, revenues, results of oper</w:t>
      </w:r>
      <w:r>
        <w:rPr>
          <w:rFonts w:eastAsia="Times New Roman"/>
          <w:color w:val="000000"/>
          <w:sz w:val="20"/>
          <w:szCs w:val="20"/>
        </w:rPr>
        <w:t>ations, cash flows and financial condition could be harmed. The impact of any such changes to our licensing practices could vary widely and by jurisdiction, depending on the specific outcomes and the geographic scope of such outcomes. In addition, if we we</w:t>
      </w:r>
      <w:r>
        <w:rPr>
          <w:rFonts w:eastAsia="Times New Roman"/>
          <w:color w:val="000000"/>
          <w:sz w:val="20"/>
          <w:szCs w:val="20"/>
        </w:rPr>
        <w:t>re required to make modifications to our licensing practices in one jurisdiction, licensees or governmental agencies in other jurisdictions may attempt to obtain similar outcomes for themselves or for such other jurisdictions, as applicable.</w:t>
      </w:r>
    </w:p>
    <w:p w:rsidR="00000000" w:rsidRDefault="000F0F8D">
      <w:pPr>
        <w:divId w:val="1050958861"/>
        <w:rPr>
          <w:rFonts w:eastAsia="Times New Roman"/>
        </w:rPr>
      </w:pPr>
      <w:r>
        <w:rPr>
          <w:rFonts w:eastAsia="Times New Roman"/>
          <w:b/>
          <w:bCs/>
          <w:i/>
          <w:iCs/>
          <w:color w:val="000000"/>
          <w:sz w:val="20"/>
          <w:szCs w:val="20"/>
        </w:rPr>
        <w:t xml:space="preserve">The continued </w:t>
      </w:r>
      <w:r>
        <w:rPr>
          <w:rFonts w:eastAsia="Times New Roman"/>
          <w:b/>
          <w:bCs/>
          <w:i/>
          <w:iCs/>
          <w:color w:val="000000"/>
          <w:sz w:val="20"/>
          <w:szCs w:val="20"/>
        </w:rPr>
        <w:t>and future success of our licensing programs requires us to continue to evolve our patent portfolio and to renew or renegotiate license agreements that are expiring.</w:t>
      </w:r>
    </w:p>
    <w:p w:rsidR="00000000" w:rsidRDefault="000F0F8D">
      <w:pPr>
        <w:ind w:firstLine="360"/>
        <w:divId w:val="170532993"/>
        <w:rPr>
          <w:rFonts w:eastAsia="Times New Roman"/>
        </w:rPr>
      </w:pPr>
      <w:r>
        <w:rPr>
          <w:rFonts w:eastAsia="Times New Roman"/>
          <w:color w:val="000000"/>
          <w:sz w:val="20"/>
          <w:szCs w:val="20"/>
        </w:rPr>
        <w:t>We own a very strong portfolio of issued and pending patents related to 3G, 4G, 5G and oth</w:t>
      </w:r>
      <w:r>
        <w:rPr>
          <w:rFonts w:eastAsia="Times New Roman"/>
          <w:color w:val="000000"/>
          <w:sz w:val="20"/>
          <w:szCs w:val="20"/>
        </w:rPr>
        <w:t xml:space="preserve">er technologies. It is critical that we continue to evolve our patent portfolio, particularly in 5G. If we do not maintain a strong portfolio that is applicable to current and future standards, products and services, our future licensing revenues could be </w:t>
      </w:r>
      <w:r>
        <w:rPr>
          <w:rFonts w:eastAsia="Times New Roman"/>
          <w:color w:val="000000"/>
          <w:sz w:val="20"/>
          <w:szCs w:val="20"/>
        </w:rPr>
        <w:t>negatively impacted.</w:t>
      </w:r>
    </w:p>
    <w:p w:rsidR="00000000" w:rsidRDefault="000F0F8D">
      <w:pPr>
        <w:ind w:firstLine="360"/>
        <w:divId w:val="2010937682"/>
        <w:rPr>
          <w:rFonts w:eastAsia="Times New Roman"/>
        </w:rPr>
      </w:pPr>
      <w:r>
        <w:rPr>
          <w:rFonts w:eastAsia="Times New Roman"/>
          <w:color w:val="000000"/>
          <w:sz w:val="20"/>
          <w:szCs w:val="20"/>
        </w:rPr>
        <w:t>Our patent license agreements in effect that constitute a significant portion of our licensing revenues are effective for a specified term. To receive royalties after the expiration date of the specified term, we will need to extend or</w:t>
      </w:r>
      <w:r>
        <w:rPr>
          <w:rFonts w:eastAsia="Times New Roman"/>
          <w:color w:val="000000"/>
          <w:sz w:val="20"/>
          <w:szCs w:val="20"/>
        </w:rPr>
        <w:t xml:space="preserve"> modify such license agreements or enter into new license agreements with such licensees. We might not be able to extend or modify license agreements, or enter into new license agreements, in the future without negatively affecting the material terms and c</w:t>
      </w:r>
      <w:r>
        <w:rPr>
          <w:rFonts w:eastAsia="Times New Roman"/>
          <w:color w:val="000000"/>
          <w:sz w:val="20"/>
          <w:szCs w:val="20"/>
        </w:rPr>
        <w:t>onditions of our license agreements with such licensees, and such modifications or new agreements may negatively impact our revenues. In some circumstances, we may extend, modify or enter into new license agreements as a result of arbitration or litigation</w:t>
      </w:r>
      <w:r>
        <w:rPr>
          <w:rFonts w:eastAsia="Times New Roman"/>
          <w:color w:val="000000"/>
          <w:sz w:val="20"/>
          <w:szCs w:val="20"/>
        </w:rPr>
        <w:t>, and terms imposed by arbitrators or courts may be less favorable to us than existing terms and may impact the financial or other terms of license agreements not subject to the litigation or arbitration. If there is a delay in extending, modifying or ente</w:t>
      </w:r>
      <w:r>
        <w:rPr>
          <w:rFonts w:eastAsia="Times New Roman"/>
          <w:color w:val="000000"/>
          <w:sz w:val="20"/>
          <w:szCs w:val="20"/>
        </w:rPr>
        <w:t>ring into a new license agreement with a licensee, there would be a delay in our ability to recognize revenues related to that licensee’s product sales. Further, if we are unable to reach agreement on such modifications or new agreements, it could result i</w:t>
      </w:r>
      <w:r>
        <w:rPr>
          <w:rFonts w:eastAsia="Times New Roman"/>
          <w:color w:val="000000"/>
          <w:sz w:val="20"/>
          <w:szCs w:val="20"/>
        </w:rPr>
        <w:t>n patent infringement litigation with such licensees.</w:t>
      </w:r>
    </w:p>
    <w:p w:rsidR="00000000" w:rsidRDefault="000F0F8D">
      <w:pPr>
        <w:divId w:val="1646734991"/>
        <w:rPr>
          <w:rFonts w:eastAsia="Times New Roman"/>
        </w:rPr>
      </w:pPr>
      <w:r>
        <w:rPr>
          <w:rFonts w:eastAsia="Times New Roman"/>
          <w:b/>
          <w:bCs/>
          <w:color w:val="000000"/>
          <w:sz w:val="20"/>
          <w:szCs w:val="20"/>
        </w:rPr>
        <w:t xml:space="preserve">RISKS RELATED TO REGULATORY AND LEGAL CHALLENGES </w:t>
      </w:r>
    </w:p>
    <w:p w:rsidR="00000000" w:rsidRDefault="000F0F8D">
      <w:pPr>
        <w:divId w:val="860778466"/>
        <w:rPr>
          <w:rFonts w:eastAsia="Times New Roman"/>
        </w:rPr>
      </w:pPr>
      <w:r>
        <w:rPr>
          <w:rFonts w:eastAsia="Times New Roman"/>
          <w:b/>
          <w:bCs/>
          <w:i/>
          <w:iCs/>
          <w:color w:val="000000"/>
          <w:sz w:val="20"/>
          <w:szCs w:val="20"/>
        </w:rPr>
        <w:t>Our business may suffer as a result of adverse rulings in government investigations or proceedings.</w:t>
      </w:r>
    </w:p>
    <w:p w:rsidR="00000000" w:rsidRDefault="000F0F8D">
      <w:pPr>
        <w:ind w:firstLine="360"/>
        <w:divId w:val="1625578773"/>
        <w:rPr>
          <w:rFonts w:eastAsia="Times New Roman"/>
        </w:rPr>
      </w:pPr>
      <w:r>
        <w:rPr>
          <w:rFonts w:eastAsia="Times New Roman"/>
          <w:color w:val="000000"/>
          <w:sz w:val="20"/>
          <w:szCs w:val="20"/>
        </w:rPr>
        <w:t>We have been in the past and are currently subject t</w:t>
      </w:r>
      <w:r>
        <w:rPr>
          <w:rFonts w:eastAsia="Times New Roman"/>
          <w:color w:val="000000"/>
          <w:sz w:val="20"/>
          <w:szCs w:val="20"/>
        </w:rPr>
        <w:t xml:space="preserve">o various governmental investigations and proceedings. Certain of these matters are described more fully in this Quarterly Report in “Notes to Condensed Consolidated Financial Statements, Note 5. Commitments and Contingencies.” Key allegations or findings </w:t>
      </w:r>
      <w:r>
        <w:rPr>
          <w:rFonts w:eastAsia="Times New Roman"/>
          <w:color w:val="000000"/>
          <w:sz w:val="20"/>
          <w:szCs w:val="20"/>
        </w:rPr>
        <w:t>in those matters include or have in the past included, among others, that we violate FRAND licensing commitments by refusing to grant licenses to chipset manufacturers; that our royalty rates are too high; that the base on which our royalties are calculate</w:t>
      </w:r>
      <w:r>
        <w:rPr>
          <w:rFonts w:eastAsia="Times New Roman"/>
          <w:color w:val="000000"/>
          <w:sz w:val="20"/>
          <w:szCs w:val="20"/>
        </w:rPr>
        <w:t>d should be something less than the wholesale (i.e., licensee’s) selling price of the applicable device (minus certain permitted deductions); that we unlawfully require customers to execute a patent license before we sell them cellular modem chipsets; that</w:t>
      </w:r>
      <w:r>
        <w:rPr>
          <w:rFonts w:eastAsia="Times New Roman"/>
          <w:color w:val="000000"/>
          <w:sz w:val="20"/>
          <w:szCs w:val="20"/>
        </w:rPr>
        <w:t xml:space="preserve"> we have entered into exclusive agreements with chipset customers that foreclose competition; that we leverage our position in baseband chipsets in the RFFE space; and that we violate antitrust laws and engage in anticompetitive conduct and unfair methods </w:t>
      </w:r>
      <w:r>
        <w:rPr>
          <w:rFonts w:eastAsia="Times New Roman"/>
          <w:color w:val="000000"/>
          <w:sz w:val="20"/>
          <w:szCs w:val="20"/>
        </w:rPr>
        <w:t xml:space="preserve">of competition. We may become subject to other litigation or governmental investigations or proceedings in the future. </w:t>
      </w:r>
    </w:p>
    <w:p w:rsidR="00000000" w:rsidRDefault="000F0F8D">
      <w:pPr>
        <w:ind w:firstLine="360"/>
        <w:divId w:val="287904693"/>
        <w:rPr>
          <w:rFonts w:eastAsia="Times New Roman"/>
        </w:rPr>
      </w:pPr>
      <w:r>
        <w:rPr>
          <w:rFonts w:eastAsia="Times New Roman"/>
          <w:color w:val="000000"/>
          <w:sz w:val="20"/>
          <w:szCs w:val="20"/>
        </w:rPr>
        <w:t>Unfavorable resolutions of one or more of these matters have had and could in the future have a material adverse effect on our business,</w:t>
      </w:r>
      <w:r>
        <w:rPr>
          <w:rFonts w:eastAsia="Times New Roman"/>
          <w:color w:val="000000"/>
          <w:sz w:val="20"/>
          <w:szCs w:val="20"/>
        </w:rPr>
        <w:t xml:space="preserve"> revenues, results of operations, cash flows and financial condition. Depending on the matter, various remedies that could result from an unfavorable resolution include, among others: the loss of our ability to enforce one or more of our patents; injunctio</w:t>
      </w:r>
      <w:r>
        <w:rPr>
          <w:rFonts w:eastAsia="Times New Roman"/>
          <w:color w:val="000000"/>
          <w:sz w:val="20"/>
          <w:szCs w:val="20"/>
        </w:rPr>
        <w:t xml:space="preserve">ns; monetary damages or fines or other orders to pay money; the issuance of orders to cease </w:t>
      </w:r>
    </w:p>
    <w:p w:rsidR="00000000" w:rsidRDefault="000F0F8D">
      <w:pPr>
        <w:jc w:val="center"/>
        <w:divId w:val="382406801"/>
        <w:rPr>
          <w:rFonts w:eastAsia="Times New Roman"/>
        </w:rPr>
      </w:pPr>
      <w:r>
        <w:rPr>
          <w:rFonts w:eastAsia="Times New Roman"/>
          <w:color w:val="000000"/>
          <w:sz w:val="20"/>
          <w:szCs w:val="20"/>
        </w:rPr>
        <w:t>38</w:t>
      </w:r>
    </w:p>
    <w:p w:rsidR="00000000" w:rsidRDefault="000F0F8D">
      <w:pPr>
        <w:rPr>
          <w:rFonts w:eastAsia="Times New Roman"/>
        </w:rPr>
      </w:pPr>
      <w:r>
        <w:rPr>
          <w:rFonts w:eastAsia="Times New Roman"/>
        </w:rPr>
        <w:pict>
          <v:rect id="_x0000_i1061" style="width:0;height:1.5pt" o:hralign="center" o:hrstd="t" o:hr="t" fillcolor="#a0a0a0" stroked="f"/>
        </w:pict>
      </w:r>
    </w:p>
    <w:p w:rsidR="00000000" w:rsidRDefault="000F0F8D">
      <w:pPr>
        <w:divId w:val="147325915"/>
        <w:rPr>
          <w:rFonts w:eastAsia="Times New Roman"/>
        </w:rPr>
      </w:pPr>
    </w:p>
    <w:p w:rsidR="00000000" w:rsidRDefault="000F0F8D">
      <w:pPr>
        <w:divId w:val="1664897175"/>
        <w:rPr>
          <w:rFonts w:eastAsia="Times New Roman"/>
        </w:rPr>
      </w:pPr>
      <w:r>
        <w:rPr>
          <w:rFonts w:eastAsia="Times New Roman"/>
          <w:color w:val="000000"/>
          <w:sz w:val="20"/>
          <w:szCs w:val="20"/>
        </w:rPr>
        <w:t>certain conduct or modify our business practices, such as requiring us to reduce our royalty rates, reduce the base on whi</w:t>
      </w:r>
      <w:r>
        <w:rPr>
          <w:rFonts w:eastAsia="Times New Roman"/>
          <w:color w:val="000000"/>
          <w:sz w:val="20"/>
          <w:szCs w:val="20"/>
        </w:rPr>
        <w:t>ch our royalties are calculated, grant patent licenses to chipset manufacturers, sell chipsets to unlicensed OEMs or modify or renegotiate some or all of our existing license agreements; and determinations that some or all of our license agreements are inv</w:t>
      </w:r>
      <w:r>
        <w:rPr>
          <w:rFonts w:eastAsia="Times New Roman"/>
          <w:color w:val="000000"/>
          <w:sz w:val="20"/>
          <w:szCs w:val="20"/>
        </w:rPr>
        <w:t>alid or unenforceable. If some or all of our license agreements are declared invalid or unenforceable and/or we are required to renegotiate these license agreements, we may not receive, or may not be able to recognize, some or any licensing or royalty reve</w:t>
      </w:r>
      <w:r>
        <w:rPr>
          <w:rFonts w:eastAsia="Times New Roman"/>
          <w:color w:val="000000"/>
          <w:sz w:val="20"/>
          <w:szCs w:val="20"/>
        </w:rPr>
        <w:t>nues under the impacted license agreements unless and until we enter into new license agreements; and even licensees whose license agreements are not impacted may demand to renegotiate their agreements or invoke the dispute resolution provision in their ag</w:t>
      </w:r>
      <w:r>
        <w:rPr>
          <w:rFonts w:eastAsia="Times New Roman"/>
          <w:color w:val="000000"/>
          <w:sz w:val="20"/>
          <w:szCs w:val="20"/>
        </w:rPr>
        <w:t>reements, and we may not be able to recognize some or any licensing or royalty revenues under such agreements. The renegotiation of license agreements could result in terms which are less favorable to us than existing terms, or lead to arbitration or litig</w:t>
      </w:r>
      <w:r>
        <w:rPr>
          <w:rFonts w:eastAsia="Times New Roman"/>
          <w:color w:val="000000"/>
          <w:sz w:val="20"/>
          <w:szCs w:val="20"/>
        </w:rPr>
        <w:t>ation to resolve the licensing terms, which could also be less favorable to us than existing terms, and each of which could take months or possibly years. Licensees may underreport, underpay, not report or not pay royalties owed to us pending the conclusio</w:t>
      </w:r>
      <w:r>
        <w:rPr>
          <w:rFonts w:eastAsia="Times New Roman"/>
          <w:color w:val="000000"/>
          <w:sz w:val="20"/>
          <w:szCs w:val="20"/>
        </w:rPr>
        <w:t>n of such negotiations, arbitration or litigation. In addition, we may be sued for alleged overpayments of past royalties paid to us, including private antitrust actions seeking treble damages under U.S. antitrust laws. The occurrence of any of the above c</w:t>
      </w:r>
      <w:r>
        <w:rPr>
          <w:rFonts w:eastAsia="Times New Roman"/>
          <w:color w:val="000000"/>
          <w:sz w:val="20"/>
          <w:szCs w:val="20"/>
        </w:rPr>
        <w:t>ould have a material adverse effect on our business, revenues, results of operations, cash flows and financial condition, and our stock price could decline, possibly significantly, in which case we may have to significantly cut costs and other uses of cash</w:t>
      </w:r>
      <w:r>
        <w:rPr>
          <w:rFonts w:eastAsia="Times New Roman"/>
          <w:color w:val="000000"/>
          <w:sz w:val="20"/>
          <w:szCs w:val="20"/>
        </w:rPr>
        <w:t xml:space="preserve">, including in research and development, significantly impairing our ability to maintain product and technology leadership and invest in next generation technologies such as 5G. Further, depending on the breadth and severity of the circumstances above, we </w:t>
      </w:r>
      <w:r>
        <w:rPr>
          <w:rFonts w:eastAsia="Times New Roman"/>
          <w:color w:val="000000"/>
          <w:sz w:val="20"/>
          <w:szCs w:val="20"/>
        </w:rPr>
        <w:t>may have to reduce, suspend or eliminate our capital return programs, and our ability to timely pay our indebtedness may be impacted. In addition, a governmental body in a particular country or region may successfully assert and impose remedies with effect</w:t>
      </w:r>
      <w:r>
        <w:rPr>
          <w:rFonts w:eastAsia="Times New Roman"/>
          <w:color w:val="000000"/>
          <w:sz w:val="20"/>
          <w:szCs w:val="20"/>
        </w:rPr>
        <w:t xml:space="preserve">s that extend beyond the borders of that country or region. </w:t>
      </w:r>
    </w:p>
    <w:p w:rsidR="00000000" w:rsidRDefault="000F0F8D">
      <w:pPr>
        <w:ind w:firstLine="360"/>
        <w:divId w:val="1254127680"/>
        <w:rPr>
          <w:rFonts w:eastAsia="Times New Roman"/>
        </w:rPr>
      </w:pPr>
      <w:r>
        <w:rPr>
          <w:rFonts w:eastAsia="Times New Roman"/>
          <w:color w:val="000000"/>
          <w:sz w:val="20"/>
          <w:szCs w:val="20"/>
        </w:rPr>
        <w:t>These challenges have required, and we expect that they will continue to require, the investment of significant management time and attention and have resulted, and we expect that they will conti</w:t>
      </w:r>
      <w:r>
        <w:rPr>
          <w:rFonts w:eastAsia="Times New Roman"/>
          <w:color w:val="000000"/>
          <w:sz w:val="20"/>
          <w:szCs w:val="20"/>
        </w:rPr>
        <w:t xml:space="preserve">nue to result, in significant legal costs until the respective matters are resolved. </w:t>
      </w:r>
    </w:p>
    <w:p w:rsidR="00000000" w:rsidRDefault="000F0F8D">
      <w:pPr>
        <w:divId w:val="1634403224"/>
        <w:rPr>
          <w:rFonts w:eastAsia="Times New Roman"/>
        </w:rPr>
      </w:pPr>
      <w:r>
        <w:rPr>
          <w:rFonts w:eastAsia="Times New Roman"/>
          <w:b/>
          <w:bCs/>
          <w:color w:val="000000"/>
          <w:sz w:val="20"/>
          <w:szCs w:val="20"/>
        </w:rPr>
        <w:t xml:space="preserve">RISKS RELATED TO SUPPLY AND MANUFACTURING </w:t>
      </w:r>
    </w:p>
    <w:p w:rsidR="00000000" w:rsidRDefault="000F0F8D">
      <w:pPr>
        <w:divId w:val="1946307494"/>
        <w:rPr>
          <w:rFonts w:eastAsia="Times New Roman"/>
        </w:rPr>
      </w:pPr>
      <w:r>
        <w:rPr>
          <w:rFonts w:eastAsia="Times New Roman"/>
          <w:b/>
          <w:bCs/>
          <w:i/>
          <w:iCs/>
          <w:color w:val="000000"/>
          <w:sz w:val="20"/>
          <w:szCs w:val="20"/>
        </w:rPr>
        <w:t>We depend on a limited number of third-party suppliers for the procurement, manufacture, assembly and testing of our products m</w:t>
      </w:r>
      <w:r>
        <w:rPr>
          <w:rFonts w:eastAsia="Times New Roman"/>
          <w:b/>
          <w:bCs/>
          <w:i/>
          <w:iCs/>
          <w:color w:val="000000"/>
          <w:sz w:val="20"/>
          <w:szCs w:val="20"/>
        </w:rPr>
        <w:t xml:space="preserve">anufactured in a fabless production model. If we fail to execute supply strategies that provide supply assurance, technology leadership and reasonable margins, our business and results of operations may be harmed. We are also subject to order and shipment </w:t>
      </w:r>
      <w:r>
        <w:rPr>
          <w:rFonts w:eastAsia="Times New Roman"/>
          <w:b/>
          <w:bCs/>
          <w:i/>
          <w:iCs/>
          <w:color w:val="000000"/>
          <w:sz w:val="20"/>
          <w:szCs w:val="20"/>
        </w:rPr>
        <w:t>uncertainties that could negatively impact our results of operations.</w:t>
      </w:r>
    </w:p>
    <w:p w:rsidR="00000000" w:rsidRDefault="000F0F8D">
      <w:pPr>
        <w:ind w:firstLine="360"/>
        <w:divId w:val="998271714"/>
        <w:rPr>
          <w:rFonts w:eastAsia="Times New Roman"/>
        </w:rPr>
      </w:pPr>
      <w:r>
        <w:rPr>
          <w:rFonts w:eastAsia="Times New Roman"/>
          <w:color w:val="000000"/>
          <w:sz w:val="20"/>
          <w:szCs w:val="20"/>
        </w:rPr>
        <w:t>We primarily utilize a fabless production model, which means that we do not own or operate foundries for the production of silicon wafers from which our integrated circuits are made. Oth</w:t>
      </w:r>
      <w:r>
        <w:rPr>
          <w:rFonts w:eastAsia="Times New Roman"/>
          <w:color w:val="000000"/>
          <w:sz w:val="20"/>
          <w:szCs w:val="20"/>
        </w:rPr>
        <w:t>er than the facilities we own that manufacture certain of our RFFE modules and RF (radio frequency) filter products, we rely on third-party suppliers to perform the manufacturing and assembly, and most of the testing, of our integrated circuits. Our suppli</w:t>
      </w:r>
      <w:r>
        <w:rPr>
          <w:rFonts w:eastAsia="Times New Roman"/>
          <w:color w:val="000000"/>
          <w:sz w:val="20"/>
          <w:szCs w:val="20"/>
        </w:rPr>
        <w:t>ers are also responsible for the procurement of most of the raw materials used in the production of our integrated circuits. There are a limited number of such third-party suppliers, and even fewer who are capable of manufacturing at the leading process te</w:t>
      </w:r>
      <w:r>
        <w:rPr>
          <w:rFonts w:eastAsia="Times New Roman"/>
          <w:color w:val="000000"/>
          <w:sz w:val="20"/>
          <w:szCs w:val="20"/>
        </w:rPr>
        <w:t>chnology nodes or who are willing to operate at older process technology nodes. We employ both turnkey and two-stage manufacturing models to purchase our integrated circuits. Under the turnkey model, our foundry suppliers are responsible for delivering ful</w:t>
      </w:r>
      <w:r>
        <w:rPr>
          <w:rFonts w:eastAsia="Times New Roman"/>
          <w:color w:val="000000"/>
          <w:sz w:val="20"/>
          <w:szCs w:val="20"/>
        </w:rPr>
        <w:t>ly assembled and tested integrated circuits. Under the two-stage manufacturing model, we purchase die in singular or wafer form from semiconductor manufacturing foundries and contract with separate third-party suppliers for manufacturing services such as w</w:t>
      </w:r>
      <w:r>
        <w:rPr>
          <w:rFonts w:eastAsia="Times New Roman"/>
          <w:color w:val="000000"/>
          <w:sz w:val="20"/>
          <w:szCs w:val="20"/>
        </w:rPr>
        <w:t>afer bump, probe, assembly and the majority of our final test requirements. The semiconductor manufacturing foundries that supply our products are primarily located in Asia, as are our primary warehouses where we store finished goods for fulfillment of cus</w:t>
      </w:r>
      <w:r>
        <w:rPr>
          <w:rFonts w:eastAsia="Times New Roman"/>
          <w:color w:val="000000"/>
          <w:sz w:val="20"/>
          <w:szCs w:val="20"/>
        </w:rPr>
        <w:t xml:space="preserve">tomer orders. </w:t>
      </w:r>
    </w:p>
    <w:p w:rsidR="00000000" w:rsidRDefault="000F0F8D">
      <w:pPr>
        <w:ind w:firstLine="360"/>
        <w:divId w:val="325209198"/>
        <w:rPr>
          <w:rFonts w:eastAsia="Times New Roman"/>
        </w:rPr>
      </w:pPr>
      <w:r>
        <w:rPr>
          <w:rFonts w:eastAsia="Times New Roman"/>
          <w:color w:val="000000"/>
          <w:sz w:val="20"/>
          <w:szCs w:val="20"/>
        </w:rPr>
        <w:t>The following issues related to our third-party suppliers could have an adverse effect on our ability to meet customer demand and negatively impact our revenues, business operations, profitability and cash flows:</w:t>
      </w:r>
    </w:p>
    <w:p w:rsidR="00000000" w:rsidRDefault="000F0F8D">
      <w:pPr>
        <w:ind w:hanging="360"/>
        <w:divId w:val="733234786"/>
        <w:rPr>
          <w:rFonts w:eastAsia="Times New Roman"/>
        </w:rPr>
      </w:pPr>
      <w:r>
        <w:rPr>
          <w:rFonts w:eastAsia="Times New Roman"/>
          <w:color w:val="000000"/>
          <w:sz w:val="20"/>
          <w:szCs w:val="20"/>
        </w:rPr>
        <w:t>•</w:t>
      </w:r>
      <w:r>
        <w:rPr>
          <w:rFonts w:eastAsia="Times New Roman"/>
          <w:color w:val="000000"/>
          <w:sz w:val="20"/>
          <w:szCs w:val="20"/>
        </w:rPr>
        <w:t>a reduction, interruption, delay or limitation in our product supply sources;</w:t>
      </w:r>
    </w:p>
    <w:p w:rsidR="00000000" w:rsidRDefault="000F0F8D">
      <w:pPr>
        <w:ind w:hanging="360"/>
        <w:divId w:val="932980970"/>
        <w:rPr>
          <w:rFonts w:eastAsia="Times New Roman"/>
        </w:rPr>
      </w:pPr>
      <w:r>
        <w:rPr>
          <w:rFonts w:eastAsia="Times New Roman"/>
          <w:color w:val="000000"/>
          <w:sz w:val="20"/>
          <w:szCs w:val="20"/>
        </w:rPr>
        <w:t>•a failure by our suppliers to procure raw materials or allocate adequate raw materials for our products;</w:t>
      </w:r>
    </w:p>
    <w:p w:rsidR="00000000" w:rsidRDefault="000F0F8D">
      <w:pPr>
        <w:ind w:hanging="360"/>
        <w:divId w:val="757864910"/>
        <w:rPr>
          <w:rFonts w:eastAsia="Times New Roman"/>
        </w:rPr>
      </w:pPr>
      <w:r>
        <w:rPr>
          <w:rFonts w:eastAsia="Times New Roman"/>
          <w:color w:val="000000"/>
          <w:sz w:val="20"/>
          <w:szCs w:val="20"/>
        </w:rPr>
        <w:t>•an inability to procure or utilize raw materials, components or product</w:t>
      </w:r>
      <w:r>
        <w:rPr>
          <w:rFonts w:eastAsia="Times New Roman"/>
          <w:color w:val="000000"/>
          <w:sz w:val="20"/>
          <w:szCs w:val="20"/>
        </w:rPr>
        <w:t>s from our suppliers due to government prohibitions or restrictions on transactions with certain countries and/or companies, and alternative suppliers, raw material sources or raw materials are not available or not available in acceptable time frames or up</w:t>
      </w:r>
      <w:r>
        <w:rPr>
          <w:rFonts w:eastAsia="Times New Roman"/>
          <w:color w:val="000000"/>
          <w:sz w:val="20"/>
          <w:szCs w:val="20"/>
        </w:rPr>
        <w:t>on acceptable terms;</w:t>
      </w:r>
    </w:p>
    <w:p w:rsidR="00000000" w:rsidRDefault="000F0F8D">
      <w:pPr>
        <w:ind w:hanging="360"/>
        <w:divId w:val="1945529624"/>
        <w:rPr>
          <w:rFonts w:eastAsia="Times New Roman"/>
        </w:rPr>
      </w:pPr>
      <w:r>
        <w:rPr>
          <w:rFonts w:eastAsia="Times New Roman"/>
          <w:color w:val="000000"/>
          <w:sz w:val="20"/>
          <w:szCs w:val="20"/>
        </w:rPr>
        <w:t>•a failure by our suppliers to allocate adequate manufacturing, assembly or test capacity for our products;</w:t>
      </w:r>
    </w:p>
    <w:p w:rsidR="00000000" w:rsidRDefault="000F0F8D">
      <w:pPr>
        <w:ind w:hanging="360"/>
        <w:divId w:val="1267732258"/>
        <w:rPr>
          <w:rFonts w:eastAsia="Times New Roman"/>
        </w:rPr>
      </w:pPr>
      <w:r>
        <w:rPr>
          <w:rFonts w:eastAsia="Times New Roman"/>
          <w:color w:val="000000"/>
          <w:sz w:val="20"/>
          <w:szCs w:val="20"/>
        </w:rPr>
        <w:t>•our suppliers’ inability to react to shifts in product demand or an increase in raw material or component prices;</w:t>
      </w:r>
    </w:p>
    <w:p w:rsidR="00000000" w:rsidRDefault="000F0F8D">
      <w:pPr>
        <w:jc w:val="center"/>
        <w:divId w:val="143207099"/>
        <w:rPr>
          <w:rFonts w:eastAsia="Times New Roman"/>
        </w:rPr>
      </w:pPr>
      <w:r>
        <w:rPr>
          <w:rFonts w:eastAsia="Times New Roman"/>
          <w:color w:val="000000"/>
          <w:sz w:val="20"/>
          <w:szCs w:val="20"/>
        </w:rPr>
        <w:t>39</w:t>
      </w:r>
    </w:p>
    <w:p w:rsidR="00000000" w:rsidRDefault="000F0F8D">
      <w:pPr>
        <w:rPr>
          <w:rFonts w:eastAsia="Times New Roman"/>
        </w:rPr>
      </w:pPr>
      <w:r>
        <w:rPr>
          <w:rFonts w:eastAsia="Times New Roman"/>
        </w:rPr>
        <w:pict>
          <v:rect id="_x0000_i1062" style="width:0;height:1.5pt" o:hralign="center" o:hrstd="t" o:hr="t" fillcolor="#a0a0a0" stroked="f"/>
        </w:pict>
      </w:r>
    </w:p>
    <w:p w:rsidR="00000000" w:rsidRDefault="000F0F8D">
      <w:pPr>
        <w:divId w:val="2057661944"/>
        <w:rPr>
          <w:rFonts w:eastAsia="Times New Roman"/>
        </w:rPr>
      </w:pPr>
    </w:p>
    <w:p w:rsidR="00000000" w:rsidRDefault="000F0F8D">
      <w:pPr>
        <w:ind w:hanging="360"/>
        <w:divId w:val="830565075"/>
        <w:rPr>
          <w:rFonts w:eastAsia="Times New Roman"/>
        </w:rPr>
      </w:pPr>
      <w:r>
        <w:rPr>
          <w:rFonts w:eastAsia="Times New Roman"/>
          <w:color w:val="000000"/>
          <w:sz w:val="20"/>
          <w:szCs w:val="20"/>
        </w:rPr>
        <w:t>•our suppliers’ inability to develop or maintain, or a delay in developing or building out manufacturing capacity for leading process technologies, including transitions to smaller geometry process technologies;</w:t>
      </w:r>
    </w:p>
    <w:p w:rsidR="00000000" w:rsidRDefault="000F0F8D">
      <w:pPr>
        <w:ind w:hanging="360"/>
        <w:divId w:val="1211259703"/>
        <w:rPr>
          <w:rFonts w:eastAsia="Times New Roman"/>
        </w:rPr>
      </w:pPr>
      <w:r>
        <w:rPr>
          <w:rFonts w:eastAsia="Times New Roman"/>
          <w:color w:val="000000"/>
          <w:sz w:val="20"/>
          <w:szCs w:val="20"/>
        </w:rPr>
        <w:t>•the loss of a</w:t>
      </w:r>
      <w:r>
        <w:rPr>
          <w:rFonts w:eastAsia="Times New Roman"/>
          <w:color w:val="000000"/>
          <w:sz w:val="20"/>
          <w:szCs w:val="20"/>
        </w:rPr>
        <w:t xml:space="preserve"> supplier or the inability of a supplier to meet performance, quality or yield specifications or delivery schedules; </w:t>
      </w:r>
    </w:p>
    <w:p w:rsidR="00000000" w:rsidRDefault="000F0F8D">
      <w:pPr>
        <w:ind w:hanging="360"/>
        <w:divId w:val="2121798022"/>
        <w:rPr>
          <w:rFonts w:eastAsia="Times New Roman"/>
        </w:rPr>
      </w:pPr>
      <w:r>
        <w:rPr>
          <w:rFonts w:eastAsia="Times New Roman"/>
          <w:color w:val="000000"/>
          <w:sz w:val="20"/>
          <w:szCs w:val="20"/>
        </w:rPr>
        <w:t>•additional expense or production delays as a result of qualifying a new supplier and commencing volume production or testing in the event</w:t>
      </w:r>
      <w:r>
        <w:rPr>
          <w:rFonts w:eastAsia="Times New Roman"/>
          <w:color w:val="000000"/>
          <w:sz w:val="20"/>
          <w:szCs w:val="20"/>
        </w:rPr>
        <w:t xml:space="preserve"> of a loss of, or a decision to add or change, a supplier;</w:t>
      </w:r>
    </w:p>
    <w:p w:rsidR="00000000" w:rsidRDefault="000F0F8D">
      <w:pPr>
        <w:ind w:hanging="360"/>
        <w:divId w:val="1389495321"/>
        <w:rPr>
          <w:rFonts w:eastAsia="Times New Roman"/>
        </w:rPr>
      </w:pPr>
      <w:r>
        <w:rPr>
          <w:rFonts w:eastAsia="Times New Roman"/>
          <w:color w:val="000000"/>
          <w:sz w:val="20"/>
          <w:szCs w:val="20"/>
        </w:rPr>
        <w:t xml:space="preserve">•natural disasters, the effects of climate change or geopolitical conflicts impacting our suppliers; </w:t>
      </w:r>
    </w:p>
    <w:p w:rsidR="00000000" w:rsidRDefault="000F0F8D">
      <w:pPr>
        <w:ind w:hanging="360"/>
        <w:divId w:val="1291014132"/>
        <w:rPr>
          <w:rFonts w:eastAsia="Times New Roman"/>
        </w:rPr>
      </w:pPr>
      <w:r>
        <w:rPr>
          <w:rFonts w:eastAsia="Times New Roman"/>
          <w:color w:val="000000"/>
          <w:sz w:val="20"/>
          <w:szCs w:val="20"/>
        </w:rPr>
        <w:t>•</w:t>
      </w:r>
      <w:r>
        <w:rPr>
          <w:rFonts w:eastAsia="Times New Roman"/>
          <w:color w:val="000000"/>
          <w:sz w:val="20"/>
          <w:szCs w:val="20"/>
        </w:rPr>
        <w:t>health crises, including epidemics or pandemics, such as the COVID-19 pandemic, and government and business responses thereto, which impact our suppliers, including as a result of quarantines or closure;</w:t>
      </w:r>
    </w:p>
    <w:p w:rsidR="00000000" w:rsidRDefault="000F0F8D">
      <w:pPr>
        <w:ind w:hanging="360"/>
        <w:divId w:val="1905093670"/>
        <w:rPr>
          <w:rFonts w:eastAsia="Times New Roman"/>
        </w:rPr>
      </w:pPr>
      <w:r>
        <w:rPr>
          <w:rFonts w:eastAsia="Times New Roman"/>
          <w:color w:val="000000"/>
          <w:sz w:val="20"/>
          <w:szCs w:val="20"/>
        </w:rPr>
        <w:t>•cyber-attacks on our suppliers’ information technol</w:t>
      </w:r>
      <w:r>
        <w:rPr>
          <w:rFonts w:eastAsia="Times New Roman"/>
          <w:color w:val="000000"/>
          <w:sz w:val="20"/>
          <w:szCs w:val="20"/>
        </w:rPr>
        <w:t>ogy (IT) systems, including those related to their manufacturing foundries or assembly, test or other facilities; and</w:t>
      </w:r>
    </w:p>
    <w:p w:rsidR="00000000" w:rsidRDefault="000F0F8D">
      <w:pPr>
        <w:ind w:hanging="360"/>
        <w:divId w:val="591552704"/>
        <w:rPr>
          <w:rFonts w:eastAsia="Times New Roman"/>
        </w:rPr>
      </w:pPr>
      <w:r>
        <w:rPr>
          <w:rFonts w:eastAsia="Times New Roman"/>
          <w:color w:val="000000"/>
          <w:sz w:val="20"/>
          <w:szCs w:val="20"/>
        </w:rPr>
        <w:t>•trade or national security protection policies, particularly U.S. or Chinese government policies, that limit or prevent us from transacti</w:t>
      </w:r>
      <w:r>
        <w:rPr>
          <w:rFonts w:eastAsia="Times New Roman"/>
          <w:color w:val="000000"/>
          <w:sz w:val="20"/>
          <w:szCs w:val="20"/>
        </w:rPr>
        <w:t>ng business with suppliers of critical integrated circuit products, or that limit or prevent such suppliers from transacting business with us or from procuring materials, machinery or technology necessary to manufacture goods for us.</w:t>
      </w:r>
    </w:p>
    <w:p w:rsidR="00000000" w:rsidRDefault="000F0F8D">
      <w:pPr>
        <w:ind w:firstLine="360"/>
        <w:divId w:val="1208567198"/>
        <w:rPr>
          <w:rFonts w:eastAsia="Times New Roman"/>
        </w:rPr>
      </w:pPr>
      <w:r>
        <w:rPr>
          <w:rFonts w:eastAsia="Times New Roman"/>
          <w:color w:val="000000"/>
          <w:sz w:val="20"/>
          <w:szCs w:val="20"/>
        </w:rPr>
        <w:t>While we have establis</w:t>
      </w:r>
      <w:r>
        <w:rPr>
          <w:rFonts w:eastAsia="Times New Roman"/>
          <w:color w:val="000000"/>
          <w:sz w:val="20"/>
          <w:szCs w:val="20"/>
        </w:rPr>
        <w:t xml:space="preserve">hed alternate suppliers for certain technologies, there are a limited number of such suppliers, and even fewer who are capable of operating at the leading process technology nodes or who are willing to operate at older process technology nodes. We rely on </w:t>
      </w:r>
      <w:r>
        <w:rPr>
          <w:rFonts w:eastAsia="Times New Roman"/>
          <w:color w:val="000000"/>
          <w:sz w:val="20"/>
          <w:szCs w:val="20"/>
        </w:rPr>
        <w:t>sole- or limited-source suppliers for certain products, which may exacerbate the risks identified above, and subject us to other significant risks, including poor product performance and reduced control over delivery schedules, manufacturing capability and</w:t>
      </w:r>
      <w:r>
        <w:rPr>
          <w:rFonts w:eastAsia="Times New Roman"/>
          <w:color w:val="000000"/>
          <w:sz w:val="20"/>
          <w:szCs w:val="20"/>
        </w:rPr>
        <w:t xml:space="preserve"> yields, quality assurance, quantity and costs. To the extent we have established or in the future establish alternate suppliers, these suppliers may require significant amounts of time and levels of support to bring such technologies to production, both o</w:t>
      </w:r>
      <w:r>
        <w:rPr>
          <w:rFonts w:eastAsia="Times New Roman"/>
          <w:color w:val="000000"/>
          <w:sz w:val="20"/>
          <w:szCs w:val="20"/>
        </w:rPr>
        <w:t>f which may increase for complex or leading process technologies. As a result, we may invest a significant amount of effort and resources and incur higher costs to support and maintain such alternate suppliers. Further, the elimination or limitation of a f</w:t>
      </w:r>
      <w:r>
        <w:rPr>
          <w:rFonts w:eastAsia="Times New Roman"/>
          <w:color w:val="000000"/>
          <w:sz w:val="20"/>
          <w:szCs w:val="20"/>
        </w:rPr>
        <w:t>oundry supplier’s ability to manufacture components or products for us due to trade or national security protection policies could increase our vulnerability to sole- or limited-source arrangements and limit or prevent us from procuring critical components</w:t>
      </w:r>
      <w:r>
        <w:rPr>
          <w:rFonts w:eastAsia="Times New Roman"/>
          <w:color w:val="000000"/>
          <w:sz w:val="20"/>
          <w:szCs w:val="20"/>
        </w:rPr>
        <w:t xml:space="preserve"> or products from those suppliers. Future consolidation of foundry suppliers could also increase our vulnerability to sole- or limited-source arrangements and reduce our suppliers’ willingness to negotiate pricing, which could negatively impact our ability</w:t>
      </w:r>
      <w:r>
        <w:rPr>
          <w:rFonts w:eastAsia="Times New Roman"/>
          <w:color w:val="000000"/>
          <w:sz w:val="20"/>
          <w:szCs w:val="20"/>
        </w:rPr>
        <w:t xml:space="preserve"> to achieve cost reductions, increase our manufacturing costs and limit the amount of capacity available to us. Our arrangements with our suppliers may obligate us to incur costs to manufacture, assemble and test our products that do not decrease at the sa</w:t>
      </w:r>
      <w:r>
        <w:rPr>
          <w:rFonts w:eastAsia="Times New Roman"/>
          <w:color w:val="000000"/>
          <w:sz w:val="20"/>
          <w:szCs w:val="20"/>
        </w:rPr>
        <w:t>me rate as decreases in pricing to our customers. Our ability, and that of our suppliers, to develop or maintain leading process technologies, including transitions to smaller geometry process technologies (which adds risk to manufacturing yields and relia</w:t>
      </w:r>
      <w:r>
        <w:rPr>
          <w:rFonts w:eastAsia="Times New Roman"/>
          <w:color w:val="000000"/>
          <w:sz w:val="20"/>
          <w:szCs w:val="20"/>
        </w:rPr>
        <w:t>bility), and to effectively compete with the manufacturing processes and performance of our competitors, could impact our ability to introduce new products and meet customer demand, could increase our costs (possibly decreasing our margins) and could subje</w:t>
      </w:r>
      <w:r>
        <w:rPr>
          <w:rFonts w:eastAsia="Times New Roman"/>
          <w:color w:val="000000"/>
          <w:sz w:val="20"/>
          <w:szCs w:val="20"/>
        </w:rPr>
        <w:t>ct us to the risk of excess inventories. Any of the above could negatively impact our business, results of operations and cash flows.</w:t>
      </w:r>
    </w:p>
    <w:p w:rsidR="00000000" w:rsidRDefault="000F0F8D">
      <w:pPr>
        <w:ind w:firstLine="360"/>
        <w:divId w:val="1395472120"/>
        <w:rPr>
          <w:rFonts w:eastAsia="Times New Roman"/>
        </w:rPr>
      </w:pPr>
      <w:r>
        <w:rPr>
          <w:rFonts w:eastAsia="Times New Roman"/>
          <w:color w:val="000000"/>
          <w:sz w:val="20"/>
          <w:szCs w:val="20"/>
        </w:rPr>
        <w:t>Although we have long-term contracts with our suppliers, some of these contracts do not provide for long-term capacity com</w:t>
      </w:r>
      <w:r>
        <w:rPr>
          <w:rFonts w:eastAsia="Times New Roman"/>
          <w:color w:val="000000"/>
          <w:sz w:val="20"/>
          <w:szCs w:val="20"/>
        </w:rPr>
        <w:t>mitments. To the extent we do not have firm commitments from our suppliers over a specific time period or for any specific quantity, our suppliers may allocate, and in the past have allocated, capacity to the manufacture, assembly and testing of products f</w:t>
      </w:r>
      <w:r>
        <w:rPr>
          <w:rFonts w:eastAsia="Times New Roman"/>
          <w:color w:val="000000"/>
          <w:sz w:val="20"/>
          <w:szCs w:val="20"/>
        </w:rPr>
        <w:t>or their other customers while reducing or limiting capacity to manufacture, assemble or test our products, and such capacity may be limited based on our suppliers’ ability and willingness to invest in the capital required to manufacture in the leading pro</w:t>
      </w:r>
      <w:r>
        <w:rPr>
          <w:rFonts w:eastAsia="Times New Roman"/>
          <w:color w:val="000000"/>
          <w:sz w:val="20"/>
          <w:szCs w:val="20"/>
        </w:rPr>
        <w:t>cess technologies. Accordingly, capacity for our products may not be available when we need it or at reasonable prices. To the extent we do obtain long-term capacity commitments, we may incur additional costs related to those commitments or make non-refund</w:t>
      </w:r>
      <w:r>
        <w:rPr>
          <w:rFonts w:eastAsia="Times New Roman"/>
          <w:color w:val="000000"/>
          <w:sz w:val="20"/>
          <w:szCs w:val="20"/>
        </w:rPr>
        <w:t>able payments for capacity commitments that are not used.</w:t>
      </w:r>
    </w:p>
    <w:p w:rsidR="00000000" w:rsidRDefault="000F0F8D">
      <w:pPr>
        <w:ind w:firstLine="360"/>
        <w:divId w:val="1329477970"/>
        <w:rPr>
          <w:rFonts w:eastAsia="Times New Roman"/>
        </w:rPr>
      </w:pPr>
      <w:r>
        <w:rPr>
          <w:rFonts w:eastAsia="Times New Roman"/>
          <w:color w:val="000000"/>
          <w:sz w:val="20"/>
          <w:szCs w:val="20"/>
        </w:rPr>
        <w:t>Our suppliers or potential alternate suppliers may manufacture integrated circuits, for themselves or for other companies, that compete with our products. Such suppliers have in the past and could a</w:t>
      </w:r>
      <w:r>
        <w:rPr>
          <w:rFonts w:eastAsia="Times New Roman"/>
          <w:color w:val="000000"/>
          <w:sz w:val="20"/>
          <w:szCs w:val="20"/>
        </w:rPr>
        <w:t>gain elect to allocate raw materials and manufacturing capacity to their own products or products of our competitors and reduce or limit the production of our products.</w:t>
      </w:r>
    </w:p>
    <w:p w:rsidR="00000000" w:rsidRDefault="000F0F8D">
      <w:pPr>
        <w:ind w:firstLine="360"/>
        <w:divId w:val="569116728"/>
        <w:rPr>
          <w:rFonts w:eastAsia="Times New Roman"/>
        </w:rPr>
      </w:pPr>
      <w:r>
        <w:rPr>
          <w:rFonts w:eastAsia="Times New Roman"/>
          <w:color w:val="000000"/>
          <w:sz w:val="20"/>
          <w:szCs w:val="20"/>
        </w:rPr>
        <w:t>In addition, we may not receive reasonable pricing, manufacturing or delivery terms fro</w:t>
      </w:r>
      <w:r>
        <w:rPr>
          <w:rFonts w:eastAsia="Times New Roman"/>
          <w:color w:val="000000"/>
          <w:sz w:val="20"/>
          <w:szCs w:val="20"/>
        </w:rPr>
        <w:t>m our suppliers, and our ability to obtain favorable terms may be diminished during times of high demand and/or limited manufacturing capacity for integrated circuit products. We cannot guarantee that the actions of our suppliers will not cause disruptions</w:t>
      </w:r>
      <w:r>
        <w:rPr>
          <w:rFonts w:eastAsia="Times New Roman"/>
          <w:color w:val="000000"/>
          <w:sz w:val="20"/>
          <w:szCs w:val="20"/>
        </w:rPr>
        <w:t xml:space="preserve"> in our operations </w:t>
      </w:r>
    </w:p>
    <w:p w:rsidR="00000000" w:rsidRDefault="000F0F8D">
      <w:pPr>
        <w:jc w:val="center"/>
        <w:divId w:val="1460611655"/>
        <w:rPr>
          <w:rFonts w:eastAsia="Times New Roman"/>
        </w:rPr>
      </w:pPr>
      <w:r>
        <w:rPr>
          <w:rFonts w:eastAsia="Times New Roman"/>
          <w:color w:val="000000"/>
          <w:sz w:val="20"/>
          <w:szCs w:val="20"/>
        </w:rPr>
        <w:t>40</w:t>
      </w:r>
    </w:p>
    <w:p w:rsidR="00000000" w:rsidRDefault="000F0F8D">
      <w:pPr>
        <w:rPr>
          <w:rFonts w:eastAsia="Times New Roman"/>
        </w:rPr>
      </w:pPr>
      <w:r>
        <w:rPr>
          <w:rFonts w:eastAsia="Times New Roman"/>
        </w:rPr>
        <w:pict>
          <v:rect id="_x0000_i1063" style="width:0;height:1.5pt" o:hralign="center" o:hrstd="t" o:hr="t" fillcolor="#a0a0a0" stroked="f"/>
        </w:pict>
      </w:r>
    </w:p>
    <w:p w:rsidR="00000000" w:rsidRDefault="000F0F8D">
      <w:pPr>
        <w:divId w:val="1354262314"/>
        <w:rPr>
          <w:rFonts w:eastAsia="Times New Roman"/>
        </w:rPr>
      </w:pPr>
    </w:p>
    <w:p w:rsidR="00000000" w:rsidRDefault="000F0F8D">
      <w:pPr>
        <w:divId w:val="526286500"/>
        <w:rPr>
          <w:rFonts w:eastAsia="Times New Roman"/>
        </w:rPr>
      </w:pPr>
      <w:r>
        <w:rPr>
          <w:rFonts w:eastAsia="Times New Roman"/>
          <w:color w:val="000000"/>
          <w:sz w:val="20"/>
          <w:szCs w:val="20"/>
        </w:rPr>
        <w:t>that could harm our ability to meet our delivery obligations to our customers or increase our cost of sales. To the extent we are unable to obtain adequate supply, we may be obligated to make pa</w:t>
      </w:r>
      <w:r>
        <w:rPr>
          <w:rFonts w:eastAsia="Times New Roman"/>
          <w:color w:val="000000"/>
          <w:sz w:val="20"/>
          <w:szCs w:val="20"/>
        </w:rPr>
        <w:t xml:space="preserve">yment to our customers for such shortfalls. </w:t>
      </w:r>
    </w:p>
    <w:p w:rsidR="00000000" w:rsidRDefault="000F0F8D">
      <w:pPr>
        <w:ind w:firstLine="360"/>
        <w:divId w:val="1986230319"/>
        <w:rPr>
          <w:rFonts w:eastAsia="Times New Roman"/>
        </w:rPr>
      </w:pPr>
      <w:r>
        <w:rPr>
          <w:rFonts w:eastAsia="Times New Roman"/>
          <w:color w:val="000000"/>
          <w:sz w:val="20"/>
          <w:szCs w:val="20"/>
        </w:rPr>
        <w:t>Additionally, we place orders with our suppliers using our and our customers’ forecasts of demand for our products, which are based on a number of assumptions and estimates. As we move to smaller geometry proces</w:t>
      </w:r>
      <w:r>
        <w:rPr>
          <w:rFonts w:eastAsia="Times New Roman"/>
          <w:color w:val="000000"/>
          <w:sz w:val="20"/>
          <w:szCs w:val="20"/>
        </w:rPr>
        <w:t>s technologies, the manufacturing lead-time increases. As a result, the orders we place with our suppliers are generally only partially covered by commitments from our customers. If we, or our customers, overestimate demand, or if demand is impacted by fac</w:t>
      </w:r>
      <w:r>
        <w:rPr>
          <w:rFonts w:eastAsia="Times New Roman"/>
          <w:color w:val="000000"/>
          <w:sz w:val="20"/>
          <w:szCs w:val="20"/>
        </w:rPr>
        <w:t xml:space="preserve">tors outside of our or our customers’ control, such as the COVID-19 pandemic, and such demand is not covered by a binding commitment from our customers, we may experience increased excess or obsolete inventory, which would negatively impact our results of </w:t>
      </w:r>
      <w:r>
        <w:rPr>
          <w:rFonts w:eastAsia="Times New Roman"/>
          <w:color w:val="000000"/>
          <w:sz w:val="20"/>
          <w:szCs w:val="20"/>
        </w:rPr>
        <w:t>operations.</w:t>
      </w:r>
    </w:p>
    <w:p w:rsidR="00000000" w:rsidRDefault="000F0F8D">
      <w:pPr>
        <w:ind w:firstLine="360"/>
        <w:divId w:val="1243687633"/>
        <w:rPr>
          <w:rFonts w:eastAsia="Times New Roman"/>
        </w:rPr>
      </w:pPr>
      <w:r>
        <w:rPr>
          <w:rFonts w:eastAsia="Times New Roman"/>
          <w:color w:val="000000"/>
          <w:sz w:val="20"/>
          <w:szCs w:val="20"/>
        </w:rPr>
        <w:t>Conversely, if we or our customers underestimate demand, or if demand increases significantly and/or rapidly, we have in the past been, currently are and may in the future be unable to obtain, on a timely basis or at all, the additional manufac</w:t>
      </w:r>
      <w:r>
        <w:rPr>
          <w:rFonts w:eastAsia="Times New Roman"/>
          <w:color w:val="000000"/>
          <w:sz w:val="20"/>
          <w:szCs w:val="20"/>
        </w:rPr>
        <w:t>turing, assembly and test capacity necessary to meet such demand, which could result in lost sales opportunities, reduced revenue growth and harm to our customer relationships. Currently, the global semiconductor industry is experiencing demand for integra</w:t>
      </w:r>
      <w:r>
        <w:rPr>
          <w:rFonts w:eastAsia="Times New Roman"/>
          <w:color w:val="000000"/>
          <w:sz w:val="20"/>
          <w:szCs w:val="20"/>
        </w:rPr>
        <w:t>ted circuits that exceeds the industry’s capacity to meet that demand.</w:t>
      </w:r>
    </w:p>
    <w:p w:rsidR="00000000" w:rsidRDefault="000F0F8D">
      <w:pPr>
        <w:ind w:firstLine="360"/>
        <w:divId w:val="910431500"/>
        <w:rPr>
          <w:rFonts w:eastAsia="Times New Roman"/>
        </w:rPr>
      </w:pPr>
      <w:r>
        <w:rPr>
          <w:rFonts w:eastAsia="Times New Roman"/>
          <w:color w:val="000000"/>
          <w:sz w:val="20"/>
          <w:szCs w:val="20"/>
        </w:rPr>
        <w:t xml:space="preserve">See also the Risk Factor below titled </w:t>
      </w:r>
      <w:r>
        <w:rPr>
          <w:rFonts w:eastAsia="Times New Roman"/>
          <w:i/>
          <w:iCs/>
          <w:color w:val="000000"/>
          <w:sz w:val="20"/>
          <w:szCs w:val="20"/>
        </w:rPr>
        <w:t>“There are numerous risks associated with the operation and control of our manufacturing facilities, including: a higher portion of fixed costs rel</w:t>
      </w:r>
      <w:r>
        <w:rPr>
          <w:rFonts w:eastAsia="Times New Roman"/>
          <w:i/>
          <w:iCs/>
          <w:color w:val="000000"/>
          <w:sz w:val="20"/>
          <w:szCs w:val="20"/>
        </w:rPr>
        <w:t xml:space="preserve">ative to a fabless model; environmental compliance and liability; impacts related to climate change; exposure to natural disasters, health crises and cyber-attacks; timely supply of equipment and materials; and various manufacturing issues” </w:t>
      </w:r>
      <w:r>
        <w:rPr>
          <w:rFonts w:eastAsia="Times New Roman"/>
          <w:color w:val="000000"/>
          <w:sz w:val="20"/>
          <w:szCs w:val="20"/>
        </w:rPr>
        <w:t xml:space="preserve">for additional </w:t>
      </w:r>
      <w:r>
        <w:rPr>
          <w:rFonts w:eastAsia="Times New Roman"/>
          <w:color w:val="000000"/>
          <w:sz w:val="20"/>
          <w:szCs w:val="20"/>
        </w:rPr>
        <w:t>risks that may also be applicable to our third-party suppliers’ manufacturing facilities, which could result in disruptions to our business or additional costs to us, and negatively impact our results of operations.</w:t>
      </w:r>
    </w:p>
    <w:p w:rsidR="00000000" w:rsidRDefault="000F0F8D">
      <w:pPr>
        <w:divId w:val="1859193746"/>
        <w:rPr>
          <w:rFonts w:eastAsia="Times New Roman"/>
        </w:rPr>
      </w:pPr>
      <w:r>
        <w:rPr>
          <w:rFonts w:eastAsia="Times New Roman"/>
          <w:b/>
          <w:bCs/>
          <w:i/>
          <w:iCs/>
          <w:color w:val="000000"/>
          <w:sz w:val="20"/>
          <w:szCs w:val="20"/>
        </w:rPr>
        <w:t>There are numerous risks associated with</w:t>
      </w:r>
      <w:r>
        <w:rPr>
          <w:rFonts w:eastAsia="Times New Roman"/>
          <w:b/>
          <w:bCs/>
          <w:i/>
          <w:iCs/>
          <w:color w:val="000000"/>
          <w:sz w:val="20"/>
          <w:szCs w:val="20"/>
        </w:rPr>
        <w:t xml:space="preserve"> the operation and control of our manufacturing facilities, including: a higher portion of fixed costs relative to a fabless model; environmental compliance and liability; impacts related to climate change; exposure to natural disasters, health crises and </w:t>
      </w:r>
      <w:r>
        <w:rPr>
          <w:rFonts w:eastAsia="Times New Roman"/>
          <w:b/>
          <w:bCs/>
          <w:i/>
          <w:iCs/>
          <w:color w:val="000000"/>
          <w:sz w:val="20"/>
          <w:szCs w:val="20"/>
        </w:rPr>
        <w:t>cyber-attacks; timely supply of equipment and materials; and various manufacturing issues.</w:t>
      </w:r>
    </w:p>
    <w:p w:rsidR="00000000" w:rsidRDefault="000F0F8D">
      <w:pPr>
        <w:ind w:firstLine="360"/>
        <w:divId w:val="1828814589"/>
        <w:rPr>
          <w:rFonts w:eastAsia="Times New Roman"/>
        </w:rPr>
      </w:pPr>
      <w:r>
        <w:rPr>
          <w:rFonts w:eastAsia="Times New Roman"/>
          <w:color w:val="000000"/>
          <w:sz w:val="20"/>
          <w:szCs w:val="20"/>
        </w:rPr>
        <w:t>We own and operate various facilities that manufacture certain of our RFFE modules and RF filter products. Manufacturing facilities are characterized by a higher portion of fixed costs relative to a fabless model. We may be faced with a decline in the util</w:t>
      </w:r>
      <w:r>
        <w:rPr>
          <w:rFonts w:eastAsia="Times New Roman"/>
          <w:color w:val="000000"/>
          <w:sz w:val="20"/>
          <w:szCs w:val="20"/>
        </w:rPr>
        <w:t>ization rates of our manufacturing facilities due to decreases in demand for our products, including in less favorable industry environments, or due to our failure to win and/or retain designs with OEMs. During such periods, our manufacturing facilities co</w:t>
      </w:r>
      <w:r>
        <w:rPr>
          <w:rFonts w:eastAsia="Times New Roman"/>
          <w:color w:val="000000"/>
          <w:sz w:val="20"/>
          <w:szCs w:val="20"/>
        </w:rPr>
        <w:t>uld operate at lower capacity levels, while the fixed costs associated with such facilities would continue to be incurred, resulting in lower gross profit.</w:t>
      </w:r>
    </w:p>
    <w:p w:rsidR="00000000" w:rsidRDefault="000F0F8D">
      <w:pPr>
        <w:ind w:firstLine="360"/>
        <w:divId w:val="1680040440"/>
        <w:rPr>
          <w:rFonts w:eastAsia="Times New Roman"/>
        </w:rPr>
      </w:pPr>
      <w:r>
        <w:rPr>
          <w:rFonts w:eastAsia="Times New Roman"/>
          <w:color w:val="000000"/>
          <w:sz w:val="20"/>
          <w:szCs w:val="20"/>
        </w:rPr>
        <w:t>We are subject to many environmental, health and safety laws and regulations in each jurisdiction in</w:t>
      </w:r>
      <w:r>
        <w:rPr>
          <w:rFonts w:eastAsia="Times New Roman"/>
          <w:color w:val="000000"/>
          <w:sz w:val="20"/>
          <w:szCs w:val="20"/>
        </w:rPr>
        <w:t xml:space="preserve"> which we operate our manufacturing facilities, which govern, among other things, emissions of pollutants into the air; wastewater discharges; the use, storage, generation, handling and disposal of hazardous substances and other waste; the investigation an</w:t>
      </w:r>
      <w:r>
        <w:rPr>
          <w:rFonts w:eastAsia="Times New Roman"/>
          <w:color w:val="000000"/>
          <w:sz w:val="20"/>
          <w:szCs w:val="20"/>
        </w:rPr>
        <w:t>d remediation of soil and ground water contamination; and the health and safety of our employees. Certain environmental laws impose strict, and in certain circumstances joint and several, liability on current or previous owners or operators of real propert</w:t>
      </w:r>
      <w:r>
        <w:rPr>
          <w:rFonts w:eastAsia="Times New Roman"/>
          <w:color w:val="000000"/>
          <w:sz w:val="20"/>
          <w:szCs w:val="20"/>
        </w:rPr>
        <w:t xml:space="preserve">y, or parties who arranged for hazardous substances to be sent to disposal or treatment facilities, for the cost of investigation, removal or remediation of hazardous substances. As a result, we may incur clean-up costs in connection with any such removal </w:t>
      </w:r>
      <w:r>
        <w:rPr>
          <w:rFonts w:eastAsia="Times New Roman"/>
          <w:color w:val="000000"/>
          <w:sz w:val="20"/>
          <w:szCs w:val="20"/>
        </w:rPr>
        <w:t>or remediation efforts, as well as other third-party claims in connection with contaminated sites. In addition, we could be held liable for consequences arising out of human exposure to hazardous substances or other environmental damage. If we, or companie</w:t>
      </w:r>
      <w:r>
        <w:rPr>
          <w:rFonts w:eastAsia="Times New Roman"/>
          <w:color w:val="000000"/>
          <w:sz w:val="20"/>
          <w:szCs w:val="20"/>
        </w:rPr>
        <w:t>s or facilities we acquire or have acquired, in the past failed or in the future fail to comply with any such laws and regulations, then we could incur liabilities, fines or prohibitions on the sale of products we manufacture, and our operations could be s</w:t>
      </w:r>
      <w:r>
        <w:rPr>
          <w:rFonts w:eastAsia="Times New Roman"/>
          <w:color w:val="000000"/>
          <w:sz w:val="20"/>
          <w:szCs w:val="20"/>
        </w:rPr>
        <w:t>uspended. Such laws and regulations could also restrict our ability to modify or expand our facilities, could require us to acquire costly equipment, or could require other significant expenditures. We are also required to obtain and maintain environmental</w:t>
      </w:r>
      <w:r>
        <w:rPr>
          <w:rFonts w:eastAsia="Times New Roman"/>
          <w:color w:val="000000"/>
          <w:sz w:val="20"/>
          <w:szCs w:val="20"/>
        </w:rPr>
        <w:t xml:space="preserve"> permits from governmental authorities for certain of our operations. While we have policies and procedures designed to ensure compliance with applicable laws, regulations and permits, we cannot make assurances that we, or our employees, contractors or age</w:t>
      </w:r>
      <w:r>
        <w:rPr>
          <w:rFonts w:eastAsia="Times New Roman"/>
          <w:color w:val="000000"/>
          <w:sz w:val="20"/>
          <w:szCs w:val="20"/>
        </w:rPr>
        <w:t>nts, will at all times be in compliance with such laws, regulations and permits, or our related policies and procedures.</w:t>
      </w:r>
    </w:p>
    <w:p w:rsidR="00000000" w:rsidRDefault="000F0F8D">
      <w:pPr>
        <w:ind w:firstLine="360"/>
        <w:divId w:val="502286278"/>
        <w:rPr>
          <w:rFonts w:eastAsia="Times New Roman"/>
        </w:rPr>
      </w:pPr>
      <w:r>
        <w:rPr>
          <w:rFonts w:eastAsia="Times New Roman"/>
          <w:color w:val="000000"/>
          <w:sz w:val="20"/>
          <w:szCs w:val="20"/>
        </w:rPr>
        <w:t>Climate change concerns and the potential resulting environmental impact may result in new environmental, health and safety laws and re</w:t>
      </w:r>
      <w:r>
        <w:rPr>
          <w:rFonts w:eastAsia="Times New Roman"/>
          <w:color w:val="000000"/>
          <w:sz w:val="20"/>
          <w:szCs w:val="20"/>
        </w:rPr>
        <w:t>gulations that may affect us, our suppliers and our customers. Such laws or regulations could cause us to incur additional direct costs for compliance, including costs associated with changes to manufacturing processes or the procurement of raw materials u</w:t>
      </w:r>
      <w:r>
        <w:rPr>
          <w:rFonts w:eastAsia="Times New Roman"/>
          <w:color w:val="000000"/>
          <w:sz w:val="20"/>
          <w:szCs w:val="20"/>
        </w:rPr>
        <w:t>sed in manufacturing processes, as well as increased indirect costs resulting from our customers, suppliers or both incurring additional compliance costs that are passed on to us. These costs may adversely impact our results of operations and financial con</w:t>
      </w:r>
      <w:r>
        <w:rPr>
          <w:rFonts w:eastAsia="Times New Roman"/>
          <w:color w:val="000000"/>
          <w:sz w:val="20"/>
          <w:szCs w:val="20"/>
        </w:rPr>
        <w:t xml:space="preserve">dition. In addition, climate change could cause certain natural disasters, such as </w:t>
      </w:r>
    </w:p>
    <w:p w:rsidR="00000000" w:rsidRDefault="000F0F8D">
      <w:pPr>
        <w:jc w:val="center"/>
        <w:divId w:val="158469973"/>
        <w:rPr>
          <w:rFonts w:eastAsia="Times New Roman"/>
        </w:rPr>
      </w:pPr>
      <w:r>
        <w:rPr>
          <w:rFonts w:eastAsia="Times New Roman"/>
          <w:color w:val="000000"/>
          <w:sz w:val="20"/>
          <w:szCs w:val="20"/>
        </w:rPr>
        <w:t>41</w:t>
      </w:r>
    </w:p>
    <w:p w:rsidR="00000000" w:rsidRDefault="000F0F8D">
      <w:pPr>
        <w:rPr>
          <w:rFonts w:eastAsia="Times New Roman"/>
        </w:rPr>
      </w:pPr>
      <w:r>
        <w:rPr>
          <w:rFonts w:eastAsia="Times New Roman"/>
        </w:rPr>
        <w:pict>
          <v:rect id="_x0000_i1064" style="width:0;height:1.5pt" o:hralign="center" o:hrstd="t" o:hr="t" fillcolor="#a0a0a0" stroked="f"/>
        </w:pict>
      </w:r>
    </w:p>
    <w:p w:rsidR="00000000" w:rsidRDefault="000F0F8D">
      <w:pPr>
        <w:divId w:val="2006743983"/>
        <w:rPr>
          <w:rFonts w:eastAsia="Times New Roman"/>
        </w:rPr>
      </w:pPr>
    </w:p>
    <w:p w:rsidR="00000000" w:rsidRDefault="000F0F8D">
      <w:pPr>
        <w:divId w:val="2076857424"/>
        <w:rPr>
          <w:rFonts w:eastAsia="Times New Roman"/>
        </w:rPr>
      </w:pPr>
      <w:r>
        <w:rPr>
          <w:rFonts w:eastAsia="Times New Roman"/>
          <w:color w:val="000000"/>
          <w:sz w:val="20"/>
          <w:szCs w:val="20"/>
        </w:rPr>
        <w:t>drought, wildfires, storms, flooding or rising sea levels, to occur more frequently or with greater intensity, which could pose ph</w:t>
      </w:r>
      <w:r>
        <w:rPr>
          <w:rFonts w:eastAsia="Times New Roman"/>
          <w:color w:val="000000"/>
          <w:sz w:val="20"/>
          <w:szCs w:val="20"/>
        </w:rPr>
        <w:t>ysical risks to our manufacturing facilities or our suppliers’ facilities, could disrupt the availability of water necessary for the operation of our manufacturing facilities or our suppliers’ facilities, and could increase or decrease temperatures resulti</w:t>
      </w:r>
      <w:r>
        <w:rPr>
          <w:rFonts w:eastAsia="Times New Roman"/>
          <w:color w:val="000000"/>
          <w:sz w:val="20"/>
          <w:szCs w:val="20"/>
        </w:rPr>
        <w:t>ng in increased operating costs and/or business disruption.</w:t>
      </w:r>
    </w:p>
    <w:p w:rsidR="00000000" w:rsidRDefault="000F0F8D">
      <w:pPr>
        <w:ind w:firstLine="360"/>
        <w:divId w:val="304892387"/>
        <w:rPr>
          <w:rFonts w:eastAsia="Times New Roman"/>
        </w:rPr>
      </w:pPr>
      <w:r>
        <w:rPr>
          <w:rFonts w:eastAsia="Times New Roman"/>
          <w:color w:val="000000"/>
          <w:sz w:val="20"/>
          <w:szCs w:val="20"/>
        </w:rPr>
        <w:t>We have manufacturing facilities in Asia and Europe. If tsunamis, flooding, earthquakes, volcanic eruptions, drought or other natural disasters, effects of climate change or geopolitical conflicts</w:t>
      </w:r>
      <w:r>
        <w:rPr>
          <w:rFonts w:eastAsia="Times New Roman"/>
          <w:color w:val="000000"/>
          <w:sz w:val="20"/>
          <w:szCs w:val="20"/>
        </w:rPr>
        <w:t>, were to damage, destroy or disrupt our manufacturing facilities, it could disrupt our operations, delay production and shipments of inventory and result in costly repairs, replacements or other costs. In addition, natural disasters, effects of climate ch</w:t>
      </w:r>
      <w:r>
        <w:rPr>
          <w:rFonts w:eastAsia="Times New Roman"/>
          <w:color w:val="000000"/>
          <w:sz w:val="20"/>
          <w:szCs w:val="20"/>
        </w:rPr>
        <w:t>ange or geopolitical conflicts may result in disruptions in transportation, distribution channels and supply chains, and significant increases in the prices of raw materials. Further, health crises, including epidemics or pandemics, such as the COVID-19 pa</w:t>
      </w:r>
      <w:r>
        <w:rPr>
          <w:rFonts w:eastAsia="Times New Roman"/>
          <w:color w:val="000000"/>
          <w:sz w:val="20"/>
          <w:szCs w:val="20"/>
        </w:rPr>
        <w:t>ndemic, and government and business responses thereto, could affect our manufacturing facilities, including by resulting in quarantines and/or closures, which would result in disruptions to and potential closures of our manufacturing operations. Our manufa</w:t>
      </w:r>
      <w:r>
        <w:rPr>
          <w:rFonts w:eastAsia="Times New Roman"/>
          <w:color w:val="000000"/>
          <w:sz w:val="20"/>
          <w:szCs w:val="20"/>
        </w:rPr>
        <w:t xml:space="preserve">cturing operations could also be disrupted by cyber-attacks on our IT systems, as described in the Risk Factor below titled </w:t>
      </w:r>
      <w:r>
        <w:rPr>
          <w:rFonts w:eastAsia="Times New Roman"/>
          <w:i/>
          <w:iCs/>
          <w:color w:val="000000"/>
          <w:sz w:val="20"/>
          <w:szCs w:val="20"/>
        </w:rPr>
        <w:t>“Our business and operations could suffer in the event of security breaches of our IT systems, or other misappropriation of our tech</w:t>
      </w:r>
      <w:r>
        <w:rPr>
          <w:rFonts w:eastAsia="Times New Roman"/>
          <w:i/>
          <w:iCs/>
          <w:color w:val="000000"/>
          <w:sz w:val="20"/>
          <w:szCs w:val="20"/>
        </w:rPr>
        <w:t>nology, intellectual property or other proprietary or confidential information.”</w:t>
      </w:r>
    </w:p>
    <w:p w:rsidR="00000000" w:rsidRDefault="000F0F8D">
      <w:pPr>
        <w:ind w:firstLine="360"/>
        <w:divId w:val="575750457"/>
        <w:rPr>
          <w:rFonts w:eastAsia="Times New Roman"/>
        </w:rPr>
      </w:pPr>
      <w:r>
        <w:rPr>
          <w:rFonts w:eastAsia="Times New Roman"/>
          <w:color w:val="000000"/>
          <w:sz w:val="20"/>
          <w:szCs w:val="20"/>
        </w:rPr>
        <w:t>Our manufacturing operations depend on securing raw materials and other supplies in adequate quality and quantity in a timely manner from multiple suppliers, and in some cases</w:t>
      </w:r>
      <w:r>
        <w:rPr>
          <w:rFonts w:eastAsia="Times New Roman"/>
          <w:color w:val="000000"/>
          <w:sz w:val="20"/>
          <w:szCs w:val="20"/>
        </w:rPr>
        <w:t xml:space="preserve">, we rely on a limited number of suppliers, including in some cases sole suppliers, particularly in Asia. There may be cases where supplies of raw materials and other products are interrupted by disaster, accident or some other event at a supplier; supply </w:t>
      </w:r>
      <w:r>
        <w:rPr>
          <w:rFonts w:eastAsia="Times New Roman"/>
          <w:color w:val="000000"/>
          <w:sz w:val="20"/>
          <w:szCs w:val="20"/>
        </w:rPr>
        <w:t>is suspended due to quality or other issues; there is a shortage of supply due to a rapid increase in demand; and/or we or our suppliers are prohibited from utilizing certain raw materials, or products or components that incorporate such raw materials, due</w:t>
      </w:r>
      <w:r>
        <w:rPr>
          <w:rFonts w:eastAsia="Times New Roman"/>
          <w:color w:val="000000"/>
          <w:sz w:val="20"/>
          <w:szCs w:val="20"/>
        </w:rPr>
        <w:t xml:space="preserve"> to government restrictions related to the countries from which such raw materials originate, and acceptable alternative suppliers, raw materials or raw materials sources are not available or not available in acceptable time frames or upon acceptable terms</w:t>
      </w:r>
      <w:r>
        <w:rPr>
          <w:rFonts w:eastAsia="Times New Roman"/>
          <w:color w:val="000000"/>
          <w:sz w:val="20"/>
          <w:szCs w:val="20"/>
        </w:rPr>
        <w:t>, among others, which could impact production and prevent us from supplying our products to our customers. If the supply-demand balance is disrupted, it may considerably increase costs of manufacturing due to increased prices we pay for raw materials. From</w:t>
      </w:r>
      <w:r>
        <w:rPr>
          <w:rFonts w:eastAsia="Times New Roman"/>
          <w:color w:val="000000"/>
          <w:sz w:val="20"/>
          <w:szCs w:val="20"/>
        </w:rPr>
        <w:t xml:space="preserve"> time to time, suppliers may extend lead times, limit amounts supplied to us or increase prices due to capacity constraints or other factors. Additionally, supply and costs of raw materials may be negatively impacted by trade and/or national security prote</w:t>
      </w:r>
      <w:r>
        <w:rPr>
          <w:rFonts w:eastAsia="Times New Roman"/>
          <w:color w:val="000000"/>
          <w:sz w:val="20"/>
          <w:szCs w:val="20"/>
        </w:rPr>
        <w:t xml:space="preserve">ction policies, such as tariffs, or actions by governments that limit or prevent us from transacting business with certain countries or companies or that limit or prevent certain companies from transacting business with us, or trade tensions, particularly </w:t>
      </w:r>
      <w:r>
        <w:rPr>
          <w:rFonts w:eastAsia="Times New Roman"/>
          <w:color w:val="000000"/>
          <w:sz w:val="20"/>
          <w:szCs w:val="20"/>
        </w:rPr>
        <w:t>with countries in Asia. Further, it may be difficult or impossible to substitute one piece of equipment for another or replace one type of material with another. A failure by our suppliers to deliver our requirements could result in disruptions to our manu</w:t>
      </w:r>
      <w:r>
        <w:rPr>
          <w:rFonts w:eastAsia="Times New Roman"/>
          <w:color w:val="000000"/>
          <w:sz w:val="20"/>
          <w:szCs w:val="20"/>
        </w:rPr>
        <w:t>facturing operations.</w:t>
      </w:r>
    </w:p>
    <w:p w:rsidR="00000000" w:rsidRDefault="000F0F8D">
      <w:pPr>
        <w:ind w:firstLine="360"/>
        <w:divId w:val="807866863"/>
        <w:rPr>
          <w:rFonts w:eastAsia="Times New Roman"/>
        </w:rPr>
      </w:pPr>
      <w:r>
        <w:rPr>
          <w:rFonts w:eastAsia="Times New Roman"/>
          <w:color w:val="000000"/>
          <w:sz w:val="20"/>
          <w:szCs w:val="20"/>
        </w:rPr>
        <w:t>Our manufacturing processes are highly complex, require advanced and costly equipment and must be continuously modified to improve yields and performance. Difficulties in the production process can reduce yields or interrupt productio</w:t>
      </w:r>
      <w:r>
        <w:rPr>
          <w:rFonts w:eastAsia="Times New Roman"/>
          <w:color w:val="000000"/>
          <w:sz w:val="20"/>
          <w:szCs w:val="20"/>
        </w:rPr>
        <w:t>n, and as a result, we may not be able to deliver our products or do so in a timely, cost-effective or competitive manner. Further, to remain competitive and meet customer demand, we may be required to improve our facilities and process technologies and ca</w:t>
      </w:r>
      <w:r>
        <w:rPr>
          <w:rFonts w:eastAsia="Times New Roman"/>
          <w:color w:val="000000"/>
          <w:sz w:val="20"/>
          <w:szCs w:val="20"/>
        </w:rPr>
        <w:t xml:space="preserve">rry out extensive research and development, each of which may require investment of significant amounts of capital and may have a material adverse effect on our results of operations, cash flows and financial condition. </w:t>
      </w:r>
    </w:p>
    <w:p w:rsidR="00000000" w:rsidRDefault="000F0F8D">
      <w:pPr>
        <w:ind w:firstLine="360"/>
        <w:divId w:val="2035032797"/>
        <w:rPr>
          <w:rFonts w:eastAsia="Times New Roman"/>
        </w:rPr>
      </w:pPr>
      <w:r>
        <w:rPr>
          <w:rFonts w:eastAsia="Times New Roman"/>
          <w:color w:val="000000"/>
          <w:sz w:val="20"/>
          <w:szCs w:val="20"/>
        </w:rPr>
        <w:t>Finally, we typically begin manufac</w:t>
      </w:r>
      <w:r>
        <w:rPr>
          <w:rFonts w:eastAsia="Times New Roman"/>
          <w:color w:val="000000"/>
          <w:sz w:val="20"/>
          <w:szCs w:val="20"/>
        </w:rPr>
        <w:t>turing our products using our or our customers’ forecasts of demand for our products, which are based on a number of assumptions and estimates and may not be covered by long-term purchase commitments. As a result, we incur inventory and manufacturing costs</w:t>
      </w:r>
      <w:r>
        <w:rPr>
          <w:rFonts w:eastAsia="Times New Roman"/>
          <w:color w:val="000000"/>
          <w:sz w:val="20"/>
          <w:szCs w:val="20"/>
        </w:rPr>
        <w:t xml:space="preserve"> in advance of anticipated sales, which sales ultimately may not materialize or may be lower than expected. If we or our customers overestimate demand, or if demand is impacted by factors outside of our or our customers’ control such as the COVID-19 pandem</w:t>
      </w:r>
      <w:r>
        <w:rPr>
          <w:rFonts w:eastAsia="Times New Roman"/>
          <w:color w:val="000000"/>
          <w:sz w:val="20"/>
          <w:szCs w:val="20"/>
        </w:rPr>
        <w:t>ic or trade or national security protection policies, that is not under a binding commitment from our customers, we may experience higher inventory carrying and operating costs and/or increased excess or obsolete inventory, which would negatively impact ou</w:t>
      </w:r>
      <w:r>
        <w:rPr>
          <w:rFonts w:eastAsia="Times New Roman"/>
          <w:color w:val="000000"/>
          <w:sz w:val="20"/>
          <w:szCs w:val="20"/>
        </w:rPr>
        <w:t xml:space="preserve">r results of operations. </w:t>
      </w:r>
    </w:p>
    <w:p w:rsidR="00000000" w:rsidRDefault="000F0F8D">
      <w:pPr>
        <w:divId w:val="282737061"/>
        <w:rPr>
          <w:rFonts w:eastAsia="Times New Roman"/>
        </w:rPr>
      </w:pPr>
      <w:r>
        <w:rPr>
          <w:rFonts w:eastAsia="Times New Roman"/>
          <w:b/>
          <w:bCs/>
          <w:color w:val="000000"/>
          <w:sz w:val="20"/>
          <w:szCs w:val="20"/>
        </w:rPr>
        <w:t xml:space="preserve">RISKS RELATED TO NEW AND ADJACENT INITIATIVES </w:t>
      </w:r>
    </w:p>
    <w:p w:rsidR="00000000" w:rsidRDefault="000F0F8D">
      <w:pPr>
        <w:divId w:val="8876216"/>
        <w:rPr>
          <w:rFonts w:eastAsia="Times New Roman"/>
        </w:rPr>
      </w:pPr>
      <w:r>
        <w:rPr>
          <w:rFonts w:eastAsia="Times New Roman"/>
          <w:b/>
          <w:bCs/>
          <w:i/>
          <w:iCs/>
          <w:color w:val="000000"/>
          <w:sz w:val="20"/>
          <w:szCs w:val="20"/>
        </w:rPr>
        <w:t>Our growth depends in part on our ability to extend our technologies and products into new and expanded product areas, and adjacent industry segments and applications beyond mobile. O</w:t>
      </w:r>
      <w:r>
        <w:rPr>
          <w:rFonts w:eastAsia="Times New Roman"/>
          <w:b/>
          <w:bCs/>
          <w:i/>
          <w:iCs/>
          <w:color w:val="000000"/>
          <w:sz w:val="20"/>
          <w:szCs w:val="20"/>
        </w:rPr>
        <w:t xml:space="preserve">ur research, development and other investments in these new and expanded product areas, industry segments and applications, and related technologies and products, as well as in our existing technologies and products, and new technologies, may not generate </w:t>
      </w:r>
      <w:r>
        <w:rPr>
          <w:rFonts w:eastAsia="Times New Roman"/>
          <w:b/>
          <w:bCs/>
          <w:i/>
          <w:iCs/>
          <w:color w:val="000000"/>
          <w:sz w:val="20"/>
          <w:szCs w:val="20"/>
        </w:rPr>
        <w:t>operating income or contribute to future results of operations that meet our expectations.</w:t>
      </w:r>
    </w:p>
    <w:p w:rsidR="00000000" w:rsidRDefault="000F0F8D">
      <w:pPr>
        <w:ind w:firstLine="360"/>
        <w:divId w:val="1737164650"/>
        <w:rPr>
          <w:rFonts w:eastAsia="Times New Roman"/>
        </w:rPr>
      </w:pPr>
      <w:r>
        <w:rPr>
          <w:rFonts w:eastAsia="Times New Roman"/>
          <w:color w:val="000000"/>
          <w:sz w:val="20"/>
          <w:szCs w:val="20"/>
        </w:rPr>
        <w:t>While we continue to invest significant resources toward advancements primarily in support of 4G- and 5G-based technologies, we also invest in new and expanded produ</w:t>
      </w:r>
      <w:r>
        <w:rPr>
          <w:rFonts w:eastAsia="Times New Roman"/>
          <w:color w:val="000000"/>
          <w:sz w:val="20"/>
          <w:szCs w:val="20"/>
        </w:rPr>
        <w:t>ct areas, and adjacent industry segments and applications, by utilizing our existing technical and business expertise and through acquisitions or other strategic transactions.</w:t>
      </w:r>
    </w:p>
    <w:p w:rsidR="00000000" w:rsidRDefault="000F0F8D">
      <w:pPr>
        <w:jc w:val="center"/>
        <w:divId w:val="99302977"/>
        <w:rPr>
          <w:rFonts w:eastAsia="Times New Roman"/>
        </w:rPr>
      </w:pPr>
      <w:r>
        <w:rPr>
          <w:rFonts w:eastAsia="Times New Roman"/>
          <w:color w:val="000000"/>
          <w:sz w:val="20"/>
          <w:szCs w:val="20"/>
        </w:rPr>
        <w:t>42</w:t>
      </w:r>
    </w:p>
    <w:p w:rsidR="00000000" w:rsidRDefault="000F0F8D">
      <w:pPr>
        <w:rPr>
          <w:rFonts w:eastAsia="Times New Roman"/>
        </w:rPr>
      </w:pPr>
      <w:r>
        <w:rPr>
          <w:rFonts w:eastAsia="Times New Roman"/>
        </w:rPr>
        <w:pict>
          <v:rect id="_x0000_i1065" style="width:0;height:1.5pt" o:hralign="center" o:hrstd="t" o:hr="t" fillcolor="#a0a0a0" stroked="f"/>
        </w:pict>
      </w:r>
    </w:p>
    <w:p w:rsidR="00000000" w:rsidRDefault="000F0F8D">
      <w:pPr>
        <w:divId w:val="1351950544"/>
        <w:rPr>
          <w:rFonts w:eastAsia="Times New Roman"/>
        </w:rPr>
      </w:pPr>
    </w:p>
    <w:p w:rsidR="00000000" w:rsidRDefault="000F0F8D">
      <w:pPr>
        <w:ind w:firstLine="360"/>
        <w:divId w:val="158929453"/>
        <w:rPr>
          <w:rFonts w:eastAsia="Times New Roman"/>
        </w:rPr>
      </w:pPr>
      <w:r>
        <w:rPr>
          <w:rFonts w:eastAsia="Times New Roman"/>
          <w:color w:val="000000"/>
          <w:sz w:val="20"/>
          <w:szCs w:val="20"/>
        </w:rPr>
        <w:t>In particular, our future growth depen</w:t>
      </w:r>
      <w:r>
        <w:rPr>
          <w:rFonts w:eastAsia="Times New Roman"/>
          <w:color w:val="000000"/>
          <w:sz w:val="20"/>
          <w:szCs w:val="20"/>
        </w:rPr>
        <w:t xml:space="preserve">ds in part on new and expanded product areas, such as RFFE, and adjacent industry segments and applications beyond mobile, such as automotive and IoT; our ability to develop leading and cost-effective technologies and products for new and expanded product </w:t>
      </w:r>
      <w:r>
        <w:rPr>
          <w:rFonts w:eastAsia="Times New Roman"/>
          <w:color w:val="000000"/>
          <w:sz w:val="20"/>
          <w:szCs w:val="20"/>
        </w:rPr>
        <w:t>areas, adjacent industry segments and applications; and third parties incorporating our technologies and products into devices used in these product areas, industry segments and applications. Accordingly, we intend to continue to make substantial investmen</w:t>
      </w:r>
      <w:r>
        <w:rPr>
          <w:rFonts w:eastAsia="Times New Roman"/>
          <w:color w:val="000000"/>
          <w:sz w:val="20"/>
          <w:szCs w:val="20"/>
        </w:rPr>
        <w:t>ts in these new and expanded product areas and adjacent industry segments and applications, and in developing new products and technologies for these product areas, industry segments and applications. Our growth also depends significantly on our ability to</w:t>
      </w:r>
      <w:r>
        <w:rPr>
          <w:rFonts w:eastAsia="Times New Roman"/>
          <w:color w:val="000000"/>
          <w:sz w:val="20"/>
          <w:szCs w:val="20"/>
        </w:rPr>
        <w:t xml:space="preserve"> develop and patent 5G technologies, and to develop and commercialize products using 5G technologies.</w:t>
      </w:r>
    </w:p>
    <w:p w:rsidR="00000000" w:rsidRDefault="000F0F8D">
      <w:pPr>
        <w:ind w:firstLine="360"/>
        <w:divId w:val="1482572956"/>
        <w:rPr>
          <w:rFonts w:eastAsia="Times New Roman"/>
        </w:rPr>
      </w:pPr>
      <w:r>
        <w:rPr>
          <w:rFonts w:eastAsia="Times New Roman"/>
          <w:color w:val="000000"/>
          <w:sz w:val="20"/>
          <w:szCs w:val="20"/>
        </w:rPr>
        <w:t>However, our research, development and other investments in these new and expanded product areas and adjacent industry segments and applications, and corr</w:t>
      </w:r>
      <w:r>
        <w:rPr>
          <w:rFonts w:eastAsia="Times New Roman"/>
          <w:color w:val="000000"/>
          <w:sz w:val="20"/>
          <w:szCs w:val="20"/>
        </w:rPr>
        <w:t>esponding technologies and products, as well as in our existing, technologies and products and new technologies, such as 5G, use of licensed, shared and unlicensed spectrum and convergence of cellular and Wi-Fi, may not succeed because, among other reasons</w:t>
      </w:r>
      <w:r>
        <w:rPr>
          <w:rFonts w:eastAsia="Times New Roman"/>
          <w:color w:val="000000"/>
          <w:sz w:val="20"/>
          <w:szCs w:val="20"/>
        </w:rPr>
        <w:t>: we may not be issued patents on the technologies we develop; the technologies we develop may not be incorporated into relevant standards; new and expanded product areas, adjacent industry segments and applications, and consumer demand therein, may not de</w:t>
      </w:r>
      <w:r>
        <w:rPr>
          <w:rFonts w:eastAsia="Times New Roman"/>
          <w:color w:val="000000"/>
          <w:sz w:val="20"/>
          <w:szCs w:val="20"/>
        </w:rPr>
        <w:t>velop or grow as anticipated; our strategies or the strategies of our customers, licensees or partners may not be successful; alternate technologies may be better or may reduce the advantages we anticipate from our investments; competitors’ technologies or</w:t>
      </w:r>
      <w:r>
        <w:rPr>
          <w:rFonts w:eastAsia="Times New Roman"/>
          <w:color w:val="000000"/>
          <w:sz w:val="20"/>
          <w:szCs w:val="20"/>
        </w:rPr>
        <w:t xml:space="preserve"> products may be more cost effective, have more capabilities or fewer limitations or be brought to market faster than our new technologies or products; we may not be able to develop, or our competitors may have more established and/or stronger, customer, v</w:t>
      </w:r>
      <w:r>
        <w:rPr>
          <w:rFonts w:eastAsia="Times New Roman"/>
          <w:color w:val="000000"/>
          <w:sz w:val="20"/>
          <w:szCs w:val="20"/>
        </w:rPr>
        <w:t>endor, distributor or other channel relationships; and competitors may have longer operating histories in industry segments and applications that are new to us. We may also underestimate the costs of or overestimate the future revenues or margins that coul</w:t>
      </w:r>
      <w:r>
        <w:rPr>
          <w:rFonts w:eastAsia="Times New Roman"/>
          <w:color w:val="000000"/>
          <w:sz w:val="20"/>
          <w:szCs w:val="20"/>
        </w:rPr>
        <w:t xml:space="preserve">d result from these investments, and these investments may not, or may take many years to, generate material returns. </w:t>
      </w:r>
    </w:p>
    <w:p w:rsidR="00000000" w:rsidRDefault="000F0F8D">
      <w:pPr>
        <w:ind w:firstLine="360"/>
        <w:divId w:val="617494008"/>
        <w:rPr>
          <w:rFonts w:eastAsia="Times New Roman"/>
        </w:rPr>
      </w:pPr>
      <w:r>
        <w:rPr>
          <w:rFonts w:eastAsia="Times New Roman"/>
          <w:color w:val="000000"/>
          <w:sz w:val="20"/>
          <w:szCs w:val="20"/>
        </w:rPr>
        <w:t>Further, the automotive industry is subject to long design-in time frames, long product life cycles and a high degree of regulatory and s</w:t>
      </w:r>
      <w:r>
        <w:rPr>
          <w:rFonts w:eastAsia="Times New Roman"/>
          <w:color w:val="000000"/>
          <w:sz w:val="20"/>
          <w:szCs w:val="20"/>
        </w:rPr>
        <w:t>afety requirements, necessitating suppliers to the industry to comply with stringent qualification processes, very low defect rates and high reliability standards, all of which results in significant barriers to entry and increased costs.</w:t>
      </w:r>
    </w:p>
    <w:p w:rsidR="00000000" w:rsidRDefault="000F0F8D">
      <w:pPr>
        <w:ind w:firstLine="360"/>
        <w:divId w:val="1053202"/>
        <w:rPr>
          <w:rFonts w:eastAsia="Times New Roman"/>
        </w:rPr>
      </w:pPr>
      <w:r>
        <w:rPr>
          <w:rFonts w:eastAsia="Times New Roman"/>
          <w:color w:val="000000"/>
          <w:sz w:val="20"/>
          <w:szCs w:val="20"/>
        </w:rPr>
        <w:t>If our new techno</w:t>
      </w:r>
      <w:r>
        <w:rPr>
          <w:rFonts w:eastAsia="Times New Roman"/>
          <w:color w:val="000000"/>
          <w:sz w:val="20"/>
          <w:szCs w:val="20"/>
        </w:rPr>
        <w:t xml:space="preserve">logies and products are not successful, or are not successful in the time frames we anticipate, we may incur significant costs and asset impairments, our business and revenues may not grow or grow as anticipated, our revenues and margins may be negatively </w:t>
      </w:r>
      <w:r>
        <w:rPr>
          <w:rFonts w:eastAsia="Times New Roman"/>
          <w:color w:val="000000"/>
          <w:sz w:val="20"/>
          <w:szCs w:val="20"/>
        </w:rPr>
        <w:t>impacted, our stock price may decline and our reputation may be harmed.</w:t>
      </w:r>
    </w:p>
    <w:p w:rsidR="00000000" w:rsidRDefault="000F0F8D">
      <w:pPr>
        <w:divId w:val="1365449891"/>
        <w:rPr>
          <w:rFonts w:eastAsia="Times New Roman"/>
        </w:rPr>
      </w:pPr>
      <w:r>
        <w:rPr>
          <w:rFonts w:eastAsia="Times New Roman"/>
          <w:b/>
          <w:bCs/>
          <w:i/>
          <w:iCs/>
          <w:color w:val="000000"/>
          <w:sz w:val="20"/>
          <w:szCs w:val="20"/>
        </w:rPr>
        <w:t>We may engage in strategic acquisitions and other transactions or make investments, or be unable to consummate planned strategic acquisitions, which could adversely affect our results of operations or fail to enhance stockholder value.</w:t>
      </w:r>
    </w:p>
    <w:p w:rsidR="00000000" w:rsidRDefault="000F0F8D">
      <w:pPr>
        <w:ind w:firstLine="360"/>
        <w:divId w:val="944069674"/>
        <w:rPr>
          <w:rFonts w:eastAsia="Times New Roman"/>
        </w:rPr>
      </w:pPr>
      <w:r>
        <w:rPr>
          <w:rFonts w:eastAsia="Times New Roman"/>
          <w:color w:val="000000"/>
          <w:sz w:val="20"/>
          <w:szCs w:val="20"/>
        </w:rPr>
        <w:t>We engage in strateg</w:t>
      </w:r>
      <w:r>
        <w:rPr>
          <w:rFonts w:eastAsia="Times New Roman"/>
          <w:color w:val="000000"/>
          <w:sz w:val="20"/>
          <w:szCs w:val="20"/>
        </w:rPr>
        <w:t xml:space="preserve">ic acquisitions and other transactions, including joint ventures, and make investments, which we believe are important to the future of our business, with the goal of maximizing stockholder value. From time to time, we acquire businesses and other assets, </w:t>
      </w:r>
      <w:r>
        <w:rPr>
          <w:rFonts w:eastAsia="Times New Roman"/>
          <w:color w:val="000000"/>
          <w:sz w:val="20"/>
          <w:szCs w:val="20"/>
        </w:rPr>
        <w:t>including patents, technology and other intangible assets, enter into joint ventures or other strategic transactions and purchase minority equity interests in or make loans to companies, including those that may be private and early-stage. Our strategic ac</w:t>
      </w:r>
      <w:r>
        <w:rPr>
          <w:rFonts w:eastAsia="Times New Roman"/>
          <w:color w:val="000000"/>
          <w:sz w:val="20"/>
          <w:szCs w:val="20"/>
        </w:rPr>
        <w:t>tivities are generally focused on opening or expanding opportunities for our products and technologies and supporting the design and introduction of new products (or enhancing existing products) for mobile, and for new industry segments and applications be</w:t>
      </w:r>
      <w:r>
        <w:rPr>
          <w:rFonts w:eastAsia="Times New Roman"/>
          <w:color w:val="000000"/>
          <w:sz w:val="20"/>
          <w:szCs w:val="20"/>
        </w:rPr>
        <w:t xml:space="preserve">yond mobile. Many of our strategic activities entail a high degree of risk and require the use of significant amounts of capital, and investments may not become liquid for several years after the date of the investment, if at all. Our strategic activities </w:t>
      </w:r>
      <w:r>
        <w:rPr>
          <w:rFonts w:eastAsia="Times New Roman"/>
          <w:color w:val="000000"/>
          <w:sz w:val="20"/>
          <w:szCs w:val="20"/>
        </w:rPr>
        <w:t xml:space="preserve">may not generate financial returns or result in increased adoption or continued use of our technologies or products. We may underestimate the costs or overestimate the benefits, including product, revenue, cost and other synergies and growth opportunities </w:t>
      </w:r>
      <w:r>
        <w:rPr>
          <w:rFonts w:eastAsia="Times New Roman"/>
          <w:color w:val="000000"/>
          <w:sz w:val="20"/>
          <w:szCs w:val="20"/>
        </w:rPr>
        <w:t>that we expect to realize, and we may not achieve those benefits. In some cases, we may be required to consolidate or record our share of the earnings or losses of companies in which we have acquired ownership interests. In addition, we have in the past an</w:t>
      </w:r>
      <w:r>
        <w:rPr>
          <w:rFonts w:eastAsia="Times New Roman"/>
          <w:color w:val="000000"/>
          <w:sz w:val="20"/>
          <w:szCs w:val="20"/>
        </w:rPr>
        <w:t>d may record impairment charges in the future related to our strategic activities. Any losses or impairment charges that we incur related to strategic activities will have a negative impact on our results of operations and financial condition, and we may c</w:t>
      </w:r>
      <w:r>
        <w:rPr>
          <w:rFonts w:eastAsia="Times New Roman"/>
          <w:color w:val="000000"/>
          <w:sz w:val="20"/>
          <w:szCs w:val="20"/>
        </w:rPr>
        <w:t>ontinue to incur new or additional losses related to strategic assets or investments that we have not fully impaired or exited.</w:t>
      </w:r>
    </w:p>
    <w:p w:rsidR="00000000" w:rsidRDefault="000F0F8D">
      <w:pPr>
        <w:ind w:firstLine="360"/>
        <w:divId w:val="1481075566"/>
        <w:rPr>
          <w:rFonts w:eastAsia="Times New Roman"/>
        </w:rPr>
      </w:pPr>
      <w:r>
        <w:rPr>
          <w:rFonts w:eastAsia="Times New Roman"/>
          <w:color w:val="000000"/>
          <w:sz w:val="20"/>
          <w:szCs w:val="20"/>
        </w:rPr>
        <w:t>Achieving the anticipated benefits of business acquisitions, including joint ventures and other strategic investments in which w</w:t>
      </w:r>
      <w:r>
        <w:rPr>
          <w:rFonts w:eastAsia="Times New Roman"/>
          <w:color w:val="000000"/>
          <w:sz w:val="20"/>
          <w:szCs w:val="20"/>
        </w:rPr>
        <w:t>e have management and operational control, depends in part upon our ability to integrate the businesses in an efficient and effective manner and achieve anticipated synergies, and we may not be successful in these efforts. Such integration is complex and t</w:t>
      </w:r>
      <w:r>
        <w:rPr>
          <w:rFonts w:eastAsia="Times New Roman"/>
          <w:color w:val="000000"/>
          <w:sz w:val="20"/>
          <w:szCs w:val="20"/>
        </w:rPr>
        <w:t xml:space="preserve">ime consuming and involves significant challenges, including, among others: retaining key employees; successfully integrating new employees, facilities, technology, products, processes, operations (including supply and manufacturing operations), sales and </w:t>
      </w:r>
      <w:r>
        <w:rPr>
          <w:rFonts w:eastAsia="Times New Roman"/>
          <w:color w:val="000000"/>
          <w:sz w:val="20"/>
          <w:szCs w:val="20"/>
        </w:rPr>
        <w:t>distribution channels, business models and business systems; retaining customers and suppliers of the businesses; consolidating research and development operations; minimizing the diversion of management’s attention from ongoing business matters; consolida</w:t>
      </w:r>
      <w:r>
        <w:rPr>
          <w:rFonts w:eastAsia="Times New Roman"/>
          <w:color w:val="000000"/>
          <w:sz w:val="20"/>
          <w:szCs w:val="20"/>
        </w:rPr>
        <w:t xml:space="preserve">ting corporate and administrative infrastructures; and managing the increased scale, complexity and globalization of our business, operations and employee base. We may not </w:t>
      </w:r>
    </w:p>
    <w:p w:rsidR="00000000" w:rsidRDefault="000F0F8D">
      <w:pPr>
        <w:jc w:val="center"/>
        <w:divId w:val="2093164105"/>
        <w:rPr>
          <w:rFonts w:eastAsia="Times New Roman"/>
        </w:rPr>
      </w:pPr>
      <w:r>
        <w:rPr>
          <w:rFonts w:eastAsia="Times New Roman"/>
          <w:color w:val="000000"/>
          <w:sz w:val="20"/>
          <w:szCs w:val="20"/>
        </w:rPr>
        <w:t>43</w:t>
      </w:r>
    </w:p>
    <w:p w:rsidR="00000000" w:rsidRDefault="000F0F8D">
      <w:pPr>
        <w:rPr>
          <w:rFonts w:eastAsia="Times New Roman"/>
        </w:rPr>
      </w:pPr>
      <w:r>
        <w:rPr>
          <w:rFonts w:eastAsia="Times New Roman"/>
        </w:rPr>
        <w:pict>
          <v:rect id="_x0000_i1066" style="width:0;height:1.5pt" o:hralign="center" o:hrstd="t" o:hr="t" fillcolor="#a0a0a0" stroked="f"/>
        </w:pict>
      </w:r>
    </w:p>
    <w:p w:rsidR="00000000" w:rsidRDefault="000F0F8D">
      <w:pPr>
        <w:divId w:val="1128861565"/>
        <w:rPr>
          <w:rFonts w:eastAsia="Times New Roman"/>
        </w:rPr>
      </w:pPr>
    </w:p>
    <w:p w:rsidR="00000000" w:rsidRDefault="000F0F8D">
      <w:pPr>
        <w:divId w:val="1053041833"/>
        <w:rPr>
          <w:rFonts w:eastAsia="Times New Roman"/>
        </w:rPr>
      </w:pPr>
      <w:r>
        <w:rPr>
          <w:rFonts w:eastAsia="Times New Roman"/>
          <w:color w:val="000000"/>
          <w:sz w:val="20"/>
          <w:szCs w:val="20"/>
        </w:rPr>
        <w:t>derive any commercial value from associate</w:t>
      </w:r>
      <w:r>
        <w:rPr>
          <w:rFonts w:eastAsia="Times New Roman"/>
          <w:color w:val="000000"/>
          <w:sz w:val="20"/>
          <w:szCs w:val="20"/>
        </w:rPr>
        <w:t>d technologies or products or from future technologies or products based on these technologies, and we may be subject to liabilities that are not covered by indemnification protection that we may obtain, and we may become subject to litigation. Additionall</w:t>
      </w:r>
      <w:r>
        <w:rPr>
          <w:rFonts w:eastAsia="Times New Roman"/>
          <w:color w:val="000000"/>
          <w:sz w:val="20"/>
          <w:szCs w:val="20"/>
        </w:rPr>
        <w:t>y, we may not be successful in entering or expanding into new sales or distribution channels, business or operational models, geographic regions, industry segments and applications served by or adjacent to the associated businesses or in addressing potenti</w:t>
      </w:r>
      <w:r>
        <w:rPr>
          <w:rFonts w:eastAsia="Times New Roman"/>
          <w:color w:val="000000"/>
          <w:sz w:val="20"/>
          <w:szCs w:val="20"/>
        </w:rPr>
        <w:t>al new opportunities that may arise out of our strategic acquisitions.</w:t>
      </w:r>
    </w:p>
    <w:p w:rsidR="00000000" w:rsidRDefault="000F0F8D">
      <w:pPr>
        <w:ind w:firstLine="360"/>
        <w:divId w:val="2080012929"/>
        <w:rPr>
          <w:rFonts w:eastAsia="Times New Roman"/>
        </w:rPr>
      </w:pPr>
      <w:r>
        <w:rPr>
          <w:rFonts w:eastAsia="Times New Roman"/>
          <w:color w:val="000000"/>
          <w:sz w:val="20"/>
          <w:szCs w:val="20"/>
        </w:rPr>
        <w:t>If we do not achieve the anticipated benefits of business acquisitions or other strategic activities, our business and results of operations may be adversely affected, and we may not enhance stockholder value by engaging in these transactions.</w:t>
      </w:r>
    </w:p>
    <w:p w:rsidR="00000000" w:rsidRDefault="000F0F8D">
      <w:pPr>
        <w:ind w:firstLine="360"/>
        <w:divId w:val="1278372988"/>
        <w:rPr>
          <w:rFonts w:eastAsia="Times New Roman"/>
        </w:rPr>
      </w:pPr>
      <w:r>
        <w:rPr>
          <w:rFonts w:eastAsia="Times New Roman"/>
          <w:color w:val="000000"/>
          <w:sz w:val="20"/>
          <w:szCs w:val="20"/>
        </w:rPr>
        <w:t xml:space="preserve">Many of our </w:t>
      </w:r>
      <w:r>
        <w:rPr>
          <w:rFonts w:eastAsia="Times New Roman"/>
          <w:color w:val="000000"/>
          <w:sz w:val="20"/>
          <w:szCs w:val="20"/>
        </w:rPr>
        <w:t>acquisitions and other strategic investments require approval by the United States and foreign government agencies. Certain agencies in the past have, and may in the future, deny the transaction or fail to approve in a timely manner, resulting in us not re</w:t>
      </w:r>
      <w:r>
        <w:rPr>
          <w:rFonts w:eastAsia="Times New Roman"/>
          <w:color w:val="000000"/>
          <w:sz w:val="20"/>
          <w:szCs w:val="20"/>
        </w:rPr>
        <w:t>alizing the anticipated benefits of the proposed transaction. Future acquisitions or other strategic investments may be more difficult, complex or expensive to the extent that our reputation for our ability to consummate acquisitions has been harmed. Furth</w:t>
      </w:r>
      <w:r>
        <w:rPr>
          <w:rFonts w:eastAsia="Times New Roman"/>
          <w:color w:val="000000"/>
          <w:sz w:val="20"/>
          <w:szCs w:val="20"/>
        </w:rPr>
        <w:t>er, if U.S./China relations remain strained, our ability to consummate any transaction that would require approval from the relevant regulatory agency(ies) in China may be severely impacted.</w:t>
      </w:r>
    </w:p>
    <w:p w:rsidR="00000000" w:rsidRDefault="000F0F8D">
      <w:pPr>
        <w:divId w:val="185363132"/>
        <w:rPr>
          <w:rFonts w:eastAsia="Times New Roman"/>
        </w:rPr>
      </w:pPr>
      <w:r>
        <w:rPr>
          <w:rFonts w:eastAsia="Times New Roman"/>
          <w:b/>
          <w:bCs/>
          <w:color w:val="000000"/>
          <w:sz w:val="20"/>
          <w:szCs w:val="20"/>
        </w:rPr>
        <w:t>RISKS RELATED TO CYBERSECURITY OR MISAPPROPRIATION OF OUR CRITICA</w:t>
      </w:r>
      <w:r>
        <w:rPr>
          <w:rFonts w:eastAsia="Times New Roman"/>
          <w:b/>
          <w:bCs/>
          <w:color w:val="000000"/>
          <w:sz w:val="20"/>
          <w:szCs w:val="20"/>
        </w:rPr>
        <w:t xml:space="preserve">L INFORMATION </w:t>
      </w:r>
    </w:p>
    <w:p w:rsidR="00000000" w:rsidRDefault="000F0F8D">
      <w:pPr>
        <w:divId w:val="1219559826"/>
        <w:rPr>
          <w:rFonts w:eastAsia="Times New Roman"/>
        </w:rPr>
      </w:pPr>
      <w:r>
        <w:rPr>
          <w:rFonts w:eastAsia="Times New Roman"/>
          <w:b/>
          <w:bCs/>
          <w:i/>
          <w:iCs/>
          <w:color w:val="000000"/>
          <w:sz w:val="20"/>
          <w:szCs w:val="20"/>
        </w:rPr>
        <w:t>Our business and operations could suffer in the event of security breaches of our IT systems, or other misappropriation of our technology, intellectual property or other proprietary or confidential information.</w:t>
      </w:r>
    </w:p>
    <w:p w:rsidR="00000000" w:rsidRDefault="000F0F8D">
      <w:pPr>
        <w:ind w:firstLine="360"/>
        <w:divId w:val="964235057"/>
        <w:rPr>
          <w:rFonts w:eastAsia="Times New Roman"/>
        </w:rPr>
      </w:pPr>
      <w:r>
        <w:rPr>
          <w:rFonts w:eastAsia="Times New Roman"/>
          <w:color w:val="000000"/>
          <w:sz w:val="20"/>
          <w:szCs w:val="20"/>
        </w:rPr>
        <w:t>Third parties regularly attemp</w:t>
      </w:r>
      <w:r>
        <w:rPr>
          <w:rFonts w:eastAsia="Times New Roman"/>
          <w:color w:val="000000"/>
          <w:sz w:val="20"/>
          <w:szCs w:val="20"/>
        </w:rPr>
        <w:t>t to gain unauthorized access to our IT systems, and many such attacks are increasingly more sophisticated. The perception that the COVID-19 pandemic has made companies’ IT systems more vulnerable has increased the already significant volume of such attack</w:t>
      </w:r>
      <w:r>
        <w:rPr>
          <w:rFonts w:eastAsia="Times New Roman"/>
          <w:color w:val="000000"/>
          <w:sz w:val="20"/>
          <w:szCs w:val="20"/>
        </w:rPr>
        <w:t>s. These attacks, which might be related to industrial, corporate or other espionage, criminal hackers or state-sponsored intrusions, include trying to covertly introduce malware to our computers and networks, including those in our manufacturing operation</w:t>
      </w:r>
      <w:r>
        <w:rPr>
          <w:rFonts w:eastAsia="Times New Roman"/>
          <w:color w:val="000000"/>
          <w:sz w:val="20"/>
          <w:szCs w:val="20"/>
        </w:rPr>
        <w:t>s, and impersonating authorized users, among others. We may also be subject to ransom-style cyber-attacks, which could impact our IT systems and cause widespread disruption to our business, including our manufacturing operations, and expose our confidentia</w:t>
      </w:r>
      <w:r>
        <w:rPr>
          <w:rFonts w:eastAsia="Times New Roman"/>
          <w:color w:val="000000"/>
          <w:sz w:val="20"/>
          <w:szCs w:val="20"/>
        </w:rPr>
        <w:t>l or propriety information. Third parties that store and/or process our confidential information, or that provide products, software or services used in our IT infrastructure (including applications), may be subject to similar attacks, which could also res</w:t>
      </w:r>
      <w:r>
        <w:rPr>
          <w:rFonts w:eastAsia="Times New Roman"/>
          <w:color w:val="000000"/>
          <w:sz w:val="20"/>
          <w:szCs w:val="20"/>
        </w:rPr>
        <w:t>ult in malware being introduced into our IT infrastructure, e.g., through the third parties’ software updates. Such attacks could result in the misappropriation, theft, misuse, disclosure, loss or destruction of the technology, intellectual property, or th</w:t>
      </w:r>
      <w:r>
        <w:rPr>
          <w:rFonts w:eastAsia="Times New Roman"/>
          <w:color w:val="000000"/>
          <w:sz w:val="20"/>
          <w:szCs w:val="20"/>
        </w:rPr>
        <w:t>e proprietary, confidential or personal information, of us or our employees, customers, licensees, suppliers or other third parties, as well as damage to or disruptions in our IT systems. We believe that we have a robust cybersecurity program that is align</w:t>
      </w:r>
      <w:r>
        <w:rPr>
          <w:rFonts w:eastAsia="Times New Roman"/>
          <w:color w:val="000000"/>
          <w:sz w:val="20"/>
          <w:szCs w:val="20"/>
        </w:rPr>
        <w:t>ed to international cybersecurity frameworks, and that we leverage industry best practices across people, processes and technologies in an attempt to mitigate cybersecurity threats. However, we may not be able to anticipate, detect, repel or implement effe</w:t>
      </w:r>
      <w:r>
        <w:rPr>
          <w:rFonts w:eastAsia="Times New Roman"/>
          <w:color w:val="000000"/>
          <w:sz w:val="20"/>
          <w:szCs w:val="20"/>
        </w:rPr>
        <w:t>ctive preventative measures against all cybersecurity threats, particularly because the techniques used are increasingly sophisticated and constantly evolving. Attempts to gain unauthorized access to our IT systems or other attacks have in the past, in cer</w:t>
      </w:r>
      <w:r>
        <w:rPr>
          <w:rFonts w:eastAsia="Times New Roman"/>
          <w:color w:val="000000"/>
          <w:sz w:val="20"/>
          <w:szCs w:val="20"/>
        </w:rPr>
        <w:t xml:space="preserve">tain instances and to certain degrees, been successful (but have not caused significant harm), and may in the future be successful, and in some cases, we might be unaware of an incident or its magnitude and effects. </w:t>
      </w:r>
    </w:p>
    <w:p w:rsidR="00000000" w:rsidRDefault="000F0F8D">
      <w:pPr>
        <w:ind w:firstLine="360"/>
        <w:divId w:val="1310399519"/>
        <w:rPr>
          <w:rFonts w:eastAsia="Times New Roman"/>
        </w:rPr>
      </w:pPr>
      <w:r>
        <w:rPr>
          <w:rFonts w:eastAsia="Times New Roman"/>
          <w:color w:val="000000"/>
          <w:sz w:val="20"/>
          <w:szCs w:val="20"/>
        </w:rPr>
        <w:t>In addition, employees and former emplo</w:t>
      </w:r>
      <w:r>
        <w:rPr>
          <w:rFonts w:eastAsia="Times New Roman"/>
          <w:color w:val="000000"/>
          <w:sz w:val="20"/>
          <w:szCs w:val="20"/>
        </w:rPr>
        <w:t>yees, in particular former employees who become employees of our competitors, customers, licensees or other third parties, including state actors, have in the past and may in the future misappropriate, use, publish or provide to our competitors, customers,</w:t>
      </w:r>
      <w:r>
        <w:rPr>
          <w:rFonts w:eastAsia="Times New Roman"/>
          <w:color w:val="000000"/>
          <w:sz w:val="20"/>
          <w:szCs w:val="20"/>
        </w:rPr>
        <w:t xml:space="preserve"> licensees or other third parties, including state actors, our technology, intellectual property or other proprietary or confidential information. This risk is exacerbated as competitors for talent, particularly engineering talent, increasingly attempt to </w:t>
      </w:r>
      <w:r>
        <w:rPr>
          <w:rFonts w:eastAsia="Times New Roman"/>
          <w:color w:val="000000"/>
          <w:sz w:val="20"/>
          <w:szCs w:val="20"/>
        </w:rPr>
        <w:t xml:space="preserve">hire our employees. See also the Risk Factor titled </w:t>
      </w:r>
      <w:r>
        <w:rPr>
          <w:rFonts w:eastAsia="Times New Roman"/>
          <w:i/>
          <w:iCs/>
          <w:color w:val="000000"/>
          <w:sz w:val="20"/>
          <w:szCs w:val="20"/>
        </w:rPr>
        <w:t>“We may not be able to attract and retain qualified employees.”</w:t>
      </w:r>
      <w:r>
        <w:rPr>
          <w:rFonts w:eastAsia="Times New Roman"/>
          <w:color w:val="000000"/>
          <w:sz w:val="20"/>
          <w:szCs w:val="20"/>
        </w:rPr>
        <w:t xml:space="preserve"> Similarly, we provide access to certain of our technology, intellectual property and other proprietary or confidential information to our di</w:t>
      </w:r>
      <w:r>
        <w:rPr>
          <w:rFonts w:eastAsia="Times New Roman"/>
          <w:color w:val="000000"/>
          <w:sz w:val="20"/>
          <w:szCs w:val="20"/>
        </w:rPr>
        <w:t>rect and indirect customers and licensees and certain of our consultants, who have in the past and may in the future wrongfully use such technology, intellectual property or information, or wrongfully disclose such technology, intellectual property or info</w:t>
      </w:r>
      <w:r>
        <w:rPr>
          <w:rFonts w:eastAsia="Times New Roman"/>
          <w:color w:val="000000"/>
          <w:sz w:val="20"/>
          <w:szCs w:val="20"/>
        </w:rPr>
        <w:t>rmation to third parties, including our competitors or state actors. We also provide access to certain of our technology, intellectual property and other proprietary or confidential information to certain of our joint venture partners, including those affi</w:t>
      </w:r>
      <w:r>
        <w:rPr>
          <w:rFonts w:eastAsia="Times New Roman"/>
          <w:color w:val="000000"/>
          <w:sz w:val="20"/>
          <w:szCs w:val="20"/>
        </w:rPr>
        <w:t>liated with state actors and including in foreign jurisdictions where ownership restrictions may require us to take a minority ownership interest in the joint venture. Such joint venture partners may wrongfully use such technology, intellectual property or</w:t>
      </w:r>
      <w:r>
        <w:rPr>
          <w:rFonts w:eastAsia="Times New Roman"/>
          <w:color w:val="000000"/>
          <w:sz w:val="20"/>
          <w:szCs w:val="20"/>
        </w:rPr>
        <w:t xml:space="preserve"> information, or wrongfully disclose such technology, intellectual property or information to third parties, including our competitors or state actors.</w:t>
      </w:r>
    </w:p>
    <w:p w:rsidR="00000000" w:rsidRDefault="000F0F8D">
      <w:pPr>
        <w:ind w:firstLine="360"/>
        <w:divId w:val="1837650080"/>
        <w:rPr>
          <w:rFonts w:eastAsia="Times New Roman"/>
        </w:rPr>
      </w:pPr>
      <w:r>
        <w:rPr>
          <w:rFonts w:eastAsia="Times New Roman"/>
          <w:color w:val="000000"/>
          <w:sz w:val="20"/>
          <w:szCs w:val="20"/>
        </w:rPr>
        <w:t>The misappropriation, theft, misuse, disclosure, loss or destruction of the technology, intellectual pro</w:t>
      </w:r>
      <w:r>
        <w:rPr>
          <w:rFonts w:eastAsia="Times New Roman"/>
          <w:color w:val="000000"/>
          <w:sz w:val="20"/>
          <w:szCs w:val="20"/>
        </w:rPr>
        <w:t xml:space="preserve">perty, or the proprietary, confidential or personal information, of us or our employees, customers, licensees, suppliers or other third parties, could harm our competitive position, reduce the value of our investment in research and development and other </w:t>
      </w:r>
    </w:p>
    <w:p w:rsidR="00000000" w:rsidRDefault="000F0F8D">
      <w:pPr>
        <w:jc w:val="center"/>
        <w:divId w:val="424419815"/>
        <w:rPr>
          <w:rFonts w:eastAsia="Times New Roman"/>
        </w:rPr>
      </w:pPr>
      <w:r>
        <w:rPr>
          <w:rFonts w:eastAsia="Times New Roman"/>
          <w:color w:val="000000"/>
          <w:sz w:val="20"/>
          <w:szCs w:val="20"/>
        </w:rPr>
        <w:t>44</w:t>
      </w:r>
    </w:p>
    <w:p w:rsidR="00000000" w:rsidRDefault="000F0F8D">
      <w:pPr>
        <w:rPr>
          <w:rFonts w:eastAsia="Times New Roman"/>
        </w:rPr>
      </w:pPr>
      <w:r>
        <w:rPr>
          <w:rFonts w:eastAsia="Times New Roman"/>
        </w:rPr>
        <w:pict>
          <v:rect id="_x0000_i1067" style="width:0;height:1.5pt" o:hralign="center" o:hrstd="t" o:hr="t" fillcolor="#a0a0a0" stroked="f"/>
        </w:pict>
      </w:r>
    </w:p>
    <w:p w:rsidR="00000000" w:rsidRDefault="000F0F8D">
      <w:pPr>
        <w:divId w:val="886648697"/>
        <w:rPr>
          <w:rFonts w:eastAsia="Times New Roman"/>
        </w:rPr>
      </w:pPr>
    </w:p>
    <w:p w:rsidR="00000000" w:rsidRDefault="000F0F8D">
      <w:pPr>
        <w:divId w:val="2041591074"/>
        <w:rPr>
          <w:rFonts w:eastAsia="Times New Roman"/>
        </w:rPr>
      </w:pPr>
      <w:r>
        <w:rPr>
          <w:rFonts w:eastAsia="Times New Roman"/>
          <w:color w:val="000000"/>
          <w:sz w:val="20"/>
          <w:szCs w:val="20"/>
        </w:rPr>
        <w:t>strategic initiatives, cause us to lose business, damage our reputation, subject us to legal or regulatory proceedings, cause us to incur other loss or liability and otherwise adversely affect our business. We expe</w:t>
      </w:r>
      <w:r>
        <w:rPr>
          <w:rFonts w:eastAsia="Times New Roman"/>
          <w:color w:val="000000"/>
          <w:sz w:val="20"/>
          <w:szCs w:val="20"/>
        </w:rPr>
        <w:t>ct to continue to devote significant resources to the security of our IT systems, and our technology, intellectual property and proprietary and confidential information.</w:t>
      </w:r>
    </w:p>
    <w:p w:rsidR="00000000" w:rsidRDefault="000F0F8D">
      <w:pPr>
        <w:ind w:firstLine="360"/>
        <w:divId w:val="1644461414"/>
        <w:rPr>
          <w:rFonts w:eastAsia="Times New Roman"/>
        </w:rPr>
      </w:pPr>
      <w:r>
        <w:rPr>
          <w:rFonts w:eastAsia="Times New Roman"/>
          <w:color w:val="000000"/>
          <w:sz w:val="20"/>
          <w:szCs w:val="20"/>
        </w:rPr>
        <w:t>Further, China has implemented, and other countries or regions may implement, cybersec</w:t>
      </w:r>
      <w:r>
        <w:rPr>
          <w:rFonts w:eastAsia="Times New Roman"/>
          <w:color w:val="000000"/>
          <w:sz w:val="20"/>
          <w:szCs w:val="20"/>
        </w:rPr>
        <w:t>urity laws that require our overall IT security environment to meet certain standards and/or be certified. Such laws may be complex, ambiguous and subject to interpretation, which may create uncertainty regarding compliance. As a result, our efforts to com</w:t>
      </w:r>
      <w:r>
        <w:rPr>
          <w:rFonts w:eastAsia="Times New Roman"/>
          <w:color w:val="000000"/>
          <w:sz w:val="20"/>
          <w:szCs w:val="20"/>
        </w:rPr>
        <w:t xml:space="preserve">ply with such laws may be expensive and may fail, which could adversely affect our business, results of operations and cash flows. </w:t>
      </w:r>
    </w:p>
    <w:p w:rsidR="00000000" w:rsidRDefault="000F0F8D">
      <w:pPr>
        <w:divId w:val="1462839577"/>
        <w:rPr>
          <w:rFonts w:eastAsia="Times New Roman"/>
        </w:rPr>
      </w:pPr>
      <w:r>
        <w:rPr>
          <w:rFonts w:eastAsia="Times New Roman"/>
          <w:b/>
          <w:bCs/>
          <w:color w:val="000000"/>
          <w:sz w:val="20"/>
          <w:szCs w:val="20"/>
        </w:rPr>
        <w:t xml:space="preserve">RISKS RELATED TO INTELLECTUAL PROPERTY </w:t>
      </w:r>
    </w:p>
    <w:p w:rsidR="00000000" w:rsidRDefault="000F0F8D">
      <w:pPr>
        <w:divId w:val="1134718059"/>
        <w:rPr>
          <w:rFonts w:eastAsia="Times New Roman"/>
        </w:rPr>
      </w:pPr>
      <w:r>
        <w:rPr>
          <w:rFonts w:eastAsia="Times New Roman"/>
          <w:b/>
          <w:bCs/>
          <w:i/>
          <w:iCs/>
          <w:color w:val="000000"/>
          <w:sz w:val="20"/>
          <w:szCs w:val="20"/>
        </w:rPr>
        <w:t xml:space="preserve">The enforcement and protection of our intellectual property may be expensive, could </w:t>
      </w:r>
      <w:r>
        <w:rPr>
          <w:rFonts w:eastAsia="Times New Roman"/>
          <w:b/>
          <w:bCs/>
          <w:i/>
          <w:iCs/>
          <w:color w:val="000000"/>
          <w:sz w:val="20"/>
          <w:szCs w:val="20"/>
        </w:rPr>
        <w:t>fail to prevent misappropriation or unauthorized use of our intellectual property, could result in the loss of our ability to enforce one or more patents, and could be adversely affected by changes in patent laws, by laws in certain foreign jurisdictions t</w:t>
      </w:r>
      <w:r>
        <w:rPr>
          <w:rFonts w:eastAsia="Times New Roman"/>
          <w:b/>
          <w:bCs/>
          <w:i/>
          <w:iCs/>
          <w:color w:val="000000"/>
          <w:sz w:val="20"/>
          <w:szCs w:val="20"/>
        </w:rPr>
        <w:t>hat may not effectively protect our intellectual property and by ineffective enforcement of laws in such jurisdictions.</w:t>
      </w:r>
    </w:p>
    <w:p w:rsidR="00000000" w:rsidRDefault="000F0F8D">
      <w:pPr>
        <w:ind w:firstLine="360"/>
        <w:divId w:val="1817450714"/>
        <w:rPr>
          <w:rFonts w:eastAsia="Times New Roman"/>
        </w:rPr>
      </w:pPr>
      <w:r>
        <w:rPr>
          <w:rFonts w:eastAsia="Times New Roman"/>
          <w:color w:val="000000"/>
          <w:sz w:val="20"/>
          <w:szCs w:val="20"/>
        </w:rPr>
        <w:t>We rely primarily on patent, copyright, trademark and trade secret laws, as well as nondisclosure and confidentiality agreements, intern</w:t>
      </w:r>
      <w:r>
        <w:rPr>
          <w:rFonts w:eastAsia="Times New Roman"/>
          <w:color w:val="000000"/>
          <w:sz w:val="20"/>
          <w:szCs w:val="20"/>
        </w:rPr>
        <w:t>ational treaties and other methods, to protect our intellectual property, including our patent portfolio. Policing unauthorized use of our products, technologies and intellectual property is difficult and time consuming. The steps we have taken have not al</w:t>
      </w:r>
      <w:r>
        <w:rPr>
          <w:rFonts w:eastAsia="Times New Roman"/>
          <w:color w:val="000000"/>
          <w:sz w:val="20"/>
          <w:szCs w:val="20"/>
        </w:rPr>
        <w:t>ways prevented, and we cannot be certain the steps we will take in the future will prevent, the misappropriation or unauthorized use of our products, technologies or intellectual property, particularly in foreign countries where the laws may not protect ou</w:t>
      </w:r>
      <w:r>
        <w:rPr>
          <w:rFonts w:eastAsia="Times New Roman"/>
          <w:color w:val="000000"/>
          <w:sz w:val="20"/>
          <w:szCs w:val="20"/>
        </w:rPr>
        <w:t xml:space="preserve">r rights as fully or as readily as U.S. laws or where the enforcement of such laws may be lacking or ineffective. See also the Risk Factor titled </w:t>
      </w:r>
      <w:r>
        <w:rPr>
          <w:rFonts w:eastAsia="Times New Roman"/>
          <w:i/>
          <w:iCs/>
          <w:color w:val="000000"/>
          <w:sz w:val="20"/>
          <w:szCs w:val="20"/>
        </w:rPr>
        <w:t>“Our business and operations could suffer in the event of security breaches of our IT systems, or other misapp</w:t>
      </w:r>
      <w:r>
        <w:rPr>
          <w:rFonts w:eastAsia="Times New Roman"/>
          <w:i/>
          <w:iCs/>
          <w:color w:val="000000"/>
          <w:sz w:val="20"/>
          <w:szCs w:val="20"/>
        </w:rPr>
        <w:t>ropriation of our technology, intellectual property or other proprietary or confidential information.”</w:t>
      </w:r>
    </w:p>
    <w:p w:rsidR="00000000" w:rsidRDefault="000F0F8D">
      <w:pPr>
        <w:ind w:firstLine="360"/>
        <w:divId w:val="2137217371"/>
        <w:rPr>
          <w:rFonts w:eastAsia="Times New Roman"/>
        </w:rPr>
      </w:pPr>
      <w:r>
        <w:rPr>
          <w:rFonts w:eastAsia="Times New Roman"/>
          <w:color w:val="000000"/>
          <w:sz w:val="20"/>
          <w:szCs w:val="20"/>
        </w:rPr>
        <w:t xml:space="preserve">Some industry participants who have a vested interest in devaluing patents in general, or standard-essential patents in particular, have mounted attacks </w:t>
      </w:r>
      <w:r>
        <w:rPr>
          <w:rFonts w:eastAsia="Times New Roman"/>
          <w:color w:val="000000"/>
          <w:sz w:val="20"/>
          <w:szCs w:val="20"/>
        </w:rPr>
        <w:t>on certain patent systems, increasing the likelihood of changes to established patent laws. In the United States, there is continued discussion regarding potential patent law changes and current and potential future litigation regarding patents, the outcom</w:t>
      </w:r>
      <w:r>
        <w:rPr>
          <w:rFonts w:eastAsia="Times New Roman"/>
          <w:color w:val="000000"/>
          <w:sz w:val="20"/>
          <w:szCs w:val="20"/>
        </w:rPr>
        <w:t>es of which could be detrimental to our licensing business. The laws in certain foreign countries in which our products are or may be manufactured or sold, including certain countries in Asia, may not protect our intellectual property rights to the same ex</w:t>
      </w:r>
      <w:r>
        <w:rPr>
          <w:rFonts w:eastAsia="Times New Roman"/>
          <w:color w:val="000000"/>
          <w:sz w:val="20"/>
          <w:szCs w:val="20"/>
        </w:rPr>
        <w:t>tent as the laws in the United States. We cannot predict with certainty the long-term effects of any potential changes. In addition, we cannot be certain that the laws and policies of any country or the practices of any standards bodies, foreign or domesti</w:t>
      </w:r>
      <w:r>
        <w:rPr>
          <w:rFonts w:eastAsia="Times New Roman"/>
          <w:color w:val="000000"/>
          <w:sz w:val="20"/>
          <w:szCs w:val="20"/>
        </w:rPr>
        <w:t>c, with respect to intellectual property enforcement or licensing or the adoption of standards, will not be changed in the future in a way detrimental to our licensing program or to the sale or use of our products or technologies.</w:t>
      </w:r>
    </w:p>
    <w:p w:rsidR="00000000" w:rsidRDefault="000F0F8D">
      <w:pPr>
        <w:ind w:firstLine="360"/>
        <w:divId w:val="322243068"/>
        <w:rPr>
          <w:rFonts w:eastAsia="Times New Roman"/>
        </w:rPr>
      </w:pPr>
      <w:r>
        <w:rPr>
          <w:rFonts w:eastAsia="Times New Roman"/>
          <w:color w:val="000000"/>
          <w:sz w:val="20"/>
          <w:szCs w:val="20"/>
        </w:rPr>
        <w:t>We have had and may in th</w:t>
      </w:r>
      <w:r>
        <w:rPr>
          <w:rFonts w:eastAsia="Times New Roman"/>
          <w:color w:val="000000"/>
          <w:sz w:val="20"/>
          <w:szCs w:val="20"/>
        </w:rPr>
        <w:t>e future have difficulty in certain circumstances in protecting or enforcing our intellectual property and contracts, including collecting royalties for use of our patent portfolio due to, among others: refusal by certain licensees to report and pay all or</w:t>
      </w:r>
      <w:r>
        <w:rPr>
          <w:rFonts w:eastAsia="Times New Roman"/>
          <w:color w:val="000000"/>
          <w:sz w:val="20"/>
          <w:szCs w:val="20"/>
        </w:rPr>
        <w:t xml:space="preserve"> a portion of the royalties they owe to us; policies or political actions of governments, including trade protection and national security policies; challenges to our licensing practices under competition laws; adoption of mandatory licensing provisions by</w:t>
      </w:r>
      <w:r>
        <w:rPr>
          <w:rFonts w:eastAsia="Times New Roman"/>
          <w:color w:val="000000"/>
          <w:sz w:val="20"/>
          <w:szCs w:val="20"/>
        </w:rPr>
        <w:t xml:space="preserve"> foreign jurisdictions; failure of foreign courts to recognize and enforce judgments of contract breach and damages issued by courts in the United States; and challenges before competition agencies to our licensing business and the pricing and integration </w:t>
      </w:r>
      <w:r>
        <w:rPr>
          <w:rFonts w:eastAsia="Times New Roman"/>
          <w:color w:val="000000"/>
          <w:sz w:val="20"/>
          <w:szCs w:val="20"/>
        </w:rPr>
        <w:t>of additional features and functionality into our chipset products. See also the Risk Factors titled “</w:t>
      </w:r>
      <w:r>
        <w:rPr>
          <w:rFonts w:eastAsia="Times New Roman"/>
          <w:i/>
          <w:iCs/>
          <w:color w:val="000000"/>
          <w:sz w:val="20"/>
          <w:szCs w:val="20"/>
        </w:rPr>
        <w:t>Efforts by some OEMs to avoid paying fair and reasonable royalties for the use of our intellectual property may require the investment of substantial mana</w:t>
      </w:r>
      <w:r>
        <w:rPr>
          <w:rFonts w:eastAsia="Times New Roman"/>
          <w:i/>
          <w:iCs/>
          <w:color w:val="000000"/>
          <w:sz w:val="20"/>
          <w:szCs w:val="20"/>
        </w:rPr>
        <w:t>gement time and financial resources and may result in legal decisions or actions by governments, courts, regulators or agencies, Standards Development Organizations (SDOs) or other industry organizations that harm our business</w:t>
      </w:r>
      <w:r>
        <w:rPr>
          <w:rFonts w:eastAsia="Times New Roman"/>
          <w:color w:val="000000"/>
          <w:sz w:val="20"/>
          <w:szCs w:val="20"/>
        </w:rPr>
        <w:t>” and “</w:t>
      </w:r>
      <w:r>
        <w:rPr>
          <w:rFonts w:eastAsia="Times New Roman"/>
          <w:i/>
          <w:iCs/>
          <w:color w:val="000000"/>
          <w:sz w:val="20"/>
          <w:szCs w:val="20"/>
        </w:rPr>
        <w:t>Our business may suffer</w:t>
      </w:r>
      <w:r>
        <w:rPr>
          <w:rFonts w:eastAsia="Times New Roman"/>
          <w:i/>
          <w:iCs/>
          <w:color w:val="000000"/>
          <w:sz w:val="20"/>
          <w:szCs w:val="20"/>
        </w:rPr>
        <w:t xml:space="preserve"> as a result of adverse rulings in government investigations or proceedings</w:t>
      </w:r>
      <w:r>
        <w:rPr>
          <w:rFonts w:eastAsia="Times New Roman"/>
          <w:color w:val="000000"/>
          <w:sz w:val="20"/>
          <w:szCs w:val="20"/>
        </w:rPr>
        <w:t xml:space="preserve">.” </w:t>
      </w:r>
    </w:p>
    <w:p w:rsidR="00000000" w:rsidRDefault="000F0F8D">
      <w:pPr>
        <w:ind w:firstLine="360"/>
        <w:divId w:val="238491678"/>
        <w:rPr>
          <w:rFonts w:eastAsia="Times New Roman"/>
        </w:rPr>
      </w:pPr>
      <w:r>
        <w:rPr>
          <w:rFonts w:eastAsia="Times New Roman"/>
          <w:color w:val="000000"/>
          <w:sz w:val="20"/>
          <w:szCs w:val="20"/>
        </w:rPr>
        <w:t>We have engaged in litigation and arbitration in the past and may need to further litigate or arbitrate in the future to enforce our contract and intellectual property rights, p</w:t>
      </w:r>
      <w:r>
        <w:rPr>
          <w:rFonts w:eastAsia="Times New Roman"/>
          <w:color w:val="000000"/>
          <w:sz w:val="20"/>
          <w:szCs w:val="20"/>
        </w:rPr>
        <w:t>rotect our trade secrets or determine the validity and scope of proprietary rights of others. As a result of any such litigation or arbitration, we could lose our ability to enforce one or more patents, portions of our license agreements could be determine</w:t>
      </w:r>
      <w:r>
        <w:rPr>
          <w:rFonts w:eastAsia="Times New Roman"/>
          <w:color w:val="000000"/>
          <w:sz w:val="20"/>
          <w:szCs w:val="20"/>
        </w:rPr>
        <w:t>d to be invalid or unenforceable (which may in turn result in other licensees either not complying with their existing license agreements or initiating litigation or arbitration), license terms (including but not limited to royalty rates for the use of our</w:t>
      </w:r>
      <w:r>
        <w:rPr>
          <w:rFonts w:eastAsia="Times New Roman"/>
          <w:color w:val="000000"/>
          <w:sz w:val="20"/>
          <w:szCs w:val="20"/>
        </w:rPr>
        <w:t xml:space="preserve"> intellectual property) could be imposed that are less favorable to us than existing terms, and we could incur substantial costs. Any action we take to enforce our contract or intellectual property rights could be costly and could absorb significant manage</w:t>
      </w:r>
      <w:r>
        <w:rPr>
          <w:rFonts w:eastAsia="Times New Roman"/>
          <w:color w:val="000000"/>
          <w:sz w:val="20"/>
          <w:szCs w:val="20"/>
        </w:rPr>
        <w:t xml:space="preserve">ment time and attention, which, in turn, could negatively impact our results of operations and cash flows. Further, even a positive resolution to our enforcement efforts may take time </w:t>
      </w:r>
    </w:p>
    <w:p w:rsidR="00000000" w:rsidRDefault="000F0F8D">
      <w:pPr>
        <w:jc w:val="center"/>
        <w:divId w:val="1125655353"/>
        <w:rPr>
          <w:rFonts w:eastAsia="Times New Roman"/>
        </w:rPr>
      </w:pPr>
      <w:r>
        <w:rPr>
          <w:rFonts w:eastAsia="Times New Roman"/>
          <w:color w:val="000000"/>
          <w:sz w:val="20"/>
          <w:szCs w:val="20"/>
        </w:rPr>
        <w:t>45</w:t>
      </w:r>
    </w:p>
    <w:p w:rsidR="00000000" w:rsidRDefault="000F0F8D">
      <w:pPr>
        <w:rPr>
          <w:rFonts w:eastAsia="Times New Roman"/>
        </w:rPr>
      </w:pPr>
      <w:r>
        <w:rPr>
          <w:rFonts w:eastAsia="Times New Roman"/>
        </w:rPr>
        <w:pict>
          <v:rect id="_x0000_i1068" style="width:0;height:1.5pt" o:hralign="center" o:hrstd="t" o:hr="t" fillcolor="#a0a0a0" stroked="f"/>
        </w:pict>
      </w:r>
    </w:p>
    <w:p w:rsidR="00000000" w:rsidRDefault="000F0F8D">
      <w:pPr>
        <w:divId w:val="542717000"/>
        <w:rPr>
          <w:rFonts w:eastAsia="Times New Roman"/>
        </w:rPr>
      </w:pPr>
    </w:p>
    <w:p w:rsidR="00000000" w:rsidRDefault="000F0F8D">
      <w:pPr>
        <w:divId w:val="1958874656"/>
        <w:rPr>
          <w:rFonts w:eastAsia="Times New Roman"/>
        </w:rPr>
      </w:pPr>
      <w:r>
        <w:rPr>
          <w:rFonts w:eastAsia="Times New Roman"/>
          <w:color w:val="000000"/>
          <w:sz w:val="20"/>
          <w:szCs w:val="20"/>
        </w:rPr>
        <w:t xml:space="preserve">to conclude, which may reduce </w:t>
      </w:r>
      <w:r>
        <w:rPr>
          <w:rFonts w:eastAsia="Times New Roman"/>
          <w:color w:val="000000"/>
          <w:sz w:val="20"/>
          <w:szCs w:val="20"/>
        </w:rPr>
        <w:t xml:space="preserve">our revenues and cash resources available for other purposes, such as research and development, in the periods prior to conclusion. </w:t>
      </w:r>
    </w:p>
    <w:p w:rsidR="00000000" w:rsidRDefault="000F0F8D">
      <w:pPr>
        <w:ind w:firstLine="360"/>
        <w:divId w:val="1675958148"/>
        <w:rPr>
          <w:rFonts w:eastAsia="Times New Roman"/>
        </w:rPr>
      </w:pPr>
      <w:r>
        <w:rPr>
          <w:rFonts w:eastAsia="Times New Roman"/>
          <w:color w:val="000000"/>
          <w:sz w:val="20"/>
          <w:szCs w:val="20"/>
        </w:rPr>
        <w:t>Additionally, although our license agreements generally provide us with the right to audit the books and records of license</w:t>
      </w:r>
      <w:r>
        <w:rPr>
          <w:rFonts w:eastAsia="Times New Roman"/>
          <w:color w:val="000000"/>
          <w:sz w:val="20"/>
          <w:szCs w:val="20"/>
        </w:rPr>
        <w:t>es, audits can be expensive, time consuming, incomplete and subject to dispute. Further, certain licensees may not comply with the obligation to provide full access to their books and records. To the extent we do not aggressively enforce our rights under o</w:t>
      </w:r>
      <w:r>
        <w:rPr>
          <w:rFonts w:eastAsia="Times New Roman"/>
          <w:color w:val="000000"/>
          <w:sz w:val="20"/>
          <w:szCs w:val="20"/>
        </w:rPr>
        <w:t>ur license agreements, licensees may not comply with their existing license agreements, and to the extent we do not aggressively pursue unlicensed companies to enter into license agreements with us for their use of our intellectual property, other unlicens</w:t>
      </w:r>
      <w:r>
        <w:rPr>
          <w:rFonts w:eastAsia="Times New Roman"/>
          <w:color w:val="000000"/>
          <w:sz w:val="20"/>
          <w:szCs w:val="20"/>
        </w:rPr>
        <w:t xml:space="preserve">ed companies may not enter into license agreements. Similarly, we provide access to certain of our intellectual property and proprietary and confidential business information to our direct and indirect customers and licensees, who have in the past and may </w:t>
      </w:r>
      <w:r>
        <w:rPr>
          <w:rFonts w:eastAsia="Times New Roman"/>
          <w:color w:val="000000"/>
          <w:sz w:val="20"/>
          <w:szCs w:val="20"/>
        </w:rPr>
        <w:t>in the future wrongfully use such intellectual property and information or wrongfully disclose such intellectual property and information to third parties, including our competitors. See also the Risk Factor titled “</w:t>
      </w:r>
      <w:r>
        <w:rPr>
          <w:rFonts w:eastAsia="Times New Roman"/>
          <w:i/>
          <w:iCs/>
          <w:color w:val="000000"/>
          <w:sz w:val="20"/>
          <w:szCs w:val="20"/>
        </w:rPr>
        <w:t>Efforts by some OEMs to avoid paying fai</w:t>
      </w:r>
      <w:r>
        <w:rPr>
          <w:rFonts w:eastAsia="Times New Roman"/>
          <w:i/>
          <w:iCs/>
          <w:color w:val="000000"/>
          <w:sz w:val="20"/>
          <w:szCs w:val="20"/>
        </w:rPr>
        <w:t>r and reasonable royalties for the use of our intellectual property may require the investment of substantial management time and financial resources and may result in legal decisions or actions by governments, courts, regulators or agencies, Standards Dev</w:t>
      </w:r>
      <w:r>
        <w:rPr>
          <w:rFonts w:eastAsia="Times New Roman"/>
          <w:i/>
          <w:iCs/>
          <w:color w:val="000000"/>
          <w:sz w:val="20"/>
          <w:szCs w:val="20"/>
        </w:rPr>
        <w:t>elopment Organizations (SDOs) or other industry organizations that harm our business</w:t>
      </w:r>
      <w:r>
        <w:rPr>
          <w:rFonts w:eastAsia="Times New Roman"/>
          <w:color w:val="000000"/>
          <w:sz w:val="20"/>
          <w:szCs w:val="20"/>
        </w:rPr>
        <w:t>.”</w:t>
      </w:r>
    </w:p>
    <w:p w:rsidR="00000000" w:rsidRDefault="000F0F8D">
      <w:pPr>
        <w:divId w:val="702629410"/>
        <w:rPr>
          <w:rFonts w:eastAsia="Times New Roman"/>
        </w:rPr>
      </w:pPr>
      <w:r>
        <w:rPr>
          <w:rFonts w:eastAsia="Times New Roman"/>
          <w:b/>
          <w:bCs/>
          <w:i/>
          <w:iCs/>
          <w:color w:val="000000"/>
          <w:sz w:val="20"/>
          <w:szCs w:val="20"/>
        </w:rPr>
        <w:t>Claims by other companies that we infringe their intellectual property could adversely affect our business.</w:t>
      </w:r>
    </w:p>
    <w:p w:rsidR="00000000" w:rsidRDefault="000F0F8D">
      <w:pPr>
        <w:ind w:firstLine="360"/>
        <w:divId w:val="911351138"/>
        <w:rPr>
          <w:rFonts w:eastAsia="Times New Roman"/>
        </w:rPr>
      </w:pPr>
      <w:r>
        <w:rPr>
          <w:rFonts w:eastAsia="Times New Roman"/>
          <w:color w:val="000000"/>
          <w:sz w:val="20"/>
          <w:szCs w:val="20"/>
        </w:rPr>
        <w:t>From time to time, companies have asserted, and may again ass</w:t>
      </w:r>
      <w:r>
        <w:rPr>
          <w:rFonts w:eastAsia="Times New Roman"/>
          <w:color w:val="000000"/>
          <w:sz w:val="20"/>
          <w:szCs w:val="20"/>
        </w:rPr>
        <w:t>ert, patent, copyright and other intellectual property claims against our products or products using our technologies or other technologies used in our industry. These claims have resulted and may again result in our involvement in litigation. We may not p</w:t>
      </w:r>
      <w:r>
        <w:rPr>
          <w:rFonts w:eastAsia="Times New Roman"/>
          <w:color w:val="000000"/>
          <w:sz w:val="20"/>
          <w:szCs w:val="20"/>
        </w:rPr>
        <w:t>revail in such litigation given, among other factors, the complex technical issues and inherent uncertainties in intellectual property litigation. If any of our products were found to infringe another company’s intellectual property, we could be subject to</w:t>
      </w:r>
      <w:r>
        <w:rPr>
          <w:rFonts w:eastAsia="Times New Roman"/>
          <w:color w:val="000000"/>
          <w:sz w:val="20"/>
          <w:szCs w:val="20"/>
        </w:rPr>
        <w:t xml:space="preserve"> an injunction or be required to redesign our products, or to license such intellectual property or pay damages or other compensation to such other company (any of which could be costly). If we are unable to redesign our products, license such intellectual</w:t>
      </w:r>
      <w:r>
        <w:rPr>
          <w:rFonts w:eastAsia="Times New Roman"/>
          <w:color w:val="000000"/>
          <w:sz w:val="20"/>
          <w:szCs w:val="20"/>
        </w:rPr>
        <w:t xml:space="preserve"> property used in our products or otherwise distribute our products (e.g., through a licensed supplier), we could be prohibited from making and selling our products. Similarly, our suppliers could be found to infringe another company’s intellectual propert</w:t>
      </w:r>
      <w:r>
        <w:rPr>
          <w:rFonts w:eastAsia="Times New Roman"/>
          <w:color w:val="000000"/>
          <w:sz w:val="20"/>
          <w:szCs w:val="20"/>
        </w:rPr>
        <w:t>y, and such suppliers could then be enjoined from providing products or services to us.</w:t>
      </w:r>
    </w:p>
    <w:p w:rsidR="00000000" w:rsidRDefault="000F0F8D">
      <w:pPr>
        <w:ind w:firstLine="360"/>
        <w:divId w:val="1219240015"/>
        <w:rPr>
          <w:rFonts w:eastAsia="Times New Roman"/>
        </w:rPr>
      </w:pPr>
      <w:r>
        <w:rPr>
          <w:rFonts w:eastAsia="Times New Roman"/>
          <w:color w:val="000000"/>
          <w:sz w:val="20"/>
          <w:szCs w:val="20"/>
        </w:rPr>
        <w:t>In any potential dispute involving us and another company’s patents or other intellectual property, our chipset foundries, semiconductor assembly and test providers and</w:t>
      </w:r>
      <w:r>
        <w:rPr>
          <w:rFonts w:eastAsia="Times New Roman"/>
          <w:color w:val="000000"/>
          <w:sz w:val="20"/>
          <w:szCs w:val="20"/>
        </w:rPr>
        <w:t xml:space="preserve"> customers could also become the targets of litigation. We are contingently liable under certain product sales, services, license and other agreements to indemnify certain customers, chipset foundries and semiconductor assembly and test service providers a</w:t>
      </w:r>
      <w:r>
        <w:rPr>
          <w:rFonts w:eastAsia="Times New Roman"/>
          <w:color w:val="000000"/>
          <w:sz w:val="20"/>
          <w:szCs w:val="20"/>
        </w:rPr>
        <w:t>gainst certain types of liability and damages arising from qualifying claims of patent infringement by products sold by us, or by intellectual property provided by us to our chipset foundries and semiconductor assembly and test service providers. Reimburse</w:t>
      </w:r>
      <w:r>
        <w:rPr>
          <w:rFonts w:eastAsia="Times New Roman"/>
          <w:color w:val="000000"/>
          <w:sz w:val="20"/>
          <w:szCs w:val="20"/>
        </w:rPr>
        <w:t>ments under indemnification arrangements could have an adverse effect on our results of operations and cash flows. Furthermore, any such litigation could severely disrupt the supply of our products and the businesses of our chipset customers and their cust</w:t>
      </w:r>
      <w:r>
        <w:rPr>
          <w:rFonts w:eastAsia="Times New Roman"/>
          <w:color w:val="000000"/>
          <w:sz w:val="20"/>
          <w:szCs w:val="20"/>
        </w:rPr>
        <w:t>omers, which in turn could harm our relationships with them and could result in a decline in our chipset sales or a reduction in our licensees’ sales, causing a corresponding decline in our chipset or licensing revenues. Any claims, regardless of their mer</w:t>
      </w:r>
      <w:r>
        <w:rPr>
          <w:rFonts w:eastAsia="Times New Roman"/>
          <w:color w:val="000000"/>
          <w:sz w:val="20"/>
          <w:szCs w:val="20"/>
        </w:rPr>
        <w:t>it, could be time consuming to address, result in costly litigation, divert the efforts of our technical and management personnel or cause product release or shipment delays, any of which could have an adverse effect on our results of operations and cash f</w:t>
      </w:r>
      <w:r>
        <w:rPr>
          <w:rFonts w:eastAsia="Times New Roman"/>
          <w:color w:val="000000"/>
          <w:sz w:val="20"/>
          <w:szCs w:val="20"/>
        </w:rPr>
        <w:t>lows.</w:t>
      </w:r>
    </w:p>
    <w:p w:rsidR="00000000" w:rsidRDefault="000F0F8D">
      <w:pPr>
        <w:ind w:firstLine="360"/>
        <w:divId w:val="369300859"/>
        <w:rPr>
          <w:rFonts w:eastAsia="Times New Roman"/>
        </w:rPr>
      </w:pPr>
      <w:r>
        <w:rPr>
          <w:rFonts w:eastAsia="Times New Roman"/>
          <w:color w:val="000000"/>
          <w:sz w:val="20"/>
          <w:szCs w:val="20"/>
        </w:rPr>
        <w:t>We may continue to be involved in litigation and may have to appear in front of administrative bodies (such as the United States International Trade Commission) to defend against patent assertions against our products by companies, some of whom are attempt</w:t>
      </w:r>
      <w:r>
        <w:rPr>
          <w:rFonts w:eastAsia="Times New Roman"/>
          <w:color w:val="000000"/>
          <w:sz w:val="20"/>
          <w:szCs w:val="20"/>
        </w:rPr>
        <w:t>ing to gain competitive advantage or leverage in licensing negotiations. We may not be successful in such proceedings, and if we are not, the range of possible outcomes is very broad and may include, for example, monetary damages or fines or other orders t</w:t>
      </w:r>
      <w:r>
        <w:rPr>
          <w:rFonts w:eastAsia="Times New Roman"/>
          <w:color w:val="000000"/>
          <w:sz w:val="20"/>
          <w:szCs w:val="20"/>
        </w:rPr>
        <w:t>o pay money, royalty payments, injunctions on the sale of certain of our integrated circuit products (or on the sale of our customers’ devices using such products) or the issuance of orders to cease certain conduct or modify our business practices. Further</w:t>
      </w:r>
      <w:r>
        <w:rPr>
          <w:rFonts w:eastAsia="Times New Roman"/>
          <w:color w:val="000000"/>
          <w:sz w:val="20"/>
          <w:szCs w:val="20"/>
        </w:rPr>
        <w:t>, a governmental body in a particular country or region may assert, and may be successful in imposing, remedies with effects that extend beyond the borders of that country or region. In addition, a negative outcome in any such proceeding could severely dis</w:t>
      </w:r>
      <w:r>
        <w:rPr>
          <w:rFonts w:eastAsia="Times New Roman"/>
          <w:color w:val="000000"/>
          <w:sz w:val="20"/>
          <w:szCs w:val="20"/>
        </w:rPr>
        <w:t>rupt the business of our chipset customers and their wireless operator customers, which in turn could harm our relationships with them and could result in a decline in our chipset sales or a reduction in our licensees’ sales, causing corresponding declines</w:t>
      </w:r>
      <w:r>
        <w:rPr>
          <w:rFonts w:eastAsia="Times New Roman"/>
          <w:color w:val="000000"/>
          <w:sz w:val="20"/>
          <w:szCs w:val="20"/>
        </w:rPr>
        <w:t xml:space="preserve"> in our chipset or licensing revenues.</w:t>
      </w:r>
    </w:p>
    <w:p w:rsidR="00000000" w:rsidRDefault="000F0F8D">
      <w:pPr>
        <w:ind w:firstLine="360"/>
        <w:divId w:val="480000925"/>
        <w:rPr>
          <w:rFonts w:eastAsia="Times New Roman"/>
        </w:rPr>
      </w:pPr>
      <w:r>
        <w:rPr>
          <w:rFonts w:eastAsia="Times New Roman"/>
          <w:color w:val="000000"/>
          <w:sz w:val="20"/>
          <w:szCs w:val="20"/>
        </w:rPr>
        <w:t xml:space="preserve">Certain legal matters, which may include certain claims by other companies that we infringe their intellectual property, are described more fully in this Quarterly Report in “Notes to Condensed Consolidated Financial </w:t>
      </w:r>
      <w:r>
        <w:rPr>
          <w:rFonts w:eastAsia="Times New Roman"/>
          <w:color w:val="000000"/>
          <w:sz w:val="20"/>
          <w:szCs w:val="20"/>
        </w:rPr>
        <w:t>Statements, Note 5. Commitments and Contingencies.”</w:t>
      </w:r>
    </w:p>
    <w:p w:rsidR="00000000" w:rsidRDefault="000F0F8D">
      <w:pPr>
        <w:jc w:val="center"/>
        <w:divId w:val="394160224"/>
        <w:rPr>
          <w:rFonts w:eastAsia="Times New Roman"/>
        </w:rPr>
      </w:pPr>
      <w:r>
        <w:rPr>
          <w:rFonts w:eastAsia="Times New Roman"/>
          <w:color w:val="000000"/>
          <w:sz w:val="20"/>
          <w:szCs w:val="20"/>
        </w:rPr>
        <w:t>46</w:t>
      </w:r>
    </w:p>
    <w:p w:rsidR="00000000" w:rsidRDefault="000F0F8D">
      <w:pPr>
        <w:rPr>
          <w:rFonts w:eastAsia="Times New Roman"/>
        </w:rPr>
      </w:pPr>
      <w:r>
        <w:rPr>
          <w:rFonts w:eastAsia="Times New Roman"/>
        </w:rPr>
        <w:pict>
          <v:rect id="_x0000_i1069" style="width:0;height:1.5pt" o:hralign="center" o:hrstd="t" o:hr="t" fillcolor="#a0a0a0" stroked="f"/>
        </w:pict>
      </w:r>
    </w:p>
    <w:p w:rsidR="00000000" w:rsidRDefault="000F0F8D">
      <w:pPr>
        <w:divId w:val="1198156078"/>
        <w:rPr>
          <w:rFonts w:eastAsia="Times New Roman"/>
        </w:rPr>
      </w:pPr>
    </w:p>
    <w:p w:rsidR="00000000" w:rsidRDefault="000F0F8D">
      <w:pPr>
        <w:divId w:val="188955754"/>
        <w:rPr>
          <w:rFonts w:eastAsia="Times New Roman"/>
        </w:rPr>
      </w:pPr>
      <w:r>
        <w:rPr>
          <w:rFonts w:eastAsia="Times New Roman"/>
          <w:b/>
          <w:bCs/>
          <w:i/>
          <w:iCs/>
          <w:color w:val="000000"/>
          <w:sz w:val="20"/>
          <w:szCs w:val="20"/>
        </w:rPr>
        <w:t>Our use of open source software may harm our business.</w:t>
      </w:r>
    </w:p>
    <w:p w:rsidR="00000000" w:rsidRDefault="000F0F8D">
      <w:pPr>
        <w:ind w:firstLine="360"/>
        <w:divId w:val="1076125298"/>
        <w:rPr>
          <w:rFonts w:eastAsia="Times New Roman"/>
        </w:rPr>
      </w:pPr>
      <w:r>
        <w:rPr>
          <w:rFonts w:eastAsia="Times New Roman"/>
          <w:color w:val="000000"/>
          <w:sz w:val="20"/>
          <w:szCs w:val="20"/>
        </w:rPr>
        <w:t xml:space="preserve">Certain of our software and our suppliers’ software may contain or may be derived from “open source” software, and we have seen, and believe that we will continue </w:t>
      </w:r>
      <w:r>
        <w:rPr>
          <w:rFonts w:eastAsia="Times New Roman"/>
          <w:color w:val="000000"/>
          <w:sz w:val="20"/>
          <w:szCs w:val="20"/>
        </w:rPr>
        <w:t>to see, customers request that we develop products, including software associated with our integrated circuit products, that incorporate open source software elements and operate in an open source environment, which, under certain open source licenses, may</w:t>
      </w:r>
      <w:r>
        <w:rPr>
          <w:rFonts w:eastAsia="Times New Roman"/>
          <w:color w:val="000000"/>
          <w:sz w:val="20"/>
          <w:szCs w:val="20"/>
        </w:rPr>
        <w:t xml:space="preserve"> offer accessibility to a portion of our products’ source code and may expose our related intellectual property to adverse licensing conditions. Licensing of such software may impose certain obligations on us if we were to distribute derivative works of th</w:t>
      </w:r>
      <w:r>
        <w:rPr>
          <w:rFonts w:eastAsia="Times New Roman"/>
          <w:color w:val="000000"/>
          <w:sz w:val="20"/>
          <w:szCs w:val="20"/>
        </w:rPr>
        <w:t>at software. For example, these obligations may require us to make source code for the derivative works available to our customers in a manner that allows them to make such source code available to their customers or license such derivative works under a p</w:t>
      </w:r>
      <w:r>
        <w:rPr>
          <w:rFonts w:eastAsia="Times New Roman"/>
          <w:color w:val="000000"/>
          <w:sz w:val="20"/>
          <w:szCs w:val="20"/>
        </w:rPr>
        <w:t xml:space="preserve">articular type of license that is different than what we customarily use to license our software. Furthermore, in the course of product development, we may make contributions to third-party open source projects that could subject our intellectual property </w:t>
      </w:r>
      <w:r>
        <w:rPr>
          <w:rFonts w:eastAsia="Times New Roman"/>
          <w:color w:val="000000"/>
          <w:sz w:val="20"/>
          <w:szCs w:val="20"/>
        </w:rPr>
        <w:t xml:space="preserve">to adverse licensing conditions. For example, to encourage the growth of a software ecosystem that is interoperable with our products, we may need to contribute certain implementations under the open source licensing terms that govern such projects, which </w:t>
      </w:r>
      <w:r>
        <w:rPr>
          <w:rFonts w:eastAsia="Times New Roman"/>
          <w:color w:val="000000"/>
          <w:sz w:val="20"/>
          <w:szCs w:val="20"/>
        </w:rPr>
        <w:t>may adversely impact our associated intellectual property. Developing open source products, while adequately protecting the intellectual property upon which our licensing program depends, may prove burdensome and time-consuming under certain circumstances,</w:t>
      </w:r>
      <w:r>
        <w:rPr>
          <w:rFonts w:eastAsia="Times New Roman"/>
          <w:color w:val="000000"/>
          <w:sz w:val="20"/>
          <w:szCs w:val="20"/>
        </w:rPr>
        <w:t xml:space="preserve"> thereby placing us at a competitive disadvantage, and we may not adequately protect our intellectual property. Also, our use and our customers’ use of open source software may subject our products and our customers’ products to governmental and third-part</w:t>
      </w:r>
      <w:r>
        <w:rPr>
          <w:rFonts w:eastAsia="Times New Roman"/>
          <w:color w:val="000000"/>
          <w:sz w:val="20"/>
          <w:szCs w:val="20"/>
        </w:rPr>
        <w:t>y scrutiny and delays in product certification, which could cause customers to view our products as less desirable than our competitors’ products. While we believe we have taken appropriate steps and employ adequate controls to protect our intellectual pro</w:t>
      </w:r>
      <w:r>
        <w:rPr>
          <w:rFonts w:eastAsia="Times New Roman"/>
          <w:color w:val="000000"/>
          <w:sz w:val="20"/>
          <w:szCs w:val="20"/>
        </w:rPr>
        <w:t>perty, our contributions to and use of open source software presents risks that could have an adverse effect on these and on our business.</w:t>
      </w:r>
    </w:p>
    <w:p w:rsidR="00000000" w:rsidRDefault="000F0F8D">
      <w:pPr>
        <w:divId w:val="1691057426"/>
        <w:rPr>
          <w:rFonts w:eastAsia="Times New Roman"/>
        </w:rPr>
      </w:pPr>
      <w:r>
        <w:rPr>
          <w:rFonts w:eastAsia="Times New Roman"/>
          <w:b/>
          <w:bCs/>
          <w:color w:val="000000"/>
          <w:sz w:val="20"/>
          <w:szCs w:val="20"/>
        </w:rPr>
        <w:t xml:space="preserve">RISKS RELATED TO HUMAN CAPITAL MANAGEMENT </w:t>
      </w:r>
    </w:p>
    <w:p w:rsidR="00000000" w:rsidRDefault="000F0F8D">
      <w:pPr>
        <w:divId w:val="1314868141"/>
        <w:rPr>
          <w:rFonts w:eastAsia="Times New Roman"/>
        </w:rPr>
      </w:pPr>
      <w:r>
        <w:rPr>
          <w:rFonts w:eastAsia="Times New Roman"/>
          <w:b/>
          <w:bCs/>
          <w:i/>
          <w:iCs/>
          <w:color w:val="000000"/>
          <w:sz w:val="20"/>
          <w:szCs w:val="20"/>
        </w:rPr>
        <w:t>We may not be able to attract and retain qualified employees.</w:t>
      </w:r>
    </w:p>
    <w:p w:rsidR="00000000" w:rsidRDefault="000F0F8D">
      <w:pPr>
        <w:ind w:firstLine="360"/>
        <w:divId w:val="963466856"/>
        <w:rPr>
          <w:rFonts w:eastAsia="Times New Roman"/>
        </w:rPr>
      </w:pPr>
      <w:r>
        <w:rPr>
          <w:rFonts w:eastAsia="Times New Roman"/>
          <w:color w:val="000000"/>
          <w:sz w:val="20"/>
          <w:szCs w:val="20"/>
        </w:rPr>
        <w:t>Our future s</w:t>
      </w:r>
      <w:r>
        <w:rPr>
          <w:rFonts w:eastAsia="Times New Roman"/>
          <w:color w:val="000000"/>
          <w:sz w:val="20"/>
          <w:szCs w:val="20"/>
        </w:rPr>
        <w:t>uccess depends upon the continued service of our executive officers and other key management and technical personnel, and on our ability to continue to identify, attract, retain and motivate them. Implementing our business strategy requires specialized eng</w:t>
      </w:r>
      <w:r>
        <w:rPr>
          <w:rFonts w:eastAsia="Times New Roman"/>
          <w:color w:val="000000"/>
          <w:sz w:val="20"/>
          <w:szCs w:val="20"/>
        </w:rPr>
        <w:t>ineering and other talent, as our revenues are highly dependent on technological and product innovations. The market for employees in our industry is extremely competitive, and competitors for talent, particularly engineering talent, increasingly attempt t</w:t>
      </w:r>
      <w:r>
        <w:rPr>
          <w:rFonts w:eastAsia="Times New Roman"/>
          <w:color w:val="000000"/>
          <w:sz w:val="20"/>
          <w:szCs w:val="20"/>
        </w:rPr>
        <w:t>o hire, and to varying degrees have been successful in hiring, our employees, including by establishing or expanding local offices near our headquarters in San Diego, California or by allowing employees to permanently work from home. A number of such compe</w:t>
      </w:r>
      <w:r>
        <w:rPr>
          <w:rFonts w:eastAsia="Times New Roman"/>
          <w:color w:val="000000"/>
          <w:sz w:val="20"/>
          <w:szCs w:val="20"/>
        </w:rPr>
        <w:t>titors for talent are significantly larger than us and are able to offer compensation in excess of what we are able to offer. Further, existing immigration laws make it more difficult for us to recruit and retain highly skilled foreign national graduates o</w:t>
      </w:r>
      <w:r>
        <w:rPr>
          <w:rFonts w:eastAsia="Times New Roman"/>
          <w:color w:val="000000"/>
          <w:sz w:val="20"/>
          <w:szCs w:val="20"/>
        </w:rPr>
        <w:t>f universities in the United States, making the pool of available talent even smaller. If we are unable to attract and retain qualified employees, our business may be harmed.</w:t>
      </w:r>
    </w:p>
    <w:p w:rsidR="00000000" w:rsidRDefault="000F0F8D">
      <w:pPr>
        <w:divId w:val="1699819376"/>
        <w:rPr>
          <w:rFonts w:eastAsia="Times New Roman"/>
        </w:rPr>
      </w:pPr>
      <w:r>
        <w:rPr>
          <w:rFonts w:eastAsia="Times New Roman"/>
          <w:b/>
          <w:bCs/>
          <w:color w:val="000000"/>
          <w:sz w:val="20"/>
          <w:szCs w:val="20"/>
        </w:rPr>
        <w:t xml:space="preserve">RISKS RELATED TO PRODUCT DEFECTS OR SECURITY VULNERABILITIES </w:t>
      </w:r>
    </w:p>
    <w:p w:rsidR="00000000" w:rsidRDefault="000F0F8D">
      <w:pPr>
        <w:divId w:val="1596134768"/>
        <w:rPr>
          <w:rFonts w:eastAsia="Times New Roman"/>
        </w:rPr>
      </w:pPr>
      <w:r>
        <w:rPr>
          <w:rFonts w:eastAsia="Times New Roman"/>
          <w:b/>
          <w:bCs/>
          <w:i/>
          <w:iCs/>
          <w:color w:val="000000"/>
          <w:sz w:val="20"/>
          <w:szCs w:val="20"/>
        </w:rPr>
        <w:t>Failures in our pro</w:t>
      </w:r>
      <w:r>
        <w:rPr>
          <w:rFonts w:eastAsia="Times New Roman"/>
          <w:b/>
          <w:bCs/>
          <w:i/>
          <w:iCs/>
          <w:color w:val="000000"/>
          <w:sz w:val="20"/>
          <w:szCs w:val="20"/>
        </w:rPr>
        <w:t>ducts, or in the products of our customers or licensees, including those resulting from security vulnerabilities, defects or errors, could harm our business.</w:t>
      </w:r>
    </w:p>
    <w:p w:rsidR="00000000" w:rsidRDefault="000F0F8D">
      <w:pPr>
        <w:ind w:firstLine="360"/>
        <w:divId w:val="1842037380"/>
        <w:rPr>
          <w:rFonts w:eastAsia="Times New Roman"/>
        </w:rPr>
      </w:pPr>
      <w:r>
        <w:rPr>
          <w:rFonts w:eastAsia="Times New Roman"/>
          <w:color w:val="000000"/>
          <w:sz w:val="20"/>
          <w:szCs w:val="20"/>
        </w:rPr>
        <w:t xml:space="preserve">Our products (including for purposes of this Risk Factor, related software) and the technology we </w:t>
      </w:r>
      <w:r>
        <w:rPr>
          <w:rFonts w:eastAsia="Times New Roman"/>
          <w:color w:val="000000"/>
          <w:sz w:val="20"/>
          <w:szCs w:val="20"/>
        </w:rPr>
        <w:t xml:space="preserve">use (which may be developed by us or third parties, and may be designed to meet industry standards) are complex and may contain defects, errors or security vulnerabilities, or experience failures or unsatisfactory performance, due to any number of issues, </w:t>
      </w:r>
      <w:r>
        <w:rPr>
          <w:rFonts w:eastAsia="Times New Roman"/>
          <w:color w:val="000000"/>
          <w:sz w:val="20"/>
          <w:szCs w:val="20"/>
        </w:rPr>
        <w:t>including issues in materials, design, fabrication, packaging and/or use within a system. Development of products in new domains of technology, such as the transition to 5G, and the migration to integrated circuit technologies with smaller geometric featur</w:t>
      </w:r>
      <w:r>
        <w:rPr>
          <w:rFonts w:eastAsia="Times New Roman"/>
          <w:color w:val="000000"/>
          <w:sz w:val="20"/>
          <w:szCs w:val="20"/>
        </w:rPr>
        <w:t>e sizes, increases complexity and adds risk to manufacturing yields and reliability, and increases the likelihood of product defects, errors or security vulnerabilities. Defects, errors, security vulnerabilities or other unintended functionality could also</w:t>
      </w:r>
      <w:r>
        <w:rPr>
          <w:rFonts w:eastAsia="Times New Roman"/>
          <w:color w:val="000000"/>
          <w:sz w:val="20"/>
          <w:szCs w:val="20"/>
        </w:rPr>
        <w:t xml:space="preserve"> be introduced into our products by cyber-attacks or other actions by malicious actors, either directly or through third-party products or software used in our products or IT infrastructure (including applications). Further, because of the complexity of ou</w:t>
      </w:r>
      <w:r>
        <w:rPr>
          <w:rFonts w:eastAsia="Times New Roman"/>
          <w:color w:val="000000"/>
          <w:sz w:val="20"/>
          <w:szCs w:val="20"/>
        </w:rPr>
        <w:t>r products, defects, errors or security vulnerabilities might only be detected when the products are in use. Risks associated with product or technology defects, errors or security vulnerabilities are exacerbated by the fact that our customers typically in</w:t>
      </w:r>
      <w:r>
        <w:rPr>
          <w:rFonts w:eastAsia="Times New Roman"/>
          <w:color w:val="000000"/>
          <w:sz w:val="20"/>
          <w:szCs w:val="20"/>
        </w:rPr>
        <w:t>tegrate our products into consumer and other devices.</w:t>
      </w:r>
    </w:p>
    <w:p w:rsidR="00000000" w:rsidRDefault="000F0F8D">
      <w:pPr>
        <w:ind w:firstLine="360"/>
        <w:divId w:val="1671178541"/>
        <w:rPr>
          <w:rFonts w:eastAsia="Times New Roman"/>
        </w:rPr>
      </w:pPr>
      <w:r>
        <w:rPr>
          <w:rFonts w:eastAsia="Times New Roman"/>
          <w:color w:val="000000"/>
          <w:sz w:val="20"/>
          <w:szCs w:val="20"/>
        </w:rPr>
        <w:t>The use of devices containing our products to interact with untrusted systems or otherwise access untrusted content creates a risk of exposing the system hardware and software in those devices to malici</w:t>
      </w:r>
      <w:r>
        <w:rPr>
          <w:rFonts w:eastAsia="Times New Roman"/>
          <w:color w:val="000000"/>
          <w:sz w:val="20"/>
          <w:szCs w:val="20"/>
        </w:rPr>
        <w:t>ous attacks. Further, security vulnerabilities in our products or the technologies we use could expose our customers, or end users of our customers’ products, to hackers or other unscrupulous third parties who develop and deploy malware that could attack o</w:t>
      </w:r>
      <w:r>
        <w:rPr>
          <w:rFonts w:eastAsia="Times New Roman"/>
          <w:color w:val="000000"/>
          <w:sz w:val="20"/>
          <w:szCs w:val="20"/>
        </w:rPr>
        <w:t xml:space="preserve">ur products or </w:t>
      </w:r>
    </w:p>
    <w:p w:rsidR="00000000" w:rsidRDefault="000F0F8D">
      <w:pPr>
        <w:jc w:val="center"/>
        <w:divId w:val="889145921"/>
        <w:rPr>
          <w:rFonts w:eastAsia="Times New Roman"/>
        </w:rPr>
      </w:pPr>
      <w:r>
        <w:rPr>
          <w:rFonts w:eastAsia="Times New Roman"/>
          <w:color w:val="000000"/>
          <w:sz w:val="20"/>
          <w:szCs w:val="20"/>
        </w:rPr>
        <w:t>47</w:t>
      </w:r>
    </w:p>
    <w:p w:rsidR="00000000" w:rsidRDefault="000F0F8D">
      <w:pPr>
        <w:rPr>
          <w:rFonts w:eastAsia="Times New Roman"/>
        </w:rPr>
      </w:pPr>
      <w:r>
        <w:rPr>
          <w:rFonts w:eastAsia="Times New Roman"/>
        </w:rPr>
        <w:pict>
          <v:rect id="_x0000_i1070" style="width:0;height:1.5pt" o:hralign="center" o:hrstd="t" o:hr="t" fillcolor="#a0a0a0" stroked="f"/>
        </w:pict>
      </w:r>
    </w:p>
    <w:p w:rsidR="00000000" w:rsidRDefault="000F0F8D">
      <w:pPr>
        <w:divId w:val="263537404"/>
        <w:rPr>
          <w:rFonts w:eastAsia="Times New Roman"/>
        </w:rPr>
      </w:pPr>
    </w:p>
    <w:p w:rsidR="00000000" w:rsidRDefault="000F0F8D">
      <w:pPr>
        <w:divId w:val="962921474"/>
        <w:rPr>
          <w:rFonts w:eastAsia="Times New Roman"/>
        </w:rPr>
      </w:pPr>
      <w:r>
        <w:rPr>
          <w:rFonts w:eastAsia="Times New Roman"/>
          <w:color w:val="000000"/>
          <w:sz w:val="20"/>
          <w:szCs w:val="20"/>
        </w:rPr>
        <w:t xml:space="preserve">our customers’ products or IT infrastructure. Such attacks could result in the disruption of our customers’ businesses or the misappropriation, theft, misuse, disclosure, loss or destruction of the </w:t>
      </w:r>
      <w:r>
        <w:rPr>
          <w:rFonts w:eastAsia="Times New Roman"/>
          <w:color w:val="000000"/>
          <w:sz w:val="20"/>
          <w:szCs w:val="20"/>
        </w:rPr>
        <w:t>technology or intellectual property, or the proprietary, confidential or personal information, of our customers, their employees or the end users of our customers’ devices. While we continue to focus on this issue and take measures to safeguard our product</w:t>
      </w:r>
      <w:r>
        <w:rPr>
          <w:rFonts w:eastAsia="Times New Roman"/>
          <w:color w:val="000000"/>
          <w:sz w:val="20"/>
          <w:szCs w:val="20"/>
        </w:rPr>
        <w:t>s from cybersecurity threats, device capabilities continue to evolve, enabling more elaborate functionality and applications, and increasing the risk of security failures, and techniques used to perpetrate cybersecurity attacks are increasingly sophisticat</w:t>
      </w:r>
      <w:r>
        <w:rPr>
          <w:rFonts w:eastAsia="Times New Roman"/>
          <w:color w:val="000000"/>
          <w:sz w:val="20"/>
          <w:szCs w:val="20"/>
        </w:rPr>
        <w:t>ed and constantly evolving. See also the Risk Factor titled “</w:t>
      </w:r>
      <w:r>
        <w:rPr>
          <w:rFonts w:eastAsia="Times New Roman"/>
          <w:i/>
          <w:iCs/>
          <w:color w:val="000000"/>
          <w:sz w:val="20"/>
          <w:szCs w:val="20"/>
        </w:rPr>
        <w:t>Our business and operations could suffer in the event of security breaches of our IT systems, or other misappropriation of our technology, intellectual property or other proprietary or confidenti</w:t>
      </w:r>
      <w:r>
        <w:rPr>
          <w:rFonts w:eastAsia="Times New Roman"/>
          <w:i/>
          <w:iCs/>
          <w:color w:val="000000"/>
          <w:sz w:val="20"/>
          <w:szCs w:val="20"/>
        </w:rPr>
        <w:t>al information</w:t>
      </w:r>
      <w:r>
        <w:rPr>
          <w:rFonts w:eastAsia="Times New Roman"/>
          <w:color w:val="000000"/>
          <w:sz w:val="20"/>
          <w:szCs w:val="20"/>
        </w:rPr>
        <w:t>.”</w:t>
      </w:r>
    </w:p>
    <w:p w:rsidR="00000000" w:rsidRDefault="000F0F8D">
      <w:pPr>
        <w:ind w:firstLine="360"/>
        <w:divId w:val="1357385493"/>
        <w:rPr>
          <w:rFonts w:eastAsia="Times New Roman"/>
        </w:rPr>
      </w:pPr>
      <w:r>
        <w:rPr>
          <w:rFonts w:eastAsia="Times New Roman"/>
          <w:color w:val="000000"/>
          <w:sz w:val="20"/>
          <w:szCs w:val="20"/>
        </w:rPr>
        <w:t>Our products may be responsible for critical functions in our customers’ products and networks. Failure of our products to perform to specifications, or other product defects, errors or security vulnerabilities, could lead to substantial d</w:t>
      </w:r>
      <w:r>
        <w:rPr>
          <w:rFonts w:eastAsia="Times New Roman"/>
          <w:color w:val="000000"/>
          <w:sz w:val="20"/>
          <w:szCs w:val="20"/>
        </w:rPr>
        <w:t>amage to the products we sell to our customers, the devices into which our products are integrated and the end users of such devices, and, potentially, to our customers’ IT infrastructure. Such defects, errors or security vulnerabilities could give rise to</w:t>
      </w:r>
      <w:r>
        <w:rPr>
          <w:rFonts w:eastAsia="Times New Roman"/>
          <w:color w:val="000000"/>
          <w:sz w:val="20"/>
          <w:szCs w:val="20"/>
        </w:rPr>
        <w:t xml:space="preserve"> significant costs, including costs related to developing solutions, recalling products, repairing or replacing defective products, writing down defective inventory, or indemnification obligations under our agreements, and could result in the loss of sales</w:t>
      </w:r>
      <w:r>
        <w:rPr>
          <w:rFonts w:eastAsia="Times New Roman"/>
          <w:color w:val="000000"/>
          <w:sz w:val="20"/>
          <w:szCs w:val="20"/>
        </w:rPr>
        <w:t xml:space="preserve"> and divert the attention of our engineering personnel from our product development efforts. In addition, defects, errors or security vulnerabilities in our products could result in failure to achieve market acceptance, a loss of design wins, a shifting of</w:t>
      </w:r>
      <w:r>
        <w:rPr>
          <w:rFonts w:eastAsia="Times New Roman"/>
          <w:color w:val="000000"/>
          <w:sz w:val="20"/>
          <w:szCs w:val="20"/>
        </w:rPr>
        <w:t xml:space="preserve"> business to our competitors, and litigation or regulatory action against us, and could harm our reputation, our relationships with customers and partners and our ability to attract new customers, as well as the perceptions of our brand. Other potential ad</w:t>
      </w:r>
      <w:r>
        <w:rPr>
          <w:rFonts w:eastAsia="Times New Roman"/>
          <w:color w:val="000000"/>
          <w:sz w:val="20"/>
          <w:szCs w:val="20"/>
        </w:rPr>
        <w:t>verse impacts of product defects, errors or security vulnerabilities include shipment delays, write-offs of property, plant and equipment and intangible assets, and losses on unfavorable purchase commitments. In addition, defects, errors or security vulner</w:t>
      </w:r>
      <w:r>
        <w:rPr>
          <w:rFonts w:eastAsia="Times New Roman"/>
          <w:color w:val="000000"/>
          <w:sz w:val="20"/>
          <w:szCs w:val="20"/>
        </w:rPr>
        <w:t>abilities in the products of our customers or licensees could cause a delay or decrease in demand for the products into which our products are integrated, and thus for our products.</w:t>
      </w:r>
    </w:p>
    <w:p w:rsidR="00000000" w:rsidRDefault="000F0F8D">
      <w:pPr>
        <w:ind w:firstLine="360"/>
        <w:divId w:val="467599849"/>
        <w:rPr>
          <w:rFonts w:eastAsia="Times New Roman"/>
        </w:rPr>
      </w:pPr>
      <w:r>
        <w:rPr>
          <w:rFonts w:eastAsia="Times New Roman"/>
          <w:color w:val="000000"/>
          <w:sz w:val="20"/>
          <w:szCs w:val="20"/>
        </w:rPr>
        <w:t>In addition, the occurrence of defects, errors or security vulnerabilities</w:t>
      </w:r>
      <w:r>
        <w:rPr>
          <w:rFonts w:eastAsia="Times New Roman"/>
          <w:color w:val="000000"/>
          <w:sz w:val="20"/>
          <w:szCs w:val="20"/>
        </w:rPr>
        <w:t xml:space="preserve"> may give rise to product liability claims, particularly if such defects, errors or security vulnerabilities in our products or the technology we use, or the products into which they are integrated, result in personal injury or death, and could result in s</w:t>
      </w:r>
      <w:r>
        <w:rPr>
          <w:rFonts w:eastAsia="Times New Roman"/>
          <w:color w:val="000000"/>
          <w:sz w:val="20"/>
          <w:szCs w:val="20"/>
        </w:rPr>
        <w:t>ignificant costs, expenses and losses. If a product liability claim is brought against us, the cost of defending the claim could be significant, and could divert the efforts of our technical and management personnel and harm our business, even if we are su</w:t>
      </w:r>
      <w:r>
        <w:rPr>
          <w:rFonts w:eastAsia="Times New Roman"/>
          <w:color w:val="000000"/>
          <w:sz w:val="20"/>
          <w:szCs w:val="20"/>
        </w:rPr>
        <w:t>ccessful. We may be named in product liability claims even if there is no evidence that our products caused the damage in question, and even though we may have indemnity from our customers, and such claims could result in significant costs and expenses. Fu</w:t>
      </w:r>
      <w:r>
        <w:rPr>
          <w:rFonts w:eastAsia="Times New Roman"/>
          <w:color w:val="000000"/>
          <w:sz w:val="20"/>
          <w:szCs w:val="20"/>
        </w:rPr>
        <w:t>rther, our business liability insurance may be inadequate, or future coverage may be unavailable on acceptable terms, which could adversely impact our financial results. The above is exacerbated by the fact that our products may be used, and perform critic</w:t>
      </w:r>
      <w:r>
        <w:rPr>
          <w:rFonts w:eastAsia="Times New Roman"/>
          <w:color w:val="000000"/>
          <w:sz w:val="20"/>
          <w:szCs w:val="20"/>
        </w:rPr>
        <w:t>al functions, in various high-risk applications such as (i) automobiles, including autonomous driver assistance programs; (ii) cameras and artificial intelligence, including home and enterprise security; (iii) home automation, including smoke and noxious g</w:t>
      </w:r>
      <w:r>
        <w:rPr>
          <w:rFonts w:eastAsia="Times New Roman"/>
          <w:color w:val="000000"/>
          <w:sz w:val="20"/>
          <w:szCs w:val="20"/>
        </w:rPr>
        <w:t>as detectors; (iv) medical condition monitoring; (v) location and asset tracking and management, including wearables for child safety and elderly health; (vi) robotics, including public safety drones and autonomous municipality vehicles; and (vii) extended</w:t>
      </w:r>
      <w:r>
        <w:rPr>
          <w:rFonts w:eastAsia="Times New Roman"/>
          <w:color w:val="000000"/>
          <w:sz w:val="20"/>
          <w:szCs w:val="20"/>
        </w:rPr>
        <w:t xml:space="preserve"> reality (XR) for treatment of phobias or PTSD, early detection of disorders or special needs, among others.</w:t>
      </w:r>
    </w:p>
    <w:p w:rsidR="00000000" w:rsidRDefault="000F0F8D">
      <w:pPr>
        <w:ind w:firstLine="360"/>
        <w:divId w:val="1035814552"/>
        <w:rPr>
          <w:rFonts w:eastAsia="Times New Roman"/>
        </w:rPr>
      </w:pPr>
      <w:r>
        <w:rPr>
          <w:rFonts w:eastAsia="Times New Roman"/>
          <w:color w:val="000000"/>
          <w:sz w:val="20"/>
          <w:szCs w:val="20"/>
        </w:rPr>
        <w:t>Accordingly, defects, errors or security vulnerabilities in our products or the technologies we use could have an adverse impact on us, on our cust</w:t>
      </w:r>
      <w:r>
        <w:rPr>
          <w:rFonts w:eastAsia="Times New Roman"/>
          <w:color w:val="000000"/>
          <w:sz w:val="20"/>
          <w:szCs w:val="20"/>
        </w:rPr>
        <w:t>omers and the end users of our customers’ products. If any of these risks materialize, there could be a material adverse effect on our business, results of operations and financial condition.</w:t>
      </w:r>
    </w:p>
    <w:p w:rsidR="00000000" w:rsidRDefault="000F0F8D">
      <w:pPr>
        <w:divId w:val="1572043050"/>
        <w:rPr>
          <w:rFonts w:eastAsia="Times New Roman"/>
        </w:rPr>
      </w:pPr>
      <w:r>
        <w:rPr>
          <w:rFonts w:eastAsia="Times New Roman"/>
          <w:b/>
          <w:bCs/>
          <w:color w:val="000000"/>
          <w:sz w:val="20"/>
          <w:szCs w:val="20"/>
        </w:rPr>
        <w:t xml:space="preserve">GENERAL RISK FACTORS </w:t>
      </w:r>
    </w:p>
    <w:p w:rsidR="00000000" w:rsidRDefault="000F0F8D">
      <w:pPr>
        <w:divId w:val="1720206032"/>
        <w:rPr>
          <w:rFonts w:eastAsia="Times New Roman"/>
        </w:rPr>
      </w:pPr>
      <w:r>
        <w:rPr>
          <w:rFonts w:eastAsia="Times New Roman"/>
          <w:b/>
          <w:bCs/>
          <w:i/>
          <w:iCs/>
          <w:color w:val="000000"/>
          <w:sz w:val="20"/>
          <w:szCs w:val="20"/>
        </w:rPr>
        <w:t>We operate in the highly cyclical semicond</w:t>
      </w:r>
      <w:r>
        <w:rPr>
          <w:rFonts w:eastAsia="Times New Roman"/>
          <w:b/>
          <w:bCs/>
          <w:i/>
          <w:iCs/>
          <w:color w:val="000000"/>
          <w:sz w:val="20"/>
          <w:szCs w:val="20"/>
        </w:rPr>
        <w:t>uctor industry, which is subject to significant downturns. We are also susceptible to declines in global, regional and local economic conditions generally. Our stock price and financial results are subject to substantial quarterly and annual fluctuations d</w:t>
      </w:r>
      <w:r>
        <w:rPr>
          <w:rFonts w:eastAsia="Times New Roman"/>
          <w:b/>
          <w:bCs/>
          <w:i/>
          <w:iCs/>
          <w:color w:val="000000"/>
          <w:sz w:val="20"/>
          <w:szCs w:val="20"/>
        </w:rPr>
        <w:t>ue to these dynamics, among others.</w:t>
      </w:r>
    </w:p>
    <w:p w:rsidR="00000000" w:rsidRDefault="000F0F8D">
      <w:pPr>
        <w:ind w:firstLine="360"/>
        <w:divId w:val="870263270"/>
        <w:rPr>
          <w:rFonts w:eastAsia="Times New Roman"/>
        </w:rPr>
      </w:pPr>
      <w:r>
        <w:rPr>
          <w:rFonts w:eastAsia="Times New Roman"/>
          <w:color w:val="000000"/>
          <w:sz w:val="20"/>
          <w:szCs w:val="20"/>
        </w:rPr>
        <w:t>The semiconductor industry is highly cyclical, volatile, subject to downturns and characterized by constant and rapid technological change, price erosion, evolving technical standards, frequent new product introductions,</w:t>
      </w:r>
      <w:r>
        <w:rPr>
          <w:rFonts w:eastAsia="Times New Roman"/>
          <w:color w:val="000000"/>
          <w:sz w:val="20"/>
          <w:szCs w:val="20"/>
        </w:rPr>
        <w:t xml:space="preserve"> short product life cycles and fluctuations in product supply and demand. Periods of downturns have been characterized by diminished demand for end-user products, high inventory levels, excess or obsolete inventory adjustments, underutilization of manufact</w:t>
      </w:r>
      <w:r>
        <w:rPr>
          <w:rFonts w:eastAsia="Times New Roman"/>
          <w:color w:val="000000"/>
          <w:sz w:val="20"/>
          <w:szCs w:val="20"/>
        </w:rPr>
        <w:t xml:space="preserve">uring capacity, changes in revenue mix and erosion of average selling prices. We expect our business to continue to be subject to such cyclical downturns. Consequently, our revenues may decline, and our results of operations and financial condition may be </w:t>
      </w:r>
      <w:r>
        <w:rPr>
          <w:rFonts w:eastAsia="Times New Roman"/>
          <w:color w:val="000000"/>
          <w:sz w:val="20"/>
          <w:szCs w:val="20"/>
        </w:rPr>
        <w:t>adversely impacted.</w:t>
      </w:r>
    </w:p>
    <w:p w:rsidR="00000000" w:rsidRDefault="000F0F8D">
      <w:pPr>
        <w:ind w:firstLine="360"/>
        <w:divId w:val="1773161906"/>
        <w:rPr>
          <w:rFonts w:eastAsia="Times New Roman"/>
        </w:rPr>
      </w:pPr>
      <w:r>
        <w:rPr>
          <w:rFonts w:eastAsia="Times New Roman"/>
          <w:color w:val="000000"/>
          <w:sz w:val="20"/>
          <w:szCs w:val="20"/>
        </w:rPr>
        <w:t>A decline in global, regional or local economic conditions or a slow-down in economic growth, particularly in geographic regions with high concentrations of wireless voice and data users or high concentrations of our customers or licens</w:t>
      </w:r>
      <w:r>
        <w:rPr>
          <w:rFonts w:eastAsia="Times New Roman"/>
          <w:color w:val="000000"/>
          <w:sz w:val="20"/>
          <w:szCs w:val="20"/>
        </w:rPr>
        <w:t xml:space="preserve">ees, could also have adverse, wide-ranging effects on our business and financial results, including a decrease in demand </w:t>
      </w:r>
    </w:p>
    <w:p w:rsidR="00000000" w:rsidRDefault="000F0F8D">
      <w:pPr>
        <w:jc w:val="center"/>
        <w:divId w:val="1183982283"/>
        <w:rPr>
          <w:rFonts w:eastAsia="Times New Roman"/>
        </w:rPr>
      </w:pPr>
      <w:r>
        <w:rPr>
          <w:rFonts w:eastAsia="Times New Roman"/>
          <w:color w:val="000000"/>
          <w:sz w:val="20"/>
          <w:szCs w:val="20"/>
        </w:rPr>
        <w:t>48</w:t>
      </w:r>
    </w:p>
    <w:p w:rsidR="00000000" w:rsidRDefault="000F0F8D">
      <w:pPr>
        <w:rPr>
          <w:rFonts w:eastAsia="Times New Roman"/>
        </w:rPr>
      </w:pPr>
      <w:r>
        <w:rPr>
          <w:rFonts w:eastAsia="Times New Roman"/>
        </w:rPr>
        <w:pict>
          <v:rect id="_x0000_i1071" style="width:0;height:1.5pt" o:hralign="center" o:hrstd="t" o:hr="t" fillcolor="#a0a0a0" stroked="f"/>
        </w:pict>
      </w:r>
    </w:p>
    <w:p w:rsidR="00000000" w:rsidRDefault="000F0F8D">
      <w:pPr>
        <w:divId w:val="1784231475"/>
        <w:rPr>
          <w:rFonts w:eastAsia="Times New Roman"/>
        </w:rPr>
      </w:pPr>
    </w:p>
    <w:p w:rsidR="00000000" w:rsidRDefault="000F0F8D">
      <w:pPr>
        <w:divId w:val="307250154"/>
        <w:rPr>
          <w:rFonts w:eastAsia="Times New Roman"/>
        </w:rPr>
      </w:pPr>
      <w:r>
        <w:rPr>
          <w:rFonts w:eastAsia="Times New Roman"/>
          <w:color w:val="000000"/>
          <w:sz w:val="20"/>
          <w:szCs w:val="20"/>
        </w:rPr>
        <w:t>for our products and technologies; a decrease in demand for the products and services of our</w:t>
      </w:r>
      <w:r>
        <w:rPr>
          <w:rFonts w:eastAsia="Times New Roman"/>
          <w:color w:val="000000"/>
          <w:sz w:val="20"/>
          <w:szCs w:val="20"/>
        </w:rPr>
        <w:t xml:space="preserve"> customers or licensees; the inability of our suppliers to deliver on their supply commitments to us, our inability to supply our products to our customers and/or the inability of our customers or licensees to supply their products to end users; the insolv</w:t>
      </w:r>
      <w:r>
        <w:rPr>
          <w:rFonts w:eastAsia="Times New Roman"/>
          <w:color w:val="000000"/>
          <w:sz w:val="20"/>
          <w:szCs w:val="20"/>
        </w:rPr>
        <w:t>ency of key suppliers, customers or licensees; delays in reporting or payments from our customers or licensees; failures by counterparties; and/or negative effects on wireless device inventories. In addition, our customers’ and licensees’ ability to purcha</w:t>
      </w:r>
      <w:r>
        <w:rPr>
          <w:rFonts w:eastAsia="Times New Roman"/>
          <w:color w:val="000000"/>
          <w:sz w:val="20"/>
          <w:szCs w:val="20"/>
        </w:rPr>
        <w:t>se or pay for our products and intellectual property and network operators’ ability to upgrade their wireless networks could be adversely affected, potentially leading to a reduction, cancellation or delay of orders for our products.</w:t>
      </w:r>
    </w:p>
    <w:p w:rsidR="00000000" w:rsidRDefault="000F0F8D">
      <w:pPr>
        <w:ind w:firstLine="360"/>
        <w:divId w:val="72776850"/>
        <w:rPr>
          <w:rFonts w:eastAsia="Times New Roman"/>
        </w:rPr>
      </w:pPr>
      <w:r>
        <w:rPr>
          <w:rFonts w:eastAsia="Times New Roman"/>
          <w:color w:val="000000"/>
          <w:sz w:val="20"/>
          <w:szCs w:val="20"/>
        </w:rPr>
        <w:t>Our stock price and fi</w:t>
      </w:r>
      <w:r>
        <w:rPr>
          <w:rFonts w:eastAsia="Times New Roman"/>
          <w:color w:val="000000"/>
          <w:sz w:val="20"/>
          <w:szCs w:val="20"/>
        </w:rPr>
        <w:t>nancial results have fluctuated in the past and are likely to fluctuate in the future. Factors that may have a significant impact on the market price of our stock and our financial results include those identified above and throughout this Risk Factors sec</w:t>
      </w:r>
      <w:r>
        <w:rPr>
          <w:rFonts w:eastAsia="Times New Roman"/>
          <w:color w:val="000000"/>
          <w:sz w:val="20"/>
          <w:szCs w:val="20"/>
        </w:rPr>
        <w:t>tion; volatility of the stock market in general and technology and semiconductor companies in particular; announcements concerning us, our suppliers, our competitors or our customers or licensees; and variations between our actual financial results or guid</w:t>
      </w:r>
      <w:r>
        <w:rPr>
          <w:rFonts w:eastAsia="Times New Roman"/>
          <w:color w:val="000000"/>
          <w:sz w:val="20"/>
          <w:szCs w:val="20"/>
        </w:rPr>
        <w:t>ance and expectations of securities analysts or investors, among others. In the past, securities class action litigation has been brought against companies following periods of volatility in the market price of their securities, among other reasons. We are</w:t>
      </w:r>
      <w:r>
        <w:rPr>
          <w:rFonts w:eastAsia="Times New Roman"/>
          <w:color w:val="000000"/>
          <w:sz w:val="20"/>
          <w:szCs w:val="20"/>
        </w:rPr>
        <w:t xml:space="preserve"> and may in the future be the target of securities litigation. Securities litigation could result in substantial uninsured costs and divert management’s attention and our resources. Certain legal matters, including certain securities litigation brought aga</w:t>
      </w:r>
      <w:r>
        <w:rPr>
          <w:rFonts w:eastAsia="Times New Roman"/>
          <w:color w:val="000000"/>
          <w:sz w:val="20"/>
          <w:szCs w:val="20"/>
        </w:rPr>
        <w:t>inst us, are described more fully in this Quarterly Report in “Notes to Condensed Consolidated Financial Statements, Note 5. Commitments and Contingencies.”</w:t>
      </w:r>
    </w:p>
    <w:p w:rsidR="00000000" w:rsidRDefault="000F0F8D">
      <w:pPr>
        <w:divId w:val="216167417"/>
        <w:rPr>
          <w:rFonts w:eastAsia="Times New Roman"/>
        </w:rPr>
      </w:pPr>
      <w:r>
        <w:rPr>
          <w:rFonts w:eastAsia="Times New Roman"/>
          <w:b/>
          <w:bCs/>
          <w:i/>
          <w:iCs/>
          <w:color w:val="000000"/>
          <w:sz w:val="20"/>
          <w:szCs w:val="20"/>
        </w:rPr>
        <w:t>Our business may suffer due to the impact of, or our failure to comply with, the various existing, new or amended laws, regulations, policies or standards to which we are subject.</w:t>
      </w:r>
    </w:p>
    <w:p w:rsidR="00000000" w:rsidRDefault="000F0F8D">
      <w:pPr>
        <w:ind w:firstLine="360"/>
        <w:divId w:val="1204833566"/>
        <w:rPr>
          <w:rFonts w:eastAsia="Times New Roman"/>
        </w:rPr>
      </w:pPr>
      <w:r>
        <w:rPr>
          <w:rFonts w:eastAsia="Times New Roman"/>
          <w:color w:val="000000"/>
          <w:sz w:val="20"/>
          <w:szCs w:val="20"/>
        </w:rPr>
        <w:t>Our business and products, and those of our customers and licensees, are sub</w:t>
      </w:r>
      <w:r>
        <w:rPr>
          <w:rFonts w:eastAsia="Times New Roman"/>
          <w:color w:val="000000"/>
          <w:sz w:val="20"/>
          <w:szCs w:val="20"/>
        </w:rPr>
        <w:t>ject to various laws, rules and regulations globally as well as government policies and the specifications of international, national and regional communications standards bodies (collectively, Regulations). Compliance with, or changes in the interpretatio</w:t>
      </w:r>
      <w:r>
        <w:rPr>
          <w:rFonts w:eastAsia="Times New Roman"/>
          <w:color w:val="000000"/>
          <w:sz w:val="20"/>
          <w:szCs w:val="20"/>
        </w:rPr>
        <w:t>n of, existing Regulations, changes in the oversight of our activities by governments or standards bodies, or rulings in court, regulatory, administrative or other proceedings relating to such Regulations, including, among others, Regulations affecting pat</w:t>
      </w:r>
      <w:r>
        <w:rPr>
          <w:rFonts w:eastAsia="Times New Roman"/>
          <w:color w:val="000000"/>
          <w:sz w:val="20"/>
          <w:szCs w:val="20"/>
        </w:rPr>
        <w:t>ent licensing practices; antitrust, competition and competitive business practices; the flow of funds out of certain countries (e.g., China); cybersecurity; import and export regulations, such as the U.S. Export Administration Regulations administered by t</w:t>
      </w:r>
      <w:r>
        <w:rPr>
          <w:rFonts w:eastAsia="Times New Roman"/>
          <w:color w:val="000000"/>
          <w:sz w:val="20"/>
          <w:szCs w:val="20"/>
        </w:rPr>
        <w:t>he U.S. Department of Commerce; protection of intellectual property; trade and trade protection including tariffs; foreign policy and national security; environmental protection, health and safety; supply chain, responsible sourcing, including the use of c</w:t>
      </w:r>
      <w:r>
        <w:rPr>
          <w:rFonts w:eastAsia="Times New Roman"/>
          <w:color w:val="000000"/>
          <w:sz w:val="20"/>
          <w:szCs w:val="20"/>
        </w:rPr>
        <w:t>onflict minerals, and human rights; spectrum availability and license issuance; adoption of standards; taxation; privacy and data protection; labor, employment and human capital; corporate governance; public disclosure; or business conduct, could have an a</w:t>
      </w:r>
      <w:r>
        <w:rPr>
          <w:rFonts w:eastAsia="Times New Roman"/>
          <w:color w:val="000000"/>
          <w:sz w:val="20"/>
          <w:szCs w:val="20"/>
        </w:rPr>
        <w:t>dverse effect on our business and results of operations.</w:t>
      </w:r>
      <w:r>
        <w:rPr>
          <w:rFonts w:eastAsia="Times New Roman"/>
          <w:i/>
          <w:iCs/>
          <w:color w:val="000000"/>
          <w:sz w:val="20"/>
          <w:szCs w:val="20"/>
        </w:rPr>
        <w:t xml:space="preserve"> </w:t>
      </w:r>
      <w:r>
        <w:rPr>
          <w:rFonts w:eastAsia="Times New Roman"/>
          <w:color w:val="000000"/>
          <w:sz w:val="20"/>
          <w:szCs w:val="20"/>
        </w:rPr>
        <w:t>See also the Risk Factors titled “</w:t>
      </w:r>
      <w:r>
        <w:rPr>
          <w:rFonts w:eastAsia="Times New Roman"/>
          <w:i/>
          <w:iCs/>
          <w:color w:val="000000"/>
          <w:sz w:val="20"/>
          <w:szCs w:val="20"/>
        </w:rPr>
        <w:t>Our business may suffer as a result of adverse rulings in government investigations or proceedings,</w:t>
      </w:r>
      <w:r>
        <w:rPr>
          <w:rFonts w:eastAsia="Times New Roman"/>
          <w:color w:val="000000"/>
          <w:sz w:val="20"/>
          <w:szCs w:val="20"/>
        </w:rPr>
        <w:t>” “</w:t>
      </w:r>
      <w:r>
        <w:rPr>
          <w:rFonts w:eastAsia="Times New Roman"/>
          <w:i/>
          <w:iCs/>
          <w:color w:val="000000"/>
          <w:sz w:val="20"/>
          <w:szCs w:val="20"/>
        </w:rPr>
        <w:t>Changes in our patent licensing practices, whether due to gover</w:t>
      </w:r>
      <w:r>
        <w:rPr>
          <w:rFonts w:eastAsia="Times New Roman"/>
          <w:i/>
          <w:iCs/>
          <w:color w:val="000000"/>
          <w:sz w:val="20"/>
          <w:szCs w:val="20"/>
        </w:rPr>
        <w:t>nmental investigations, legal challenges or otherwise, could adversely impact our business and results of operations,</w:t>
      </w:r>
      <w:r>
        <w:rPr>
          <w:rFonts w:eastAsia="Times New Roman"/>
          <w:color w:val="000000"/>
          <w:sz w:val="20"/>
          <w:szCs w:val="20"/>
        </w:rPr>
        <w:t>” “</w:t>
      </w:r>
      <w:r>
        <w:rPr>
          <w:rFonts w:eastAsia="Times New Roman"/>
          <w:i/>
          <w:iCs/>
          <w:color w:val="000000"/>
          <w:sz w:val="20"/>
          <w:szCs w:val="20"/>
        </w:rPr>
        <w:t xml:space="preserve">A significant portion of our business is concentrated in China, and the risks of such concentration are exacerbated by U.S./China trade </w:t>
      </w:r>
      <w:r>
        <w:rPr>
          <w:rFonts w:eastAsia="Times New Roman"/>
          <w:i/>
          <w:iCs/>
          <w:color w:val="000000"/>
          <w:sz w:val="20"/>
          <w:szCs w:val="20"/>
        </w:rPr>
        <w:t>and national security tensions,</w:t>
      </w:r>
      <w:r>
        <w:rPr>
          <w:rFonts w:eastAsia="Times New Roman"/>
          <w:color w:val="000000"/>
          <w:sz w:val="20"/>
          <w:szCs w:val="20"/>
        </w:rPr>
        <w:t>” “</w:t>
      </w: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impacts re</w:t>
      </w:r>
      <w:r>
        <w:rPr>
          <w:rFonts w:eastAsia="Times New Roman"/>
          <w:i/>
          <w:iCs/>
          <w:color w:val="000000"/>
          <w:sz w:val="20"/>
          <w:szCs w:val="20"/>
        </w:rPr>
        <w:t>lated to climate change; exposure to natural disasters, health crises and cyber-attacks; timely supply of equipment and materials; and various manufacturing issues,</w:t>
      </w:r>
      <w:r>
        <w:rPr>
          <w:rFonts w:eastAsia="Times New Roman"/>
          <w:color w:val="000000"/>
          <w:sz w:val="20"/>
          <w:szCs w:val="20"/>
        </w:rPr>
        <w:t>” and “</w:t>
      </w:r>
      <w:r>
        <w:rPr>
          <w:rFonts w:eastAsia="Times New Roman"/>
          <w:i/>
          <w:iCs/>
          <w:color w:val="000000"/>
          <w:sz w:val="20"/>
          <w:szCs w:val="20"/>
        </w:rPr>
        <w:t>Tax liabilities could adversely affect our results of operations.</w:t>
      </w:r>
      <w:r>
        <w:rPr>
          <w:rFonts w:eastAsia="Times New Roman"/>
          <w:color w:val="000000"/>
          <w:sz w:val="20"/>
          <w:szCs w:val="20"/>
        </w:rPr>
        <w:t>”</w:t>
      </w:r>
    </w:p>
    <w:p w:rsidR="00000000" w:rsidRDefault="000F0F8D">
      <w:pPr>
        <w:ind w:firstLine="360"/>
        <w:divId w:val="306865263"/>
        <w:rPr>
          <w:rFonts w:eastAsia="Times New Roman"/>
        </w:rPr>
      </w:pPr>
      <w:r>
        <w:rPr>
          <w:rFonts w:eastAsia="Times New Roman"/>
          <w:color w:val="000000"/>
          <w:sz w:val="20"/>
          <w:szCs w:val="20"/>
        </w:rPr>
        <w:t xml:space="preserve">Regulations are complex and changing (which may create uncertainty regarding compliance), are subject to varying interpretations, and their application in practice may evolve over time. As </w:t>
      </w:r>
      <w:r>
        <w:rPr>
          <w:rFonts w:eastAsia="Times New Roman"/>
          <w:color w:val="000000"/>
          <w:sz w:val="20"/>
          <w:szCs w:val="20"/>
        </w:rPr>
        <w:t>a result, our efforts to comply with Regulations may fail, particularly if there is ambiguity as to how they should be applied in practice. Failure to comply with any Regulation may adversely affect our business, results of operations and cash flows. New R</w:t>
      </w:r>
      <w:r>
        <w:rPr>
          <w:rFonts w:eastAsia="Times New Roman"/>
          <w:color w:val="000000"/>
          <w:sz w:val="20"/>
          <w:szCs w:val="20"/>
        </w:rPr>
        <w:t>egulations or evolving interpretations thereof, may cause us to incur higher costs as we revise current practices, policies or procedures and may divert management time and attention to compliance activities.</w:t>
      </w:r>
    </w:p>
    <w:p w:rsidR="00000000" w:rsidRDefault="000F0F8D">
      <w:pPr>
        <w:divId w:val="683361166"/>
        <w:rPr>
          <w:rFonts w:eastAsia="Times New Roman"/>
        </w:rPr>
      </w:pPr>
      <w:r>
        <w:rPr>
          <w:rFonts w:eastAsia="Times New Roman"/>
          <w:b/>
          <w:bCs/>
          <w:i/>
          <w:iCs/>
          <w:color w:val="000000"/>
          <w:sz w:val="20"/>
          <w:szCs w:val="20"/>
        </w:rPr>
        <w:t>There are risks associated with our debt.</w:t>
      </w:r>
    </w:p>
    <w:p w:rsidR="00000000" w:rsidRDefault="000F0F8D">
      <w:pPr>
        <w:ind w:firstLine="360"/>
        <w:divId w:val="687952430"/>
        <w:rPr>
          <w:rFonts w:eastAsia="Times New Roman"/>
        </w:rPr>
      </w:pPr>
      <w:r>
        <w:rPr>
          <w:rFonts w:eastAsia="Times New Roman"/>
          <w:color w:val="000000"/>
          <w:sz w:val="20"/>
          <w:szCs w:val="20"/>
        </w:rPr>
        <w:t>Our o</w:t>
      </w:r>
      <w:r>
        <w:rPr>
          <w:rFonts w:eastAsia="Times New Roman"/>
          <w:color w:val="000000"/>
          <w:sz w:val="20"/>
          <w:szCs w:val="20"/>
        </w:rPr>
        <w:t>utstanding debt and any additional debt we incur may have negative consequences on our business, including, among others: requiring us to use cash to pay the principal of and interest on our debt, thereby reducing the amount of cash available for other pur</w:t>
      </w:r>
      <w:r>
        <w:rPr>
          <w:rFonts w:eastAsia="Times New Roman"/>
          <w:color w:val="000000"/>
          <w:sz w:val="20"/>
          <w:szCs w:val="20"/>
        </w:rPr>
        <w:t xml:space="preserve">poses; limiting our ability to obtain additional financing for working capital, capital expenditures, acquisitions, stock repurchases, dividends, general corporate or other purposes; and limiting our flexibility in planning for, or reacting to, changes in </w:t>
      </w:r>
      <w:r>
        <w:rPr>
          <w:rFonts w:eastAsia="Times New Roman"/>
          <w:color w:val="000000"/>
          <w:sz w:val="20"/>
          <w:szCs w:val="20"/>
        </w:rPr>
        <w:t>our business, industries or the market. Our ability to make payments of principal and interest on our indebtedness depends upon our future performance, which is subject to economic and political conditions, industry cycles and financial, business and other</w:t>
      </w:r>
      <w:r>
        <w:rPr>
          <w:rFonts w:eastAsia="Times New Roman"/>
          <w:color w:val="000000"/>
          <w:sz w:val="20"/>
          <w:szCs w:val="20"/>
        </w:rPr>
        <w:t xml:space="preserve"> factors, many of which are beyond our control. If we are unable to generate sufficient cash flow from operations to service our debt, we may be required to, among other things: refinance or restructure all or a portion of our </w:t>
      </w:r>
    </w:p>
    <w:p w:rsidR="00000000" w:rsidRDefault="000F0F8D">
      <w:pPr>
        <w:jc w:val="center"/>
        <w:divId w:val="1595822273"/>
        <w:rPr>
          <w:rFonts w:eastAsia="Times New Roman"/>
        </w:rPr>
      </w:pPr>
      <w:r>
        <w:rPr>
          <w:rFonts w:eastAsia="Times New Roman"/>
          <w:color w:val="000000"/>
          <w:sz w:val="20"/>
          <w:szCs w:val="20"/>
        </w:rPr>
        <w:t>49</w:t>
      </w:r>
    </w:p>
    <w:p w:rsidR="00000000" w:rsidRDefault="000F0F8D">
      <w:pPr>
        <w:rPr>
          <w:rFonts w:eastAsia="Times New Roman"/>
        </w:rPr>
      </w:pPr>
      <w:r>
        <w:rPr>
          <w:rFonts w:eastAsia="Times New Roman"/>
        </w:rPr>
        <w:pict>
          <v:rect id="_x0000_i1072" style="width:0;height:1.5pt" o:hralign="center" o:hrstd="t" o:hr="t" fillcolor="#a0a0a0" stroked="f"/>
        </w:pict>
      </w:r>
    </w:p>
    <w:p w:rsidR="00000000" w:rsidRDefault="000F0F8D">
      <w:pPr>
        <w:divId w:val="69813706"/>
        <w:rPr>
          <w:rFonts w:eastAsia="Times New Roman"/>
        </w:rPr>
      </w:pPr>
    </w:p>
    <w:p w:rsidR="00000000" w:rsidRDefault="000F0F8D">
      <w:pPr>
        <w:divId w:val="1840149213"/>
        <w:rPr>
          <w:rFonts w:eastAsia="Times New Roman"/>
        </w:rPr>
      </w:pPr>
      <w:r>
        <w:rPr>
          <w:rFonts w:eastAsia="Times New Roman"/>
          <w:color w:val="000000"/>
          <w:sz w:val="20"/>
          <w:szCs w:val="20"/>
        </w:rPr>
        <w:t>debt; reduce or delay planned capital or operating expenditures; reduce, suspend or eliminate our dividend payments and/or our stock repurchase program; or sell selected assets. Such measures might not be sufficient to enable us to service ou</w:t>
      </w:r>
      <w:r>
        <w:rPr>
          <w:rFonts w:eastAsia="Times New Roman"/>
          <w:color w:val="000000"/>
          <w:sz w:val="20"/>
          <w:szCs w:val="20"/>
        </w:rPr>
        <w:t>r debt. In addition, any such refinancing, restructuring or sale of assets might not be available on economically favorable terms or at all, and if prevailing interest rates at the time of any such refinancing or restructuring are higher than our current r</w:t>
      </w:r>
      <w:r>
        <w:rPr>
          <w:rFonts w:eastAsia="Times New Roman"/>
          <w:color w:val="000000"/>
          <w:sz w:val="20"/>
          <w:szCs w:val="20"/>
        </w:rPr>
        <w:t>ates, interest expense related to such refinancing or restructuring would increase. Further, if there are adverse changes in the ratings assigned to our debt securities by credit rating agencies, our borrowing costs, our ability to access debt financing in</w:t>
      </w:r>
      <w:r>
        <w:rPr>
          <w:rFonts w:eastAsia="Times New Roman"/>
          <w:color w:val="000000"/>
          <w:sz w:val="20"/>
          <w:szCs w:val="20"/>
        </w:rPr>
        <w:t xml:space="preserve"> the future and the terms of such debt could be adversely affected.</w:t>
      </w:r>
    </w:p>
    <w:p w:rsidR="00000000" w:rsidRDefault="000F0F8D">
      <w:pPr>
        <w:divId w:val="768887440"/>
        <w:rPr>
          <w:rFonts w:eastAsia="Times New Roman"/>
        </w:rPr>
      </w:pPr>
      <w:r>
        <w:rPr>
          <w:rFonts w:eastAsia="Times New Roman"/>
          <w:b/>
          <w:bCs/>
          <w:i/>
          <w:iCs/>
          <w:color w:val="000000"/>
          <w:sz w:val="20"/>
          <w:szCs w:val="20"/>
        </w:rPr>
        <w:t>Tax liabilities could adversely affect our results of operations.</w:t>
      </w:r>
    </w:p>
    <w:p w:rsidR="00000000" w:rsidRDefault="000F0F8D">
      <w:pPr>
        <w:ind w:firstLine="360"/>
        <w:divId w:val="164249875"/>
        <w:rPr>
          <w:rFonts w:eastAsia="Times New Roman"/>
        </w:rPr>
      </w:pPr>
      <w:r>
        <w:rPr>
          <w:rFonts w:eastAsia="Times New Roman"/>
          <w:color w:val="000000"/>
          <w:sz w:val="20"/>
          <w:szCs w:val="20"/>
        </w:rPr>
        <w:t>We are subject to income taxes in the United States and numerous foreign jurisdictions. Significant judgment is required i</w:t>
      </w:r>
      <w:r>
        <w:rPr>
          <w:rFonts w:eastAsia="Times New Roman"/>
          <w:color w:val="000000"/>
          <w:sz w:val="20"/>
          <w:szCs w:val="20"/>
        </w:rPr>
        <w:t>n determining our provision for income taxes. We regularly are subject to examination of our tax returns and reports by taxing authorities in the United States federal jurisdiction and various state and foreign jurisdictions, most notably in countries wher</w:t>
      </w:r>
      <w:r>
        <w:rPr>
          <w:rFonts w:eastAsia="Times New Roman"/>
          <w:color w:val="000000"/>
          <w:sz w:val="20"/>
          <w:szCs w:val="20"/>
        </w:rPr>
        <w:t>e we earn a routine return and the tax authorities believe substantial value-add activities are performed, as well as countries where we own intellectual property. Although we believe that our tax estimates are reasonable, the final determination of tax au</w:t>
      </w:r>
      <w:r>
        <w:rPr>
          <w:rFonts w:eastAsia="Times New Roman"/>
          <w:color w:val="000000"/>
          <w:sz w:val="20"/>
          <w:szCs w:val="20"/>
        </w:rPr>
        <w:t>dits and any related legal proceedings could materially differ from amounts reflected in our income tax provisions and accruals. In such case, our income tax provision, results of operations and cash flows in the period or periods in which that determinati</w:t>
      </w:r>
      <w:r>
        <w:rPr>
          <w:rFonts w:eastAsia="Times New Roman"/>
          <w:color w:val="000000"/>
          <w:sz w:val="20"/>
          <w:szCs w:val="20"/>
        </w:rPr>
        <w:t>on is made could be negatively affected.</w:t>
      </w:r>
    </w:p>
    <w:p w:rsidR="00000000" w:rsidRDefault="000F0F8D">
      <w:pPr>
        <w:ind w:firstLine="360"/>
        <w:divId w:val="412625076"/>
        <w:rPr>
          <w:rFonts w:eastAsia="Times New Roman"/>
        </w:rPr>
      </w:pPr>
      <w:r>
        <w:rPr>
          <w:rFonts w:eastAsia="Times New Roman"/>
          <w:color w:val="000000"/>
          <w:sz w:val="20"/>
          <w:szCs w:val="20"/>
        </w:rPr>
        <w:t>Tax rules may change in a manner that adversely affects our future reported results of operations or the way we conduct our business. In response to the 2017 Tax Cuts and Jobs Act and to better align our profits wit</w:t>
      </w:r>
      <w:r>
        <w:rPr>
          <w:rFonts w:eastAsia="Times New Roman"/>
          <w:color w:val="000000"/>
          <w:sz w:val="20"/>
          <w:szCs w:val="20"/>
        </w:rPr>
        <w:t>h our activities, we implemented certain restructuring in fiscal 2018 and 2019. After our restructuring, most of our income is taxable in the United States with a significant portion qualifying for preferential treatment as FDII (foreign-derived intangible</w:t>
      </w:r>
      <w:r>
        <w:rPr>
          <w:rFonts w:eastAsia="Times New Roman"/>
          <w:color w:val="000000"/>
          <w:sz w:val="20"/>
          <w:szCs w:val="20"/>
        </w:rPr>
        <w:t xml:space="preserve"> income). Beginning in fiscal 2027, the effective tax rate for FDII increases from 13% to 16%. Further, if U.S. tax rates increase and/or the FDII deduction is eliminated or reduced, both of which have been proposed by the current U.S. presidential adminis</w:t>
      </w:r>
      <w:r>
        <w:rPr>
          <w:rFonts w:eastAsia="Times New Roman"/>
          <w:color w:val="000000"/>
          <w:sz w:val="20"/>
          <w:szCs w:val="20"/>
        </w:rPr>
        <w:t xml:space="preserve">tration and Congress, our provision for income taxes, results of operations and cash flows would be adversely (potentially materially) affected. Also, if our customers move manufacturing operations to the United States, our FDII deduction may be reduced. </w:t>
      </w:r>
    </w:p>
    <w:p w:rsidR="00000000" w:rsidRDefault="000F0F8D">
      <w:pPr>
        <w:ind w:firstLine="360"/>
        <w:divId w:val="343091950"/>
        <w:rPr>
          <w:rFonts w:eastAsia="Times New Roman"/>
        </w:rPr>
      </w:pPr>
      <w:r>
        <w:rPr>
          <w:rFonts w:eastAsia="Times New Roman"/>
          <w:color w:val="000000"/>
          <w:sz w:val="20"/>
          <w:szCs w:val="20"/>
        </w:rPr>
        <w:t>We have tax incentives in Singapore that require we meet specified employment and other criteria. Although our profit in Singapore has declined as a result of our 2018 restructuring, failure to meet these incentive requirements through March 2022 could res</w:t>
      </w:r>
      <w:r>
        <w:rPr>
          <w:rFonts w:eastAsia="Times New Roman"/>
          <w:color w:val="000000"/>
          <w:sz w:val="20"/>
          <w:szCs w:val="20"/>
        </w:rPr>
        <w:t>ult in a retroactive Singapore tax increase for 2017 and 2018.</w:t>
      </w:r>
    </w:p>
    <w:p w:rsidR="00000000" w:rsidRDefault="000F0F8D">
      <w:pPr>
        <w:ind w:firstLine="360"/>
        <w:divId w:val="61568993"/>
        <w:rPr>
          <w:rFonts w:eastAsia="Times New Roman"/>
        </w:rPr>
      </w:pPr>
      <w:r>
        <w:rPr>
          <w:rFonts w:eastAsia="Times New Roman"/>
          <w:color w:val="000000"/>
          <w:sz w:val="20"/>
          <w:szCs w:val="20"/>
        </w:rPr>
        <w:t>Further changes in the tax laws of foreign jurisdictions could arise as a result of the base erosion and profit shifting (BEPS) project that was undertaken by the Organization for Economic Co-o</w:t>
      </w:r>
      <w:r>
        <w:rPr>
          <w:rFonts w:eastAsia="Times New Roman"/>
          <w:color w:val="000000"/>
          <w:sz w:val="20"/>
          <w:szCs w:val="20"/>
        </w:rPr>
        <w:t>peration and Development (OECD). The OECD, which represents a coalition of member countries, recommended changes to numerous long-standing tax principles related to transfer pricing and continues to develop new proposals including allocating greater taxing</w:t>
      </w:r>
      <w:r>
        <w:rPr>
          <w:rFonts w:eastAsia="Times New Roman"/>
          <w:color w:val="000000"/>
          <w:sz w:val="20"/>
          <w:szCs w:val="20"/>
        </w:rPr>
        <w:t xml:space="preserve"> rights to countries where customers are located and establishing a minimum tax on global income. These changes, as adopted by countries, may increase tax uncertainty and may adversely affect our provision for income taxes, results of operations and cash f</w:t>
      </w:r>
      <w:r>
        <w:rPr>
          <w:rFonts w:eastAsia="Times New Roman"/>
          <w:color w:val="000000"/>
          <w:sz w:val="20"/>
          <w:szCs w:val="20"/>
        </w:rPr>
        <w:t xml:space="preserve">lows. Partially to address BEPS, we moved certain intellectual property from Singapore to the United States as part of our 2018 and 2019 restructuring. </w:t>
      </w:r>
    </w:p>
    <w:p w:rsidR="00000000" w:rsidRDefault="000F0F8D">
      <w:pPr>
        <w:divId w:val="662974821"/>
        <w:rPr>
          <w:rFonts w:eastAsia="Times New Roman"/>
        </w:rPr>
      </w:pPr>
      <w:r>
        <w:rPr>
          <w:rFonts w:eastAsia="Times New Roman"/>
          <w:b/>
          <w:bCs/>
          <w:color w:val="000000"/>
          <w:sz w:val="20"/>
          <w:szCs w:val="20"/>
        </w:rPr>
        <w:t>ITEM 3. QUANTITATIVE AND QUALITATIVE DISCLOSURES ABOUT MARKET RISK</w:t>
      </w:r>
    </w:p>
    <w:p w:rsidR="00000000" w:rsidRDefault="000F0F8D">
      <w:pPr>
        <w:ind w:firstLine="360"/>
        <w:divId w:val="13579533"/>
        <w:rPr>
          <w:rFonts w:eastAsia="Times New Roman"/>
        </w:rPr>
      </w:pPr>
      <w:r>
        <w:rPr>
          <w:rFonts w:eastAsia="Times New Roman"/>
          <w:color w:val="000000"/>
          <w:sz w:val="20"/>
          <w:szCs w:val="20"/>
        </w:rPr>
        <w:t>Financial market risks related to in</w:t>
      </w:r>
      <w:r>
        <w:rPr>
          <w:rFonts w:eastAsia="Times New Roman"/>
          <w:color w:val="000000"/>
          <w:sz w:val="20"/>
          <w:szCs w:val="20"/>
        </w:rPr>
        <w:t>terest rates, foreign currency exchange rates and equity prices are described in our 2020 Annual Report on Form 10-K. At June 27, 2021, there have been no material changes to the financial market risks described at September 27, 2020.</w:t>
      </w:r>
    </w:p>
    <w:p w:rsidR="00000000" w:rsidRDefault="000F0F8D">
      <w:pPr>
        <w:divId w:val="1005017428"/>
        <w:rPr>
          <w:rFonts w:eastAsia="Times New Roman"/>
        </w:rPr>
      </w:pPr>
      <w:r>
        <w:rPr>
          <w:rFonts w:eastAsia="Times New Roman"/>
          <w:b/>
          <w:bCs/>
          <w:color w:val="000000"/>
          <w:sz w:val="20"/>
          <w:szCs w:val="20"/>
        </w:rPr>
        <w:t xml:space="preserve">ITEM 4. CONTROLS AND </w:t>
      </w:r>
      <w:r>
        <w:rPr>
          <w:rFonts w:eastAsia="Times New Roman"/>
          <w:b/>
          <w:bCs/>
          <w:color w:val="000000"/>
          <w:sz w:val="20"/>
          <w:szCs w:val="20"/>
        </w:rPr>
        <w:t>PROCEDURES</w:t>
      </w:r>
    </w:p>
    <w:p w:rsidR="00000000" w:rsidRDefault="000F0F8D">
      <w:pPr>
        <w:ind w:firstLine="360"/>
        <w:divId w:val="171574406"/>
        <w:rPr>
          <w:rFonts w:eastAsia="Times New Roman"/>
        </w:rPr>
      </w:pPr>
      <w:r>
        <w:rPr>
          <w:rFonts w:eastAsia="Times New Roman"/>
          <w:b/>
          <w:bCs/>
          <w:i/>
          <w:iCs/>
          <w:color w:val="000000"/>
          <w:sz w:val="20"/>
          <w:szCs w:val="20"/>
        </w:rPr>
        <w:t>Evaluation of Disclosure Controls and Procedures.</w:t>
      </w:r>
      <w:r>
        <w:rPr>
          <w:rFonts w:eastAsia="Times New Roman"/>
          <w:color w:val="000000"/>
          <w:sz w:val="20"/>
          <w:szCs w:val="20"/>
        </w:rPr>
        <w:t xml:space="preserve"> Under the supervision and with the participation of our management, including our principal executive officer and principal financial officer, we conducted an evaluation of our disclosure control</w:t>
      </w:r>
      <w:r>
        <w:rPr>
          <w:rFonts w:eastAsia="Times New Roman"/>
          <w:color w:val="000000"/>
          <w:sz w:val="20"/>
          <w:szCs w:val="20"/>
        </w:rPr>
        <w:t xml:space="preserve">s and procedures, as such terms are defined under Rule 13a-15(e) promulgated under the Securities Exchange Act of 1934, as amended. Based on this evaluation, our principal executive officer and our principal financial officer concluded that our disclosure </w:t>
      </w:r>
      <w:r>
        <w:rPr>
          <w:rFonts w:eastAsia="Times New Roman"/>
          <w:color w:val="000000"/>
          <w:sz w:val="20"/>
          <w:szCs w:val="20"/>
        </w:rPr>
        <w:t>controls and procedures were effective as of the end of the period covered by this Quarterly Report.</w:t>
      </w:r>
    </w:p>
    <w:p w:rsidR="00000000" w:rsidRDefault="000F0F8D">
      <w:pPr>
        <w:ind w:firstLine="360"/>
        <w:divId w:val="581645546"/>
        <w:rPr>
          <w:rFonts w:eastAsia="Times New Roman"/>
        </w:rPr>
      </w:pPr>
      <w:r>
        <w:rPr>
          <w:rFonts w:eastAsia="Times New Roman"/>
          <w:b/>
          <w:bCs/>
          <w:i/>
          <w:iCs/>
          <w:color w:val="000000"/>
          <w:sz w:val="20"/>
          <w:szCs w:val="20"/>
        </w:rPr>
        <w:t>Changes in Internal Control over Financial Reporting.</w:t>
      </w:r>
      <w:r>
        <w:rPr>
          <w:rFonts w:eastAsia="Times New Roman"/>
          <w:color w:val="000000"/>
          <w:sz w:val="20"/>
          <w:szCs w:val="20"/>
        </w:rPr>
        <w:t xml:space="preserve"> There were no changes in our internal control over financial reporting in the third quarter of fiscal</w:t>
      </w:r>
      <w:r>
        <w:rPr>
          <w:rFonts w:eastAsia="Times New Roman"/>
          <w:color w:val="000000"/>
          <w:sz w:val="20"/>
          <w:szCs w:val="20"/>
        </w:rPr>
        <w:t xml:space="preserve"> 2021 that have materially affected, or are reasonably likely to materially affect, our internal control over financial reporting.</w:t>
      </w:r>
    </w:p>
    <w:p w:rsidR="00000000" w:rsidRDefault="000F0F8D">
      <w:pPr>
        <w:jc w:val="center"/>
        <w:divId w:val="289018111"/>
        <w:rPr>
          <w:rFonts w:eastAsia="Times New Roman"/>
        </w:rPr>
      </w:pPr>
      <w:r>
        <w:rPr>
          <w:rFonts w:eastAsia="Times New Roman"/>
          <w:color w:val="000000"/>
          <w:sz w:val="20"/>
          <w:szCs w:val="20"/>
        </w:rPr>
        <w:t>50</w:t>
      </w:r>
    </w:p>
    <w:p w:rsidR="00000000" w:rsidRDefault="000F0F8D">
      <w:pPr>
        <w:rPr>
          <w:rFonts w:eastAsia="Times New Roman"/>
        </w:rPr>
      </w:pPr>
      <w:r>
        <w:rPr>
          <w:rFonts w:eastAsia="Times New Roman"/>
        </w:rPr>
        <w:pict>
          <v:rect id="_x0000_i1073" style="width:0;height:1.5pt" o:hralign="center" o:hrstd="t" o:hr="t" fillcolor="#a0a0a0" stroked="f"/>
        </w:pict>
      </w:r>
    </w:p>
    <w:p w:rsidR="00000000" w:rsidRDefault="000F0F8D">
      <w:pPr>
        <w:divId w:val="1352951583"/>
        <w:rPr>
          <w:rFonts w:eastAsia="Times New Roman"/>
        </w:rPr>
      </w:pPr>
    </w:p>
    <w:p w:rsidR="00000000" w:rsidRDefault="000F0F8D">
      <w:pPr>
        <w:divId w:val="1253780989"/>
        <w:rPr>
          <w:rFonts w:eastAsia="Times New Roman"/>
        </w:rPr>
      </w:pPr>
      <w:r>
        <w:rPr>
          <w:rFonts w:eastAsia="Times New Roman"/>
          <w:b/>
          <w:bCs/>
          <w:color w:val="000000"/>
          <w:sz w:val="20"/>
          <w:szCs w:val="20"/>
        </w:rPr>
        <w:t>PART II. OTHER INFORMATION</w:t>
      </w:r>
    </w:p>
    <w:p w:rsidR="00000000" w:rsidRDefault="000F0F8D">
      <w:pPr>
        <w:divId w:val="1540050557"/>
        <w:rPr>
          <w:rFonts w:eastAsia="Times New Roman"/>
        </w:rPr>
      </w:pPr>
      <w:r>
        <w:rPr>
          <w:rFonts w:eastAsia="Times New Roman"/>
          <w:b/>
          <w:bCs/>
          <w:color w:val="000000"/>
          <w:sz w:val="20"/>
          <w:szCs w:val="20"/>
        </w:rPr>
        <w:t>ITEM 1. LEGAL PROCEEDINGS</w:t>
      </w:r>
    </w:p>
    <w:p w:rsidR="00000000" w:rsidRDefault="000F0F8D">
      <w:pPr>
        <w:ind w:firstLine="360"/>
        <w:divId w:val="658845540"/>
        <w:rPr>
          <w:rFonts w:eastAsia="Times New Roman"/>
        </w:rPr>
      </w:pPr>
      <w:r>
        <w:rPr>
          <w:rFonts w:eastAsia="Times New Roman"/>
          <w:color w:val="000000"/>
          <w:sz w:val="20"/>
          <w:szCs w:val="20"/>
        </w:rPr>
        <w:t>Information regarding certain l</w:t>
      </w:r>
      <w:r>
        <w:rPr>
          <w:rFonts w:eastAsia="Times New Roman"/>
          <w:color w:val="000000"/>
          <w:sz w:val="20"/>
          <w:szCs w:val="20"/>
        </w:rPr>
        <w:t xml:space="preserve">egal proceedings is provided in this Quarterly Report in “Notes to Condensed Consolidated Financial Statements, Note 5. Commitments and Contingencies.” We are also engaged in numerous other legal actions arising in the ordinary course of our business, and </w:t>
      </w:r>
      <w:r>
        <w:rPr>
          <w:rFonts w:eastAsia="Times New Roman"/>
          <w:color w:val="000000"/>
          <w:sz w:val="20"/>
          <w:szCs w:val="20"/>
        </w:rPr>
        <w:t>while there can be no assurance, we believe that the ultimate outcome of these other legal actions will not have a material adverse effect on our business, results of operations, financial condition or cash flows.</w:t>
      </w:r>
    </w:p>
    <w:p w:rsidR="00000000" w:rsidRDefault="000F0F8D">
      <w:pPr>
        <w:divId w:val="880553736"/>
        <w:rPr>
          <w:rFonts w:eastAsia="Times New Roman"/>
        </w:rPr>
      </w:pPr>
      <w:r>
        <w:rPr>
          <w:rFonts w:eastAsia="Times New Roman"/>
          <w:b/>
          <w:bCs/>
          <w:color w:val="000000"/>
          <w:sz w:val="20"/>
          <w:szCs w:val="20"/>
        </w:rPr>
        <w:t>ITEM 1A. RISK FACTORS</w:t>
      </w:r>
    </w:p>
    <w:p w:rsidR="00000000" w:rsidRDefault="000F0F8D">
      <w:pPr>
        <w:ind w:firstLine="360"/>
        <w:divId w:val="1386101142"/>
        <w:rPr>
          <w:rFonts w:eastAsia="Times New Roman"/>
        </w:rPr>
      </w:pPr>
      <w:r>
        <w:rPr>
          <w:rFonts w:eastAsia="Times New Roman"/>
          <w:color w:val="000000"/>
          <w:sz w:val="20"/>
          <w:szCs w:val="20"/>
        </w:rPr>
        <w:t>We have provided upd</w:t>
      </w:r>
      <w:r>
        <w:rPr>
          <w:rFonts w:eastAsia="Times New Roman"/>
          <w:color w:val="000000"/>
          <w:sz w:val="20"/>
          <w:szCs w:val="20"/>
        </w:rPr>
        <w:t>ated Risk Factors in the section labeled “Risk Factors” in “Part I, Item 2, Management’s Discussion and Analysis of Financial Condition and Results of Operations.” We do not believe those updates have materially changed the type or magnitude of the risks w</w:t>
      </w:r>
      <w:r>
        <w:rPr>
          <w:rFonts w:eastAsia="Times New Roman"/>
          <w:color w:val="000000"/>
          <w:sz w:val="20"/>
          <w:szCs w:val="20"/>
        </w:rPr>
        <w:t>e face in comparison to the disclosure provided in our 2020 Annual Report on Form 10-K.</w:t>
      </w:r>
    </w:p>
    <w:p w:rsidR="00000000" w:rsidRDefault="000F0F8D">
      <w:pPr>
        <w:divId w:val="1318725835"/>
        <w:rPr>
          <w:rFonts w:eastAsia="Times New Roman"/>
        </w:rPr>
      </w:pPr>
      <w:r>
        <w:rPr>
          <w:rFonts w:eastAsia="Times New Roman"/>
          <w:b/>
          <w:bCs/>
          <w:color w:val="000000"/>
          <w:sz w:val="20"/>
          <w:szCs w:val="20"/>
        </w:rPr>
        <w:t>ITEM 2. UNREGISTERED SALES OF EQUITY SECURITIES AND USE OF PROCEEDS</w:t>
      </w:r>
    </w:p>
    <w:p w:rsidR="00000000" w:rsidRDefault="000F0F8D">
      <w:pPr>
        <w:ind w:firstLine="360"/>
        <w:divId w:val="2117823430"/>
        <w:rPr>
          <w:rFonts w:eastAsia="Times New Roman"/>
        </w:rPr>
      </w:pPr>
      <w:r>
        <w:rPr>
          <w:rFonts w:eastAsia="Times New Roman"/>
          <w:color w:val="000000"/>
          <w:sz w:val="20"/>
          <w:szCs w:val="20"/>
        </w:rPr>
        <w:t>In January 2021, we entered into an Agreement and Plan of Merger (the Merger Agreement) for the acquisition of NuVia, Inc. (NUVIA), which transaction closed in March 2021. Pursuant to the Merger Agreement, we are obligated to issue shares of our common sto</w:t>
      </w:r>
      <w:r>
        <w:rPr>
          <w:rFonts w:eastAsia="Times New Roman"/>
          <w:color w:val="000000"/>
          <w:sz w:val="20"/>
          <w:szCs w:val="20"/>
        </w:rPr>
        <w:t>ck to three specific founders of NUVIA and certain affiliated entities of such founders from time to time upon the satisfaction of certain conditions specified in the Merger Agreement. During the quarter ended June 27, 2021, we issued an aggregate of 104,0</w:t>
      </w:r>
      <w:r>
        <w:rPr>
          <w:rFonts w:eastAsia="Times New Roman"/>
          <w:color w:val="000000"/>
          <w:sz w:val="20"/>
          <w:szCs w:val="20"/>
        </w:rPr>
        <w:t>13 additional shares of our common stock to the three founders of NUVIA and their affiliates, each of whom had advised us that he or such entity was an accredited investor. These shares were issued in transactions not involving a public offering pursuant t</w:t>
      </w:r>
      <w:r>
        <w:rPr>
          <w:rFonts w:eastAsia="Times New Roman"/>
          <w:color w:val="000000"/>
          <w:sz w:val="20"/>
          <w:szCs w:val="20"/>
        </w:rPr>
        <w:t xml:space="preserve">o the exemption from registration set forth in Section 4(a)(2) of the Securities Act. </w:t>
      </w:r>
    </w:p>
    <w:p w:rsidR="00000000" w:rsidRDefault="000F0F8D">
      <w:pPr>
        <w:ind w:firstLine="360"/>
        <w:divId w:val="557673591"/>
        <w:rPr>
          <w:rFonts w:eastAsia="Times New Roman"/>
        </w:rPr>
      </w:pPr>
      <w:r>
        <w:rPr>
          <w:rFonts w:eastAsia="Times New Roman"/>
          <w:color w:val="000000"/>
          <w:sz w:val="20"/>
          <w:szCs w:val="20"/>
        </w:rPr>
        <w:t>Our purchases of our equity securities in the third quarter of fiscal 2021 were:</w:t>
      </w:r>
    </w:p>
    <w:tbl>
      <w:tblPr>
        <w:tblW w:w="4992" w:type="pct"/>
        <w:tblCellMar>
          <w:top w:w="15" w:type="dxa"/>
          <w:left w:w="15" w:type="dxa"/>
          <w:bottom w:w="15" w:type="dxa"/>
          <w:right w:w="15" w:type="dxa"/>
        </w:tblCellMar>
        <w:tblLook w:val="04A0" w:firstRow="1" w:lastRow="0" w:firstColumn="1" w:lastColumn="0" w:noHBand="0" w:noVBand="1"/>
      </w:tblPr>
      <w:tblGrid>
        <w:gridCol w:w="50"/>
        <w:gridCol w:w="3090"/>
        <w:gridCol w:w="36"/>
        <w:gridCol w:w="56"/>
        <w:gridCol w:w="1142"/>
        <w:gridCol w:w="36"/>
        <w:gridCol w:w="36"/>
        <w:gridCol w:w="36"/>
        <w:gridCol w:w="36"/>
        <w:gridCol w:w="110"/>
        <w:gridCol w:w="729"/>
        <w:gridCol w:w="36"/>
        <w:gridCol w:w="36"/>
        <w:gridCol w:w="36"/>
        <w:gridCol w:w="36"/>
        <w:gridCol w:w="62"/>
        <w:gridCol w:w="1089"/>
        <w:gridCol w:w="36"/>
        <w:gridCol w:w="36"/>
        <w:gridCol w:w="36"/>
        <w:gridCol w:w="36"/>
        <w:gridCol w:w="111"/>
        <w:gridCol w:w="1350"/>
        <w:gridCol w:w="36"/>
      </w:tblGrid>
      <w:tr w:rsidR="00000000">
        <w:trPr>
          <w:divId w:val="2057662648"/>
        </w:trPr>
        <w:tc>
          <w:tcPr>
            <w:tcW w:w="50" w:type="pct"/>
            <w:vAlign w:val="center"/>
            <w:hideMark/>
          </w:tcPr>
          <w:p w:rsidR="00000000" w:rsidRDefault="000F0F8D">
            <w:pPr>
              <w:ind w:firstLine="360"/>
              <w:rPr>
                <w:rFonts w:eastAsia="Times New Roman"/>
              </w:rPr>
            </w:pPr>
          </w:p>
        </w:tc>
        <w:tc>
          <w:tcPr>
            <w:tcW w:w="188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71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74"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69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846"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2057662648"/>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Total Number of</w:t>
            </w:r>
          </w:p>
          <w:p w:rsidR="00000000" w:rsidRDefault="000F0F8D">
            <w:pPr>
              <w:spacing w:after="100"/>
              <w:jc w:val="center"/>
              <w:rPr>
                <w:rFonts w:eastAsia="Times New Roman"/>
              </w:rPr>
            </w:pPr>
            <w:r>
              <w:rPr>
                <w:rFonts w:eastAsia="Times New Roman"/>
                <w:b/>
                <w:bCs/>
                <w:color w:val="000000"/>
                <w:sz w:val="18"/>
                <w:szCs w:val="18"/>
              </w:rPr>
              <w:t>Shares Purchased</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 xml:space="preserve">Average Price Paid Per Share </w:t>
            </w:r>
            <w:r>
              <w:rPr>
                <w:rFonts w:eastAsia="Times New Roman"/>
                <w:b/>
                <w:bCs/>
                <w:color w:val="000000"/>
                <w:sz w:val="18"/>
                <w:szCs w:val="18"/>
              </w:rPr>
              <w:br/>
              <w:t>(1)</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p>
        </w:tc>
      </w:tr>
      <w:tr w:rsidR="00000000">
        <w:trPr>
          <w:divId w:val="2057662648"/>
        </w:trPr>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(In millions)</w:t>
            </w:r>
          </w:p>
        </w:tc>
      </w:tr>
      <w:tr w:rsidR="00000000">
        <w:trPr>
          <w:divId w:val="205766264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March 29, 2021 to April 25, 2021</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136.18 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309 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F0F8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2,607 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5766264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April 26, 2021 to May 23, 2021</w:t>
            </w: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2,356 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129.86 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2,356 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2,301 </w:t>
            </w:r>
          </w:p>
        </w:tc>
        <w:tc>
          <w:tcPr>
            <w:tcW w:w="0" w:type="auto"/>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57662648"/>
        </w:trPr>
        <w:tc>
          <w:tcPr>
            <w:tcW w:w="0" w:type="auto"/>
            <w:gridSpan w:val="3"/>
            <w:shd w:val="clear" w:color="auto" w:fill="CCEE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May 24, 2021 to June 27, 2021</w:t>
            </w: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2,119 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132.90 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2,119 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2,019 </w:t>
            </w:r>
          </w:p>
        </w:tc>
        <w:tc>
          <w:tcPr>
            <w:tcW w:w="0" w:type="auto"/>
            <w:shd w:val="clear" w:color="auto" w:fill="CCEEFF"/>
            <w:tcMar>
              <w:top w:w="30" w:type="dxa"/>
              <w:left w:w="0" w:type="dxa"/>
              <w:bottom w:w="30" w:type="dxa"/>
              <w:right w:w="20" w:type="dxa"/>
            </w:tcMar>
            <w:vAlign w:val="bottom"/>
            <w:hideMark/>
          </w:tcPr>
          <w:p w:rsidR="00000000" w:rsidRDefault="000F0F8D">
            <w:pPr>
              <w:spacing w:after="100"/>
              <w:jc w:val="right"/>
              <w:rPr>
                <w:rFonts w:eastAsia="Times New Roman"/>
              </w:rPr>
            </w:pPr>
          </w:p>
        </w:tc>
      </w:tr>
      <w:tr w:rsidR="00000000">
        <w:trPr>
          <w:divId w:val="2057662648"/>
        </w:trPr>
        <w:tc>
          <w:tcPr>
            <w:tcW w:w="0" w:type="auto"/>
            <w:gridSpan w:val="3"/>
            <w:vAlign w:val="center"/>
            <w:hideMark/>
          </w:tcPr>
          <w:p w:rsidR="00000000" w:rsidRDefault="000F0F8D">
            <w:pPr>
              <w:spacing w:after="100"/>
              <w:jc w:val="right"/>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57662648"/>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2057662648"/>
        </w:trPr>
        <w:tc>
          <w:tcPr>
            <w:tcW w:w="0" w:type="auto"/>
            <w:gridSpan w:val="3"/>
            <w:shd w:val="clear" w:color="auto" w:fill="FFFFFF"/>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F0F8D">
            <w:pPr>
              <w:spacing w:after="100"/>
              <w:jc w:val="right"/>
              <w:rPr>
                <w:rFonts w:eastAsia="Times New Roman"/>
              </w:rPr>
            </w:pPr>
            <w:r>
              <w:rPr>
                <w:rFonts w:eastAsia="Times New Roman"/>
                <w:color w:val="000000"/>
                <w:sz w:val="18"/>
                <w:szCs w:val="18"/>
              </w:rPr>
              <w:t>4,784 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F0F8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bl>
    <w:p w:rsidR="00000000" w:rsidRDefault="000F0F8D">
      <w:pPr>
        <w:ind w:hanging="360"/>
        <w:divId w:val="1647542097"/>
        <w:rPr>
          <w:rFonts w:eastAsia="Times New Roman"/>
        </w:rPr>
      </w:pPr>
      <w:r>
        <w:rPr>
          <w:rFonts w:eastAsia="Times New Roman"/>
          <w:color w:val="000000"/>
          <w:sz w:val="18"/>
          <w:szCs w:val="18"/>
        </w:rPr>
        <w:t>(1)</w:t>
      </w:r>
      <w:r>
        <w:rPr>
          <w:rFonts w:eastAsia="Times New Roman"/>
          <w:color w:val="000000"/>
          <w:sz w:val="18"/>
          <w:szCs w:val="18"/>
        </w:rPr>
        <w:t>Average Price Paid Per Share excludes cash paid for commissions.</w:t>
      </w:r>
    </w:p>
    <w:p w:rsidR="00000000" w:rsidRDefault="000F0F8D">
      <w:pPr>
        <w:ind w:hanging="360"/>
        <w:divId w:val="1872450547"/>
        <w:rPr>
          <w:rFonts w:eastAsia="Times New Roman"/>
        </w:rPr>
      </w:pPr>
      <w:r>
        <w:rPr>
          <w:rFonts w:eastAsia="Times New Roman"/>
          <w:color w:val="000000"/>
          <w:sz w:val="18"/>
          <w:szCs w:val="18"/>
        </w:rPr>
        <w:t>(2)On July </w:t>
      </w:r>
      <w:r>
        <w:rPr>
          <w:rFonts w:eastAsia="Times New Roman"/>
          <w:color w:val="000000"/>
          <w:sz w:val="18"/>
          <w:szCs w:val="18"/>
        </w:rPr>
        <w:t>26, 2018, we announced a repurchase program authorizing us to repurchase up to $30 billion of our common stock. At June 27, 2021, $2.0 billion remained authorized for repurchase. The stock repurchase program has no expiration date. Shares withheld to satis</w:t>
      </w:r>
      <w:r>
        <w:rPr>
          <w:rFonts w:eastAsia="Times New Roman"/>
          <w:color w:val="000000"/>
          <w:sz w:val="18"/>
          <w:szCs w:val="18"/>
        </w:rPr>
        <w:t>fy statutory tax withholding requirements related to the vesting of share-based awards are not issued or considered stock repurchases under our stock repurchase program and, therefore, are excluded from the table above.</w:t>
      </w:r>
    </w:p>
    <w:p w:rsidR="00000000" w:rsidRDefault="000F0F8D">
      <w:pPr>
        <w:divId w:val="970329318"/>
        <w:rPr>
          <w:rFonts w:eastAsia="Times New Roman"/>
        </w:rPr>
      </w:pPr>
      <w:r>
        <w:rPr>
          <w:rFonts w:eastAsia="Times New Roman"/>
          <w:b/>
          <w:bCs/>
          <w:color w:val="000000"/>
          <w:sz w:val="20"/>
          <w:szCs w:val="20"/>
        </w:rPr>
        <w:t>ITEM 3. DEFAULTS UPON SENIOR SECURIT</w:t>
      </w:r>
      <w:r>
        <w:rPr>
          <w:rFonts w:eastAsia="Times New Roman"/>
          <w:b/>
          <w:bCs/>
          <w:color w:val="000000"/>
          <w:sz w:val="20"/>
          <w:szCs w:val="20"/>
        </w:rPr>
        <w:t>IES</w:t>
      </w:r>
    </w:p>
    <w:p w:rsidR="00000000" w:rsidRDefault="000F0F8D">
      <w:pPr>
        <w:ind w:firstLine="360"/>
        <w:divId w:val="1329020309"/>
        <w:rPr>
          <w:rFonts w:eastAsia="Times New Roman"/>
        </w:rPr>
      </w:pPr>
      <w:r>
        <w:rPr>
          <w:rFonts w:eastAsia="Times New Roman"/>
          <w:color w:val="000000"/>
          <w:sz w:val="20"/>
          <w:szCs w:val="20"/>
        </w:rPr>
        <w:t>Not applicable.</w:t>
      </w:r>
    </w:p>
    <w:p w:rsidR="00000000" w:rsidRDefault="000F0F8D">
      <w:pPr>
        <w:divId w:val="554925538"/>
        <w:rPr>
          <w:rFonts w:eastAsia="Times New Roman"/>
        </w:rPr>
      </w:pPr>
      <w:r>
        <w:rPr>
          <w:rFonts w:eastAsia="Times New Roman"/>
          <w:b/>
          <w:bCs/>
          <w:color w:val="000000"/>
          <w:sz w:val="20"/>
          <w:szCs w:val="20"/>
        </w:rPr>
        <w:t>ITEM 4. MINE SAFETY DISCLOSURES</w:t>
      </w:r>
    </w:p>
    <w:p w:rsidR="00000000" w:rsidRDefault="000F0F8D">
      <w:pPr>
        <w:ind w:firstLine="360"/>
        <w:divId w:val="1929725366"/>
        <w:rPr>
          <w:rFonts w:eastAsia="Times New Roman"/>
        </w:rPr>
      </w:pPr>
      <w:r>
        <w:rPr>
          <w:rFonts w:eastAsia="Times New Roman"/>
          <w:color w:val="000000"/>
          <w:sz w:val="20"/>
          <w:szCs w:val="20"/>
        </w:rPr>
        <w:t>Not applicable.</w:t>
      </w:r>
    </w:p>
    <w:p w:rsidR="00000000" w:rsidRDefault="000F0F8D">
      <w:pPr>
        <w:divId w:val="27075318"/>
        <w:rPr>
          <w:rFonts w:eastAsia="Times New Roman"/>
        </w:rPr>
      </w:pPr>
      <w:r>
        <w:rPr>
          <w:rFonts w:eastAsia="Times New Roman"/>
          <w:b/>
          <w:bCs/>
          <w:color w:val="000000"/>
          <w:sz w:val="20"/>
          <w:szCs w:val="20"/>
        </w:rPr>
        <w:t>ITEM 5. OTHER INFORMATION</w:t>
      </w:r>
    </w:p>
    <w:p w:rsidR="00000000" w:rsidRDefault="000F0F8D">
      <w:pPr>
        <w:ind w:firstLine="360"/>
        <w:divId w:val="1166021930"/>
        <w:rPr>
          <w:rFonts w:eastAsia="Times New Roman"/>
        </w:rPr>
      </w:pPr>
      <w:r>
        <w:rPr>
          <w:rFonts w:eastAsia="Times New Roman"/>
          <w:color w:val="000000"/>
          <w:sz w:val="20"/>
          <w:szCs w:val="20"/>
        </w:rPr>
        <w:t>Not applicable.</w:t>
      </w:r>
    </w:p>
    <w:p w:rsidR="00000000" w:rsidRDefault="000F0F8D">
      <w:pPr>
        <w:jc w:val="center"/>
        <w:divId w:val="50077619"/>
        <w:rPr>
          <w:rFonts w:eastAsia="Times New Roman"/>
        </w:rPr>
      </w:pPr>
      <w:r>
        <w:rPr>
          <w:rFonts w:eastAsia="Times New Roman"/>
          <w:color w:val="000000"/>
          <w:sz w:val="20"/>
          <w:szCs w:val="20"/>
        </w:rPr>
        <w:t>51</w:t>
      </w:r>
    </w:p>
    <w:p w:rsidR="00000000" w:rsidRDefault="000F0F8D">
      <w:pPr>
        <w:rPr>
          <w:rFonts w:eastAsia="Times New Roman"/>
        </w:rPr>
      </w:pPr>
      <w:r>
        <w:rPr>
          <w:rFonts w:eastAsia="Times New Roman"/>
        </w:rPr>
        <w:pict>
          <v:rect id="_x0000_i1074" style="width:0;height:1.5pt" o:hralign="center" o:hrstd="t" o:hr="t" fillcolor="#a0a0a0" stroked="f"/>
        </w:pict>
      </w:r>
    </w:p>
    <w:p w:rsidR="00000000" w:rsidRDefault="000F0F8D">
      <w:pPr>
        <w:divId w:val="214661292"/>
        <w:rPr>
          <w:rFonts w:eastAsia="Times New Roman"/>
        </w:rPr>
      </w:pPr>
    </w:p>
    <w:p w:rsidR="00000000" w:rsidRDefault="000F0F8D">
      <w:pPr>
        <w:divId w:val="2053653073"/>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7"/>
        <w:gridCol w:w="724"/>
        <w:gridCol w:w="36"/>
        <w:gridCol w:w="36"/>
        <w:gridCol w:w="36"/>
        <w:gridCol w:w="36"/>
        <w:gridCol w:w="38"/>
        <w:gridCol w:w="3458"/>
        <w:gridCol w:w="37"/>
        <w:gridCol w:w="36"/>
        <w:gridCol w:w="36"/>
        <w:gridCol w:w="36"/>
        <w:gridCol w:w="47"/>
        <w:gridCol w:w="714"/>
        <w:gridCol w:w="36"/>
        <w:gridCol w:w="36"/>
        <w:gridCol w:w="36"/>
        <w:gridCol w:w="36"/>
        <w:gridCol w:w="71"/>
        <w:gridCol w:w="753"/>
        <w:gridCol w:w="37"/>
        <w:gridCol w:w="36"/>
        <w:gridCol w:w="36"/>
        <w:gridCol w:w="36"/>
        <w:gridCol w:w="65"/>
        <w:gridCol w:w="736"/>
        <w:gridCol w:w="36"/>
        <w:gridCol w:w="36"/>
        <w:gridCol w:w="36"/>
        <w:gridCol w:w="36"/>
        <w:gridCol w:w="68"/>
        <w:gridCol w:w="782"/>
        <w:gridCol w:w="36"/>
      </w:tblGrid>
      <w:tr w:rsidR="00000000">
        <w:trPr>
          <w:divId w:val="813833386"/>
        </w:trPr>
        <w:tc>
          <w:tcPr>
            <w:tcW w:w="50" w:type="pct"/>
            <w:vAlign w:val="center"/>
            <w:hideMark/>
          </w:tcPr>
          <w:p w:rsidR="00000000" w:rsidRDefault="000F0F8D">
            <w:pPr>
              <w:rPr>
                <w:rFonts w:eastAsia="Times New Roman"/>
              </w:rPr>
            </w:pPr>
          </w:p>
        </w:tc>
        <w:tc>
          <w:tcPr>
            <w:tcW w:w="45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2101"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5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8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74"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04"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Filed Herewith</w:t>
            </w:r>
          </w:p>
        </w:tc>
      </w:tr>
      <w:tr w:rsidR="00000000">
        <w:trPr>
          <w:divId w:val="813833386"/>
        </w:trPr>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divId w:val="1129399656"/>
              <w:rPr>
                <w:rFonts w:eastAsia="Times New Roman"/>
              </w:rPr>
            </w:pPr>
            <w:hyperlink r:id="rId4" w:history="1">
              <w:r>
                <w:rPr>
                  <w:rStyle w:val="a3"/>
                  <w:rFonts w:eastAsia="Times New Roman"/>
                  <w:sz w:val="18"/>
                  <w:szCs w:val="18"/>
                </w:rPr>
                <w:t>Agreement and Plan of Merger, dated as of January 12, 2021, among Qualcomm Technologies, Inc., Nile Acquisition Corporation and NuVia, Inc. (1)</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1/13/2021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310016931"/>
              <w:rPr>
                <w:rFonts w:eastAsia="Times New Roman"/>
              </w:rPr>
            </w:pPr>
            <w:hyperlink r:id="rId5"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4/20/2018</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442530163"/>
              <w:rPr>
                <w:rFonts w:eastAsia="Times New Roman"/>
              </w:rPr>
            </w:pPr>
            <w:hyperlink r:id="rId6" w:history="1">
              <w:r>
                <w:rPr>
                  <w:rStyle w:val="a3"/>
                  <w:rFonts w:eastAsia="Times New Roman"/>
                  <w:sz w:val="18"/>
                  <w:szCs w:val="18"/>
                </w:rPr>
                <w:t>Amended and Restated Bylaws</w:t>
              </w:r>
            </w:hyperlink>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7/23/2021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273247015"/>
              <w:rPr>
                <w:rFonts w:eastAsia="Times New Roman"/>
              </w:rPr>
            </w:pPr>
            <w:hyperlink r:id="rId7" w:history="1">
              <w:r>
                <w:rPr>
                  <w:rStyle w:val="a3"/>
                  <w:rFonts w:eastAsia="Times New Roman"/>
                  <w:sz w:val="18"/>
                  <w:szCs w:val="18"/>
                </w:rPr>
                <w:t xml:space="preserve">Indenture, dated May 20, 2015, between the Company and U.S. Bank National Association, as trustee. </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602806557"/>
              <w:rPr>
                <w:rFonts w:eastAsia="Times New Roman"/>
              </w:rPr>
            </w:pPr>
            <w:hyperlink r:id="rId8" w:history="1">
              <w:r>
                <w:rPr>
                  <w:rStyle w:val="a3"/>
                  <w:rFonts w:eastAsia="Times New Roman"/>
                  <w:sz w:val="18"/>
                  <w:szCs w:val="18"/>
                </w:rPr>
                <w:t>Officers’ Certificate, dated May 20, 2015, for the Floating Rate Notes due 2018, the Floating Rate Notes due 2020, the 1.400% Notes due 2018, the 2.250% Notes</w:t>
              </w:r>
              <w:r>
                <w:rPr>
                  <w:rStyle w:val="a3"/>
                  <w:rFonts w:eastAsia="Times New Roman"/>
                  <w:sz w:val="18"/>
                  <w:szCs w:val="18"/>
                </w:rPr>
                <w:t xml:space="preserve"> due 2020, the 3.000% Notes due 2022, the 3.450% Notes due 2025, the 4.650% Notes due 2035 and the 4.800% Notes due 2045. </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2035036061"/>
              <w:rPr>
                <w:rFonts w:eastAsia="Times New Roman"/>
              </w:rPr>
            </w:pPr>
            <w:hyperlink r:id="rId9" w:history="1">
              <w:r>
                <w:rPr>
                  <w:rStyle w:val="a3"/>
                  <w:rFonts w:eastAsia="Times New Roman"/>
                  <w:sz w:val="18"/>
                  <w:szCs w:val="18"/>
                </w:rPr>
                <w:t xml:space="preserve">Form of 3.000% Notes due 2022. </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946079710"/>
              <w:rPr>
                <w:rFonts w:eastAsia="Times New Roman"/>
              </w:rPr>
            </w:pPr>
            <w:hyperlink r:id="rId10" w:history="1">
              <w:r>
                <w:rPr>
                  <w:rStyle w:val="a3"/>
                  <w:rFonts w:eastAsia="Times New Roman"/>
                  <w:sz w:val="18"/>
                  <w:szCs w:val="18"/>
                </w:rPr>
                <w:t xml:space="preserve">Form of 3.450% Notes due 2025. </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512793027"/>
              <w:rPr>
                <w:rFonts w:eastAsia="Times New Roman"/>
              </w:rPr>
            </w:pPr>
            <w:hyperlink r:id="rId11" w:history="1">
              <w:r>
                <w:rPr>
                  <w:rStyle w:val="a3"/>
                  <w:rFonts w:eastAsia="Times New Roman"/>
                  <w:sz w:val="18"/>
                  <w:szCs w:val="18"/>
                </w:rPr>
                <w:t xml:space="preserve">Form of 4.650% Notes due 2035. </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485704297"/>
              <w:rPr>
                <w:rFonts w:eastAsia="Times New Roman"/>
              </w:rPr>
            </w:pPr>
            <w:hyperlink r:id="rId12" w:history="1">
              <w:r>
                <w:rPr>
                  <w:rStyle w:val="a3"/>
                  <w:rFonts w:eastAsia="Times New Roman"/>
                  <w:sz w:val="18"/>
                  <w:szCs w:val="18"/>
                </w:rPr>
                <w:t xml:space="preserve">Form of 4.800% Notes due 2045. </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596256983"/>
              <w:rPr>
                <w:rFonts w:eastAsia="Times New Roman"/>
              </w:rPr>
            </w:pPr>
            <w:hyperlink r:id="rId13" w:history="1">
              <w:r>
                <w:rPr>
                  <w:rStyle w:val="a3"/>
                  <w:rFonts w:eastAsia="Times New Roman"/>
                  <w:sz w:val="18"/>
                  <w:szCs w:val="18"/>
                </w:rPr>
                <w:t>Officers’ Certificate, dated May 26, 2017, for the Floating Rate Notes due 2019, the Floating Rate Notes due 2020, the Floating Rate Notes due 2023, the 1.850</w:t>
              </w:r>
              <w:r>
                <w:rPr>
                  <w:rStyle w:val="a3"/>
                  <w:rFonts w:eastAsia="Times New Roman"/>
                  <w:sz w:val="18"/>
                  <w:szCs w:val="18"/>
                </w:rPr>
                <w:t xml:space="preserve">% Notes due 2019, the 2.100% Notes due 2020, the 2.600% Notes due 2023, the 2.900% Notes due 2024, the 3.250% Notes due 2027 and the 4.300% Notes due 2047. </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576207888"/>
              <w:rPr>
                <w:rFonts w:eastAsia="Times New Roman"/>
              </w:rPr>
            </w:pPr>
            <w:hyperlink r:id="rId14" w:history="1">
              <w:r>
                <w:rPr>
                  <w:rStyle w:val="a3"/>
                  <w:rFonts w:eastAsia="Times New Roman"/>
                  <w:sz w:val="18"/>
                  <w:szCs w:val="18"/>
                </w:rPr>
                <w:t>Form of Floating Rate Notes due 2023.</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315644455"/>
              <w:rPr>
                <w:rFonts w:eastAsia="Times New Roman"/>
              </w:rPr>
            </w:pPr>
            <w:hyperlink r:id="rId15" w:history="1">
              <w:r>
                <w:rPr>
                  <w:rStyle w:val="a3"/>
                  <w:rFonts w:eastAsia="Times New Roman"/>
                  <w:sz w:val="18"/>
                  <w:szCs w:val="18"/>
                </w:rPr>
                <w:t>Form of 2.600% Notes due 2023.</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4.8</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982202155"/>
              <w:rPr>
                <w:rFonts w:eastAsia="Times New Roman"/>
              </w:rPr>
            </w:pPr>
            <w:hyperlink r:id="rId16" w:history="1">
              <w:r>
                <w:rPr>
                  <w:rStyle w:val="a3"/>
                  <w:rFonts w:eastAsia="Times New Roman"/>
                  <w:sz w:val="18"/>
                  <w:szCs w:val="18"/>
                </w:rPr>
                <w:t>Form of 2.900% Notes due 2024.</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4.9</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2110081705"/>
              <w:rPr>
                <w:rFonts w:eastAsia="Times New Roman"/>
              </w:rPr>
            </w:pPr>
            <w:hyperlink r:id="rId17" w:history="1">
              <w:r>
                <w:rPr>
                  <w:rStyle w:val="a3"/>
                  <w:rFonts w:eastAsia="Times New Roman"/>
                  <w:sz w:val="18"/>
                  <w:szCs w:val="18"/>
                </w:rPr>
                <w:t>Form of 3.250% Notes due 2027.</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4.10</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4.12</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082335090"/>
              <w:rPr>
                <w:rFonts w:eastAsia="Times New Roman"/>
              </w:rPr>
            </w:pPr>
            <w:hyperlink r:id="rId18" w:history="1">
              <w:r>
                <w:rPr>
                  <w:rStyle w:val="a3"/>
                  <w:rFonts w:eastAsia="Times New Roman"/>
                  <w:sz w:val="18"/>
                  <w:szCs w:val="18"/>
                </w:rPr>
                <w:t>Form of 4.300% Notes due 2047.</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4.13</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539321982"/>
              <w:rPr>
                <w:rFonts w:eastAsia="Times New Roman"/>
              </w:rPr>
            </w:pPr>
            <w:hyperlink r:id="rId19" w:history="1">
              <w:r>
                <w:rPr>
                  <w:rStyle w:val="a3"/>
                  <w:rFonts w:eastAsia="Times New Roman"/>
                  <w:sz w:val="18"/>
                  <w:szCs w:val="18"/>
                </w:rPr>
                <w:t>Officers’ Certificate, dated May 8, 2020, for the 2.150% Notes due 2030 and the 3.250% Notes due 2050.</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4.14</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806318097"/>
              <w:rPr>
                <w:rFonts w:eastAsia="Times New Roman"/>
              </w:rPr>
            </w:pPr>
            <w:hyperlink r:id="rId20" w:history="1">
              <w:r>
                <w:rPr>
                  <w:rStyle w:val="a3"/>
                  <w:rFonts w:eastAsia="Times New Roman"/>
                  <w:sz w:val="18"/>
                  <w:szCs w:val="18"/>
                </w:rPr>
                <w:t>Form of 2.150% Notes due 2030.</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5/11/2020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4.15</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684983260"/>
              <w:rPr>
                <w:rFonts w:eastAsia="Times New Roman"/>
              </w:rPr>
            </w:pPr>
            <w:hyperlink r:id="rId21" w:history="1">
              <w:r>
                <w:rPr>
                  <w:rStyle w:val="a3"/>
                  <w:rFonts w:eastAsia="Times New Roman"/>
                  <w:sz w:val="18"/>
                  <w:szCs w:val="18"/>
                </w:rPr>
                <w:t>Form of 3.250% Notes due 2050.</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4.16</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19108241"/>
              <w:rPr>
                <w:rFonts w:eastAsia="Times New Roman"/>
              </w:rPr>
            </w:pPr>
            <w:hyperlink r:id="rId22" w:history="1">
              <w:r>
                <w:rPr>
                  <w:rStyle w:val="a3"/>
                  <w:rFonts w:eastAsia="Times New Roman"/>
                  <w:sz w:val="18"/>
                  <w:szCs w:val="18"/>
                </w:rPr>
                <w:t>Officers’ Certificate, dated August 14, 2020, for the 1.300% Notes due 2028 and the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355233218"/>
              <w:rPr>
                <w:rFonts w:eastAsia="Times New Roman"/>
              </w:rPr>
            </w:pPr>
            <w:hyperlink r:id="rId23" w:history="1">
              <w:r>
                <w:rPr>
                  <w:rStyle w:val="a3"/>
                  <w:rFonts w:eastAsia="Times New Roman"/>
                  <w:sz w:val="18"/>
                  <w:szCs w:val="18"/>
                </w:rPr>
                <w:t>Form of 1.300% Rule 144A Global Notes due 2028.</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4.18</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368147635"/>
              <w:rPr>
                <w:rFonts w:eastAsia="Times New Roman"/>
              </w:rPr>
            </w:pPr>
            <w:hyperlink r:id="rId24" w:history="1">
              <w:r>
                <w:rPr>
                  <w:rStyle w:val="a3"/>
                  <w:rFonts w:eastAsia="Times New Roman"/>
                  <w:sz w:val="18"/>
                  <w:szCs w:val="18"/>
                </w:rPr>
                <w:t>Form of 1.300% Regulation S Global Notes due 2028.</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4.19</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508447462"/>
              <w:rPr>
                <w:rFonts w:eastAsia="Times New Roman"/>
              </w:rPr>
            </w:pPr>
            <w:hyperlink r:id="rId25" w:history="1">
              <w:r>
                <w:rPr>
                  <w:rStyle w:val="a3"/>
                  <w:rFonts w:eastAsia="Times New Roman"/>
                  <w:sz w:val="18"/>
                  <w:szCs w:val="18"/>
                </w:rPr>
                <w:t>Form of 1.650% Rule 144A Global Notes due 2032.</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930194920"/>
              <w:rPr>
                <w:rFonts w:eastAsia="Times New Roman"/>
              </w:rPr>
            </w:pPr>
            <w:hyperlink r:id="rId26" w:history="1">
              <w:r>
                <w:rPr>
                  <w:rStyle w:val="a3"/>
                  <w:rFonts w:eastAsia="Times New Roman"/>
                  <w:sz w:val="18"/>
                  <w:szCs w:val="18"/>
                </w:rPr>
                <w:t>Form of 1.650% Regulation S Global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142505475"/>
              <w:rPr>
                <w:rFonts w:eastAsia="Times New Roman"/>
              </w:rPr>
            </w:pPr>
            <w:hyperlink r:id="rId27" w:history="1">
              <w:r>
                <w:rPr>
                  <w:rStyle w:val="a3"/>
                  <w:rFonts w:eastAsia="Times New Roman"/>
                  <w:sz w:val="18"/>
                  <w:szCs w:val="18"/>
                </w:rPr>
                <w:t>Registration Rights Agreement, dated as of August 14, 2020.</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813833386"/>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bl>
    <w:p w:rsidR="00000000" w:rsidRDefault="000F0F8D">
      <w:pPr>
        <w:jc w:val="center"/>
        <w:divId w:val="1134368784"/>
        <w:rPr>
          <w:rFonts w:eastAsia="Times New Roman"/>
        </w:rPr>
      </w:pPr>
      <w:r>
        <w:rPr>
          <w:rFonts w:eastAsia="Times New Roman"/>
          <w:color w:val="000000"/>
          <w:sz w:val="20"/>
          <w:szCs w:val="20"/>
        </w:rPr>
        <w:t>52</w:t>
      </w:r>
    </w:p>
    <w:p w:rsidR="00000000" w:rsidRDefault="000F0F8D">
      <w:pPr>
        <w:rPr>
          <w:rFonts w:eastAsia="Times New Roman"/>
        </w:rPr>
      </w:pPr>
      <w:r>
        <w:rPr>
          <w:rFonts w:eastAsia="Times New Roman"/>
        </w:rPr>
        <w:pict>
          <v:rect id="_x0000_i1075" style="width:0;height:1.5pt" o:hralign="center" o:hrstd="t" o:hr="t" fillcolor="#a0a0a0" stroked="f"/>
        </w:pict>
      </w:r>
    </w:p>
    <w:p w:rsidR="00000000" w:rsidRDefault="000F0F8D">
      <w:pPr>
        <w:divId w:val="896740458"/>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70"/>
        <w:gridCol w:w="721"/>
        <w:gridCol w:w="36"/>
        <w:gridCol w:w="36"/>
        <w:gridCol w:w="36"/>
        <w:gridCol w:w="36"/>
        <w:gridCol w:w="38"/>
        <w:gridCol w:w="3458"/>
        <w:gridCol w:w="37"/>
        <w:gridCol w:w="36"/>
        <w:gridCol w:w="36"/>
        <w:gridCol w:w="36"/>
        <w:gridCol w:w="47"/>
        <w:gridCol w:w="714"/>
        <w:gridCol w:w="36"/>
        <w:gridCol w:w="36"/>
        <w:gridCol w:w="36"/>
        <w:gridCol w:w="36"/>
        <w:gridCol w:w="63"/>
        <w:gridCol w:w="761"/>
        <w:gridCol w:w="37"/>
        <w:gridCol w:w="36"/>
        <w:gridCol w:w="36"/>
        <w:gridCol w:w="36"/>
        <w:gridCol w:w="65"/>
        <w:gridCol w:w="736"/>
        <w:gridCol w:w="36"/>
        <w:gridCol w:w="36"/>
        <w:gridCol w:w="36"/>
        <w:gridCol w:w="36"/>
        <w:gridCol w:w="68"/>
        <w:gridCol w:w="782"/>
        <w:gridCol w:w="36"/>
      </w:tblGrid>
      <w:tr w:rsidR="00000000">
        <w:trPr>
          <w:divId w:val="1726221393"/>
        </w:trPr>
        <w:tc>
          <w:tcPr>
            <w:tcW w:w="50" w:type="pct"/>
            <w:vAlign w:val="center"/>
            <w:hideMark/>
          </w:tcPr>
          <w:p w:rsidR="00000000" w:rsidRDefault="000F0F8D">
            <w:pPr>
              <w:rPr>
                <w:rFonts w:eastAsia="Times New Roman"/>
              </w:rPr>
            </w:pPr>
          </w:p>
        </w:tc>
        <w:tc>
          <w:tcPr>
            <w:tcW w:w="45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2101"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52"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89"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474"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27"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504"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jc w:val="center"/>
              <w:rPr>
                <w:rFonts w:eastAsia="Times New Roman"/>
              </w:rPr>
            </w:pPr>
            <w:r>
              <w:rPr>
                <w:rFonts w:eastAsia="Times New Roman"/>
                <w:b/>
                <w:bCs/>
                <w:color w:val="000000"/>
                <w:sz w:val="18"/>
                <w:szCs w:val="18"/>
              </w:rPr>
              <w:t>Filed Herewith</w:t>
            </w:r>
          </w:p>
        </w:tc>
      </w:tr>
      <w:tr w:rsidR="00000000">
        <w:trPr>
          <w:divId w:val="1726221393"/>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4.23</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divId w:val="1015306641"/>
              <w:rPr>
                <w:rFonts w:eastAsia="Times New Roman"/>
              </w:rPr>
            </w:pPr>
            <w:hyperlink r:id="rId28" w:history="1">
              <w:r>
                <w:rPr>
                  <w:rStyle w:val="a3"/>
                  <w:rFonts w:eastAsia="Times New Roman"/>
                  <w:sz w:val="18"/>
                  <w:szCs w:val="18"/>
                </w:rPr>
                <w:t>Officers’ Certificate, dated January 6, 2021, for the 1.300% Notes due 2028 and the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4.23</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790897954"/>
              <w:rPr>
                <w:rFonts w:eastAsia="Times New Roman"/>
              </w:rPr>
            </w:pPr>
            <w:hyperlink r:id="rId29" w:history="1">
              <w:r>
                <w:rPr>
                  <w:rStyle w:val="a3"/>
                  <w:rFonts w:eastAsia="Times New Roman"/>
                  <w:sz w:val="18"/>
                  <w:szCs w:val="18"/>
                </w:rPr>
                <w:t>Form of 1.300% Notes due 2028.</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323166311"/>
              <w:rPr>
                <w:rFonts w:eastAsia="Times New Roman"/>
              </w:rPr>
            </w:pPr>
            <w:hyperlink r:id="rId30" w:history="1">
              <w:r>
                <w:rPr>
                  <w:rStyle w:val="a3"/>
                  <w:rFonts w:eastAsia="Times New Roman"/>
                  <w:sz w:val="18"/>
                  <w:szCs w:val="18"/>
                </w:rPr>
                <w:t>Form of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4.25</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233051863"/>
              <w:rPr>
                <w:rFonts w:eastAsia="Times New Roman"/>
              </w:rPr>
            </w:pPr>
            <w:hyperlink r:id="rId31" w:history="1">
              <w:r>
                <w:rPr>
                  <w:rStyle w:val="a3"/>
                  <w:rFonts w:eastAsia="Times New Roman"/>
                  <w:sz w:val="18"/>
                  <w:szCs w:val="18"/>
                </w:rPr>
                <w:t>Qualcomm Incorporated Non-Executive Officer Change in Control Severance Plan (as amended and restated)</w:t>
              </w:r>
            </w:hyperlink>
            <w:r>
              <w:rPr>
                <w:rFonts w:eastAsia="Times New Roman"/>
                <w:color w:val="004FFF"/>
                <w:sz w:val="18"/>
                <w:szCs w:val="18"/>
                <w:u w:val="single"/>
              </w:rPr>
              <w:t>.</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1066533265"/>
              <w:rPr>
                <w:rFonts w:eastAsia="Times New Roman"/>
              </w:rPr>
            </w:pPr>
            <w:hyperlink r:id="rId32" w:history="1">
              <w:r>
                <w:rPr>
                  <w:rStyle w:val="a3"/>
                  <w:rFonts w:eastAsia="Times New Roman"/>
                  <w:sz w:val="18"/>
                  <w:szCs w:val="18"/>
                </w:rPr>
                <w:t>Qualcomm Incorporated Executive Officer Change in Control Severance Plan (as amended and restated). (2)</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10.12</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765882230"/>
              <w:rPr>
                <w:rFonts w:eastAsia="Times New Roman"/>
              </w:rPr>
            </w:pPr>
            <w:hyperlink r:id="rId33" w:history="1">
              <w:r>
                <w:rPr>
                  <w:rStyle w:val="a3"/>
                  <w:rFonts w:eastAsia="Times New Roman"/>
                  <w:sz w:val="18"/>
                  <w:szCs w:val="18"/>
                </w:rPr>
                <w:t>Qualcomm Incorporated Executive Officer Severance Plan (as amended and restated). (2)</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vAlign w:val="center"/>
            <w:hideMark/>
          </w:tcPr>
          <w:p w:rsidR="00000000" w:rsidRDefault="000F0F8D">
            <w:pPr>
              <w:spacing w:after="100"/>
              <w:jc w:val="center"/>
              <w:rPr>
                <w:rFonts w:eastAsia="Times New Roman"/>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c>
          <w:tcPr>
            <w:tcW w:w="0" w:type="auto"/>
            <w:gridSpan w:val="3"/>
            <w:vAlign w:val="center"/>
            <w:hideMark/>
          </w:tcPr>
          <w:p w:rsidR="00000000" w:rsidRDefault="000F0F8D">
            <w:pPr>
              <w:spacing w:after="100"/>
              <w:rPr>
                <w:rFonts w:eastAsia="Times New Roman"/>
                <w:sz w:val="20"/>
                <w:szCs w:val="20"/>
              </w:rPr>
            </w:pP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31.1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686100125"/>
              <w:rPr>
                <w:rFonts w:eastAsia="Times New Roman"/>
              </w:rPr>
            </w:pPr>
            <w:hyperlink r:id="rId34" w:history="1">
              <w:r>
                <w:rPr>
                  <w:rStyle w:val="a3"/>
                  <w:rFonts w:eastAsia="Times New Roman"/>
                  <w:sz w:val="18"/>
                  <w:szCs w:val="18"/>
                </w:rPr>
                <w:t xml:space="preserve">Certification pursuant to Section 302 of the Sarbanes-Oxley Act of 2002 for </w:t>
              </w:r>
            </w:hyperlink>
            <w:hyperlink r:id="rId35" w:history="1">
              <w:r>
                <w:rPr>
                  <w:rStyle w:val="a3"/>
                  <w:rFonts w:eastAsia="Times New Roman"/>
                  <w:sz w:val="18"/>
                  <w:szCs w:val="18"/>
                </w:rPr>
                <w:t>C</w:t>
              </w:r>
            </w:hyperlink>
            <w:hyperlink r:id="rId36" w:history="1">
              <w:r>
                <w:rPr>
                  <w:rStyle w:val="a3"/>
                  <w:rFonts w:eastAsia="Times New Roman"/>
                  <w:sz w:val="18"/>
                  <w:szCs w:val="18"/>
                </w:rPr>
                <w:t xml:space="preserve">ristiano </w:t>
              </w:r>
            </w:hyperlink>
            <w:hyperlink r:id="rId37" w:history="1">
              <w:r>
                <w:rPr>
                  <w:rStyle w:val="a3"/>
                  <w:rFonts w:eastAsia="Times New Roman"/>
                  <w:sz w:val="18"/>
                  <w:szCs w:val="18"/>
                </w:rPr>
                <w:t xml:space="preserve">R. </w:t>
              </w:r>
            </w:hyperlink>
            <w:hyperlink r:id="rId38" w:history="1">
              <w:r>
                <w:rPr>
                  <w:rStyle w:val="a3"/>
                  <w:rFonts w:eastAsia="Times New Roman"/>
                  <w:sz w:val="18"/>
                  <w:szCs w:val="18"/>
                </w:rPr>
                <w:t>Amon</w:t>
              </w:r>
            </w:hyperlink>
            <w:hyperlink r:id="rId39" w:history="1">
              <w:r>
                <w:rPr>
                  <w:rStyle w:val="a3"/>
                  <w:rFonts w:eastAsia="Times New Roman"/>
                  <w:sz w:val="18"/>
                  <w:szCs w:val="18"/>
                </w:rPr>
                <w:t>.</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755899661"/>
              <w:rPr>
                <w:rFonts w:eastAsia="Times New Roman"/>
              </w:rPr>
            </w:pPr>
            <w:hyperlink r:id="rId40" w:history="1">
              <w:r>
                <w:rPr>
                  <w:rStyle w:val="a3"/>
                  <w:rFonts w:eastAsia="Times New Roman"/>
                  <w:sz w:val="18"/>
                  <w:szCs w:val="18"/>
                </w:rPr>
                <w:t>Certification pursuant to Section 302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32.1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divId w:val="2035690535"/>
              <w:rPr>
                <w:rFonts w:eastAsia="Times New Roman"/>
              </w:rPr>
            </w:pPr>
            <w:hyperlink r:id="rId41" w:history="1">
              <w:r>
                <w:rPr>
                  <w:rStyle w:val="a3"/>
                  <w:rFonts w:eastAsia="Times New Roman"/>
                  <w:sz w:val="18"/>
                  <w:szCs w:val="18"/>
                </w:rPr>
                <w:t>Certification pursuant to 18 U.S.C. Section </w:t>
              </w:r>
              <w:r>
                <w:rPr>
                  <w:rStyle w:val="a3"/>
                  <w:rFonts w:eastAsia="Times New Roman"/>
                  <w:sz w:val="18"/>
                  <w:szCs w:val="18"/>
                </w:rPr>
                <w:t xml:space="preserve">1350, as adopted pursuant to Section 906 of the Sarbanes-Oxley Act of 2002, for </w:t>
              </w:r>
            </w:hyperlink>
            <w:hyperlink r:id="rId42" w:history="1">
              <w:r>
                <w:rPr>
                  <w:rStyle w:val="a3"/>
                  <w:rFonts w:eastAsia="Times New Roman"/>
                  <w:sz w:val="18"/>
                  <w:szCs w:val="18"/>
                </w:rPr>
                <w:t>C</w:t>
              </w:r>
            </w:hyperlink>
            <w:hyperlink r:id="rId43" w:history="1">
              <w:r>
                <w:rPr>
                  <w:rStyle w:val="a3"/>
                  <w:rFonts w:eastAsia="Times New Roman"/>
                  <w:sz w:val="18"/>
                  <w:szCs w:val="18"/>
                </w:rPr>
                <w:t>ri</w:t>
              </w:r>
            </w:hyperlink>
            <w:hyperlink r:id="rId44" w:history="1">
              <w:r>
                <w:rPr>
                  <w:rStyle w:val="a3"/>
                  <w:rFonts w:eastAsia="Times New Roman"/>
                  <w:sz w:val="18"/>
                  <w:szCs w:val="18"/>
                </w:rPr>
                <w:t>s</w:t>
              </w:r>
            </w:hyperlink>
            <w:hyperlink r:id="rId45" w:history="1">
              <w:r>
                <w:rPr>
                  <w:rStyle w:val="a3"/>
                  <w:rFonts w:eastAsia="Times New Roman"/>
                  <w:sz w:val="18"/>
                  <w:szCs w:val="18"/>
                </w:rPr>
                <w:t xml:space="preserve">tiano </w:t>
              </w:r>
            </w:hyperlink>
            <w:hyperlink r:id="rId46" w:history="1">
              <w:r>
                <w:rPr>
                  <w:rStyle w:val="a3"/>
                  <w:rFonts w:eastAsia="Times New Roman"/>
                  <w:sz w:val="18"/>
                  <w:szCs w:val="18"/>
                </w:rPr>
                <w:t xml:space="preserve">R. </w:t>
              </w:r>
            </w:hyperlink>
            <w:hyperlink r:id="rId47" w:history="1">
              <w:r>
                <w:rPr>
                  <w:rStyle w:val="a3"/>
                  <w:rFonts w:eastAsia="Times New Roman"/>
                  <w:sz w:val="18"/>
                  <w:szCs w:val="18"/>
                </w:rPr>
                <w:t>Amon</w:t>
              </w:r>
            </w:hyperlink>
            <w:hyperlink r:id="rId48" w:history="1">
              <w:r>
                <w:rPr>
                  <w:rStyle w:val="a3"/>
                  <w:rFonts w:eastAsia="Times New Roman"/>
                  <w:sz w:val="18"/>
                  <w:szCs w:val="18"/>
                </w:rPr>
                <w:t>.</w:t>
              </w:r>
            </w:hyperlink>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32.2</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divId w:val="1885478905"/>
              <w:rPr>
                <w:rFonts w:eastAsia="Times New Roman"/>
              </w:rPr>
            </w:pPr>
            <w:hyperlink r:id="rId49" w:history="1">
              <w:r>
                <w:rPr>
                  <w:rStyle w:val="a3"/>
                  <w:rFonts w:eastAsia="Times New Roman"/>
                  <w:sz w:val="18"/>
                  <w:szCs w:val="18"/>
                </w:rPr>
                <w:t>Certification pursuant to 18 U.S.C. Section </w:t>
              </w:r>
              <w:r>
                <w:rPr>
                  <w:rStyle w:val="a3"/>
                  <w:rFonts w:eastAsia="Times New Roman"/>
                  <w:sz w:val="18"/>
                  <w:szCs w:val="18"/>
                </w:rPr>
                <w:t>1350, as adopted pursuant to Section 906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101.INS</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101.SCH</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XBRL Taxonomy Extension Schema.</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101.CAL</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XBRL Taxonomy Extension Calculation Linkbase.</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XBRL Taxonomy Extension Labels Linkbase.</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101.PRE</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XBRL Taxonomy Extension Presentation Linkbase.</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101.DEF</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XBRL Taxonomy Extension Definition Linkbase.</w:t>
            </w: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X</w:t>
            </w:r>
          </w:p>
        </w:tc>
      </w:tr>
      <w:tr w:rsidR="00000000">
        <w:trPr>
          <w:divId w:val="1726221393"/>
        </w:trPr>
        <w:tc>
          <w:tcPr>
            <w:tcW w:w="0" w:type="auto"/>
            <w:gridSpan w:val="3"/>
            <w:shd w:val="clear" w:color="auto" w:fill="CCEEFF"/>
            <w:tcMar>
              <w:top w:w="30" w:type="dxa"/>
              <w:left w:w="20" w:type="dxa"/>
              <w:bottom w:w="30" w:type="dxa"/>
              <w:right w:w="20" w:type="dxa"/>
            </w:tcMar>
            <w:hideMark/>
          </w:tcPr>
          <w:p w:rsidR="00000000" w:rsidRDefault="000F0F8D">
            <w:pPr>
              <w:spacing w:after="100"/>
              <w:jc w:val="cente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F0F8D">
            <w:pPr>
              <w:spacing w:after="100"/>
              <w:rPr>
                <w:rFonts w:eastAsia="Times New Roman"/>
                <w:sz w:val="20"/>
                <w:szCs w:val="20"/>
              </w:rPr>
            </w:pPr>
          </w:p>
        </w:tc>
      </w:tr>
    </w:tbl>
    <w:p w:rsidR="00000000" w:rsidRDefault="000F0F8D">
      <w:pPr>
        <w:ind w:hanging="360"/>
        <w:divId w:val="165681632"/>
        <w:rPr>
          <w:rFonts w:eastAsia="Times New Roman"/>
        </w:rPr>
      </w:pPr>
      <w:r>
        <w:rPr>
          <w:rFonts w:eastAsia="Times New Roman"/>
          <w:color w:val="000000"/>
          <w:sz w:val="18"/>
          <w:szCs w:val="18"/>
        </w:rPr>
        <w:t>(1)</w:t>
      </w:r>
      <w:r>
        <w:rPr>
          <w:rFonts w:eastAsia="Times New Roman"/>
          <w:color w:val="000000"/>
          <w:sz w:val="18"/>
          <w:szCs w:val="18"/>
        </w:rPr>
        <w:t>We shall furnish supplementally a copy of any omitted schedule to the Commission upon request.</w:t>
      </w:r>
    </w:p>
    <w:p w:rsidR="00000000" w:rsidRDefault="000F0F8D">
      <w:pPr>
        <w:ind w:hanging="360"/>
        <w:divId w:val="629899174"/>
        <w:rPr>
          <w:rFonts w:eastAsia="Times New Roman"/>
        </w:rPr>
      </w:pPr>
      <w:r>
        <w:rPr>
          <w:rFonts w:eastAsia="Times New Roman"/>
          <w:color w:val="000000"/>
          <w:sz w:val="18"/>
          <w:szCs w:val="18"/>
        </w:rPr>
        <w:t>(2)Indicates management contract or compensatory plan or arrangement required to be identified pursuant to Item 15(a).</w:t>
      </w:r>
    </w:p>
    <w:p w:rsidR="00000000" w:rsidRDefault="000F0F8D">
      <w:pPr>
        <w:jc w:val="center"/>
        <w:divId w:val="585304376"/>
        <w:rPr>
          <w:rFonts w:eastAsia="Times New Roman"/>
        </w:rPr>
      </w:pPr>
      <w:r>
        <w:rPr>
          <w:rFonts w:eastAsia="Times New Roman"/>
          <w:color w:val="000000"/>
          <w:sz w:val="20"/>
          <w:szCs w:val="20"/>
        </w:rPr>
        <w:t>53</w:t>
      </w:r>
    </w:p>
    <w:p w:rsidR="00000000" w:rsidRDefault="000F0F8D">
      <w:pPr>
        <w:rPr>
          <w:rFonts w:eastAsia="Times New Roman"/>
        </w:rPr>
      </w:pPr>
      <w:r>
        <w:rPr>
          <w:rFonts w:eastAsia="Times New Roman"/>
        </w:rPr>
        <w:pict>
          <v:rect id="_x0000_i1076" style="width:0;height:1.5pt" o:hralign="center" o:hrstd="t" o:hr="t" fillcolor="#a0a0a0" stroked="f"/>
        </w:pict>
      </w:r>
    </w:p>
    <w:p w:rsidR="00000000" w:rsidRDefault="000F0F8D">
      <w:pPr>
        <w:divId w:val="1240099665"/>
        <w:rPr>
          <w:rFonts w:eastAsia="Times New Roman"/>
        </w:rPr>
      </w:pPr>
    </w:p>
    <w:p w:rsidR="00000000" w:rsidRDefault="000F0F8D">
      <w:pPr>
        <w:jc w:val="center"/>
        <w:rPr>
          <w:rFonts w:eastAsia="Times New Roman"/>
        </w:rPr>
      </w:pPr>
      <w:r>
        <w:rPr>
          <w:rFonts w:eastAsia="Times New Roman"/>
          <w:b/>
          <w:bCs/>
          <w:color w:val="000000"/>
          <w:sz w:val="20"/>
          <w:szCs w:val="20"/>
        </w:rPr>
        <w:t>SIGNATURES</w:t>
      </w:r>
    </w:p>
    <w:p w:rsidR="00000000" w:rsidRDefault="000F0F8D">
      <w:pPr>
        <w:ind w:firstLine="360"/>
        <w:divId w:val="20472988"/>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587466414"/>
        </w:trPr>
        <w:tc>
          <w:tcPr>
            <w:tcW w:w="50" w:type="pct"/>
            <w:vAlign w:val="center"/>
            <w:hideMark/>
          </w:tcPr>
          <w:p w:rsidR="00000000" w:rsidRDefault="000F0F8D">
            <w:pPr>
              <w:ind w:firstLine="360"/>
              <w:rPr>
                <w:rFonts w:eastAsia="Times New Roman"/>
              </w:rPr>
            </w:pPr>
          </w:p>
        </w:tc>
        <w:tc>
          <w:tcPr>
            <w:tcW w:w="24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c>
          <w:tcPr>
            <w:tcW w:w="50" w:type="pct"/>
            <w:vAlign w:val="center"/>
            <w:hideMark/>
          </w:tcPr>
          <w:p w:rsidR="00000000" w:rsidRDefault="000F0F8D">
            <w:pPr>
              <w:spacing w:after="100"/>
              <w:rPr>
                <w:rFonts w:eastAsia="Times New Roman"/>
                <w:sz w:val="20"/>
                <w:szCs w:val="20"/>
              </w:rPr>
            </w:pPr>
          </w:p>
        </w:tc>
        <w:tc>
          <w:tcPr>
            <w:tcW w:w="2445" w:type="pct"/>
            <w:vAlign w:val="center"/>
            <w:hideMark/>
          </w:tcPr>
          <w:p w:rsidR="00000000" w:rsidRDefault="000F0F8D">
            <w:pPr>
              <w:spacing w:after="100"/>
              <w:rPr>
                <w:rFonts w:eastAsia="Times New Roman"/>
                <w:sz w:val="20"/>
                <w:szCs w:val="20"/>
              </w:rPr>
            </w:pPr>
          </w:p>
        </w:tc>
        <w:tc>
          <w:tcPr>
            <w:tcW w:w="5" w:type="pct"/>
            <w:vAlign w:val="center"/>
            <w:hideMark/>
          </w:tcPr>
          <w:p w:rsidR="00000000" w:rsidRDefault="000F0F8D">
            <w:pPr>
              <w:spacing w:after="100"/>
              <w:rPr>
                <w:rFonts w:eastAsia="Times New Roman"/>
                <w:sz w:val="20"/>
                <w:szCs w:val="20"/>
              </w:rPr>
            </w:pPr>
          </w:p>
        </w:tc>
      </w:tr>
      <w:tr w:rsidR="00000000">
        <w:trPr>
          <w:divId w:val="587466414"/>
        </w:trPr>
        <w:tc>
          <w:tcPr>
            <w:tcW w:w="0" w:type="auto"/>
            <w:gridSpan w:val="3"/>
            <w:tcMar>
              <w:top w:w="30" w:type="dxa"/>
              <w:left w:w="20" w:type="dxa"/>
              <w:bottom w:w="30" w:type="dxa"/>
              <w:right w:w="20" w:type="dxa"/>
            </w:tcMar>
            <w:hideMark/>
          </w:tcPr>
          <w:p w:rsidR="00000000" w:rsidRDefault="000F0F8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F0F8D">
            <w:pPr>
              <w:spacing w:after="100"/>
              <w:divId w:val="1811823889"/>
              <w:rPr>
                <w:rFonts w:eastAsia="Times New Roman"/>
              </w:rPr>
            </w:pPr>
            <w:r>
              <w:rPr>
                <w:rFonts w:eastAsia="Times New Roman"/>
                <w:color w:val="000000"/>
                <w:sz w:val="20"/>
                <w:szCs w:val="20"/>
              </w:rPr>
              <w:t>QUALCOMM Incorporated</w:t>
            </w:r>
          </w:p>
          <w:p w:rsidR="00000000" w:rsidRDefault="000F0F8D">
            <w:pPr>
              <w:spacing w:after="100"/>
              <w:divId w:val="1166820655"/>
              <w:rPr>
                <w:rFonts w:eastAsia="Times New Roman"/>
              </w:rPr>
            </w:pPr>
            <w:r>
              <w:rPr>
                <w:rFonts w:eastAsia="Times New Roman"/>
                <w:color w:val="000000"/>
                <w:sz w:val="20"/>
                <w:szCs w:val="20"/>
              </w:rPr>
              <w:t> </w:t>
            </w:r>
          </w:p>
        </w:tc>
      </w:tr>
      <w:tr w:rsidR="00000000">
        <w:trPr>
          <w:divId w:val="587466414"/>
        </w:trPr>
        <w:tc>
          <w:tcPr>
            <w:tcW w:w="0" w:type="auto"/>
            <w:gridSpan w:val="3"/>
            <w:tcMar>
              <w:top w:w="30" w:type="dxa"/>
              <w:left w:w="20" w:type="dxa"/>
              <w:bottom w:w="30" w:type="dxa"/>
              <w:right w:w="20" w:type="dxa"/>
            </w:tcMar>
            <w:vAlign w:val="bottom"/>
            <w:hideMark/>
          </w:tcPr>
          <w:p w:rsidR="00000000" w:rsidRDefault="000F0F8D">
            <w:pPr>
              <w:spacing w:after="100"/>
              <w:divId w:val="681590967"/>
              <w:rPr>
                <w:rFonts w:eastAsia="Times New Roman"/>
              </w:rPr>
            </w:pPr>
            <w:r>
              <w:rPr>
                <w:rFonts w:eastAsia="Times New Roman"/>
                <w:color w:val="000000"/>
                <w:sz w:val="20"/>
                <w:szCs w:val="20"/>
              </w:rPr>
              <w:t> Dated: July </w:t>
            </w:r>
            <w:r>
              <w:rPr>
                <w:rFonts w:eastAsia="Times New Roman"/>
                <w:color w:val="000000"/>
                <w:sz w:val="20"/>
                <w:szCs w:val="20"/>
              </w:rPr>
              <w:t>28, 2021</w:t>
            </w: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20"/>
                <w:szCs w:val="20"/>
              </w:rPr>
              <w:t>/s/ Akash Palkhiwala</w:t>
            </w:r>
          </w:p>
        </w:tc>
      </w:tr>
      <w:tr w:rsidR="00000000">
        <w:trPr>
          <w:divId w:val="587466414"/>
        </w:trPr>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20"/>
                <w:szCs w:val="20"/>
              </w:rPr>
              <w:t>Akash Palkhiwala</w:t>
            </w:r>
          </w:p>
        </w:tc>
      </w:tr>
      <w:tr w:rsidR="00000000">
        <w:trPr>
          <w:divId w:val="587466414"/>
        </w:trPr>
        <w:tc>
          <w:tcPr>
            <w:tcW w:w="0" w:type="auto"/>
            <w:gridSpan w:val="3"/>
            <w:tcMar>
              <w:top w:w="0" w:type="dxa"/>
              <w:left w:w="20" w:type="dxa"/>
              <w:bottom w:w="0" w:type="dxa"/>
              <w:right w:w="20" w:type="dxa"/>
            </w:tcMar>
            <w:vAlign w:val="center"/>
            <w:hideMark/>
          </w:tcPr>
          <w:p w:rsidR="00000000" w:rsidRDefault="000F0F8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F0F8D">
            <w:pPr>
              <w:spacing w:after="100"/>
              <w:rPr>
                <w:rFonts w:eastAsia="Times New Roman"/>
              </w:rPr>
            </w:pPr>
            <w:r>
              <w:rPr>
                <w:rFonts w:eastAsia="Times New Roman"/>
                <w:color w:val="000000"/>
                <w:sz w:val="20"/>
                <w:szCs w:val="20"/>
              </w:rPr>
              <w:t>Chief Financial Officer</w:t>
            </w:r>
          </w:p>
        </w:tc>
      </w:tr>
    </w:tbl>
    <w:p w:rsidR="000F0F8D" w:rsidRDefault="000F0F8D">
      <w:pPr>
        <w:jc w:val="center"/>
        <w:divId w:val="1019624063"/>
        <w:rPr>
          <w:rFonts w:eastAsia="Times New Roman"/>
        </w:rPr>
      </w:pPr>
      <w:r>
        <w:rPr>
          <w:rFonts w:eastAsia="Times New Roman"/>
          <w:color w:val="000000"/>
          <w:sz w:val="20"/>
          <w:szCs w:val="20"/>
        </w:rPr>
        <w:t>54</w:t>
      </w:r>
    </w:p>
    <w:sectPr w:rsidR="000F0F8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0F8D"/>
    <w:rsid w:val="000F0F8D"/>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w3.org/1999/xlink"/>
  <w:attachedSchema w:val="http://www.xbrl.org/2003/instance"/>
  <w:attachedSchema w:val="http://xbrl.org/2006/xbrldi"/>
  <w:attachedSchema w:val="http://fasb.org/srt/2020-01-31"/>
  <w:attachedSchema w:val="http://www.sec.gov/inlineXBRL/transformation/2015-08-31"/>
  <w:attachedSchema w:val="http://xbrl.sec.gov/currency/2020-01-31"/>
  <w:attachedSchema w:val="http://fasb.org/us-gaap/2020-01-31"/>
  <w:attachedSchema w:val="http://xbrl.sec.gov/dei/2020-01-31"/>
  <w:attachedSchema w:val="http://www.qualcomm.com/20210627"/>
  <w:attachedSchema w:val="http://www.xbrl.org/2013/inlineXBRL"/>
  <w:attachedSchema w:val="http://www.xbrl.org/2003/linkbase"/>
  <w:attachedSchema w:val="http://www.xbrl.org/inlineXBRL/transformation/2015-0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02">
      <w:marLeft w:val="0"/>
      <w:marRight w:val="0"/>
      <w:marTop w:val="120"/>
      <w:marBottom w:val="0"/>
      <w:divBdr>
        <w:top w:val="none" w:sz="0" w:space="0" w:color="auto"/>
        <w:left w:val="none" w:sz="0" w:space="0" w:color="auto"/>
        <w:bottom w:val="none" w:sz="0" w:space="0" w:color="auto"/>
        <w:right w:val="none" w:sz="0" w:space="0" w:color="auto"/>
      </w:divBdr>
    </w:div>
    <w:div w:id="3678253">
      <w:marLeft w:val="0"/>
      <w:marRight w:val="0"/>
      <w:marTop w:val="120"/>
      <w:marBottom w:val="0"/>
      <w:divBdr>
        <w:top w:val="none" w:sz="0" w:space="0" w:color="auto"/>
        <w:left w:val="none" w:sz="0" w:space="0" w:color="auto"/>
        <w:bottom w:val="none" w:sz="0" w:space="0" w:color="auto"/>
        <w:right w:val="none" w:sz="0" w:space="0" w:color="auto"/>
      </w:divBdr>
    </w:div>
    <w:div w:id="6366530">
      <w:marLeft w:val="0"/>
      <w:marRight w:val="0"/>
      <w:marTop w:val="120"/>
      <w:marBottom w:val="0"/>
      <w:divBdr>
        <w:top w:val="none" w:sz="0" w:space="0" w:color="auto"/>
        <w:left w:val="none" w:sz="0" w:space="0" w:color="auto"/>
        <w:bottom w:val="none" w:sz="0" w:space="0" w:color="auto"/>
        <w:right w:val="none" w:sz="0" w:space="0" w:color="auto"/>
      </w:divBdr>
    </w:div>
    <w:div w:id="7877268">
      <w:marLeft w:val="0"/>
      <w:marRight w:val="0"/>
      <w:marTop w:val="120"/>
      <w:marBottom w:val="120"/>
      <w:divBdr>
        <w:top w:val="none" w:sz="0" w:space="0" w:color="auto"/>
        <w:left w:val="none" w:sz="0" w:space="0" w:color="auto"/>
        <w:bottom w:val="none" w:sz="0" w:space="0" w:color="auto"/>
        <w:right w:val="none" w:sz="0" w:space="0" w:color="auto"/>
      </w:divBdr>
    </w:div>
    <w:div w:id="8876216">
      <w:marLeft w:val="0"/>
      <w:marRight w:val="0"/>
      <w:marTop w:val="120"/>
      <w:marBottom w:val="0"/>
      <w:divBdr>
        <w:top w:val="none" w:sz="0" w:space="0" w:color="auto"/>
        <w:left w:val="none" w:sz="0" w:space="0" w:color="auto"/>
        <w:bottom w:val="none" w:sz="0" w:space="0" w:color="auto"/>
        <w:right w:val="none" w:sz="0" w:space="0" w:color="auto"/>
      </w:divBdr>
    </w:div>
    <w:div w:id="9993571">
      <w:marLeft w:val="0"/>
      <w:marRight w:val="0"/>
      <w:marTop w:val="120"/>
      <w:marBottom w:val="0"/>
      <w:divBdr>
        <w:top w:val="none" w:sz="0" w:space="0" w:color="auto"/>
        <w:left w:val="none" w:sz="0" w:space="0" w:color="auto"/>
        <w:bottom w:val="none" w:sz="0" w:space="0" w:color="auto"/>
        <w:right w:val="none" w:sz="0" w:space="0" w:color="auto"/>
      </w:divBdr>
    </w:div>
    <w:div w:id="13579533">
      <w:marLeft w:val="0"/>
      <w:marRight w:val="0"/>
      <w:marTop w:val="0"/>
      <w:marBottom w:val="0"/>
      <w:divBdr>
        <w:top w:val="none" w:sz="0" w:space="0" w:color="auto"/>
        <w:left w:val="none" w:sz="0" w:space="0" w:color="auto"/>
        <w:bottom w:val="none" w:sz="0" w:space="0" w:color="auto"/>
        <w:right w:val="none" w:sz="0" w:space="0" w:color="auto"/>
      </w:divBdr>
    </w:div>
    <w:div w:id="16586642">
      <w:marLeft w:val="0"/>
      <w:marRight w:val="0"/>
      <w:marTop w:val="0"/>
      <w:marBottom w:val="0"/>
      <w:divBdr>
        <w:top w:val="none" w:sz="0" w:space="0" w:color="auto"/>
        <w:left w:val="none" w:sz="0" w:space="0" w:color="auto"/>
        <w:bottom w:val="none" w:sz="0" w:space="0" w:color="auto"/>
        <w:right w:val="none" w:sz="0" w:space="0" w:color="auto"/>
      </w:divBdr>
    </w:div>
    <w:div w:id="19865801">
      <w:marLeft w:val="0"/>
      <w:marRight w:val="0"/>
      <w:marTop w:val="120"/>
      <w:marBottom w:val="0"/>
      <w:divBdr>
        <w:top w:val="none" w:sz="0" w:space="0" w:color="auto"/>
        <w:left w:val="none" w:sz="0" w:space="0" w:color="auto"/>
        <w:bottom w:val="none" w:sz="0" w:space="0" w:color="auto"/>
        <w:right w:val="none" w:sz="0" w:space="0" w:color="auto"/>
      </w:divBdr>
    </w:div>
    <w:div w:id="20472988">
      <w:marLeft w:val="0"/>
      <w:marRight w:val="0"/>
      <w:marTop w:val="120"/>
      <w:marBottom w:val="180"/>
      <w:divBdr>
        <w:top w:val="none" w:sz="0" w:space="0" w:color="auto"/>
        <w:left w:val="none" w:sz="0" w:space="0" w:color="auto"/>
        <w:bottom w:val="none" w:sz="0" w:space="0" w:color="auto"/>
        <w:right w:val="none" w:sz="0" w:space="0" w:color="auto"/>
      </w:divBdr>
    </w:div>
    <w:div w:id="22362365">
      <w:marLeft w:val="0"/>
      <w:marRight w:val="0"/>
      <w:marTop w:val="120"/>
      <w:marBottom w:val="0"/>
      <w:divBdr>
        <w:top w:val="none" w:sz="0" w:space="0" w:color="auto"/>
        <w:left w:val="none" w:sz="0" w:space="0" w:color="auto"/>
        <w:bottom w:val="none" w:sz="0" w:space="0" w:color="auto"/>
        <w:right w:val="none" w:sz="0" w:space="0" w:color="auto"/>
      </w:divBdr>
    </w:div>
    <w:div w:id="27075318">
      <w:marLeft w:val="0"/>
      <w:marRight w:val="0"/>
      <w:marTop w:val="120"/>
      <w:marBottom w:val="0"/>
      <w:divBdr>
        <w:top w:val="none" w:sz="0" w:space="0" w:color="auto"/>
        <w:left w:val="none" w:sz="0" w:space="0" w:color="auto"/>
        <w:bottom w:val="none" w:sz="0" w:space="0" w:color="auto"/>
        <w:right w:val="none" w:sz="0" w:space="0" w:color="auto"/>
      </w:divBdr>
    </w:div>
    <w:div w:id="30035578">
      <w:marLeft w:val="0"/>
      <w:marRight w:val="0"/>
      <w:marTop w:val="0"/>
      <w:marBottom w:val="0"/>
      <w:divBdr>
        <w:top w:val="none" w:sz="0" w:space="0" w:color="auto"/>
        <w:left w:val="none" w:sz="0" w:space="0" w:color="auto"/>
        <w:bottom w:val="none" w:sz="0" w:space="0" w:color="auto"/>
        <w:right w:val="none" w:sz="0" w:space="0" w:color="auto"/>
      </w:divBdr>
    </w:div>
    <w:div w:id="30345412">
      <w:marLeft w:val="0"/>
      <w:marRight w:val="0"/>
      <w:marTop w:val="120"/>
      <w:marBottom w:val="0"/>
      <w:divBdr>
        <w:top w:val="none" w:sz="0" w:space="0" w:color="auto"/>
        <w:left w:val="none" w:sz="0" w:space="0" w:color="auto"/>
        <w:bottom w:val="none" w:sz="0" w:space="0" w:color="auto"/>
        <w:right w:val="none" w:sz="0" w:space="0" w:color="auto"/>
      </w:divBdr>
    </w:div>
    <w:div w:id="36972179">
      <w:marLeft w:val="0"/>
      <w:marRight w:val="0"/>
      <w:marTop w:val="120"/>
      <w:marBottom w:val="20"/>
      <w:divBdr>
        <w:top w:val="none" w:sz="0" w:space="0" w:color="auto"/>
        <w:left w:val="none" w:sz="0" w:space="0" w:color="auto"/>
        <w:bottom w:val="none" w:sz="0" w:space="0" w:color="auto"/>
        <w:right w:val="none" w:sz="0" w:space="0" w:color="auto"/>
      </w:divBdr>
    </w:div>
    <w:div w:id="38479459">
      <w:marLeft w:val="0"/>
      <w:marRight w:val="0"/>
      <w:marTop w:val="120"/>
      <w:marBottom w:val="0"/>
      <w:divBdr>
        <w:top w:val="none" w:sz="0" w:space="0" w:color="auto"/>
        <w:left w:val="none" w:sz="0" w:space="0" w:color="auto"/>
        <w:bottom w:val="none" w:sz="0" w:space="0" w:color="auto"/>
        <w:right w:val="none" w:sz="0" w:space="0" w:color="auto"/>
      </w:divBdr>
    </w:div>
    <w:div w:id="52461304">
      <w:marLeft w:val="0"/>
      <w:marRight w:val="0"/>
      <w:marTop w:val="240"/>
      <w:marBottom w:val="0"/>
      <w:divBdr>
        <w:top w:val="none" w:sz="0" w:space="0" w:color="auto"/>
        <w:left w:val="none" w:sz="0" w:space="0" w:color="auto"/>
        <w:bottom w:val="none" w:sz="0" w:space="0" w:color="auto"/>
        <w:right w:val="none" w:sz="0" w:space="0" w:color="auto"/>
      </w:divBdr>
    </w:div>
    <w:div w:id="53554420">
      <w:marLeft w:val="0"/>
      <w:marRight w:val="0"/>
      <w:marTop w:val="0"/>
      <w:marBottom w:val="0"/>
      <w:divBdr>
        <w:top w:val="none" w:sz="0" w:space="0" w:color="auto"/>
        <w:left w:val="none" w:sz="0" w:space="0" w:color="auto"/>
        <w:bottom w:val="none" w:sz="0" w:space="0" w:color="auto"/>
        <w:right w:val="none" w:sz="0" w:space="0" w:color="auto"/>
      </w:divBdr>
    </w:div>
    <w:div w:id="56054631">
      <w:marLeft w:val="0"/>
      <w:marRight w:val="0"/>
      <w:marTop w:val="120"/>
      <w:marBottom w:val="0"/>
      <w:divBdr>
        <w:top w:val="none" w:sz="0" w:space="0" w:color="auto"/>
        <w:left w:val="none" w:sz="0" w:space="0" w:color="auto"/>
        <w:bottom w:val="none" w:sz="0" w:space="0" w:color="auto"/>
        <w:right w:val="none" w:sz="0" w:space="0" w:color="auto"/>
      </w:divBdr>
    </w:div>
    <w:div w:id="59252529">
      <w:marLeft w:val="0"/>
      <w:marRight w:val="0"/>
      <w:marTop w:val="0"/>
      <w:marBottom w:val="0"/>
      <w:divBdr>
        <w:top w:val="none" w:sz="0" w:space="0" w:color="auto"/>
        <w:left w:val="none" w:sz="0" w:space="0" w:color="auto"/>
        <w:bottom w:val="none" w:sz="0" w:space="0" w:color="auto"/>
        <w:right w:val="none" w:sz="0" w:space="0" w:color="auto"/>
      </w:divBdr>
    </w:div>
    <w:div w:id="61568993">
      <w:marLeft w:val="0"/>
      <w:marRight w:val="0"/>
      <w:marTop w:val="120"/>
      <w:marBottom w:val="0"/>
      <w:divBdr>
        <w:top w:val="none" w:sz="0" w:space="0" w:color="auto"/>
        <w:left w:val="none" w:sz="0" w:space="0" w:color="auto"/>
        <w:bottom w:val="none" w:sz="0" w:space="0" w:color="auto"/>
        <w:right w:val="none" w:sz="0" w:space="0" w:color="auto"/>
      </w:divBdr>
    </w:div>
    <w:div w:id="63308608">
      <w:marLeft w:val="0"/>
      <w:marRight w:val="0"/>
      <w:marTop w:val="120"/>
      <w:marBottom w:val="0"/>
      <w:divBdr>
        <w:top w:val="none" w:sz="0" w:space="0" w:color="auto"/>
        <w:left w:val="none" w:sz="0" w:space="0" w:color="auto"/>
        <w:bottom w:val="none" w:sz="0" w:space="0" w:color="auto"/>
        <w:right w:val="none" w:sz="0" w:space="0" w:color="auto"/>
      </w:divBdr>
    </w:div>
    <w:div w:id="72776850">
      <w:marLeft w:val="0"/>
      <w:marRight w:val="0"/>
      <w:marTop w:val="120"/>
      <w:marBottom w:val="0"/>
      <w:divBdr>
        <w:top w:val="none" w:sz="0" w:space="0" w:color="auto"/>
        <w:left w:val="none" w:sz="0" w:space="0" w:color="auto"/>
        <w:bottom w:val="none" w:sz="0" w:space="0" w:color="auto"/>
        <w:right w:val="none" w:sz="0" w:space="0" w:color="auto"/>
      </w:divBdr>
    </w:div>
    <w:div w:id="73167939">
      <w:marLeft w:val="0"/>
      <w:marRight w:val="0"/>
      <w:marTop w:val="120"/>
      <w:marBottom w:val="0"/>
      <w:divBdr>
        <w:top w:val="none" w:sz="0" w:space="0" w:color="auto"/>
        <w:left w:val="none" w:sz="0" w:space="0" w:color="auto"/>
        <w:bottom w:val="none" w:sz="0" w:space="0" w:color="auto"/>
        <w:right w:val="none" w:sz="0" w:space="0" w:color="auto"/>
      </w:divBdr>
    </w:div>
    <w:div w:id="74404522">
      <w:marLeft w:val="0"/>
      <w:marRight w:val="0"/>
      <w:marTop w:val="120"/>
      <w:marBottom w:val="120"/>
      <w:divBdr>
        <w:top w:val="none" w:sz="0" w:space="0" w:color="auto"/>
        <w:left w:val="none" w:sz="0" w:space="0" w:color="auto"/>
        <w:bottom w:val="none" w:sz="0" w:space="0" w:color="auto"/>
        <w:right w:val="none" w:sz="0" w:space="0" w:color="auto"/>
      </w:divBdr>
    </w:div>
    <w:div w:id="81226697">
      <w:marLeft w:val="0"/>
      <w:marRight w:val="0"/>
      <w:marTop w:val="120"/>
      <w:marBottom w:val="0"/>
      <w:divBdr>
        <w:top w:val="none" w:sz="0" w:space="0" w:color="auto"/>
        <w:left w:val="none" w:sz="0" w:space="0" w:color="auto"/>
        <w:bottom w:val="none" w:sz="0" w:space="0" w:color="auto"/>
        <w:right w:val="none" w:sz="0" w:space="0" w:color="auto"/>
      </w:divBdr>
    </w:div>
    <w:div w:id="83767584">
      <w:marLeft w:val="0"/>
      <w:marRight w:val="0"/>
      <w:marTop w:val="0"/>
      <w:marBottom w:val="0"/>
      <w:divBdr>
        <w:top w:val="none" w:sz="0" w:space="0" w:color="auto"/>
        <w:left w:val="none" w:sz="0" w:space="0" w:color="auto"/>
        <w:bottom w:val="none" w:sz="0" w:space="0" w:color="auto"/>
        <w:right w:val="none" w:sz="0" w:space="0" w:color="auto"/>
      </w:divBdr>
      <w:divsChild>
        <w:div w:id="42826560">
          <w:marLeft w:val="0"/>
          <w:marRight w:val="0"/>
          <w:marTop w:val="0"/>
          <w:marBottom w:val="0"/>
          <w:divBdr>
            <w:top w:val="none" w:sz="0" w:space="0" w:color="auto"/>
            <w:left w:val="none" w:sz="0" w:space="0" w:color="auto"/>
            <w:bottom w:val="none" w:sz="0" w:space="0" w:color="auto"/>
            <w:right w:val="none" w:sz="0" w:space="0" w:color="auto"/>
          </w:divBdr>
        </w:div>
      </w:divsChild>
    </w:div>
    <w:div w:id="85074541">
      <w:marLeft w:val="0"/>
      <w:marRight w:val="0"/>
      <w:marTop w:val="0"/>
      <w:marBottom w:val="0"/>
      <w:divBdr>
        <w:top w:val="none" w:sz="0" w:space="0" w:color="auto"/>
        <w:left w:val="none" w:sz="0" w:space="0" w:color="auto"/>
        <w:bottom w:val="none" w:sz="0" w:space="0" w:color="auto"/>
        <w:right w:val="none" w:sz="0" w:space="0" w:color="auto"/>
      </w:divBdr>
    </w:div>
    <w:div w:id="90442618">
      <w:marLeft w:val="0"/>
      <w:marRight w:val="0"/>
      <w:marTop w:val="0"/>
      <w:marBottom w:val="0"/>
      <w:divBdr>
        <w:top w:val="none" w:sz="0" w:space="0" w:color="auto"/>
        <w:left w:val="none" w:sz="0" w:space="0" w:color="auto"/>
        <w:bottom w:val="none" w:sz="0" w:space="0" w:color="auto"/>
        <w:right w:val="none" w:sz="0" w:space="0" w:color="auto"/>
      </w:divBdr>
      <w:divsChild>
        <w:div w:id="759718322">
          <w:marLeft w:val="0"/>
          <w:marRight w:val="0"/>
          <w:marTop w:val="0"/>
          <w:marBottom w:val="0"/>
          <w:divBdr>
            <w:top w:val="none" w:sz="0" w:space="0" w:color="auto"/>
            <w:left w:val="none" w:sz="0" w:space="0" w:color="auto"/>
            <w:bottom w:val="none" w:sz="0" w:space="0" w:color="auto"/>
            <w:right w:val="none" w:sz="0" w:space="0" w:color="auto"/>
          </w:divBdr>
        </w:div>
      </w:divsChild>
    </w:div>
    <w:div w:id="102266630">
      <w:marLeft w:val="0"/>
      <w:marRight w:val="0"/>
      <w:marTop w:val="0"/>
      <w:marBottom w:val="0"/>
      <w:divBdr>
        <w:top w:val="none" w:sz="0" w:space="0" w:color="auto"/>
        <w:left w:val="none" w:sz="0" w:space="0" w:color="auto"/>
        <w:bottom w:val="none" w:sz="0" w:space="0" w:color="auto"/>
        <w:right w:val="none" w:sz="0" w:space="0" w:color="auto"/>
      </w:divBdr>
    </w:div>
    <w:div w:id="104161925">
      <w:marLeft w:val="0"/>
      <w:marRight w:val="0"/>
      <w:marTop w:val="0"/>
      <w:marBottom w:val="0"/>
      <w:divBdr>
        <w:top w:val="none" w:sz="0" w:space="0" w:color="auto"/>
        <w:left w:val="none" w:sz="0" w:space="0" w:color="auto"/>
        <w:bottom w:val="none" w:sz="0" w:space="0" w:color="auto"/>
        <w:right w:val="none" w:sz="0" w:space="0" w:color="auto"/>
      </w:divBdr>
      <w:divsChild>
        <w:div w:id="896740458">
          <w:marLeft w:val="0"/>
          <w:marRight w:val="0"/>
          <w:marTop w:val="0"/>
          <w:marBottom w:val="0"/>
          <w:divBdr>
            <w:top w:val="none" w:sz="0" w:space="0" w:color="auto"/>
            <w:left w:val="none" w:sz="0" w:space="0" w:color="auto"/>
            <w:bottom w:val="none" w:sz="0" w:space="0" w:color="auto"/>
            <w:right w:val="none" w:sz="0" w:space="0" w:color="auto"/>
          </w:divBdr>
        </w:div>
      </w:divsChild>
    </w:div>
    <w:div w:id="119298725">
      <w:marLeft w:val="0"/>
      <w:marRight w:val="0"/>
      <w:marTop w:val="120"/>
      <w:marBottom w:val="0"/>
      <w:divBdr>
        <w:top w:val="none" w:sz="0" w:space="0" w:color="auto"/>
        <w:left w:val="none" w:sz="0" w:space="0" w:color="auto"/>
        <w:bottom w:val="none" w:sz="0" w:space="0" w:color="auto"/>
        <w:right w:val="none" w:sz="0" w:space="0" w:color="auto"/>
      </w:divBdr>
    </w:div>
    <w:div w:id="124009221">
      <w:marLeft w:val="0"/>
      <w:marRight w:val="0"/>
      <w:marTop w:val="0"/>
      <w:marBottom w:val="0"/>
      <w:divBdr>
        <w:top w:val="none" w:sz="0" w:space="0" w:color="auto"/>
        <w:left w:val="none" w:sz="0" w:space="0" w:color="auto"/>
        <w:bottom w:val="none" w:sz="0" w:space="0" w:color="auto"/>
        <w:right w:val="none" w:sz="0" w:space="0" w:color="auto"/>
      </w:divBdr>
      <w:divsChild>
        <w:div w:id="597064382">
          <w:marLeft w:val="0"/>
          <w:marRight w:val="0"/>
          <w:marTop w:val="0"/>
          <w:marBottom w:val="0"/>
          <w:divBdr>
            <w:top w:val="none" w:sz="0" w:space="0" w:color="auto"/>
            <w:left w:val="none" w:sz="0" w:space="0" w:color="auto"/>
            <w:bottom w:val="none" w:sz="0" w:space="0" w:color="auto"/>
            <w:right w:val="none" w:sz="0" w:space="0" w:color="auto"/>
          </w:divBdr>
        </w:div>
      </w:divsChild>
    </w:div>
    <w:div w:id="125467683">
      <w:marLeft w:val="0"/>
      <w:marRight w:val="0"/>
      <w:marTop w:val="120"/>
      <w:marBottom w:val="20"/>
      <w:divBdr>
        <w:top w:val="none" w:sz="0" w:space="0" w:color="auto"/>
        <w:left w:val="none" w:sz="0" w:space="0" w:color="auto"/>
        <w:bottom w:val="none" w:sz="0" w:space="0" w:color="auto"/>
        <w:right w:val="none" w:sz="0" w:space="0" w:color="auto"/>
      </w:divBdr>
    </w:div>
    <w:div w:id="126510264">
      <w:marLeft w:val="0"/>
      <w:marRight w:val="0"/>
      <w:marTop w:val="120"/>
      <w:marBottom w:val="0"/>
      <w:divBdr>
        <w:top w:val="none" w:sz="0" w:space="0" w:color="auto"/>
        <w:left w:val="none" w:sz="0" w:space="0" w:color="auto"/>
        <w:bottom w:val="none" w:sz="0" w:space="0" w:color="auto"/>
        <w:right w:val="none" w:sz="0" w:space="0" w:color="auto"/>
      </w:divBdr>
    </w:div>
    <w:div w:id="128255955">
      <w:marLeft w:val="0"/>
      <w:marRight w:val="0"/>
      <w:marTop w:val="120"/>
      <w:marBottom w:val="0"/>
      <w:divBdr>
        <w:top w:val="none" w:sz="0" w:space="0" w:color="auto"/>
        <w:left w:val="none" w:sz="0" w:space="0" w:color="auto"/>
        <w:bottom w:val="none" w:sz="0" w:space="0" w:color="auto"/>
        <w:right w:val="none" w:sz="0" w:space="0" w:color="auto"/>
      </w:divBdr>
    </w:div>
    <w:div w:id="137692465">
      <w:marLeft w:val="0"/>
      <w:marRight w:val="0"/>
      <w:marTop w:val="140"/>
      <w:marBottom w:val="0"/>
      <w:divBdr>
        <w:top w:val="none" w:sz="0" w:space="0" w:color="auto"/>
        <w:left w:val="none" w:sz="0" w:space="0" w:color="auto"/>
        <w:bottom w:val="none" w:sz="0" w:space="0" w:color="auto"/>
        <w:right w:val="none" w:sz="0" w:space="0" w:color="auto"/>
      </w:divBdr>
    </w:div>
    <w:div w:id="142280217">
      <w:marLeft w:val="0"/>
      <w:marRight w:val="0"/>
      <w:marTop w:val="0"/>
      <w:marBottom w:val="20"/>
      <w:divBdr>
        <w:top w:val="none" w:sz="0" w:space="0" w:color="auto"/>
        <w:left w:val="none" w:sz="0" w:space="0" w:color="auto"/>
        <w:bottom w:val="none" w:sz="0" w:space="0" w:color="auto"/>
        <w:right w:val="none" w:sz="0" w:space="0" w:color="auto"/>
      </w:divBdr>
    </w:div>
    <w:div w:id="142939194">
      <w:marLeft w:val="0"/>
      <w:marRight w:val="0"/>
      <w:marTop w:val="0"/>
      <w:marBottom w:val="0"/>
      <w:divBdr>
        <w:top w:val="none" w:sz="0" w:space="0" w:color="auto"/>
        <w:left w:val="none" w:sz="0" w:space="0" w:color="auto"/>
        <w:bottom w:val="none" w:sz="0" w:space="0" w:color="auto"/>
        <w:right w:val="none" w:sz="0" w:space="0" w:color="auto"/>
      </w:divBdr>
    </w:div>
    <w:div w:id="157427204">
      <w:marLeft w:val="0"/>
      <w:marRight w:val="0"/>
      <w:marTop w:val="0"/>
      <w:marBottom w:val="0"/>
      <w:divBdr>
        <w:top w:val="none" w:sz="0" w:space="0" w:color="auto"/>
        <w:left w:val="none" w:sz="0" w:space="0" w:color="auto"/>
        <w:bottom w:val="none" w:sz="0" w:space="0" w:color="auto"/>
        <w:right w:val="none" w:sz="0" w:space="0" w:color="auto"/>
      </w:divBdr>
      <w:divsChild>
        <w:div w:id="1595822273">
          <w:marLeft w:val="0"/>
          <w:marRight w:val="0"/>
          <w:marTop w:val="0"/>
          <w:marBottom w:val="0"/>
          <w:divBdr>
            <w:top w:val="none" w:sz="0" w:space="0" w:color="auto"/>
            <w:left w:val="none" w:sz="0" w:space="0" w:color="auto"/>
            <w:bottom w:val="none" w:sz="0" w:space="0" w:color="auto"/>
            <w:right w:val="none" w:sz="0" w:space="0" w:color="auto"/>
          </w:divBdr>
        </w:div>
      </w:divsChild>
    </w:div>
    <w:div w:id="157884885">
      <w:marLeft w:val="0"/>
      <w:marRight w:val="0"/>
      <w:marTop w:val="120"/>
      <w:marBottom w:val="0"/>
      <w:divBdr>
        <w:top w:val="none" w:sz="0" w:space="0" w:color="auto"/>
        <w:left w:val="none" w:sz="0" w:space="0" w:color="auto"/>
        <w:bottom w:val="none" w:sz="0" w:space="0" w:color="auto"/>
        <w:right w:val="none" w:sz="0" w:space="0" w:color="auto"/>
      </w:divBdr>
    </w:div>
    <w:div w:id="158929453">
      <w:marLeft w:val="0"/>
      <w:marRight w:val="0"/>
      <w:marTop w:val="120"/>
      <w:marBottom w:val="0"/>
      <w:divBdr>
        <w:top w:val="none" w:sz="0" w:space="0" w:color="auto"/>
        <w:left w:val="none" w:sz="0" w:space="0" w:color="auto"/>
        <w:bottom w:val="none" w:sz="0" w:space="0" w:color="auto"/>
        <w:right w:val="none" w:sz="0" w:space="0" w:color="auto"/>
      </w:divBdr>
    </w:div>
    <w:div w:id="161432691">
      <w:marLeft w:val="0"/>
      <w:marRight w:val="0"/>
      <w:marTop w:val="120"/>
      <w:marBottom w:val="0"/>
      <w:divBdr>
        <w:top w:val="none" w:sz="0" w:space="0" w:color="auto"/>
        <w:left w:val="none" w:sz="0" w:space="0" w:color="auto"/>
        <w:bottom w:val="none" w:sz="0" w:space="0" w:color="auto"/>
        <w:right w:val="none" w:sz="0" w:space="0" w:color="auto"/>
      </w:divBdr>
    </w:div>
    <w:div w:id="164249875">
      <w:marLeft w:val="0"/>
      <w:marRight w:val="0"/>
      <w:marTop w:val="120"/>
      <w:marBottom w:val="0"/>
      <w:divBdr>
        <w:top w:val="none" w:sz="0" w:space="0" w:color="auto"/>
        <w:left w:val="none" w:sz="0" w:space="0" w:color="auto"/>
        <w:bottom w:val="none" w:sz="0" w:space="0" w:color="auto"/>
        <w:right w:val="none" w:sz="0" w:space="0" w:color="auto"/>
      </w:divBdr>
    </w:div>
    <w:div w:id="165681632">
      <w:marLeft w:val="0"/>
      <w:marRight w:val="0"/>
      <w:marTop w:val="20"/>
      <w:marBottom w:val="120"/>
      <w:divBdr>
        <w:top w:val="none" w:sz="0" w:space="0" w:color="auto"/>
        <w:left w:val="none" w:sz="0" w:space="0" w:color="auto"/>
        <w:bottom w:val="none" w:sz="0" w:space="0" w:color="auto"/>
        <w:right w:val="none" w:sz="0" w:space="0" w:color="auto"/>
      </w:divBdr>
    </w:div>
    <w:div w:id="166604179">
      <w:marLeft w:val="0"/>
      <w:marRight w:val="0"/>
      <w:marTop w:val="0"/>
      <w:marBottom w:val="0"/>
      <w:divBdr>
        <w:top w:val="none" w:sz="0" w:space="0" w:color="auto"/>
        <w:left w:val="none" w:sz="0" w:space="0" w:color="auto"/>
        <w:bottom w:val="none" w:sz="0" w:space="0" w:color="auto"/>
        <w:right w:val="none" w:sz="0" w:space="0" w:color="auto"/>
      </w:divBdr>
    </w:div>
    <w:div w:id="167642035">
      <w:marLeft w:val="0"/>
      <w:marRight w:val="0"/>
      <w:marTop w:val="120"/>
      <w:marBottom w:val="0"/>
      <w:divBdr>
        <w:top w:val="none" w:sz="0" w:space="0" w:color="auto"/>
        <w:left w:val="none" w:sz="0" w:space="0" w:color="auto"/>
        <w:bottom w:val="none" w:sz="0" w:space="0" w:color="auto"/>
        <w:right w:val="none" w:sz="0" w:space="0" w:color="auto"/>
      </w:divBdr>
    </w:div>
    <w:div w:id="170532993">
      <w:marLeft w:val="0"/>
      <w:marRight w:val="0"/>
      <w:marTop w:val="120"/>
      <w:marBottom w:val="0"/>
      <w:divBdr>
        <w:top w:val="none" w:sz="0" w:space="0" w:color="auto"/>
        <w:left w:val="none" w:sz="0" w:space="0" w:color="auto"/>
        <w:bottom w:val="none" w:sz="0" w:space="0" w:color="auto"/>
        <w:right w:val="none" w:sz="0" w:space="0" w:color="auto"/>
      </w:divBdr>
    </w:div>
    <w:div w:id="171574406">
      <w:marLeft w:val="0"/>
      <w:marRight w:val="0"/>
      <w:marTop w:val="120"/>
      <w:marBottom w:val="0"/>
      <w:divBdr>
        <w:top w:val="none" w:sz="0" w:space="0" w:color="auto"/>
        <w:left w:val="none" w:sz="0" w:space="0" w:color="auto"/>
        <w:bottom w:val="none" w:sz="0" w:space="0" w:color="auto"/>
        <w:right w:val="none" w:sz="0" w:space="0" w:color="auto"/>
      </w:divBdr>
    </w:div>
    <w:div w:id="171915753">
      <w:marLeft w:val="0"/>
      <w:marRight w:val="0"/>
      <w:marTop w:val="120"/>
      <w:marBottom w:val="0"/>
      <w:divBdr>
        <w:top w:val="none" w:sz="0" w:space="0" w:color="auto"/>
        <w:left w:val="none" w:sz="0" w:space="0" w:color="auto"/>
        <w:bottom w:val="none" w:sz="0" w:space="0" w:color="auto"/>
        <w:right w:val="none" w:sz="0" w:space="0" w:color="auto"/>
      </w:divBdr>
    </w:div>
    <w:div w:id="172260454">
      <w:marLeft w:val="0"/>
      <w:marRight w:val="0"/>
      <w:marTop w:val="120"/>
      <w:marBottom w:val="0"/>
      <w:divBdr>
        <w:top w:val="none" w:sz="0" w:space="0" w:color="auto"/>
        <w:left w:val="none" w:sz="0" w:space="0" w:color="auto"/>
        <w:bottom w:val="none" w:sz="0" w:space="0" w:color="auto"/>
        <w:right w:val="none" w:sz="0" w:space="0" w:color="auto"/>
      </w:divBdr>
    </w:div>
    <w:div w:id="174928182">
      <w:marLeft w:val="0"/>
      <w:marRight w:val="0"/>
      <w:marTop w:val="0"/>
      <w:marBottom w:val="0"/>
      <w:divBdr>
        <w:top w:val="none" w:sz="0" w:space="0" w:color="auto"/>
        <w:left w:val="none" w:sz="0" w:space="0" w:color="auto"/>
        <w:bottom w:val="none" w:sz="0" w:space="0" w:color="auto"/>
        <w:right w:val="none" w:sz="0" w:space="0" w:color="auto"/>
      </w:divBdr>
    </w:div>
    <w:div w:id="180168092">
      <w:marLeft w:val="0"/>
      <w:marRight w:val="0"/>
      <w:marTop w:val="120"/>
      <w:marBottom w:val="0"/>
      <w:divBdr>
        <w:top w:val="none" w:sz="0" w:space="0" w:color="auto"/>
        <w:left w:val="none" w:sz="0" w:space="0" w:color="auto"/>
        <w:bottom w:val="none" w:sz="0" w:space="0" w:color="auto"/>
        <w:right w:val="none" w:sz="0" w:space="0" w:color="auto"/>
      </w:divBdr>
    </w:div>
    <w:div w:id="180823176">
      <w:marLeft w:val="0"/>
      <w:marRight w:val="0"/>
      <w:marTop w:val="240"/>
      <w:marBottom w:val="0"/>
      <w:divBdr>
        <w:top w:val="none" w:sz="0" w:space="0" w:color="auto"/>
        <w:left w:val="none" w:sz="0" w:space="0" w:color="auto"/>
        <w:bottom w:val="none" w:sz="0" w:space="0" w:color="auto"/>
        <w:right w:val="none" w:sz="0" w:space="0" w:color="auto"/>
      </w:divBdr>
    </w:div>
    <w:div w:id="181363413">
      <w:marLeft w:val="0"/>
      <w:marRight w:val="0"/>
      <w:marTop w:val="120"/>
      <w:marBottom w:val="0"/>
      <w:divBdr>
        <w:top w:val="none" w:sz="0" w:space="0" w:color="auto"/>
        <w:left w:val="none" w:sz="0" w:space="0" w:color="auto"/>
        <w:bottom w:val="none" w:sz="0" w:space="0" w:color="auto"/>
        <w:right w:val="none" w:sz="0" w:space="0" w:color="auto"/>
      </w:divBdr>
    </w:div>
    <w:div w:id="182134951">
      <w:marLeft w:val="0"/>
      <w:marRight w:val="0"/>
      <w:marTop w:val="0"/>
      <w:marBottom w:val="0"/>
      <w:divBdr>
        <w:top w:val="none" w:sz="0" w:space="0" w:color="auto"/>
        <w:left w:val="none" w:sz="0" w:space="0" w:color="auto"/>
        <w:bottom w:val="none" w:sz="0" w:space="0" w:color="auto"/>
        <w:right w:val="none" w:sz="0" w:space="0" w:color="auto"/>
      </w:divBdr>
    </w:div>
    <w:div w:id="185363132">
      <w:marLeft w:val="0"/>
      <w:marRight w:val="0"/>
      <w:marTop w:val="120"/>
      <w:marBottom w:val="0"/>
      <w:divBdr>
        <w:top w:val="none" w:sz="0" w:space="0" w:color="auto"/>
        <w:left w:val="none" w:sz="0" w:space="0" w:color="auto"/>
        <w:bottom w:val="none" w:sz="0" w:space="0" w:color="auto"/>
        <w:right w:val="none" w:sz="0" w:space="0" w:color="auto"/>
      </w:divBdr>
    </w:div>
    <w:div w:id="188955754">
      <w:marLeft w:val="0"/>
      <w:marRight w:val="0"/>
      <w:marTop w:val="120"/>
      <w:marBottom w:val="0"/>
      <w:divBdr>
        <w:top w:val="none" w:sz="0" w:space="0" w:color="auto"/>
        <w:left w:val="none" w:sz="0" w:space="0" w:color="auto"/>
        <w:bottom w:val="none" w:sz="0" w:space="0" w:color="auto"/>
        <w:right w:val="none" w:sz="0" w:space="0" w:color="auto"/>
      </w:divBdr>
    </w:div>
    <w:div w:id="193007651">
      <w:marLeft w:val="0"/>
      <w:marRight w:val="0"/>
      <w:marTop w:val="0"/>
      <w:marBottom w:val="0"/>
      <w:divBdr>
        <w:top w:val="none" w:sz="0" w:space="0" w:color="auto"/>
        <w:left w:val="none" w:sz="0" w:space="0" w:color="auto"/>
        <w:bottom w:val="none" w:sz="0" w:space="0" w:color="auto"/>
        <w:right w:val="none" w:sz="0" w:space="0" w:color="auto"/>
      </w:divBdr>
    </w:div>
    <w:div w:id="194776932">
      <w:marLeft w:val="0"/>
      <w:marRight w:val="0"/>
      <w:marTop w:val="120"/>
      <w:marBottom w:val="0"/>
      <w:divBdr>
        <w:top w:val="none" w:sz="0" w:space="0" w:color="auto"/>
        <w:left w:val="none" w:sz="0" w:space="0" w:color="auto"/>
        <w:bottom w:val="none" w:sz="0" w:space="0" w:color="auto"/>
        <w:right w:val="none" w:sz="0" w:space="0" w:color="auto"/>
      </w:divBdr>
    </w:div>
    <w:div w:id="201983350">
      <w:marLeft w:val="0"/>
      <w:marRight w:val="0"/>
      <w:marTop w:val="0"/>
      <w:marBottom w:val="0"/>
      <w:divBdr>
        <w:top w:val="none" w:sz="0" w:space="0" w:color="auto"/>
        <w:left w:val="none" w:sz="0" w:space="0" w:color="auto"/>
        <w:bottom w:val="none" w:sz="0" w:space="0" w:color="auto"/>
        <w:right w:val="none" w:sz="0" w:space="0" w:color="auto"/>
      </w:divBdr>
    </w:div>
    <w:div w:id="206064064">
      <w:marLeft w:val="0"/>
      <w:marRight w:val="0"/>
      <w:marTop w:val="0"/>
      <w:marBottom w:val="0"/>
      <w:divBdr>
        <w:top w:val="none" w:sz="0" w:space="0" w:color="auto"/>
        <w:left w:val="none" w:sz="0" w:space="0" w:color="auto"/>
        <w:bottom w:val="none" w:sz="0" w:space="0" w:color="auto"/>
        <w:right w:val="none" w:sz="0" w:space="0" w:color="auto"/>
      </w:divBdr>
      <w:divsChild>
        <w:div w:id="223414373">
          <w:marLeft w:val="0"/>
          <w:marRight w:val="0"/>
          <w:marTop w:val="0"/>
          <w:marBottom w:val="0"/>
          <w:divBdr>
            <w:top w:val="none" w:sz="0" w:space="0" w:color="auto"/>
            <w:left w:val="none" w:sz="0" w:space="0" w:color="auto"/>
            <w:bottom w:val="none" w:sz="0" w:space="0" w:color="auto"/>
            <w:right w:val="none" w:sz="0" w:space="0" w:color="auto"/>
          </w:divBdr>
        </w:div>
      </w:divsChild>
    </w:div>
    <w:div w:id="207692453">
      <w:marLeft w:val="0"/>
      <w:marRight w:val="0"/>
      <w:marTop w:val="0"/>
      <w:marBottom w:val="0"/>
      <w:divBdr>
        <w:top w:val="none" w:sz="0" w:space="0" w:color="auto"/>
        <w:left w:val="none" w:sz="0" w:space="0" w:color="auto"/>
        <w:bottom w:val="none" w:sz="0" w:space="0" w:color="auto"/>
        <w:right w:val="none" w:sz="0" w:space="0" w:color="auto"/>
      </w:divBdr>
    </w:div>
    <w:div w:id="208886627">
      <w:marLeft w:val="0"/>
      <w:marRight w:val="0"/>
      <w:marTop w:val="120"/>
      <w:marBottom w:val="0"/>
      <w:divBdr>
        <w:top w:val="none" w:sz="0" w:space="0" w:color="auto"/>
        <w:left w:val="none" w:sz="0" w:space="0" w:color="auto"/>
        <w:bottom w:val="none" w:sz="0" w:space="0" w:color="auto"/>
        <w:right w:val="none" w:sz="0" w:space="0" w:color="auto"/>
      </w:divBdr>
    </w:div>
    <w:div w:id="210264275">
      <w:marLeft w:val="0"/>
      <w:marRight w:val="0"/>
      <w:marTop w:val="120"/>
      <w:marBottom w:val="0"/>
      <w:divBdr>
        <w:top w:val="none" w:sz="0" w:space="0" w:color="auto"/>
        <w:left w:val="none" w:sz="0" w:space="0" w:color="auto"/>
        <w:bottom w:val="none" w:sz="0" w:space="0" w:color="auto"/>
        <w:right w:val="none" w:sz="0" w:space="0" w:color="auto"/>
      </w:divBdr>
    </w:div>
    <w:div w:id="216167417">
      <w:marLeft w:val="0"/>
      <w:marRight w:val="0"/>
      <w:marTop w:val="120"/>
      <w:marBottom w:val="0"/>
      <w:divBdr>
        <w:top w:val="none" w:sz="0" w:space="0" w:color="auto"/>
        <w:left w:val="none" w:sz="0" w:space="0" w:color="auto"/>
        <w:bottom w:val="none" w:sz="0" w:space="0" w:color="auto"/>
        <w:right w:val="none" w:sz="0" w:space="0" w:color="auto"/>
      </w:divBdr>
    </w:div>
    <w:div w:id="219445000">
      <w:marLeft w:val="0"/>
      <w:marRight w:val="0"/>
      <w:marTop w:val="120"/>
      <w:marBottom w:val="0"/>
      <w:divBdr>
        <w:top w:val="none" w:sz="0" w:space="0" w:color="auto"/>
        <w:left w:val="none" w:sz="0" w:space="0" w:color="auto"/>
        <w:bottom w:val="none" w:sz="0" w:space="0" w:color="auto"/>
        <w:right w:val="none" w:sz="0" w:space="0" w:color="auto"/>
      </w:divBdr>
    </w:div>
    <w:div w:id="221334508">
      <w:marLeft w:val="0"/>
      <w:marRight w:val="0"/>
      <w:marTop w:val="20"/>
      <w:marBottom w:val="0"/>
      <w:divBdr>
        <w:top w:val="none" w:sz="0" w:space="0" w:color="auto"/>
        <w:left w:val="none" w:sz="0" w:space="0" w:color="auto"/>
        <w:bottom w:val="none" w:sz="0" w:space="0" w:color="auto"/>
        <w:right w:val="none" w:sz="0" w:space="0" w:color="auto"/>
      </w:divBdr>
    </w:div>
    <w:div w:id="224920079">
      <w:marLeft w:val="0"/>
      <w:marRight w:val="0"/>
      <w:marTop w:val="180"/>
      <w:marBottom w:val="0"/>
      <w:divBdr>
        <w:top w:val="none" w:sz="0" w:space="0" w:color="auto"/>
        <w:left w:val="none" w:sz="0" w:space="0" w:color="auto"/>
        <w:bottom w:val="none" w:sz="0" w:space="0" w:color="auto"/>
        <w:right w:val="none" w:sz="0" w:space="0" w:color="auto"/>
      </w:divBdr>
    </w:div>
    <w:div w:id="229998236">
      <w:marLeft w:val="0"/>
      <w:marRight w:val="0"/>
      <w:marTop w:val="0"/>
      <w:marBottom w:val="0"/>
      <w:divBdr>
        <w:top w:val="none" w:sz="0" w:space="0" w:color="auto"/>
        <w:left w:val="none" w:sz="0" w:space="0" w:color="auto"/>
        <w:bottom w:val="none" w:sz="0" w:space="0" w:color="auto"/>
        <w:right w:val="none" w:sz="0" w:space="0" w:color="auto"/>
      </w:divBdr>
      <w:divsChild>
        <w:div w:id="758065048">
          <w:marLeft w:val="0"/>
          <w:marRight w:val="0"/>
          <w:marTop w:val="0"/>
          <w:marBottom w:val="0"/>
          <w:divBdr>
            <w:top w:val="none" w:sz="0" w:space="0" w:color="auto"/>
            <w:left w:val="none" w:sz="0" w:space="0" w:color="auto"/>
            <w:bottom w:val="none" w:sz="0" w:space="0" w:color="auto"/>
            <w:right w:val="none" w:sz="0" w:space="0" w:color="auto"/>
          </w:divBdr>
        </w:div>
      </w:divsChild>
    </w:div>
    <w:div w:id="230359690">
      <w:marLeft w:val="0"/>
      <w:marRight w:val="0"/>
      <w:marTop w:val="120"/>
      <w:marBottom w:val="0"/>
      <w:divBdr>
        <w:top w:val="none" w:sz="0" w:space="0" w:color="auto"/>
        <w:left w:val="none" w:sz="0" w:space="0" w:color="auto"/>
        <w:bottom w:val="none" w:sz="0" w:space="0" w:color="auto"/>
        <w:right w:val="none" w:sz="0" w:space="0" w:color="auto"/>
      </w:divBdr>
    </w:div>
    <w:div w:id="233590017">
      <w:marLeft w:val="0"/>
      <w:marRight w:val="0"/>
      <w:marTop w:val="120"/>
      <w:marBottom w:val="0"/>
      <w:divBdr>
        <w:top w:val="none" w:sz="0" w:space="0" w:color="auto"/>
        <w:left w:val="none" w:sz="0" w:space="0" w:color="auto"/>
        <w:bottom w:val="none" w:sz="0" w:space="0" w:color="auto"/>
        <w:right w:val="none" w:sz="0" w:space="0" w:color="auto"/>
      </w:divBdr>
    </w:div>
    <w:div w:id="236324337">
      <w:marLeft w:val="0"/>
      <w:marRight w:val="0"/>
      <w:marTop w:val="120"/>
      <w:marBottom w:val="0"/>
      <w:divBdr>
        <w:top w:val="none" w:sz="0" w:space="0" w:color="auto"/>
        <w:left w:val="none" w:sz="0" w:space="0" w:color="auto"/>
        <w:bottom w:val="none" w:sz="0" w:space="0" w:color="auto"/>
        <w:right w:val="none" w:sz="0" w:space="0" w:color="auto"/>
      </w:divBdr>
    </w:div>
    <w:div w:id="237399300">
      <w:marLeft w:val="0"/>
      <w:marRight w:val="0"/>
      <w:marTop w:val="120"/>
      <w:marBottom w:val="0"/>
      <w:divBdr>
        <w:top w:val="none" w:sz="0" w:space="0" w:color="auto"/>
        <w:left w:val="none" w:sz="0" w:space="0" w:color="auto"/>
        <w:bottom w:val="none" w:sz="0" w:space="0" w:color="auto"/>
        <w:right w:val="none" w:sz="0" w:space="0" w:color="auto"/>
      </w:divBdr>
    </w:div>
    <w:div w:id="238491678">
      <w:marLeft w:val="0"/>
      <w:marRight w:val="0"/>
      <w:marTop w:val="120"/>
      <w:marBottom w:val="0"/>
      <w:divBdr>
        <w:top w:val="none" w:sz="0" w:space="0" w:color="auto"/>
        <w:left w:val="none" w:sz="0" w:space="0" w:color="auto"/>
        <w:bottom w:val="none" w:sz="0" w:space="0" w:color="auto"/>
        <w:right w:val="none" w:sz="0" w:space="0" w:color="auto"/>
      </w:divBdr>
    </w:div>
    <w:div w:id="262764885">
      <w:marLeft w:val="0"/>
      <w:marRight w:val="0"/>
      <w:marTop w:val="180"/>
      <w:marBottom w:val="0"/>
      <w:divBdr>
        <w:top w:val="none" w:sz="0" w:space="0" w:color="auto"/>
        <w:left w:val="none" w:sz="0" w:space="0" w:color="auto"/>
        <w:bottom w:val="none" w:sz="0" w:space="0" w:color="auto"/>
        <w:right w:val="none" w:sz="0" w:space="0" w:color="auto"/>
      </w:divBdr>
    </w:div>
    <w:div w:id="262885427">
      <w:marLeft w:val="0"/>
      <w:marRight w:val="0"/>
      <w:marTop w:val="120"/>
      <w:marBottom w:val="0"/>
      <w:divBdr>
        <w:top w:val="none" w:sz="0" w:space="0" w:color="auto"/>
        <w:left w:val="none" w:sz="0" w:space="0" w:color="auto"/>
        <w:bottom w:val="none" w:sz="0" w:space="0" w:color="auto"/>
        <w:right w:val="none" w:sz="0" w:space="0" w:color="auto"/>
      </w:divBdr>
    </w:div>
    <w:div w:id="264197665">
      <w:marLeft w:val="0"/>
      <w:marRight w:val="0"/>
      <w:marTop w:val="0"/>
      <w:marBottom w:val="0"/>
      <w:divBdr>
        <w:top w:val="none" w:sz="0" w:space="0" w:color="auto"/>
        <w:left w:val="none" w:sz="0" w:space="0" w:color="auto"/>
        <w:bottom w:val="none" w:sz="0" w:space="0" w:color="auto"/>
        <w:right w:val="none" w:sz="0" w:space="0" w:color="auto"/>
      </w:divBdr>
    </w:div>
    <w:div w:id="269703443">
      <w:marLeft w:val="0"/>
      <w:marRight w:val="0"/>
      <w:marTop w:val="0"/>
      <w:marBottom w:val="0"/>
      <w:divBdr>
        <w:top w:val="none" w:sz="0" w:space="0" w:color="auto"/>
        <w:left w:val="none" w:sz="0" w:space="0" w:color="auto"/>
        <w:bottom w:val="none" w:sz="0" w:space="0" w:color="auto"/>
        <w:right w:val="none" w:sz="0" w:space="0" w:color="auto"/>
      </w:divBdr>
      <w:divsChild>
        <w:div w:id="190799442">
          <w:marLeft w:val="0"/>
          <w:marRight w:val="0"/>
          <w:marTop w:val="0"/>
          <w:marBottom w:val="0"/>
          <w:divBdr>
            <w:top w:val="none" w:sz="0" w:space="0" w:color="auto"/>
            <w:left w:val="none" w:sz="0" w:space="0" w:color="auto"/>
            <w:bottom w:val="none" w:sz="0" w:space="0" w:color="auto"/>
            <w:right w:val="none" w:sz="0" w:space="0" w:color="auto"/>
          </w:divBdr>
        </w:div>
      </w:divsChild>
    </w:div>
    <w:div w:id="270892568">
      <w:marLeft w:val="0"/>
      <w:marRight w:val="0"/>
      <w:marTop w:val="120"/>
      <w:marBottom w:val="0"/>
      <w:divBdr>
        <w:top w:val="none" w:sz="0" w:space="0" w:color="auto"/>
        <w:left w:val="none" w:sz="0" w:space="0" w:color="auto"/>
        <w:bottom w:val="none" w:sz="0" w:space="0" w:color="auto"/>
        <w:right w:val="none" w:sz="0" w:space="0" w:color="auto"/>
      </w:divBdr>
    </w:div>
    <w:div w:id="271981406">
      <w:marLeft w:val="0"/>
      <w:marRight w:val="0"/>
      <w:marTop w:val="0"/>
      <w:marBottom w:val="0"/>
      <w:divBdr>
        <w:top w:val="none" w:sz="0" w:space="0" w:color="auto"/>
        <w:left w:val="none" w:sz="0" w:space="0" w:color="auto"/>
        <w:bottom w:val="none" w:sz="0" w:space="0" w:color="auto"/>
        <w:right w:val="none" w:sz="0" w:space="0" w:color="auto"/>
      </w:divBdr>
      <w:divsChild>
        <w:div w:id="214661292">
          <w:marLeft w:val="0"/>
          <w:marRight w:val="0"/>
          <w:marTop w:val="0"/>
          <w:marBottom w:val="0"/>
          <w:divBdr>
            <w:top w:val="none" w:sz="0" w:space="0" w:color="auto"/>
            <w:left w:val="none" w:sz="0" w:space="0" w:color="auto"/>
            <w:bottom w:val="none" w:sz="0" w:space="0" w:color="auto"/>
            <w:right w:val="none" w:sz="0" w:space="0" w:color="auto"/>
          </w:divBdr>
        </w:div>
      </w:divsChild>
    </w:div>
    <w:div w:id="282737061">
      <w:marLeft w:val="0"/>
      <w:marRight w:val="0"/>
      <w:marTop w:val="120"/>
      <w:marBottom w:val="0"/>
      <w:divBdr>
        <w:top w:val="none" w:sz="0" w:space="0" w:color="auto"/>
        <w:left w:val="none" w:sz="0" w:space="0" w:color="auto"/>
        <w:bottom w:val="none" w:sz="0" w:space="0" w:color="auto"/>
        <w:right w:val="none" w:sz="0" w:space="0" w:color="auto"/>
      </w:divBdr>
    </w:div>
    <w:div w:id="287661663">
      <w:marLeft w:val="0"/>
      <w:marRight w:val="0"/>
      <w:marTop w:val="0"/>
      <w:marBottom w:val="0"/>
      <w:divBdr>
        <w:top w:val="none" w:sz="0" w:space="0" w:color="auto"/>
        <w:left w:val="none" w:sz="0" w:space="0" w:color="auto"/>
        <w:bottom w:val="none" w:sz="0" w:space="0" w:color="auto"/>
        <w:right w:val="none" w:sz="0" w:space="0" w:color="auto"/>
      </w:divBdr>
      <w:divsChild>
        <w:div w:id="2006743983">
          <w:marLeft w:val="0"/>
          <w:marRight w:val="0"/>
          <w:marTop w:val="0"/>
          <w:marBottom w:val="0"/>
          <w:divBdr>
            <w:top w:val="none" w:sz="0" w:space="0" w:color="auto"/>
            <w:left w:val="none" w:sz="0" w:space="0" w:color="auto"/>
            <w:bottom w:val="none" w:sz="0" w:space="0" w:color="auto"/>
            <w:right w:val="none" w:sz="0" w:space="0" w:color="auto"/>
          </w:divBdr>
        </w:div>
      </w:divsChild>
    </w:div>
    <w:div w:id="287904693">
      <w:marLeft w:val="0"/>
      <w:marRight w:val="0"/>
      <w:marTop w:val="120"/>
      <w:marBottom w:val="0"/>
      <w:divBdr>
        <w:top w:val="none" w:sz="0" w:space="0" w:color="auto"/>
        <w:left w:val="none" w:sz="0" w:space="0" w:color="auto"/>
        <w:bottom w:val="none" w:sz="0" w:space="0" w:color="auto"/>
        <w:right w:val="none" w:sz="0" w:space="0" w:color="auto"/>
      </w:divBdr>
    </w:div>
    <w:div w:id="290482927">
      <w:marLeft w:val="0"/>
      <w:marRight w:val="0"/>
      <w:marTop w:val="180"/>
      <w:marBottom w:val="120"/>
      <w:divBdr>
        <w:top w:val="none" w:sz="0" w:space="0" w:color="auto"/>
        <w:left w:val="none" w:sz="0" w:space="0" w:color="auto"/>
        <w:bottom w:val="none" w:sz="0" w:space="0" w:color="auto"/>
        <w:right w:val="none" w:sz="0" w:space="0" w:color="auto"/>
      </w:divBdr>
    </w:div>
    <w:div w:id="291904142">
      <w:marLeft w:val="0"/>
      <w:marRight w:val="0"/>
      <w:marTop w:val="0"/>
      <w:marBottom w:val="0"/>
      <w:divBdr>
        <w:top w:val="none" w:sz="0" w:space="0" w:color="auto"/>
        <w:left w:val="none" w:sz="0" w:space="0" w:color="auto"/>
        <w:bottom w:val="none" w:sz="0" w:space="0" w:color="auto"/>
        <w:right w:val="none" w:sz="0" w:space="0" w:color="auto"/>
      </w:divBdr>
    </w:div>
    <w:div w:id="298073129">
      <w:marLeft w:val="0"/>
      <w:marRight w:val="0"/>
      <w:marTop w:val="180"/>
      <w:marBottom w:val="120"/>
      <w:divBdr>
        <w:top w:val="none" w:sz="0" w:space="0" w:color="auto"/>
        <w:left w:val="none" w:sz="0" w:space="0" w:color="auto"/>
        <w:bottom w:val="none" w:sz="0" w:space="0" w:color="auto"/>
        <w:right w:val="none" w:sz="0" w:space="0" w:color="auto"/>
      </w:divBdr>
    </w:div>
    <w:div w:id="298851190">
      <w:marLeft w:val="0"/>
      <w:marRight w:val="0"/>
      <w:marTop w:val="120"/>
      <w:marBottom w:val="0"/>
      <w:divBdr>
        <w:top w:val="none" w:sz="0" w:space="0" w:color="auto"/>
        <w:left w:val="none" w:sz="0" w:space="0" w:color="auto"/>
        <w:bottom w:val="none" w:sz="0" w:space="0" w:color="auto"/>
        <w:right w:val="none" w:sz="0" w:space="0" w:color="auto"/>
      </w:divBdr>
    </w:div>
    <w:div w:id="302077530">
      <w:marLeft w:val="0"/>
      <w:marRight w:val="0"/>
      <w:marTop w:val="0"/>
      <w:marBottom w:val="0"/>
      <w:divBdr>
        <w:top w:val="none" w:sz="0" w:space="0" w:color="auto"/>
        <w:left w:val="none" w:sz="0" w:space="0" w:color="auto"/>
        <w:bottom w:val="none" w:sz="0" w:space="0" w:color="auto"/>
        <w:right w:val="none" w:sz="0" w:space="0" w:color="auto"/>
      </w:divBdr>
      <w:divsChild>
        <w:div w:id="289018111">
          <w:marLeft w:val="0"/>
          <w:marRight w:val="0"/>
          <w:marTop w:val="0"/>
          <w:marBottom w:val="0"/>
          <w:divBdr>
            <w:top w:val="none" w:sz="0" w:space="0" w:color="auto"/>
            <w:left w:val="none" w:sz="0" w:space="0" w:color="auto"/>
            <w:bottom w:val="none" w:sz="0" w:space="0" w:color="auto"/>
            <w:right w:val="none" w:sz="0" w:space="0" w:color="auto"/>
          </w:divBdr>
        </w:div>
      </w:divsChild>
    </w:div>
    <w:div w:id="304892387">
      <w:marLeft w:val="0"/>
      <w:marRight w:val="0"/>
      <w:marTop w:val="120"/>
      <w:marBottom w:val="0"/>
      <w:divBdr>
        <w:top w:val="none" w:sz="0" w:space="0" w:color="auto"/>
        <w:left w:val="none" w:sz="0" w:space="0" w:color="auto"/>
        <w:bottom w:val="none" w:sz="0" w:space="0" w:color="auto"/>
        <w:right w:val="none" w:sz="0" w:space="0" w:color="auto"/>
      </w:divBdr>
    </w:div>
    <w:div w:id="306401859">
      <w:marLeft w:val="0"/>
      <w:marRight w:val="0"/>
      <w:marTop w:val="120"/>
      <w:marBottom w:val="0"/>
      <w:divBdr>
        <w:top w:val="none" w:sz="0" w:space="0" w:color="auto"/>
        <w:left w:val="none" w:sz="0" w:space="0" w:color="auto"/>
        <w:bottom w:val="none" w:sz="0" w:space="0" w:color="auto"/>
        <w:right w:val="none" w:sz="0" w:space="0" w:color="auto"/>
      </w:divBdr>
    </w:div>
    <w:div w:id="306865263">
      <w:marLeft w:val="0"/>
      <w:marRight w:val="0"/>
      <w:marTop w:val="120"/>
      <w:marBottom w:val="0"/>
      <w:divBdr>
        <w:top w:val="none" w:sz="0" w:space="0" w:color="auto"/>
        <w:left w:val="none" w:sz="0" w:space="0" w:color="auto"/>
        <w:bottom w:val="none" w:sz="0" w:space="0" w:color="auto"/>
        <w:right w:val="none" w:sz="0" w:space="0" w:color="auto"/>
      </w:divBdr>
    </w:div>
    <w:div w:id="307250154">
      <w:marLeft w:val="0"/>
      <w:marRight w:val="0"/>
      <w:marTop w:val="120"/>
      <w:marBottom w:val="0"/>
      <w:divBdr>
        <w:top w:val="none" w:sz="0" w:space="0" w:color="auto"/>
        <w:left w:val="none" w:sz="0" w:space="0" w:color="auto"/>
        <w:bottom w:val="none" w:sz="0" w:space="0" w:color="auto"/>
        <w:right w:val="none" w:sz="0" w:space="0" w:color="auto"/>
      </w:divBdr>
    </w:div>
    <w:div w:id="322243068">
      <w:marLeft w:val="0"/>
      <w:marRight w:val="0"/>
      <w:marTop w:val="120"/>
      <w:marBottom w:val="0"/>
      <w:divBdr>
        <w:top w:val="none" w:sz="0" w:space="0" w:color="auto"/>
        <w:left w:val="none" w:sz="0" w:space="0" w:color="auto"/>
        <w:bottom w:val="none" w:sz="0" w:space="0" w:color="auto"/>
        <w:right w:val="none" w:sz="0" w:space="0" w:color="auto"/>
      </w:divBdr>
    </w:div>
    <w:div w:id="325205343">
      <w:marLeft w:val="0"/>
      <w:marRight w:val="0"/>
      <w:marTop w:val="0"/>
      <w:marBottom w:val="0"/>
      <w:divBdr>
        <w:top w:val="none" w:sz="0" w:space="0" w:color="auto"/>
        <w:left w:val="none" w:sz="0" w:space="0" w:color="auto"/>
        <w:bottom w:val="none" w:sz="0" w:space="0" w:color="auto"/>
        <w:right w:val="none" w:sz="0" w:space="0" w:color="auto"/>
      </w:divBdr>
      <w:divsChild>
        <w:div w:id="919674893">
          <w:marLeft w:val="0"/>
          <w:marRight w:val="0"/>
          <w:marTop w:val="0"/>
          <w:marBottom w:val="0"/>
          <w:divBdr>
            <w:top w:val="none" w:sz="0" w:space="0" w:color="auto"/>
            <w:left w:val="none" w:sz="0" w:space="0" w:color="auto"/>
            <w:bottom w:val="none" w:sz="0" w:space="0" w:color="auto"/>
            <w:right w:val="none" w:sz="0" w:space="0" w:color="auto"/>
          </w:divBdr>
        </w:div>
      </w:divsChild>
    </w:div>
    <w:div w:id="325209198">
      <w:marLeft w:val="0"/>
      <w:marRight w:val="0"/>
      <w:marTop w:val="120"/>
      <w:marBottom w:val="0"/>
      <w:divBdr>
        <w:top w:val="none" w:sz="0" w:space="0" w:color="auto"/>
        <w:left w:val="none" w:sz="0" w:space="0" w:color="auto"/>
        <w:bottom w:val="none" w:sz="0" w:space="0" w:color="auto"/>
        <w:right w:val="none" w:sz="0" w:space="0" w:color="auto"/>
      </w:divBdr>
    </w:div>
    <w:div w:id="325523354">
      <w:marLeft w:val="0"/>
      <w:marRight w:val="0"/>
      <w:marTop w:val="0"/>
      <w:marBottom w:val="0"/>
      <w:divBdr>
        <w:top w:val="none" w:sz="0" w:space="0" w:color="auto"/>
        <w:left w:val="none" w:sz="0" w:space="0" w:color="auto"/>
        <w:bottom w:val="none" w:sz="0" w:space="0" w:color="auto"/>
        <w:right w:val="none" w:sz="0" w:space="0" w:color="auto"/>
      </w:divBdr>
      <w:divsChild>
        <w:div w:id="705181597">
          <w:marLeft w:val="0"/>
          <w:marRight w:val="0"/>
          <w:marTop w:val="0"/>
          <w:marBottom w:val="0"/>
          <w:divBdr>
            <w:top w:val="none" w:sz="0" w:space="0" w:color="auto"/>
            <w:left w:val="none" w:sz="0" w:space="0" w:color="auto"/>
            <w:bottom w:val="none" w:sz="0" w:space="0" w:color="auto"/>
            <w:right w:val="none" w:sz="0" w:space="0" w:color="auto"/>
          </w:divBdr>
        </w:div>
      </w:divsChild>
    </w:div>
    <w:div w:id="328868065">
      <w:marLeft w:val="0"/>
      <w:marRight w:val="0"/>
      <w:marTop w:val="0"/>
      <w:marBottom w:val="0"/>
      <w:divBdr>
        <w:top w:val="none" w:sz="0" w:space="0" w:color="auto"/>
        <w:left w:val="none" w:sz="0" w:space="0" w:color="auto"/>
        <w:bottom w:val="none" w:sz="0" w:space="0" w:color="auto"/>
        <w:right w:val="none" w:sz="0" w:space="0" w:color="auto"/>
      </w:divBdr>
      <w:divsChild>
        <w:div w:id="1166893644">
          <w:marLeft w:val="0"/>
          <w:marRight w:val="0"/>
          <w:marTop w:val="0"/>
          <w:marBottom w:val="0"/>
          <w:divBdr>
            <w:top w:val="none" w:sz="0" w:space="0" w:color="auto"/>
            <w:left w:val="none" w:sz="0" w:space="0" w:color="auto"/>
            <w:bottom w:val="none" w:sz="0" w:space="0" w:color="auto"/>
            <w:right w:val="none" w:sz="0" w:space="0" w:color="auto"/>
          </w:divBdr>
          <w:divsChild>
            <w:div w:id="3462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1531">
      <w:marLeft w:val="0"/>
      <w:marRight w:val="0"/>
      <w:marTop w:val="0"/>
      <w:marBottom w:val="0"/>
      <w:divBdr>
        <w:top w:val="none" w:sz="0" w:space="0" w:color="auto"/>
        <w:left w:val="none" w:sz="0" w:space="0" w:color="auto"/>
        <w:bottom w:val="none" w:sz="0" w:space="0" w:color="auto"/>
        <w:right w:val="none" w:sz="0" w:space="0" w:color="auto"/>
      </w:divBdr>
      <w:divsChild>
        <w:div w:id="382406801">
          <w:marLeft w:val="0"/>
          <w:marRight w:val="0"/>
          <w:marTop w:val="0"/>
          <w:marBottom w:val="0"/>
          <w:divBdr>
            <w:top w:val="none" w:sz="0" w:space="0" w:color="auto"/>
            <w:left w:val="none" w:sz="0" w:space="0" w:color="auto"/>
            <w:bottom w:val="none" w:sz="0" w:space="0" w:color="auto"/>
            <w:right w:val="none" w:sz="0" w:space="0" w:color="auto"/>
          </w:divBdr>
        </w:div>
      </w:divsChild>
    </w:div>
    <w:div w:id="338776867">
      <w:marLeft w:val="0"/>
      <w:marRight w:val="0"/>
      <w:marTop w:val="120"/>
      <w:marBottom w:val="0"/>
      <w:divBdr>
        <w:top w:val="none" w:sz="0" w:space="0" w:color="auto"/>
        <w:left w:val="none" w:sz="0" w:space="0" w:color="auto"/>
        <w:bottom w:val="none" w:sz="0" w:space="0" w:color="auto"/>
        <w:right w:val="none" w:sz="0" w:space="0" w:color="auto"/>
      </w:divBdr>
    </w:div>
    <w:div w:id="340277797">
      <w:marLeft w:val="0"/>
      <w:marRight w:val="0"/>
      <w:marTop w:val="120"/>
      <w:marBottom w:val="0"/>
      <w:divBdr>
        <w:top w:val="none" w:sz="0" w:space="0" w:color="auto"/>
        <w:left w:val="none" w:sz="0" w:space="0" w:color="auto"/>
        <w:bottom w:val="none" w:sz="0" w:space="0" w:color="auto"/>
        <w:right w:val="none" w:sz="0" w:space="0" w:color="auto"/>
      </w:divBdr>
    </w:div>
    <w:div w:id="343091950">
      <w:marLeft w:val="0"/>
      <w:marRight w:val="0"/>
      <w:marTop w:val="120"/>
      <w:marBottom w:val="0"/>
      <w:divBdr>
        <w:top w:val="none" w:sz="0" w:space="0" w:color="auto"/>
        <w:left w:val="none" w:sz="0" w:space="0" w:color="auto"/>
        <w:bottom w:val="none" w:sz="0" w:space="0" w:color="auto"/>
        <w:right w:val="none" w:sz="0" w:space="0" w:color="auto"/>
      </w:divBdr>
    </w:div>
    <w:div w:id="351222123">
      <w:marLeft w:val="0"/>
      <w:marRight w:val="0"/>
      <w:marTop w:val="0"/>
      <w:marBottom w:val="0"/>
      <w:divBdr>
        <w:top w:val="none" w:sz="0" w:space="0" w:color="auto"/>
        <w:left w:val="none" w:sz="0" w:space="0" w:color="auto"/>
        <w:bottom w:val="none" w:sz="0" w:space="0" w:color="auto"/>
        <w:right w:val="none" w:sz="0" w:space="0" w:color="auto"/>
      </w:divBdr>
    </w:div>
    <w:div w:id="355690617">
      <w:marLeft w:val="0"/>
      <w:marRight w:val="0"/>
      <w:marTop w:val="120"/>
      <w:marBottom w:val="0"/>
      <w:divBdr>
        <w:top w:val="none" w:sz="0" w:space="0" w:color="auto"/>
        <w:left w:val="none" w:sz="0" w:space="0" w:color="auto"/>
        <w:bottom w:val="none" w:sz="0" w:space="0" w:color="auto"/>
        <w:right w:val="none" w:sz="0" w:space="0" w:color="auto"/>
      </w:divBdr>
    </w:div>
    <w:div w:id="358747616">
      <w:marLeft w:val="0"/>
      <w:marRight w:val="0"/>
      <w:marTop w:val="120"/>
      <w:marBottom w:val="0"/>
      <w:divBdr>
        <w:top w:val="none" w:sz="0" w:space="0" w:color="auto"/>
        <w:left w:val="none" w:sz="0" w:space="0" w:color="auto"/>
        <w:bottom w:val="none" w:sz="0" w:space="0" w:color="auto"/>
        <w:right w:val="none" w:sz="0" w:space="0" w:color="auto"/>
      </w:divBdr>
    </w:div>
    <w:div w:id="363218589">
      <w:marLeft w:val="0"/>
      <w:marRight w:val="0"/>
      <w:marTop w:val="120"/>
      <w:marBottom w:val="0"/>
      <w:divBdr>
        <w:top w:val="none" w:sz="0" w:space="0" w:color="auto"/>
        <w:left w:val="none" w:sz="0" w:space="0" w:color="auto"/>
        <w:bottom w:val="none" w:sz="0" w:space="0" w:color="auto"/>
        <w:right w:val="none" w:sz="0" w:space="0" w:color="auto"/>
      </w:divBdr>
    </w:div>
    <w:div w:id="365714494">
      <w:marLeft w:val="0"/>
      <w:marRight w:val="0"/>
      <w:marTop w:val="120"/>
      <w:marBottom w:val="0"/>
      <w:divBdr>
        <w:top w:val="none" w:sz="0" w:space="0" w:color="auto"/>
        <w:left w:val="none" w:sz="0" w:space="0" w:color="auto"/>
        <w:bottom w:val="none" w:sz="0" w:space="0" w:color="auto"/>
        <w:right w:val="none" w:sz="0" w:space="0" w:color="auto"/>
      </w:divBdr>
    </w:div>
    <w:div w:id="366949962">
      <w:marLeft w:val="0"/>
      <w:marRight w:val="0"/>
      <w:marTop w:val="120"/>
      <w:marBottom w:val="0"/>
      <w:divBdr>
        <w:top w:val="none" w:sz="0" w:space="0" w:color="auto"/>
        <w:left w:val="none" w:sz="0" w:space="0" w:color="auto"/>
        <w:bottom w:val="none" w:sz="0" w:space="0" w:color="auto"/>
        <w:right w:val="none" w:sz="0" w:space="0" w:color="auto"/>
      </w:divBdr>
    </w:div>
    <w:div w:id="369300859">
      <w:marLeft w:val="0"/>
      <w:marRight w:val="0"/>
      <w:marTop w:val="120"/>
      <w:marBottom w:val="0"/>
      <w:divBdr>
        <w:top w:val="none" w:sz="0" w:space="0" w:color="auto"/>
        <w:left w:val="none" w:sz="0" w:space="0" w:color="auto"/>
        <w:bottom w:val="none" w:sz="0" w:space="0" w:color="auto"/>
        <w:right w:val="none" w:sz="0" w:space="0" w:color="auto"/>
      </w:divBdr>
    </w:div>
    <w:div w:id="374239043">
      <w:marLeft w:val="0"/>
      <w:marRight w:val="0"/>
      <w:marTop w:val="0"/>
      <w:marBottom w:val="0"/>
      <w:divBdr>
        <w:top w:val="none" w:sz="0" w:space="0" w:color="auto"/>
        <w:left w:val="none" w:sz="0" w:space="0" w:color="auto"/>
        <w:bottom w:val="none" w:sz="0" w:space="0" w:color="auto"/>
        <w:right w:val="none" w:sz="0" w:space="0" w:color="auto"/>
      </w:divBdr>
      <w:divsChild>
        <w:div w:id="1855224024">
          <w:marLeft w:val="0"/>
          <w:marRight w:val="0"/>
          <w:marTop w:val="0"/>
          <w:marBottom w:val="0"/>
          <w:divBdr>
            <w:top w:val="none" w:sz="0" w:space="0" w:color="auto"/>
            <w:left w:val="none" w:sz="0" w:space="0" w:color="auto"/>
            <w:bottom w:val="none" w:sz="0" w:space="0" w:color="auto"/>
            <w:right w:val="none" w:sz="0" w:space="0" w:color="auto"/>
          </w:divBdr>
        </w:div>
      </w:divsChild>
    </w:div>
    <w:div w:id="383524005">
      <w:marLeft w:val="0"/>
      <w:marRight w:val="0"/>
      <w:marTop w:val="120"/>
      <w:marBottom w:val="0"/>
      <w:divBdr>
        <w:top w:val="none" w:sz="0" w:space="0" w:color="auto"/>
        <w:left w:val="none" w:sz="0" w:space="0" w:color="auto"/>
        <w:bottom w:val="none" w:sz="0" w:space="0" w:color="auto"/>
        <w:right w:val="none" w:sz="0" w:space="0" w:color="auto"/>
      </w:divBdr>
    </w:div>
    <w:div w:id="384260127">
      <w:marLeft w:val="0"/>
      <w:marRight w:val="0"/>
      <w:marTop w:val="0"/>
      <w:marBottom w:val="0"/>
      <w:divBdr>
        <w:top w:val="none" w:sz="0" w:space="0" w:color="auto"/>
        <w:left w:val="none" w:sz="0" w:space="0" w:color="auto"/>
        <w:bottom w:val="none" w:sz="0" w:space="0" w:color="auto"/>
        <w:right w:val="none" w:sz="0" w:space="0" w:color="auto"/>
      </w:divBdr>
    </w:div>
    <w:div w:id="402022944">
      <w:marLeft w:val="0"/>
      <w:marRight w:val="0"/>
      <w:marTop w:val="0"/>
      <w:marBottom w:val="0"/>
      <w:divBdr>
        <w:top w:val="none" w:sz="0" w:space="0" w:color="auto"/>
        <w:left w:val="none" w:sz="0" w:space="0" w:color="auto"/>
        <w:bottom w:val="none" w:sz="0" w:space="0" w:color="auto"/>
        <w:right w:val="none" w:sz="0" w:space="0" w:color="auto"/>
      </w:divBdr>
      <w:divsChild>
        <w:div w:id="50077619">
          <w:marLeft w:val="0"/>
          <w:marRight w:val="0"/>
          <w:marTop w:val="0"/>
          <w:marBottom w:val="0"/>
          <w:divBdr>
            <w:top w:val="none" w:sz="0" w:space="0" w:color="auto"/>
            <w:left w:val="none" w:sz="0" w:space="0" w:color="auto"/>
            <w:bottom w:val="none" w:sz="0" w:space="0" w:color="auto"/>
            <w:right w:val="none" w:sz="0" w:space="0" w:color="auto"/>
          </w:divBdr>
        </w:div>
      </w:divsChild>
    </w:div>
    <w:div w:id="405538203">
      <w:marLeft w:val="0"/>
      <w:marRight w:val="0"/>
      <w:marTop w:val="0"/>
      <w:marBottom w:val="0"/>
      <w:divBdr>
        <w:top w:val="none" w:sz="0" w:space="0" w:color="auto"/>
        <w:left w:val="none" w:sz="0" w:space="0" w:color="auto"/>
        <w:bottom w:val="none" w:sz="0" w:space="0" w:color="auto"/>
        <w:right w:val="none" w:sz="0" w:space="0" w:color="auto"/>
      </w:divBdr>
      <w:divsChild>
        <w:div w:id="30613643">
          <w:marLeft w:val="0"/>
          <w:marRight w:val="0"/>
          <w:marTop w:val="0"/>
          <w:marBottom w:val="0"/>
          <w:divBdr>
            <w:top w:val="none" w:sz="0" w:space="0" w:color="auto"/>
            <w:left w:val="none" w:sz="0" w:space="0" w:color="auto"/>
            <w:bottom w:val="none" w:sz="0" w:space="0" w:color="auto"/>
            <w:right w:val="none" w:sz="0" w:space="0" w:color="auto"/>
          </w:divBdr>
        </w:div>
      </w:divsChild>
    </w:div>
    <w:div w:id="410394726">
      <w:marLeft w:val="0"/>
      <w:marRight w:val="0"/>
      <w:marTop w:val="120"/>
      <w:marBottom w:val="120"/>
      <w:divBdr>
        <w:top w:val="none" w:sz="0" w:space="0" w:color="auto"/>
        <w:left w:val="none" w:sz="0" w:space="0" w:color="auto"/>
        <w:bottom w:val="none" w:sz="0" w:space="0" w:color="auto"/>
        <w:right w:val="none" w:sz="0" w:space="0" w:color="auto"/>
      </w:divBdr>
    </w:div>
    <w:div w:id="412625076">
      <w:marLeft w:val="0"/>
      <w:marRight w:val="0"/>
      <w:marTop w:val="120"/>
      <w:marBottom w:val="0"/>
      <w:divBdr>
        <w:top w:val="none" w:sz="0" w:space="0" w:color="auto"/>
        <w:left w:val="none" w:sz="0" w:space="0" w:color="auto"/>
        <w:bottom w:val="none" w:sz="0" w:space="0" w:color="auto"/>
        <w:right w:val="none" w:sz="0" w:space="0" w:color="auto"/>
      </w:divBdr>
    </w:div>
    <w:div w:id="417756457">
      <w:marLeft w:val="0"/>
      <w:marRight w:val="0"/>
      <w:marTop w:val="0"/>
      <w:marBottom w:val="0"/>
      <w:divBdr>
        <w:top w:val="none" w:sz="0" w:space="0" w:color="auto"/>
        <w:left w:val="none" w:sz="0" w:space="0" w:color="auto"/>
        <w:bottom w:val="none" w:sz="0" w:space="0" w:color="auto"/>
        <w:right w:val="none" w:sz="0" w:space="0" w:color="auto"/>
      </w:divBdr>
    </w:div>
    <w:div w:id="418598198">
      <w:marLeft w:val="0"/>
      <w:marRight w:val="0"/>
      <w:marTop w:val="0"/>
      <w:marBottom w:val="0"/>
      <w:divBdr>
        <w:top w:val="none" w:sz="0" w:space="0" w:color="auto"/>
        <w:left w:val="none" w:sz="0" w:space="0" w:color="auto"/>
        <w:bottom w:val="none" w:sz="0" w:space="0" w:color="auto"/>
        <w:right w:val="none" w:sz="0" w:space="0" w:color="auto"/>
      </w:divBdr>
      <w:divsChild>
        <w:div w:id="2056738392">
          <w:marLeft w:val="0"/>
          <w:marRight w:val="0"/>
          <w:marTop w:val="0"/>
          <w:marBottom w:val="0"/>
          <w:divBdr>
            <w:top w:val="none" w:sz="0" w:space="0" w:color="auto"/>
            <w:left w:val="none" w:sz="0" w:space="0" w:color="auto"/>
            <w:bottom w:val="none" w:sz="0" w:space="0" w:color="auto"/>
            <w:right w:val="none" w:sz="0" w:space="0" w:color="auto"/>
          </w:divBdr>
        </w:div>
      </w:divsChild>
    </w:div>
    <w:div w:id="428282472">
      <w:marLeft w:val="0"/>
      <w:marRight w:val="0"/>
      <w:marTop w:val="0"/>
      <w:marBottom w:val="20"/>
      <w:divBdr>
        <w:top w:val="none" w:sz="0" w:space="0" w:color="auto"/>
        <w:left w:val="none" w:sz="0" w:space="0" w:color="auto"/>
        <w:bottom w:val="none" w:sz="0" w:space="0" w:color="auto"/>
        <w:right w:val="none" w:sz="0" w:space="0" w:color="auto"/>
      </w:divBdr>
    </w:div>
    <w:div w:id="428552340">
      <w:marLeft w:val="0"/>
      <w:marRight w:val="0"/>
      <w:marTop w:val="120"/>
      <w:marBottom w:val="0"/>
      <w:divBdr>
        <w:top w:val="none" w:sz="0" w:space="0" w:color="auto"/>
        <w:left w:val="none" w:sz="0" w:space="0" w:color="auto"/>
        <w:bottom w:val="none" w:sz="0" w:space="0" w:color="auto"/>
        <w:right w:val="none" w:sz="0" w:space="0" w:color="auto"/>
      </w:divBdr>
    </w:div>
    <w:div w:id="429157134">
      <w:marLeft w:val="0"/>
      <w:marRight w:val="0"/>
      <w:marTop w:val="0"/>
      <w:marBottom w:val="0"/>
      <w:divBdr>
        <w:top w:val="none" w:sz="0" w:space="0" w:color="auto"/>
        <w:left w:val="none" w:sz="0" w:space="0" w:color="auto"/>
        <w:bottom w:val="none" w:sz="0" w:space="0" w:color="auto"/>
        <w:right w:val="none" w:sz="0" w:space="0" w:color="auto"/>
      </w:divBdr>
      <w:divsChild>
        <w:div w:id="427164643">
          <w:marLeft w:val="0"/>
          <w:marRight w:val="0"/>
          <w:marTop w:val="0"/>
          <w:marBottom w:val="0"/>
          <w:divBdr>
            <w:top w:val="none" w:sz="0" w:space="0" w:color="auto"/>
            <w:left w:val="none" w:sz="0" w:space="0" w:color="auto"/>
            <w:bottom w:val="none" w:sz="0" w:space="0" w:color="auto"/>
            <w:right w:val="none" w:sz="0" w:space="0" w:color="auto"/>
          </w:divBdr>
        </w:div>
      </w:divsChild>
    </w:div>
    <w:div w:id="430586216">
      <w:marLeft w:val="0"/>
      <w:marRight w:val="0"/>
      <w:marTop w:val="0"/>
      <w:marBottom w:val="0"/>
      <w:divBdr>
        <w:top w:val="none" w:sz="0" w:space="0" w:color="auto"/>
        <w:left w:val="none" w:sz="0" w:space="0" w:color="auto"/>
        <w:bottom w:val="none" w:sz="0" w:space="0" w:color="auto"/>
        <w:right w:val="none" w:sz="0" w:space="0" w:color="auto"/>
      </w:divBdr>
    </w:div>
    <w:div w:id="444008160">
      <w:marLeft w:val="0"/>
      <w:marRight w:val="0"/>
      <w:marTop w:val="120"/>
      <w:marBottom w:val="120"/>
      <w:divBdr>
        <w:top w:val="none" w:sz="0" w:space="0" w:color="auto"/>
        <w:left w:val="none" w:sz="0" w:space="0" w:color="auto"/>
        <w:bottom w:val="none" w:sz="0" w:space="0" w:color="auto"/>
        <w:right w:val="none" w:sz="0" w:space="0" w:color="auto"/>
      </w:divBdr>
    </w:div>
    <w:div w:id="447700504">
      <w:marLeft w:val="0"/>
      <w:marRight w:val="0"/>
      <w:marTop w:val="0"/>
      <w:marBottom w:val="0"/>
      <w:divBdr>
        <w:top w:val="none" w:sz="0" w:space="0" w:color="auto"/>
        <w:left w:val="none" w:sz="0" w:space="0" w:color="auto"/>
        <w:bottom w:val="none" w:sz="0" w:space="0" w:color="auto"/>
        <w:right w:val="none" w:sz="0" w:space="0" w:color="auto"/>
      </w:divBdr>
      <w:divsChild>
        <w:div w:id="1351032001">
          <w:marLeft w:val="0"/>
          <w:marRight w:val="0"/>
          <w:marTop w:val="0"/>
          <w:marBottom w:val="0"/>
          <w:divBdr>
            <w:top w:val="none" w:sz="0" w:space="0" w:color="auto"/>
            <w:left w:val="none" w:sz="0" w:space="0" w:color="auto"/>
            <w:bottom w:val="none" w:sz="0" w:space="0" w:color="auto"/>
            <w:right w:val="none" w:sz="0" w:space="0" w:color="auto"/>
          </w:divBdr>
        </w:div>
      </w:divsChild>
    </w:div>
    <w:div w:id="449209053">
      <w:marLeft w:val="0"/>
      <w:marRight w:val="0"/>
      <w:marTop w:val="120"/>
      <w:marBottom w:val="0"/>
      <w:divBdr>
        <w:top w:val="none" w:sz="0" w:space="0" w:color="auto"/>
        <w:left w:val="none" w:sz="0" w:space="0" w:color="auto"/>
        <w:bottom w:val="none" w:sz="0" w:space="0" w:color="auto"/>
        <w:right w:val="none" w:sz="0" w:space="0" w:color="auto"/>
      </w:divBdr>
    </w:div>
    <w:div w:id="457728389">
      <w:marLeft w:val="0"/>
      <w:marRight w:val="0"/>
      <w:marTop w:val="120"/>
      <w:marBottom w:val="0"/>
      <w:divBdr>
        <w:top w:val="none" w:sz="0" w:space="0" w:color="auto"/>
        <w:left w:val="none" w:sz="0" w:space="0" w:color="auto"/>
        <w:bottom w:val="none" w:sz="0" w:space="0" w:color="auto"/>
        <w:right w:val="none" w:sz="0" w:space="0" w:color="auto"/>
      </w:divBdr>
    </w:div>
    <w:div w:id="463498532">
      <w:marLeft w:val="0"/>
      <w:marRight w:val="0"/>
      <w:marTop w:val="120"/>
      <w:marBottom w:val="0"/>
      <w:divBdr>
        <w:top w:val="none" w:sz="0" w:space="0" w:color="auto"/>
        <w:left w:val="none" w:sz="0" w:space="0" w:color="auto"/>
        <w:bottom w:val="none" w:sz="0" w:space="0" w:color="auto"/>
        <w:right w:val="none" w:sz="0" w:space="0" w:color="auto"/>
      </w:divBdr>
    </w:div>
    <w:div w:id="467088409">
      <w:marLeft w:val="0"/>
      <w:marRight w:val="0"/>
      <w:marTop w:val="0"/>
      <w:marBottom w:val="0"/>
      <w:divBdr>
        <w:top w:val="none" w:sz="0" w:space="0" w:color="auto"/>
        <w:left w:val="none" w:sz="0" w:space="0" w:color="auto"/>
        <w:bottom w:val="none" w:sz="0" w:space="0" w:color="auto"/>
        <w:right w:val="none" w:sz="0" w:space="0" w:color="auto"/>
      </w:divBdr>
    </w:div>
    <w:div w:id="467599849">
      <w:marLeft w:val="0"/>
      <w:marRight w:val="0"/>
      <w:marTop w:val="120"/>
      <w:marBottom w:val="0"/>
      <w:divBdr>
        <w:top w:val="none" w:sz="0" w:space="0" w:color="auto"/>
        <w:left w:val="none" w:sz="0" w:space="0" w:color="auto"/>
        <w:bottom w:val="none" w:sz="0" w:space="0" w:color="auto"/>
        <w:right w:val="none" w:sz="0" w:space="0" w:color="auto"/>
      </w:divBdr>
    </w:div>
    <w:div w:id="471093757">
      <w:marLeft w:val="0"/>
      <w:marRight w:val="0"/>
      <w:marTop w:val="120"/>
      <w:marBottom w:val="0"/>
      <w:divBdr>
        <w:top w:val="none" w:sz="0" w:space="0" w:color="auto"/>
        <w:left w:val="none" w:sz="0" w:space="0" w:color="auto"/>
        <w:bottom w:val="none" w:sz="0" w:space="0" w:color="auto"/>
        <w:right w:val="none" w:sz="0" w:space="0" w:color="auto"/>
      </w:divBdr>
    </w:div>
    <w:div w:id="471362335">
      <w:marLeft w:val="0"/>
      <w:marRight w:val="0"/>
      <w:marTop w:val="0"/>
      <w:marBottom w:val="0"/>
      <w:divBdr>
        <w:top w:val="none" w:sz="0" w:space="0" w:color="auto"/>
        <w:left w:val="none" w:sz="0" w:space="0" w:color="auto"/>
        <w:bottom w:val="none" w:sz="0" w:space="0" w:color="auto"/>
        <w:right w:val="none" w:sz="0" w:space="0" w:color="auto"/>
      </w:divBdr>
    </w:div>
    <w:div w:id="480000925">
      <w:marLeft w:val="0"/>
      <w:marRight w:val="0"/>
      <w:marTop w:val="120"/>
      <w:marBottom w:val="0"/>
      <w:divBdr>
        <w:top w:val="none" w:sz="0" w:space="0" w:color="auto"/>
        <w:left w:val="none" w:sz="0" w:space="0" w:color="auto"/>
        <w:bottom w:val="none" w:sz="0" w:space="0" w:color="auto"/>
        <w:right w:val="none" w:sz="0" w:space="0" w:color="auto"/>
      </w:divBdr>
    </w:div>
    <w:div w:id="481308955">
      <w:marLeft w:val="0"/>
      <w:marRight w:val="0"/>
      <w:marTop w:val="120"/>
      <w:marBottom w:val="0"/>
      <w:divBdr>
        <w:top w:val="none" w:sz="0" w:space="0" w:color="auto"/>
        <w:left w:val="none" w:sz="0" w:space="0" w:color="auto"/>
        <w:bottom w:val="none" w:sz="0" w:space="0" w:color="auto"/>
        <w:right w:val="none" w:sz="0" w:space="0" w:color="auto"/>
      </w:divBdr>
    </w:div>
    <w:div w:id="483350182">
      <w:marLeft w:val="0"/>
      <w:marRight w:val="0"/>
      <w:marTop w:val="0"/>
      <w:marBottom w:val="0"/>
      <w:divBdr>
        <w:top w:val="none" w:sz="0" w:space="0" w:color="auto"/>
        <w:left w:val="none" w:sz="0" w:space="0" w:color="auto"/>
        <w:bottom w:val="none" w:sz="0" w:space="0" w:color="auto"/>
        <w:right w:val="none" w:sz="0" w:space="0" w:color="auto"/>
      </w:divBdr>
      <w:divsChild>
        <w:div w:id="411241073">
          <w:marLeft w:val="0"/>
          <w:marRight w:val="0"/>
          <w:marTop w:val="0"/>
          <w:marBottom w:val="0"/>
          <w:divBdr>
            <w:top w:val="none" w:sz="0" w:space="0" w:color="auto"/>
            <w:left w:val="none" w:sz="0" w:space="0" w:color="auto"/>
            <w:bottom w:val="none" w:sz="0" w:space="0" w:color="auto"/>
            <w:right w:val="none" w:sz="0" w:space="0" w:color="auto"/>
          </w:divBdr>
        </w:div>
      </w:divsChild>
    </w:div>
    <w:div w:id="490948223">
      <w:marLeft w:val="0"/>
      <w:marRight w:val="0"/>
      <w:marTop w:val="0"/>
      <w:marBottom w:val="0"/>
      <w:divBdr>
        <w:top w:val="none" w:sz="0" w:space="0" w:color="auto"/>
        <w:left w:val="none" w:sz="0" w:space="0" w:color="auto"/>
        <w:bottom w:val="none" w:sz="0" w:space="0" w:color="auto"/>
        <w:right w:val="none" w:sz="0" w:space="0" w:color="auto"/>
      </w:divBdr>
      <w:divsChild>
        <w:div w:id="1240099665">
          <w:marLeft w:val="0"/>
          <w:marRight w:val="0"/>
          <w:marTop w:val="0"/>
          <w:marBottom w:val="0"/>
          <w:divBdr>
            <w:top w:val="none" w:sz="0" w:space="0" w:color="auto"/>
            <w:left w:val="none" w:sz="0" w:space="0" w:color="auto"/>
            <w:bottom w:val="none" w:sz="0" w:space="0" w:color="auto"/>
            <w:right w:val="none" w:sz="0" w:space="0" w:color="auto"/>
          </w:divBdr>
        </w:div>
      </w:divsChild>
    </w:div>
    <w:div w:id="492259785">
      <w:marLeft w:val="0"/>
      <w:marRight w:val="0"/>
      <w:marTop w:val="0"/>
      <w:marBottom w:val="0"/>
      <w:divBdr>
        <w:top w:val="none" w:sz="0" w:space="0" w:color="auto"/>
        <w:left w:val="none" w:sz="0" w:space="0" w:color="auto"/>
        <w:bottom w:val="none" w:sz="0" w:space="0" w:color="auto"/>
        <w:right w:val="none" w:sz="0" w:space="0" w:color="auto"/>
      </w:divBdr>
      <w:divsChild>
        <w:div w:id="1845053469">
          <w:marLeft w:val="0"/>
          <w:marRight w:val="0"/>
          <w:marTop w:val="0"/>
          <w:marBottom w:val="0"/>
          <w:divBdr>
            <w:top w:val="none" w:sz="0" w:space="0" w:color="auto"/>
            <w:left w:val="none" w:sz="0" w:space="0" w:color="auto"/>
            <w:bottom w:val="none" w:sz="0" w:space="0" w:color="auto"/>
            <w:right w:val="none" w:sz="0" w:space="0" w:color="auto"/>
          </w:divBdr>
        </w:div>
      </w:divsChild>
    </w:div>
    <w:div w:id="493380848">
      <w:marLeft w:val="0"/>
      <w:marRight w:val="0"/>
      <w:marTop w:val="0"/>
      <w:marBottom w:val="0"/>
      <w:divBdr>
        <w:top w:val="none" w:sz="0" w:space="0" w:color="auto"/>
        <w:left w:val="none" w:sz="0" w:space="0" w:color="auto"/>
        <w:bottom w:val="none" w:sz="0" w:space="0" w:color="auto"/>
        <w:right w:val="none" w:sz="0" w:space="0" w:color="auto"/>
      </w:divBdr>
      <w:divsChild>
        <w:div w:id="977955998">
          <w:marLeft w:val="0"/>
          <w:marRight w:val="0"/>
          <w:marTop w:val="0"/>
          <w:marBottom w:val="0"/>
          <w:divBdr>
            <w:top w:val="none" w:sz="0" w:space="0" w:color="auto"/>
            <w:left w:val="none" w:sz="0" w:space="0" w:color="auto"/>
            <w:bottom w:val="none" w:sz="0" w:space="0" w:color="auto"/>
            <w:right w:val="none" w:sz="0" w:space="0" w:color="auto"/>
          </w:divBdr>
        </w:div>
      </w:divsChild>
    </w:div>
    <w:div w:id="502286278">
      <w:marLeft w:val="0"/>
      <w:marRight w:val="0"/>
      <w:marTop w:val="120"/>
      <w:marBottom w:val="0"/>
      <w:divBdr>
        <w:top w:val="none" w:sz="0" w:space="0" w:color="auto"/>
        <w:left w:val="none" w:sz="0" w:space="0" w:color="auto"/>
        <w:bottom w:val="none" w:sz="0" w:space="0" w:color="auto"/>
        <w:right w:val="none" w:sz="0" w:space="0" w:color="auto"/>
      </w:divBdr>
    </w:div>
    <w:div w:id="526286500">
      <w:marLeft w:val="0"/>
      <w:marRight w:val="0"/>
      <w:marTop w:val="120"/>
      <w:marBottom w:val="0"/>
      <w:divBdr>
        <w:top w:val="none" w:sz="0" w:space="0" w:color="auto"/>
        <w:left w:val="none" w:sz="0" w:space="0" w:color="auto"/>
        <w:bottom w:val="none" w:sz="0" w:space="0" w:color="auto"/>
        <w:right w:val="none" w:sz="0" w:space="0" w:color="auto"/>
      </w:divBdr>
    </w:div>
    <w:div w:id="535043817">
      <w:marLeft w:val="0"/>
      <w:marRight w:val="0"/>
      <w:marTop w:val="120"/>
      <w:marBottom w:val="0"/>
      <w:divBdr>
        <w:top w:val="none" w:sz="0" w:space="0" w:color="auto"/>
        <w:left w:val="none" w:sz="0" w:space="0" w:color="auto"/>
        <w:bottom w:val="none" w:sz="0" w:space="0" w:color="auto"/>
        <w:right w:val="none" w:sz="0" w:space="0" w:color="auto"/>
      </w:divBdr>
    </w:div>
    <w:div w:id="538780471">
      <w:marLeft w:val="0"/>
      <w:marRight w:val="0"/>
      <w:marTop w:val="0"/>
      <w:marBottom w:val="0"/>
      <w:divBdr>
        <w:top w:val="none" w:sz="0" w:space="0" w:color="auto"/>
        <w:left w:val="none" w:sz="0" w:space="0" w:color="auto"/>
        <w:bottom w:val="none" w:sz="0" w:space="0" w:color="auto"/>
        <w:right w:val="none" w:sz="0" w:space="0" w:color="auto"/>
      </w:divBdr>
      <w:divsChild>
        <w:div w:id="1341733936">
          <w:marLeft w:val="0"/>
          <w:marRight w:val="0"/>
          <w:marTop w:val="0"/>
          <w:marBottom w:val="0"/>
          <w:divBdr>
            <w:top w:val="none" w:sz="0" w:space="0" w:color="auto"/>
            <w:left w:val="none" w:sz="0" w:space="0" w:color="auto"/>
            <w:bottom w:val="none" w:sz="0" w:space="0" w:color="auto"/>
            <w:right w:val="none" w:sz="0" w:space="0" w:color="auto"/>
          </w:divBdr>
        </w:div>
      </w:divsChild>
    </w:div>
    <w:div w:id="543715982">
      <w:marLeft w:val="0"/>
      <w:marRight w:val="0"/>
      <w:marTop w:val="0"/>
      <w:marBottom w:val="0"/>
      <w:divBdr>
        <w:top w:val="none" w:sz="0" w:space="0" w:color="auto"/>
        <w:left w:val="none" w:sz="0" w:space="0" w:color="auto"/>
        <w:bottom w:val="none" w:sz="0" w:space="0" w:color="auto"/>
        <w:right w:val="none" w:sz="0" w:space="0" w:color="auto"/>
      </w:divBdr>
      <w:divsChild>
        <w:div w:id="1019624063">
          <w:marLeft w:val="0"/>
          <w:marRight w:val="0"/>
          <w:marTop w:val="0"/>
          <w:marBottom w:val="0"/>
          <w:divBdr>
            <w:top w:val="none" w:sz="0" w:space="0" w:color="auto"/>
            <w:left w:val="none" w:sz="0" w:space="0" w:color="auto"/>
            <w:bottom w:val="none" w:sz="0" w:space="0" w:color="auto"/>
            <w:right w:val="none" w:sz="0" w:space="0" w:color="auto"/>
          </w:divBdr>
        </w:div>
      </w:divsChild>
    </w:div>
    <w:div w:id="546182316">
      <w:marLeft w:val="0"/>
      <w:marRight w:val="0"/>
      <w:marTop w:val="180"/>
      <w:marBottom w:val="0"/>
      <w:divBdr>
        <w:top w:val="none" w:sz="0" w:space="0" w:color="auto"/>
        <w:left w:val="none" w:sz="0" w:space="0" w:color="auto"/>
        <w:bottom w:val="none" w:sz="0" w:space="0" w:color="auto"/>
        <w:right w:val="none" w:sz="0" w:space="0" w:color="auto"/>
      </w:divBdr>
    </w:div>
    <w:div w:id="547641846">
      <w:marLeft w:val="0"/>
      <w:marRight w:val="0"/>
      <w:marTop w:val="120"/>
      <w:marBottom w:val="0"/>
      <w:divBdr>
        <w:top w:val="none" w:sz="0" w:space="0" w:color="auto"/>
        <w:left w:val="none" w:sz="0" w:space="0" w:color="auto"/>
        <w:bottom w:val="none" w:sz="0" w:space="0" w:color="auto"/>
        <w:right w:val="none" w:sz="0" w:space="0" w:color="auto"/>
      </w:divBdr>
    </w:div>
    <w:div w:id="547958667">
      <w:marLeft w:val="0"/>
      <w:marRight w:val="0"/>
      <w:marTop w:val="180"/>
      <w:marBottom w:val="180"/>
      <w:divBdr>
        <w:top w:val="none" w:sz="0" w:space="0" w:color="auto"/>
        <w:left w:val="none" w:sz="0" w:space="0" w:color="auto"/>
        <w:bottom w:val="none" w:sz="0" w:space="0" w:color="auto"/>
        <w:right w:val="none" w:sz="0" w:space="0" w:color="auto"/>
      </w:divBdr>
    </w:div>
    <w:div w:id="554899013">
      <w:marLeft w:val="0"/>
      <w:marRight w:val="0"/>
      <w:marTop w:val="0"/>
      <w:marBottom w:val="0"/>
      <w:divBdr>
        <w:top w:val="none" w:sz="0" w:space="0" w:color="auto"/>
        <w:left w:val="none" w:sz="0" w:space="0" w:color="auto"/>
        <w:bottom w:val="none" w:sz="0" w:space="0" w:color="auto"/>
        <w:right w:val="none" w:sz="0" w:space="0" w:color="auto"/>
      </w:divBdr>
    </w:div>
    <w:div w:id="554925538">
      <w:marLeft w:val="0"/>
      <w:marRight w:val="0"/>
      <w:marTop w:val="120"/>
      <w:marBottom w:val="120"/>
      <w:divBdr>
        <w:top w:val="none" w:sz="0" w:space="0" w:color="auto"/>
        <w:left w:val="none" w:sz="0" w:space="0" w:color="auto"/>
        <w:bottom w:val="none" w:sz="0" w:space="0" w:color="auto"/>
        <w:right w:val="none" w:sz="0" w:space="0" w:color="auto"/>
      </w:divBdr>
    </w:div>
    <w:div w:id="557673591">
      <w:marLeft w:val="0"/>
      <w:marRight w:val="0"/>
      <w:marTop w:val="120"/>
      <w:marBottom w:val="120"/>
      <w:divBdr>
        <w:top w:val="none" w:sz="0" w:space="0" w:color="auto"/>
        <w:left w:val="none" w:sz="0" w:space="0" w:color="auto"/>
        <w:bottom w:val="none" w:sz="0" w:space="0" w:color="auto"/>
        <w:right w:val="none" w:sz="0" w:space="0" w:color="auto"/>
      </w:divBdr>
    </w:div>
    <w:div w:id="560604274">
      <w:marLeft w:val="0"/>
      <w:marRight w:val="0"/>
      <w:marTop w:val="0"/>
      <w:marBottom w:val="0"/>
      <w:divBdr>
        <w:top w:val="none" w:sz="0" w:space="0" w:color="auto"/>
        <w:left w:val="none" w:sz="0" w:space="0" w:color="auto"/>
        <w:bottom w:val="none" w:sz="0" w:space="0" w:color="auto"/>
        <w:right w:val="none" w:sz="0" w:space="0" w:color="auto"/>
      </w:divBdr>
      <w:divsChild>
        <w:div w:id="2068607425">
          <w:marLeft w:val="0"/>
          <w:marRight w:val="0"/>
          <w:marTop w:val="0"/>
          <w:marBottom w:val="0"/>
          <w:divBdr>
            <w:top w:val="none" w:sz="0" w:space="0" w:color="auto"/>
            <w:left w:val="none" w:sz="0" w:space="0" w:color="auto"/>
            <w:bottom w:val="none" w:sz="0" w:space="0" w:color="auto"/>
            <w:right w:val="none" w:sz="0" w:space="0" w:color="auto"/>
          </w:divBdr>
        </w:div>
      </w:divsChild>
    </w:div>
    <w:div w:id="562907640">
      <w:marLeft w:val="0"/>
      <w:marRight w:val="0"/>
      <w:marTop w:val="120"/>
      <w:marBottom w:val="0"/>
      <w:divBdr>
        <w:top w:val="none" w:sz="0" w:space="0" w:color="auto"/>
        <w:left w:val="none" w:sz="0" w:space="0" w:color="auto"/>
        <w:bottom w:val="none" w:sz="0" w:space="0" w:color="auto"/>
        <w:right w:val="none" w:sz="0" w:space="0" w:color="auto"/>
      </w:divBdr>
    </w:div>
    <w:div w:id="563107063">
      <w:marLeft w:val="0"/>
      <w:marRight w:val="0"/>
      <w:marTop w:val="0"/>
      <w:marBottom w:val="0"/>
      <w:divBdr>
        <w:top w:val="none" w:sz="0" w:space="0" w:color="auto"/>
        <w:left w:val="none" w:sz="0" w:space="0" w:color="auto"/>
        <w:bottom w:val="none" w:sz="0" w:space="0" w:color="auto"/>
        <w:right w:val="none" w:sz="0" w:space="0" w:color="auto"/>
      </w:divBdr>
    </w:div>
    <w:div w:id="567345375">
      <w:marLeft w:val="0"/>
      <w:marRight w:val="0"/>
      <w:marTop w:val="120"/>
      <w:marBottom w:val="0"/>
      <w:divBdr>
        <w:top w:val="none" w:sz="0" w:space="0" w:color="auto"/>
        <w:left w:val="none" w:sz="0" w:space="0" w:color="auto"/>
        <w:bottom w:val="none" w:sz="0" w:space="0" w:color="auto"/>
        <w:right w:val="none" w:sz="0" w:space="0" w:color="auto"/>
      </w:divBdr>
    </w:div>
    <w:div w:id="569116728">
      <w:marLeft w:val="0"/>
      <w:marRight w:val="0"/>
      <w:marTop w:val="120"/>
      <w:marBottom w:val="0"/>
      <w:divBdr>
        <w:top w:val="none" w:sz="0" w:space="0" w:color="auto"/>
        <w:left w:val="none" w:sz="0" w:space="0" w:color="auto"/>
        <w:bottom w:val="none" w:sz="0" w:space="0" w:color="auto"/>
        <w:right w:val="none" w:sz="0" w:space="0" w:color="auto"/>
      </w:divBdr>
    </w:div>
    <w:div w:id="570581633">
      <w:marLeft w:val="0"/>
      <w:marRight w:val="0"/>
      <w:marTop w:val="0"/>
      <w:marBottom w:val="0"/>
      <w:divBdr>
        <w:top w:val="none" w:sz="0" w:space="0" w:color="auto"/>
        <w:left w:val="none" w:sz="0" w:space="0" w:color="auto"/>
        <w:bottom w:val="none" w:sz="0" w:space="0" w:color="auto"/>
        <w:right w:val="none" w:sz="0" w:space="0" w:color="auto"/>
      </w:divBdr>
      <w:divsChild>
        <w:div w:id="1961571366">
          <w:marLeft w:val="0"/>
          <w:marRight w:val="0"/>
          <w:marTop w:val="0"/>
          <w:marBottom w:val="0"/>
          <w:divBdr>
            <w:top w:val="none" w:sz="0" w:space="0" w:color="auto"/>
            <w:left w:val="none" w:sz="0" w:space="0" w:color="auto"/>
            <w:bottom w:val="none" w:sz="0" w:space="0" w:color="auto"/>
            <w:right w:val="none" w:sz="0" w:space="0" w:color="auto"/>
          </w:divBdr>
        </w:div>
      </w:divsChild>
    </w:div>
    <w:div w:id="573471347">
      <w:marLeft w:val="0"/>
      <w:marRight w:val="0"/>
      <w:marTop w:val="0"/>
      <w:marBottom w:val="120"/>
      <w:divBdr>
        <w:top w:val="none" w:sz="0" w:space="0" w:color="auto"/>
        <w:left w:val="none" w:sz="0" w:space="0" w:color="auto"/>
        <w:bottom w:val="none" w:sz="0" w:space="0" w:color="auto"/>
        <w:right w:val="none" w:sz="0" w:space="0" w:color="auto"/>
      </w:divBdr>
    </w:div>
    <w:div w:id="575750457">
      <w:marLeft w:val="0"/>
      <w:marRight w:val="0"/>
      <w:marTop w:val="120"/>
      <w:marBottom w:val="0"/>
      <w:divBdr>
        <w:top w:val="none" w:sz="0" w:space="0" w:color="auto"/>
        <w:left w:val="none" w:sz="0" w:space="0" w:color="auto"/>
        <w:bottom w:val="none" w:sz="0" w:space="0" w:color="auto"/>
        <w:right w:val="none" w:sz="0" w:space="0" w:color="auto"/>
      </w:divBdr>
    </w:div>
    <w:div w:id="579608385">
      <w:marLeft w:val="0"/>
      <w:marRight w:val="0"/>
      <w:marTop w:val="120"/>
      <w:marBottom w:val="0"/>
      <w:divBdr>
        <w:top w:val="none" w:sz="0" w:space="0" w:color="auto"/>
        <w:left w:val="none" w:sz="0" w:space="0" w:color="auto"/>
        <w:bottom w:val="none" w:sz="0" w:space="0" w:color="auto"/>
        <w:right w:val="none" w:sz="0" w:space="0" w:color="auto"/>
      </w:divBdr>
    </w:div>
    <w:div w:id="581645546">
      <w:marLeft w:val="0"/>
      <w:marRight w:val="0"/>
      <w:marTop w:val="120"/>
      <w:marBottom w:val="120"/>
      <w:divBdr>
        <w:top w:val="none" w:sz="0" w:space="0" w:color="auto"/>
        <w:left w:val="none" w:sz="0" w:space="0" w:color="auto"/>
        <w:bottom w:val="none" w:sz="0" w:space="0" w:color="auto"/>
        <w:right w:val="none" w:sz="0" w:space="0" w:color="auto"/>
      </w:divBdr>
    </w:div>
    <w:div w:id="581988085">
      <w:marLeft w:val="0"/>
      <w:marRight w:val="0"/>
      <w:marTop w:val="0"/>
      <w:marBottom w:val="20"/>
      <w:divBdr>
        <w:top w:val="none" w:sz="0" w:space="0" w:color="auto"/>
        <w:left w:val="none" w:sz="0" w:space="0" w:color="auto"/>
        <w:bottom w:val="none" w:sz="0" w:space="0" w:color="auto"/>
        <w:right w:val="none" w:sz="0" w:space="0" w:color="auto"/>
      </w:divBdr>
    </w:div>
    <w:div w:id="582225826">
      <w:marLeft w:val="0"/>
      <w:marRight w:val="0"/>
      <w:marTop w:val="0"/>
      <w:marBottom w:val="0"/>
      <w:divBdr>
        <w:top w:val="none" w:sz="0" w:space="0" w:color="auto"/>
        <w:left w:val="none" w:sz="0" w:space="0" w:color="auto"/>
        <w:bottom w:val="none" w:sz="0" w:space="0" w:color="auto"/>
        <w:right w:val="none" w:sz="0" w:space="0" w:color="auto"/>
      </w:divBdr>
    </w:div>
    <w:div w:id="583226089">
      <w:marLeft w:val="0"/>
      <w:marRight w:val="0"/>
      <w:marTop w:val="120"/>
      <w:marBottom w:val="0"/>
      <w:divBdr>
        <w:top w:val="none" w:sz="0" w:space="0" w:color="auto"/>
        <w:left w:val="none" w:sz="0" w:space="0" w:color="auto"/>
        <w:bottom w:val="none" w:sz="0" w:space="0" w:color="auto"/>
        <w:right w:val="none" w:sz="0" w:space="0" w:color="auto"/>
      </w:divBdr>
    </w:div>
    <w:div w:id="584457132">
      <w:marLeft w:val="0"/>
      <w:marRight w:val="0"/>
      <w:marTop w:val="120"/>
      <w:marBottom w:val="0"/>
      <w:divBdr>
        <w:top w:val="none" w:sz="0" w:space="0" w:color="auto"/>
        <w:left w:val="none" w:sz="0" w:space="0" w:color="auto"/>
        <w:bottom w:val="none" w:sz="0" w:space="0" w:color="auto"/>
        <w:right w:val="none" w:sz="0" w:space="0" w:color="auto"/>
      </w:divBdr>
    </w:div>
    <w:div w:id="587466414">
      <w:marLeft w:val="0"/>
      <w:marRight w:val="0"/>
      <w:marTop w:val="0"/>
      <w:marBottom w:val="0"/>
      <w:divBdr>
        <w:top w:val="none" w:sz="0" w:space="0" w:color="auto"/>
        <w:left w:val="none" w:sz="0" w:space="0" w:color="auto"/>
        <w:bottom w:val="none" w:sz="0" w:space="0" w:color="auto"/>
        <w:right w:val="none" w:sz="0" w:space="0" w:color="auto"/>
      </w:divBdr>
      <w:divsChild>
        <w:div w:id="1811823889">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681590967">
          <w:marLeft w:val="0"/>
          <w:marRight w:val="0"/>
          <w:marTop w:val="0"/>
          <w:marBottom w:val="0"/>
          <w:divBdr>
            <w:top w:val="none" w:sz="0" w:space="0" w:color="auto"/>
            <w:left w:val="none" w:sz="0" w:space="0" w:color="auto"/>
            <w:bottom w:val="none" w:sz="0" w:space="0" w:color="auto"/>
            <w:right w:val="none" w:sz="0" w:space="0" w:color="auto"/>
          </w:divBdr>
        </w:div>
      </w:divsChild>
    </w:div>
    <w:div w:id="590889728">
      <w:marLeft w:val="0"/>
      <w:marRight w:val="0"/>
      <w:marTop w:val="120"/>
      <w:marBottom w:val="0"/>
      <w:divBdr>
        <w:top w:val="none" w:sz="0" w:space="0" w:color="auto"/>
        <w:left w:val="none" w:sz="0" w:space="0" w:color="auto"/>
        <w:bottom w:val="none" w:sz="0" w:space="0" w:color="auto"/>
        <w:right w:val="none" w:sz="0" w:space="0" w:color="auto"/>
      </w:divBdr>
    </w:div>
    <w:div w:id="591552704">
      <w:marLeft w:val="0"/>
      <w:marRight w:val="0"/>
      <w:marTop w:val="120"/>
      <w:marBottom w:val="0"/>
      <w:divBdr>
        <w:top w:val="none" w:sz="0" w:space="0" w:color="auto"/>
        <w:left w:val="none" w:sz="0" w:space="0" w:color="auto"/>
        <w:bottom w:val="none" w:sz="0" w:space="0" w:color="auto"/>
        <w:right w:val="none" w:sz="0" w:space="0" w:color="auto"/>
      </w:divBdr>
    </w:div>
    <w:div w:id="597567703">
      <w:marLeft w:val="0"/>
      <w:marRight w:val="0"/>
      <w:marTop w:val="0"/>
      <w:marBottom w:val="0"/>
      <w:divBdr>
        <w:top w:val="none" w:sz="0" w:space="0" w:color="auto"/>
        <w:left w:val="none" w:sz="0" w:space="0" w:color="auto"/>
        <w:bottom w:val="none" w:sz="0" w:space="0" w:color="auto"/>
        <w:right w:val="none" w:sz="0" w:space="0" w:color="auto"/>
      </w:divBdr>
    </w:div>
    <w:div w:id="601228662">
      <w:marLeft w:val="0"/>
      <w:marRight w:val="0"/>
      <w:marTop w:val="180"/>
      <w:marBottom w:val="0"/>
      <w:divBdr>
        <w:top w:val="none" w:sz="0" w:space="0" w:color="auto"/>
        <w:left w:val="none" w:sz="0" w:space="0" w:color="auto"/>
        <w:bottom w:val="none" w:sz="0" w:space="0" w:color="auto"/>
        <w:right w:val="none" w:sz="0" w:space="0" w:color="auto"/>
      </w:divBdr>
    </w:div>
    <w:div w:id="605162609">
      <w:marLeft w:val="0"/>
      <w:marRight w:val="0"/>
      <w:marTop w:val="0"/>
      <w:marBottom w:val="0"/>
      <w:divBdr>
        <w:top w:val="none" w:sz="0" w:space="0" w:color="auto"/>
        <w:left w:val="none" w:sz="0" w:space="0" w:color="auto"/>
        <w:bottom w:val="none" w:sz="0" w:space="0" w:color="auto"/>
        <w:right w:val="none" w:sz="0" w:space="0" w:color="auto"/>
      </w:divBdr>
      <w:divsChild>
        <w:div w:id="1742410661">
          <w:marLeft w:val="0"/>
          <w:marRight w:val="0"/>
          <w:marTop w:val="0"/>
          <w:marBottom w:val="0"/>
          <w:divBdr>
            <w:top w:val="none" w:sz="0" w:space="0" w:color="auto"/>
            <w:left w:val="none" w:sz="0" w:space="0" w:color="auto"/>
            <w:bottom w:val="none" w:sz="0" w:space="0" w:color="auto"/>
            <w:right w:val="none" w:sz="0" w:space="0" w:color="auto"/>
          </w:divBdr>
        </w:div>
      </w:divsChild>
    </w:div>
    <w:div w:id="605816449">
      <w:marLeft w:val="0"/>
      <w:marRight w:val="0"/>
      <w:marTop w:val="0"/>
      <w:marBottom w:val="20"/>
      <w:divBdr>
        <w:top w:val="none" w:sz="0" w:space="0" w:color="auto"/>
        <w:left w:val="none" w:sz="0" w:space="0" w:color="auto"/>
        <w:bottom w:val="none" w:sz="0" w:space="0" w:color="auto"/>
        <w:right w:val="none" w:sz="0" w:space="0" w:color="auto"/>
      </w:divBdr>
      <w:divsChild>
        <w:div w:id="1802840393">
          <w:marLeft w:val="0"/>
          <w:marRight w:val="0"/>
          <w:marTop w:val="0"/>
          <w:marBottom w:val="0"/>
          <w:divBdr>
            <w:top w:val="none" w:sz="0" w:space="0" w:color="auto"/>
            <w:left w:val="none" w:sz="0" w:space="0" w:color="auto"/>
            <w:bottom w:val="none" w:sz="0" w:space="0" w:color="auto"/>
            <w:right w:val="none" w:sz="0" w:space="0" w:color="auto"/>
          </w:divBdr>
        </w:div>
        <w:div w:id="1602032510">
          <w:marLeft w:val="0"/>
          <w:marRight w:val="0"/>
          <w:marTop w:val="0"/>
          <w:marBottom w:val="0"/>
          <w:divBdr>
            <w:top w:val="none" w:sz="0" w:space="0" w:color="auto"/>
            <w:left w:val="none" w:sz="0" w:space="0" w:color="auto"/>
            <w:bottom w:val="none" w:sz="0" w:space="0" w:color="auto"/>
            <w:right w:val="none" w:sz="0" w:space="0" w:color="auto"/>
          </w:divBdr>
        </w:div>
        <w:div w:id="1211108175">
          <w:marLeft w:val="0"/>
          <w:marRight w:val="0"/>
          <w:marTop w:val="0"/>
          <w:marBottom w:val="0"/>
          <w:divBdr>
            <w:top w:val="none" w:sz="0" w:space="0" w:color="auto"/>
            <w:left w:val="none" w:sz="0" w:space="0" w:color="auto"/>
            <w:bottom w:val="none" w:sz="0" w:space="0" w:color="auto"/>
            <w:right w:val="none" w:sz="0" w:space="0" w:color="auto"/>
          </w:divBdr>
        </w:div>
        <w:div w:id="1410888137">
          <w:marLeft w:val="0"/>
          <w:marRight w:val="0"/>
          <w:marTop w:val="0"/>
          <w:marBottom w:val="0"/>
          <w:divBdr>
            <w:top w:val="none" w:sz="0" w:space="0" w:color="auto"/>
            <w:left w:val="none" w:sz="0" w:space="0" w:color="auto"/>
            <w:bottom w:val="none" w:sz="0" w:space="0" w:color="auto"/>
            <w:right w:val="none" w:sz="0" w:space="0" w:color="auto"/>
          </w:divBdr>
        </w:div>
        <w:div w:id="1130782315">
          <w:marLeft w:val="0"/>
          <w:marRight w:val="0"/>
          <w:marTop w:val="0"/>
          <w:marBottom w:val="0"/>
          <w:divBdr>
            <w:top w:val="none" w:sz="0" w:space="0" w:color="auto"/>
            <w:left w:val="none" w:sz="0" w:space="0" w:color="auto"/>
            <w:bottom w:val="none" w:sz="0" w:space="0" w:color="auto"/>
            <w:right w:val="none" w:sz="0" w:space="0" w:color="auto"/>
          </w:divBdr>
        </w:div>
        <w:div w:id="1375277609">
          <w:marLeft w:val="0"/>
          <w:marRight w:val="0"/>
          <w:marTop w:val="0"/>
          <w:marBottom w:val="0"/>
          <w:divBdr>
            <w:top w:val="none" w:sz="0" w:space="0" w:color="auto"/>
            <w:left w:val="none" w:sz="0" w:space="0" w:color="auto"/>
            <w:bottom w:val="none" w:sz="0" w:space="0" w:color="auto"/>
            <w:right w:val="none" w:sz="0" w:space="0" w:color="auto"/>
          </w:divBdr>
        </w:div>
        <w:div w:id="994533379">
          <w:marLeft w:val="0"/>
          <w:marRight w:val="0"/>
          <w:marTop w:val="0"/>
          <w:marBottom w:val="0"/>
          <w:divBdr>
            <w:top w:val="none" w:sz="0" w:space="0" w:color="auto"/>
            <w:left w:val="none" w:sz="0" w:space="0" w:color="auto"/>
            <w:bottom w:val="none" w:sz="0" w:space="0" w:color="auto"/>
            <w:right w:val="none" w:sz="0" w:space="0" w:color="auto"/>
          </w:divBdr>
        </w:div>
        <w:div w:id="1907760615">
          <w:marLeft w:val="0"/>
          <w:marRight w:val="0"/>
          <w:marTop w:val="0"/>
          <w:marBottom w:val="0"/>
          <w:divBdr>
            <w:top w:val="none" w:sz="0" w:space="0" w:color="auto"/>
            <w:left w:val="none" w:sz="0" w:space="0" w:color="auto"/>
            <w:bottom w:val="none" w:sz="0" w:space="0" w:color="auto"/>
            <w:right w:val="none" w:sz="0" w:space="0" w:color="auto"/>
          </w:divBdr>
        </w:div>
        <w:div w:id="643776540">
          <w:marLeft w:val="0"/>
          <w:marRight w:val="0"/>
          <w:marTop w:val="0"/>
          <w:marBottom w:val="0"/>
          <w:divBdr>
            <w:top w:val="none" w:sz="0" w:space="0" w:color="auto"/>
            <w:left w:val="none" w:sz="0" w:space="0" w:color="auto"/>
            <w:bottom w:val="none" w:sz="0" w:space="0" w:color="auto"/>
            <w:right w:val="none" w:sz="0" w:space="0" w:color="auto"/>
          </w:divBdr>
        </w:div>
      </w:divsChild>
    </w:div>
    <w:div w:id="605961491">
      <w:marLeft w:val="0"/>
      <w:marRight w:val="0"/>
      <w:marTop w:val="120"/>
      <w:marBottom w:val="0"/>
      <w:divBdr>
        <w:top w:val="none" w:sz="0" w:space="0" w:color="auto"/>
        <w:left w:val="none" w:sz="0" w:space="0" w:color="auto"/>
        <w:bottom w:val="none" w:sz="0" w:space="0" w:color="auto"/>
        <w:right w:val="none" w:sz="0" w:space="0" w:color="auto"/>
      </w:divBdr>
    </w:div>
    <w:div w:id="610669887">
      <w:marLeft w:val="0"/>
      <w:marRight w:val="0"/>
      <w:marTop w:val="0"/>
      <w:marBottom w:val="0"/>
      <w:divBdr>
        <w:top w:val="none" w:sz="0" w:space="0" w:color="auto"/>
        <w:left w:val="none" w:sz="0" w:space="0" w:color="auto"/>
        <w:bottom w:val="none" w:sz="0" w:space="0" w:color="auto"/>
        <w:right w:val="none" w:sz="0" w:space="0" w:color="auto"/>
      </w:divBdr>
    </w:div>
    <w:div w:id="612135351">
      <w:marLeft w:val="0"/>
      <w:marRight w:val="0"/>
      <w:marTop w:val="120"/>
      <w:marBottom w:val="0"/>
      <w:divBdr>
        <w:top w:val="none" w:sz="0" w:space="0" w:color="auto"/>
        <w:left w:val="none" w:sz="0" w:space="0" w:color="auto"/>
        <w:bottom w:val="none" w:sz="0" w:space="0" w:color="auto"/>
        <w:right w:val="none" w:sz="0" w:space="0" w:color="auto"/>
      </w:divBdr>
    </w:div>
    <w:div w:id="612319913">
      <w:marLeft w:val="0"/>
      <w:marRight w:val="0"/>
      <w:marTop w:val="120"/>
      <w:marBottom w:val="0"/>
      <w:divBdr>
        <w:top w:val="none" w:sz="0" w:space="0" w:color="auto"/>
        <w:left w:val="none" w:sz="0" w:space="0" w:color="auto"/>
        <w:bottom w:val="none" w:sz="0" w:space="0" w:color="auto"/>
        <w:right w:val="none" w:sz="0" w:space="0" w:color="auto"/>
      </w:divBdr>
    </w:div>
    <w:div w:id="617494008">
      <w:marLeft w:val="0"/>
      <w:marRight w:val="0"/>
      <w:marTop w:val="120"/>
      <w:marBottom w:val="0"/>
      <w:divBdr>
        <w:top w:val="none" w:sz="0" w:space="0" w:color="auto"/>
        <w:left w:val="none" w:sz="0" w:space="0" w:color="auto"/>
        <w:bottom w:val="none" w:sz="0" w:space="0" w:color="auto"/>
        <w:right w:val="none" w:sz="0" w:space="0" w:color="auto"/>
      </w:divBdr>
    </w:div>
    <w:div w:id="617881628">
      <w:marLeft w:val="0"/>
      <w:marRight w:val="0"/>
      <w:marTop w:val="120"/>
      <w:marBottom w:val="120"/>
      <w:divBdr>
        <w:top w:val="none" w:sz="0" w:space="0" w:color="auto"/>
        <w:left w:val="none" w:sz="0" w:space="0" w:color="auto"/>
        <w:bottom w:val="none" w:sz="0" w:space="0" w:color="auto"/>
        <w:right w:val="none" w:sz="0" w:space="0" w:color="auto"/>
      </w:divBdr>
    </w:div>
    <w:div w:id="619652525">
      <w:marLeft w:val="0"/>
      <w:marRight w:val="0"/>
      <w:marTop w:val="0"/>
      <w:marBottom w:val="20"/>
      <w:divBdr>
        <w:top w:val="none" w:sz="0" w:space="0" w:color="auto"/>
        <w:left w:val="none" w:sz="0" w:space="0" w:color="auto"/>
        <w:bottom w:val="none" w:sz="0" w:space="0" w:color="auto"/>
        <w:right w:val="none" w:sz="0" w:space="0" w:color="auto"/>
      </w:divBdr>
      <w:divsChild>
        <w:div w:id="2025129076">
          <w:marLeft w:val="0"/>
          <w:marRight w:val="0"/>
          <w:marTop w:val="0"/>
          <w:marBottom w:val="0"/>
          <w:divBdr>
            <w:top w:val="none" w:sz="0" w:space="0" w:color="auto"/>
            <w:left w:val="none" w:sz="0" w:space="0" w:color="auto"/>
            <w:bottom w:val="none" w:sz="0" w:space="0" w:color="auto"/>
            <w:right w:val="none" w:sz="0" w:space="0" w:color="auto"/>
          </w:divBdr>
        </w:div>
        <w:div w:id="1868710123">
          <w:marLeft w:val="0"/>
          <w:marRight w:val="0"/>
          <w:marTop w:val="0"/>
          <w:marBottom w:val="0"/>
          <w:divBdr>
            <w:top w:val="none" w:sz="0" w:space="0" w:color="auto"/>
            <w:left w:val="none" w:sz="0" w:space="0" w:color="auto"/>
            <w:bottom w:val="none" w:sz="0" w:space="0" w:color="auto"/>
            <w:right w:val="none" w:sz="0" w:space="0" w:color="auto"/>
          </w:divBdr>
        </w:div>
      </w:divsChild>
    </w:div>
    <w:div w:id="620264058">
      <w:marLeft w:val="0"/>
      <w:marRight w:val="0"/>
      <w:marTop w:val="120"/>
      <w:marBottom w:val="0"/>
      <w:divBdr>
        <w:top w:val="none" w:sz="0" w:space="0" w:color="auto"/>
        <w:left w:val="none" w:sz="0" w:space="0" w:color="auto"/>
        <w:bottom w:val="none" w:sz="0" w:space="0" w:color="auto"/>
        <w:right w:val="none" w:sz="0" w:space="0" w:color="auto"/>
      </w:divBdr>
    </w:div>
    <w:div w:id="620377090">
      <w:marLeft w:val="0"/>
      <w:marRight w:val="0"/>
      <w:marTop w:val="120"/>
      <w:marBottom w:val="0"/>
      <w:divBdr>
        <w:top w:val="none" w:sz="0" w:space="0" w:color="auto"/>
        <w:left w:val="none" w:sz="0" w:space="0" w:color="auto"/>
        <w:bottom w:val="none" w:sz="0" w:space="0" w:color="auto"/>
        <w:right w:val="none" w:sz="0" w:space="0" w:color="auto"/>
      </w:divBdr>
    </w:div>
    <w:div w:id="622615060">
      <w:marLeft w:val="0"/>
      <w:marRight w:val="0"/>
      <w:marTop w:val="0"/>
      <w:marBottom w:val="0"/>
      <w:divBdr>
        <w:top w:val="none" w:sz="0" w:space="0" w:color="auto"/>
        <w:left w:val="none" w:sz="0" w:space="0" w:color="auto"/>
        <w:bottom w:val="none" w:sz="0" w:space="0" w:color="auto"/>
        <w:right w:val="none" w:sz="0" w:space="0" w:color="auto"/>
      </w:divBdr>
    </w:div>
    <w:div w:id="629899174">
      <w:marLeft w:val="0"/>
      <w:marRight w:val="0"/>
      <w:marTop w:val="120"/>
      <w:marBottom w:val="120"/>
      <w:divBdr>
        <w:top w:val="none" w:sz="0" w:space="0" w:color="auto"/>
        <w:left w:val="none" w:sz="0" w:space="0" w:color="auto"/>
        <w:bottom w:val="none" w:sz="0" w:space="0" w:color="auto"/>
        <w:right w:val="none" w:sz="0" w:space="0" w:color="auto"/>
      </w:divBdr>
    </w:div>
    <w:div w:id="634411798">
      <w:marLeft w:val="0"/>
      <w:marRight w:val="0"/>
      <w:marTop w:val="0"/>
      <w:marBottom w:val="0"/>
      <w:divBdr>
        <w:top w:val="none" w:sz="0" w:space="0" w:color="auto"/>
        <w:left w:val="none" w:sz="0" w:space="0" w:color="auto"/>
        <w:bottom w:val="none" w:sz="0" w:space="0" w:color="auto"/>
        <w:right w:val="none" w:sz="0" w:space="0" w:color="auto"/>
      </w:divBdr>
    </w:div>
    <w:div w:id="640116421">
      <w:marLeft w:val="0"/>
      <w:marRight w:val="0"/>
      <w:marTop w:val="120"/>
      <w:marBottom w:val="0"/>
      <w:divBdr>
        <w:top w:val="none" w:sz="0" w:space="0" w:color="auto"/>
        <w:left w:val="none" w:sz="0" w:space="0" w:color="auto"/>
        <w:bottom w:val="none" w:sz="0" w:space="0" w:color="auto"/>
        <w:right w:val="none" w:sz="0" w:space="0" w:color="auto"/>
      </w:divBdr>
    </w:div>
    <w:div w:id="641619327">
      <w:marLeft w:val="0"/>
      <w:marRight w:val="0"/>
      <w:marTop w:val="0"/>
      <w:marBottom w:val="0"/>
      <w:divBdr>
        <w:top w:val="none" w:sz="0" w:space="0" w:color="auto"/>
        <w:left w:val="none" w:sz="0" w:space="0" w:color="auto"/>
        <w:bottom w:val="none" w:sz="0" w:space="0" w:color="auto"/>
        <w:right w:val="none" w:sz="0" w:space="0" w:color="auto"/>
      </w:divBdr>
      <w:divsChild>
        <w:div w:id="1198156078">
          <w:marLeft w:val="0"/>
          <w:marRight w:val="0"/>
          <w:marTop w:val="0"/>
          <w:marBottom w:val="0"/>
          <w:divBdr>
            <w:top w:val="none" w:sz="0" w:space="0" w:color="auto"/>
            <w:left w:val="none" w:sz="0" w:space="0" w:color="auto"/>
            <w:bottom w:val="none" w:sz="0" w:space="0" w:color="auto"/>
            <w:right w:val="none" w:sz="0" w:space="0" w:color="auto"/>
          </w:divBdr>
        </w:div>
      </w:divsChild>
    </w:div>
    <w:div w:id="646782922">
      <w:marLeft w:val="0"/>
      <w:marRight w:val="0"/>
      <w:marTop w:val="0"/>
      <w:marBottom w:val="0"/>
      <w:divBdr>
        <w:top w:val="none" w:sz="0" w:space="0" w:color="auto"/>
        <w:left w:val="none" w:sz="0" w:space="0" w:color="auto"/>
        <w:bottom w:val="none" w:sz="0" w:space="0" w:color="auto"/>
        <w:right w:val="none" w:sz="0" w:space="0" w:color="auto"/>
      </w:divBdr>
    </w:div>
    <w:div w:id="658845540">
      <w:marLeft w:val="0"/>
      <w:marRight w:val="0"/>
      <w:marTop w:val="120"/>
      <w:marBottom w:val="120"/>
      <w:divBdr>
        <w:top w:val="none" w:sz="0" w:space="0" w:color="auto"/>
        <w:left w:val="none" w:sz="0" w:space="0" w:color="auto"/>
        <w:bottom w:val="none" w:sz="0" w:space="0" w:color="auto"/>
        <w:right w:val="none" w:sz="0" w:space="0" w:color="auto"/>
      </w:divBdr>
    </w:div>
    <w:div w:id="662974821">
      <w:marLeft w:val="0"/>
      <w:marRight w:val="0"/>
      <w:marTop w:val="120"/>
      <w:marBottom w:val="120"/>
      <w:divBdr>
        <w:top w:val="none" w:sz="0" w:space="0" w:color="auto"/>
        <w:left w:val="none" w:sz="0" w:space="0" w:color="auto"/>
        <w:bottom w:val="none" w:sz="0" w:space="0" w:color="auto"/>
        <w:right w:val="none" w:sz="0" w:space="0" w:color="auto"/>
      </w:divBdr>
    </w:div>
    <w:div w:id="666203453">
      <w:marLeft w:val="0"/>
      <w:marRight w:val="0"/>
      <w:marTop w:val="0"/>
      <w:marBottom w:val="0"/>
      <w:divBdr>
        <w:top w:val="none" w:sz="0" w:space="0" w:color="auto"/>
        <w:left w:val="none" w:sz="0" w:space="0" w:color="auto"/>
        <w:bottom w:val="none" w:sz="0" w:space="0" w:color="auto"/>
        <w:right w:val="none" w:sz="0" w:space="0" w:color="auto"/>
      </w:divBdr>
      <w:divsChild>
        <w:div w:id="585304376">
          <w:marLeft w:val="0"/>
          <w:marRight w:val="0"/>
          <w:marTop w:val="0"/>
          <w:marBottom w:val="0"/>
          <w:divBdr>
            <w:top w:val="none" w:sz="0" w:space="0" w:color="auto"/>
            <w:left w:val="none" w:sz="0" w:space="0" w:color="auto"/>
            <w:bottom w:val="none" w:sz="0" w:space="0" w:color="auto"/>
            <w:right w:val="none" w:sz="0" w:space="0" w:color="auto"/>
          </w:divBdr>
        </w:div>
      </w:divsChild>
    </w:div>
    <w:div w:id="667296565">
      <w:marLeft w:val="0"/>
      <w:marRight w:val="0"/>
      <w:marTop w:val="0"/>
      <w:marBottom w:val="0"/>
      <w:divBdr>
        <w:top w:val="none" w:sz="0" w:space="0" w:color="auto"/>
        <w:left w:val="none" w:sz="0" w:space="0" w:color="auto"/>
        <w:bottom w:val="none" w:sz="0" w:space="0" w:color="auto"/>
        <w:right w:val="none" w:sz="0" w:space="0" w:color="auto"/>
      </w:divBdr>
      <w:divsChild>
        <w:div w:id="1128861565">
          <w:marLeft w:val="0"/>
          <w:marRight w:val="0"/>
          <w:marTop w:val="0"/>
          <w:marBottom w:val="0"/>
          <w:divBdr>
            <w:top w:val="none" w:sz="0" w:space="0" w:color="auto"/>
            <w:left w:val="none" w:sz="0" w:space="0" w:color="auto"/>
            <w:bottom w:val="none" w:sz="0" w:space="0" w:color="auto"/>
            <w:right w:val="none" w:sz="0" w:space="0" w:color="auto"/>
          </w:divBdr>
        </w:div>
      </w:divsChild>
    </w:div>
    <w:div w:id="667364353">
      <w:marLeft w:val="0"/>
      <w:marRight w:val="0"/>
      <w:marTop w:val="120"/>
      <w:marBottom w:val="0"/>
      <w:divBdr>
        <w:top w:val="none" w:sz="0" w:space="0" w:color="auto"/>
        <w:left w:val="none" w:sz="0" w:space="0" w:color="auto"/>
        <w:bottom w:val="none" w:sz="0" w:space="0" w:color="auto"/>
        <w:right w:val="none" w:sz="0" w:space="0" w:color="auto"/>
      </w:divBdr>
    </w:div>
    <w:div w:id="670329942">
      <w:marLeft w:val="0"/>
      <w:marRight w:val="0"/>
      <w:marTop w:val="120"/>
      <w:marBottom w:val="0"/>
      <w:divBdr>
        <w:top w:val="none" w:sz="0" w:space="0" w:color="auto"/>
        <w:left w:val="none" w:sz="0" w:space="0" w:color="auto"/>
        <w:bottom w:val="none" w:sz="0" w:space="0" w:color="auto"/>
        <w:right w:val="none" w:sz="0" w:space="0" w:color="auto"/>
      </w:divBdr>
    </w:div>
    <w:div w:id="677193185">
      <w:marLeft w:val="0"/>
      <w:marRight w:val="0"/>
      <w:marTop w:val="120"/>
      <w:marBottom w:val="0"/>
      <w:divBdr>
        <w:top w:val="none" w:sz="0" w:space="0" w:color="auto"/>
        <w:left w:val="none" w:sz="0" w:space="0" w:color="auto"/>
        <w:bottom w:val="none" w:sz="0" w:space="0" w:color="auto"/>
        <w:right w:val="none" w:sz="0" w:space="0" w:color="auto"/>
      </w:divBdr>
    </w:div>
    <w:div w:id="682902108">
      <w:marLeft w:val="0"/>
      <w:marRight w:val="0"/>
      <w:marTop w:val="120"/>
      <w:marBottom w:val="120"/>
      <w:divBdr>
        <w:top w:val="none" w:sz="0" w:space="0" w:color="auto"/>
        <w:left w:val="none" w:sz="0" w:space="0" w:color="auto"/>
        <w:bottom w:val="none" w:sz="0" w:space="0" w:color="auto"/>
        <w:right w:val="none" w:sz="0" w:space="0" w:color="auto"/>
      </w:divBdr>
    </w:div>
    <w:div w:id="683361166">
      <w:marLeft w:val="0"/>
      <w:marRight w:val="0"/>
      <w:marTop w:val="120"/>
      <w:marBottom w:val="0"/>
      <w:divBdr>
        <w:top w:val="none" w:sz="0" w:space="0" w:color="auto"/>
        <w:left w:val="none" w:sz="0" w:space="0" w:color="auto"/>
        <w:bottom w:val="none" w:sz="0" w:space="0" w:color="auto"/>
        <w:right w:val="none" w:sz="0" w:space="0" w:color="auto"/>
      </w:divBdr>
    </w:div>
    <w:div w:id="683439007">
      <w:marLeft w:val="0"/>
      <w:marRight w:val="0"/>
      <w:marTop w:val="0"/>
      <w:marBottom w:val="0"/>
      <w:divBdr>
        <w:top w:val="none" w:sz="0" w:space="0" w:color="auto"/>
        <w:left w:val="none" w:sz="0" w:space="0" w:color="auto"/>
        <w:bottom w:val="none" w:sz="0" w:space="0" w:color="auto"/>
        <w:right w:val="none" w:sz="0" w:space="0" w:color="auto"/>
      </w:divBdr>
      <w:divsChild>
        <w:div w:id="1134368784">
          <w:marLeft w:val="0"/>
          <w:marRight w:val="0"/>
          <w:marTop w:val="0"/>
          <w:marBottom w:val="0"/>
          <w:divBdr>
            <w:top w:val="none" w:sz="0" w:space="0" w:color="auto"/>
            <w:left w:val="none" w:sz="0" w:space="0" w:color="auto"/>
            <w:bottom w:val="none" w:sz="0" w:space="0" w:color="auto"/>
            <w:right w:val="none" w:sz="0" w:space="0" w:color="auto"/>
          </w:divBdr>
        </w:div>
      </w:divsChild>
    </w:div>
    <w:div w:id="685402045">
      <w:marLeft w:val="0"/>
      <w:marRight w:val="0"/>
      <w:marTop w:val="60"/>
      <w:marBottom w:val="0"/>
      <w:divBdr>
        <w:top w:val="none" w:sz="0" w:space="0" w:color="auto"/>
        <w:left w:val="none" w:sz="0" w:space="0" w:color="auto"/>
        <w:bottom w:val="none" w:sz="0" w:space="0" w:color="auto"/>
        <w:right w:val="none" w:sz="0" w:space="0" w:color="auto"/>
      </w:divBdr>
    </w:div>
    <w:div w:id="687952430">
      <w:marLeft w:val="0"/>
      <w:marRight w:val="0"/>
      <w:marTop w:val="120"/>
      <w:marBottom w:val="0"/>
      <w:divBdr>
        <w:top w:val="none" w:sz="0" w:space="0" w:color="auto"/>
        <w:left w:val="none" w:sz="0" w:space="0" w:color="auto"/>
        <w:bottom w:val="none" w:sz="0" w:space="0" w:color="auto"/>
        <w:right w:val="none" w:sz="0" w:space="0" w:color="auto"/>
      </w:divBdr>
    </w:div>
    <w:div w:id="693269355">
      <w:marLeft w:val="0"/>
      <w:marRight w:val="0"/>
      <w:marTop w:val="0"/>
      <w:marBottom w:val="0"/>
      <w:divBdr>
        <w:top w:val="none" w:sz="0" w:space="0" w:color="auto"/>
        <w:left w:val="none" w:sz="0" w:space="0" w:color="auto"/>
        <w:bottom w:val="none" w:sz="0" w:space="0" w:color="auto"/>
        <w:right w:val="none" w:sz="0" w:space="0" w:color="auto"/>
      </w:divBdr>
      <w:divsChild>
        <w:div w:id="158469973">
          <w:marLeft w:val="0"/>
          <w:marRight w:val="0"/>
          <w:marTop w:val="0"/>
          <w:marBottom w:val="0"/>
          <w:divBdr>
            <w:top w:val="none" w:sz="0" w:space="0" w:color="auto"/>
            <w:left w:val="none" w:sz="0" w:space="0" w:color="auto"/>
            <w:bottom w:val="none" w:sz="0" w:space="0" w:color="auto"/>
            <w:right w:val="none" w:sz="0" w:space="0" w:color="auto"/>
          </w:divBdr>
        </w:div>
      </w:divsChild>
    </w:div>
    <w:div w:id="696582605">
      <w:marLeft w:val="0"/>
      <w:marRight w:val="0"/>
      <w:marTop w:val="120"/>
      <w:marBottom w:val="20"/>
      <w:divBdr>
        <w:top w:val="none" w:sz="0" w:space="0" w:color="auto"/>
        <w:left w:val="none" w:sz="0" w:space="0" w:color="auto"/>
        <w:bottom w:val="none" w:sz="0" w:space="0" w:color="auto"/>
        <w:right w:val="none" w:sz="0" w:space="0" w:color="auto"/>
      </w:divBdr>
    </w:div>
    <w:div w:id="699013393">
      <w:marLeft w:val="0"/>
      <w:marRight w:val="0"/>
      <w:marTop w:val="120"/>
      <w:marBottom w:val="0"/>
      <w:divBdr>
        <w:top w:val="none" w:sz="0" w:space="0" w:color="auto"/>
        <w:left w:val="none" w:sz="0" w:space="0" w:color="auto"/>
        <w:bottom w:val="none" w:sz="0" w:space="0" w:color="auto"/>
        <w:right w:val="none" w:sz="0" w:space="0" w:color="auto"/>
      </w:divBdr>
    </w:div>
    <w:div w:id="699624789">
      <w:marLeft w:val="0"/>
      <w:marRight w:val="0"/>
      <w:marTop w:val="0"/>
      <w:marBottom w:val="0"/>
      <w:divBdr>
        <w:top w:val="none" w:sz="0" w:space="0" w:color="auto"/>
        <w:left w:val="none" w:sz="0" w:space="0" w:color="auto"/>
        <w:bottom w:val="none" w:sz="0" w:space="0" w:color="auto"/>
        <w:right w:val="none" w:sz="0" w:space="0" w:color="auto"/>
      </w:divBdr>
    </w:div>
    <w:div w:id="701320303">
      <w:marLeft w:val="0"/>
      <w:marRight w:val="0"/>
      <w:marTop w:val="0"/>
      <w:marBottom w:val="0"/>
      <w:divBdr>
        <w:top w:val="none" w:sz="0" w:space="0" w:color="auto"/>
        <w:left w:val="none" w:sz="0" w:space="0" w:color="auto"/>
        <w:bottom w:val="none" w:sz="0" w:space="0" w:color="auto"/>
        <w:right w:val="none" w:sz="0" w:space="0" w:color="auto"/>
      </w:divBdr>
    </w:div>
    <w:div w:id="701635592">
      <w:marLeft w:val="0"/>
      <w:marRight w:val="0"/>
      <w:marTop w:val="0"/>
      <w:marBottom w:val="20"/>
      <w:divBdr>
        <w:top w:val="none" w:sz="0" w:space="0" w:color="auto"/>
        <w:left w:val="none" w:sz="0" w:space="0" w:color="auto"/>
        <w:bottom w:val="none" w:sz="0" w:space="0" w:color="auto"/>
        <w:right w:val="none" w:sz="0" w:space="0" w:color="auto"/>
      </w:divBdr>
    </w:div>
    <w:div w:id="702629410">
      <w:marLeft w:val="0"/>
      <w:marRight w:val="0"/>
      <w:marTop w:val="120"/>
      <w:marBottom w:val="0"/>
      <w:divBdr>
        <w:top w:val="none" w:sz="0" w:space="0" w:color="auto"/>
        <w:left w:val="none" w:sz="0" w:space="0" w:color="auto"/>
        <w:bottom w:val="none" w:sz="0" w:space="0" w:color="auto"/>
        <w:right w:val="none" w:sz="0" w:space="0" w:color="auto"/>
      </w:divBdr>
    </w:div>
    <w:div w:id="703864140">
      <w:marLeft w:val="0"/>
      <w:marRight w:val="0"/>
      <w:marTop w:val="120"/>
      <w:marBottom w:val="0"/>
      <w:divBdr>
        <w:top w:val="none" w:sz="0" w:space="0" w:color="auto"/>
        <w:left w:val="none" w:sz="0" w:space="0" w:color="auto"/>
        <w:bottom w:val="none" w:sz="0" w:space="0" w:color="auto"/>
        <w:right w:val="none" w:sz="0" w:space="0" w:color="auto"/>
      </w:divBdr>
    </w:div>
    <w:div w:id="706099984">
      <w:marLeft w:val="0"/>
      <w:marRight w:val="0"/>
      <w:marTop w:val="120"/>
      <w:marBottom w:val="0"/>
      <w:divBdr>
        <w:top w:val="none" w:sz="0" w:space="0" w:color="auto"/>
        <w:left w:val="none" w:sz="0" w:space="0" w:color="auto"/>
        <w:bottom w:val="none" w:sz="0" w:space="0" w:color="auto"/>
        <w:right w:val="none" w:sz="0" w:space="0" w:color="auto"/>
      </w:divBdr>
    </w:div>
    <w:div w:id="707144594">
      <w:marLeft w:val="0"/>
      <w:marRight w:val="0"/>
      <w:marTop w:val="0"/>
      <w:marBottom w:val="0"/>
      <w:divBdr>
        <w:top w:val="none" w:sz="0" w:space="0" w:color="auto"/>
        <w:left w:val="none" w:sz="0" w:space="0" w:color="auto"/>
        <w:bottom w:val="none" w:sz="0" w:space="0" w:color="auto"/>
        <w:right w:val="none" w:sz="0" w:space="0" w:color="auto"/>
      </w:divBdr>
      <w:divsChild>
        <w:div w:id="322318223">
          <w:marLeft w:val="0"/>
          <w:marRight w:val="0"/>
          <w:marTop w:val="0"/>
          <w:marBottom w:val="0"/>
          <w:divBdr>
            <w:top w:val="none" w:sz="0" w:space="0" w:color="auto"/>
            <w:left w:val="none" w:sz="0" w:space="0" w:color="auto"/>
            <w:bottom w:val="none" w:sz="0" w:space="0" w:color="auto"/>
            <w:right w:val="none" w:sz="0" w:space="0" w:color="auto"/>
          </w:divBdr>
        </w:div>
      </w:divsChild>
    </w:div>
    <w:div w:id="711997754">
      <w:marLeft w:val="0"/>
      <w:marRight w:val="0"/>
      <w:marTop w:val="120"/>
      <w:marBottom w:val="120"/>
      <w:divBdr>
        <w:top w:val="none" w:sz="0" w:space="0" w:color="auto"/>
        <w:left w:val="none" w:sz="0" w:space="0" w:color="auto"/>
        <w:bottom w:val="none" w:sz="0" w:space="0" w:color="auto"/>
        <w:right w:val="none" w:sz="0" w:space="0" w:color="auto"/>
      </w:divBdr>
    </w:div>
    <w:div w:id="712775401">
      <w:marLeft w:val="0"/>
      <w:marRight w:val="0"/>
      <w:marTop w:val="120"/>
      <w:marBottom w:val="120"/>
      <w:divBdr>
        <w:top w:val="none" w:sz="0" w:space="0" w:color="auto"/>
        <w:left w:val="none" w:sz="0" w:space="0" w:color="auto"/>
        <w:bottom w:val="none" w:sz="0" w:space="0" w:color="auto"/>
        <w:right w:val="none" w:sz="0" w:space="0" w:color="auto"/>
      </w:divBdr>
    </w:div>
    <w:div w:id="713115594">
      <w:marLeft w:val="0"/>
      <w:marRight w:val="0"/>
      <w:marTop w:val="120"/>
      <w:marBottom w:val="0"/>
      <w:divBdr>
        <w:top w:val="none" w:sz="0" w:space="0" w:color="auto"/>
        <w:left w:val="none" w:sz="0" w:space="0" w:color="auto"/>
        <w:bottom w:val="none" w:sz="0" w:space="0" w:color="auto"/>
        <w:right w:val="none" w:sz="0" w:space="0" w:color="auto"/>
      </w:divBdr>
    </w:div>
    <w:div w:id="714159743">
      <w:marLeft w:val="0"/>
      <w:marRight w:val="0"/>
      <w:marTop w:val="120"/>
      <w:marBottom w:val="120"/>
      <w:divBdr>
        <w:top w:val="none" w:sz="0" w:space="0" w:color="auto"/>
        <w:left w:val="none" w:sz="0" w:space="0" w:color="auto"/>
        <w:bottom w:val="none" w:sz="0" w:space="0" w:color="auto"/>
        <w:right w:val="none" w:sz="0" w:space="0" w:color="auto"/>
      </w:divBdr>
    </w:div>
    <w:div w:id="717701362">
      <w:marLeft w:val="0"/>
      <w:marRight w:val="0"/>
      <w:marTop w:val="0"/>
      <w:marBottom w:val="0"/>
      <w:divBdr>
        <w:top w:val="none" w:sz="0" w:space="0" w:color="auto"/>
        <w:left w:val="none" w:sz="0" w:space="0" w:color="auto"/>
        <w:bottom w:val="none" w:sz="0" w:space="0" w:color="auto"/>
        <w:right w:val="none" w:sz="0" w:space="0" w:color="auto"/>
      </w:divBdr>
      <w:divsChild>
        <w:div w:id="1345353951">
          <w:marLeft w:val="0"/>
          <w:marRight w:val="0"/>
          <w:marTop w:val="0"/>
          <w:marBottom w:val="0"/>
          <w:divBdr>
            <w:top w:val="none" w:sz="0" w:space="0" w:color="auto"/>
            <w:left w:val="none" w:sz="0" w:space="0" w:color="auto"/>
            <w:bottom w:val="none" w:sz="0" w:space="0" w:color="auto"/>
            <w:right w:val="none" w:sz="0" w:space="0" w:color="auto"/>
          </w:divBdr>
        </w:div>
      </w:divsChild>
    </w:div>
    <w:div w:id="717969603">
      <w:marLeft w:val="0"/>
      <w:marRight w:val="0"/>
      <w:marTop w:val="120"/>
      <w:marBottom w:val="0"/>
      <w:divBdr>
        <w:top w:val="none" w:sz="0" w:space="0" w:color="auto"/>
        <w:left w:val="none" w:sz="0" w:space="0" w:color="auto"/>
        <w:bottom w:val="none" w:sz="0" w:space="0" w:color="auto"/>
        <w:right w:val="none" w:sz="0" w:space="0" w:color="auto"/>
      </w:divBdr>
    </w:div>
    <w:div w:id="720791280">
      <w:marLeft w:val="0"/>
      <w:marRight w:val="0"/>
      <w:marTop w:val="0"/>
      <w:marBottom w:val="0"/>
      <w:divBdr>
        <w:top w:val="none" w:sz="0" w:space="0" w:color="auto"/>
        <w:left w:val="none" w:sz="0" w:space="0" w:color="auto"/>
        <w:bottom w:val="none" w:sz="0" w:space="0" w:color="auto"/>
        <w:right w:val="none" w:sz="0" w:space="0" w:color="auto"/>
      </w:divBdr>
      <w:divsChild>
        <w:div w:id="1196505593">
          <w:marLeft w:val="0"/>
          <w:marRight w:val="0"/>
          <w:marTop w:val="0"/>
          <w:marBottom w:val="0"/>
          <w:divBdr>
            <w:top w:val="none" w:sz="0" w:space="0" w:color="auto"/>
            <w:left w:val="none" w:sz="0" w:space="0" w:color="auto"/>
            <w:bottom w:val="none" w:sz="0" w:space="0" w:color="auto"/>
            <w:right w:val="none" w:sz="0" w:space="0" w:color="auto"/>
          </w:divBdr>
        </w:div>
      </w:divsChild>
    </w:div>
    <w:div w:id="721364142">
      <w:marLeft w:val="0"/>
      <w:marRight w:val="0"/>
      <w:marTop w:val="120"/>
      <w:marBottom w:val="0"/>
      <w:divBdr>
        <w:top w:val="none" w:sz="0" w:space="0" w:color="auto"/>
        <w:left w:val="none" w:sz="0" w:space="0" w:color="auto"/>
        <w:bottom w:val="none" w:sz="0" w:space="0" w:color="auto"/>
        <w:right w:val="none" w:sz="0" w:space="0" w:color="auto"/>
      </w:divBdr>
    </w:div>
    <w:div w:id="724333787">
      <w:marLeft w:val="0"/>
      <w:marRight w:val="0"/>
      <w:marTop w:val="0"/>
      <w:marBottom w:val="0"/>
      <w:divBdr>
        <w:top w:val="none" w:sz="0" w:space="0" w:color="auto"/>
        <w:left w:val="none" w:sz="0" w:space="0" w:color="auto"/>
        <w:bottom w:val="none" w:sz="0" w:space="0" w:color="auto"/>
        <w:right w:val="none" w:sz="0" w:space="0" w:color="auto"/>
      </w:divBdr>
      <w:divsChild>
        <w:div w:id="392238670">
          <w:marLeft w:val="0"/>
          <w:marRight w:val="0"/>
          <w:marTop w:val="0"/>
          <w:marBottom w:val="0"/>
          <w:divBdr>
            <w:top w:val="none" w:sz="0" w:space="0" w:color="auto"/>
            <w:left w:val="none" w:sz="0" w:space="0" w:color="auto"/>
            <w:bottom w:val="none" w:sz="0" w:space="0" w:color="auto"/>
            <w:right w:val="none" w:sz="0" w:space="0" w:color="auto"/>
          </w:divBdr>
        </w:div>
      </w:divsChild>
    </w:div>
    <w:div w:id="725564306">
      <w:marLeft w:val="0"/>
      <w:marRight w:val="0"/>
      <w:marTop w:val="0"/>
      <w:marBottom w:val="0"/>
      <w:divBdr>
        <w:top w:val="none" w:sz="0" w:space="0" w:color="auto"/>
        <w:left w:val="none" w:sz="0" w:space="0" w:color="auto"/>
        <w:bottom w:val="none" w:sz="0" w:space="0" w:color="auto"/>
        <w:right w:val="none" w:sz="0" w:space="0" w:color="auto"/>
      </w:divBdr>
    </w:div>
    <w:div w:id="727726372">
      <w:marLeft w:val="0"/>
      <w:marRight w:val="0"/>
      <w:marTop w:val="0"/>
      <w:marBottom w:val="0"/>
      <w:divBdr>
        <w:top w:val="none" w:sz="0" w:space="0" w:color="auto"/>
        <w:left w:val="none" w:sz="0" w:space="0" w:color="auto"/>
        <w:bottom w:val="none" w:sz="0" w:space="0" w:color="auto"/>
        <w:right w:val="none" w:sz="0" w:space="0" w:color="auto"/>
      </w:divBdr>
      <w:divsChild>
        <w:div w:id="424419815">
          <w:marLeft w:val="0"/>
          <w:marRight w:val="0"/>
          <w:marTop w:val="0"/>
          <w:marBottom w:val="0"/>
          <w:divBdr>
            <w:top w:val="none" w:sz="0" w:space="0" w:color="auto"/>
            <w:left w:val="none" w:sz="0" w:space="0" w:color="auto"/>
            <w:bottom w:val="none" w:sz="0" w:space="0" w:color="auto"/>
            <w:right w:val="none" w:sz="0" w:space="0" w:color="auto"/>
          </w:divBdr>
        </w:div>
      </w:divsChild>
    </w:div>
    <w:div w:id="733234786">
      <w:marLeft w:val="0"/>
      <w:marRight w:val="0"/>
      <w:marTop w:val="120"/>
      <w:marBottom w:val="0"/>
      <w:divBdr>
        <w:top w:val="none" w:sz="0" w:space="0" w:color="auto"/>
        <w:left w:val="none" w:sz="0" w:space="0" w:color="auto"/>
        <w:bottom w:val="none" w:sz="0" w:space="0" w:color="auto"/>
        <w:right w:val="none" w:sz="0" w:space="0" w:color="auto"/>
      </w:divBdr>
    </w:div>
    <w:div w:id="753284894">
      <w:marLeft w:val="0"/>
      <w:marRight w:val="0"/>
      <w:marTop w:val="60"/>
      <w:marBottom w:val="0"/>
      <w:divBdr>
        <w:top w:val="none" w:sz="0" w:space="0" w:color="auto"/>
        <w:left w:val="none" w:sz="0" w:space="0" w:color="auto"/>
        <w:bottom w:val="none" w:sz="0" w:space="0" w:color="auto"/>
        <w:right w:val="none" w:sz="0" w:space="0" w:color="auto"/>
      </w:divBdr>
    </w:div>
    <w:div w:id="757864910">
      <w:marLeft w:val="0"/>
      <w:marRight w:val="0"/>
      <w:marTop w:val="120"/>
      <w:marBottom w:val="0"/>
      <w:divBdr>
        <w:top w:val="none" w:sz="0" w:space="0" w:color="auto"/>
        <w:left w:val="none" w:sz="0" w:space="0" w:color="auto"/>
        <w:bottom w:val="none" w:sz="0" w:space="0" w:color="auto"/>
        <w:right w:val="none" w:sz="0" w:space="0" w:color="auto"/>
      </w:divBdr>
    </w:div>
    <w:div w:id="758058879">
      <w:marLeft w:val="0"/>
      <w:marRight w:val="0"/>
      <w:marTop w:val="120"/>
      <w:marBottom w:val="0"/>
      <w:divBdr>
        <w:top w:val="none" w:sz="0" w:space="0" w:color="auto"/>
        <w:left w:val="none" w:sz="0" w:space="0" w:color="auto"/>
        <w:bottom w:val="none" w:sz="0" w:space="0" w:color="auto"/>
        <w:right w:val="none" w:sz="0" w:space="0" w:color="auto"/>
      </w:divBdr>
    </w:div>
    <w:div w:id="762074874">
      <w:marLeft w:val="0"/>
      <w:marRight w:val="0"/>
      <w:marTop w:val="120"/>
      <w:marBottom w:val="120"/>
      <w:divBdr>
        <w:top w:val="none" w:sz="0" w:space="0" w:color="auto"/>
        <w:left w:val="none" w:sz="0" w:space="0" w:color="auto"/>
        <w:bottom w:val="none" w:sz="0" w:space="0" w:color="auto"/>
        <w:right w:val="none" w:sz="0" w:space="0" w:color="auto"/>
      </w:divBdr>
    </w:div>
    <w:div w:id="768887440">
      <w:marLeft w:val="0"/>
      <w:marRight w:val="0"/>
      <w:marTop w:val="120"/>
      <w:marBottom w:val="0"/>
      <w:divBdr>
        <w:top w:val="none" w:sz="0" w:space="0" w:color="auto"/>
        <w:left w:val="none" w:sz="0" w:space="0" w:color="auto"/>
        <w:bottom w:val="none" w:sz="0" w:space="0" w:color="auto"/>
        <w:right w:val="none" w:sz="0" w:space="0" w:color="auto"/>
      </w:divBdr>
    </w:div>
    <w:div w:id="773718998">
      <w:marLeft w:val="0"/>
      <w:marRight w:val="0"/>
      <w:marTop w:val="120"/>
      <w:marBottom w:val="0"/>
      <w:divBdr>
        <w:top w:val="none" w:sz="0" w:space="0" w:color="auto"/>
        <w:left w:val="none" w:sz="0" w:space="0" w:color="auto"/>
        <w:bottom w:val="none" w:sz="0" w:space="0" w:color="auto"/>
        <w:right w:val="none" w:sz="0" w:space="0" w:color="auto"/>
      </w:divBdr>
    </w:div>
    <w:div w:id="783889793">
      <w:marLeft w:val="0"/>
      <w:marRight w:val="0"/>
      <w:marTop w:val="0"/>
      <w:marBottom w:val="0"/>
      <w:divBdr>
        <w:top w:val="none" w:sz="0" w:space="0" w:color="auto"/>
        <w:left w:val="none" w:sz="0" w:space="0" w:color="auto"/>
        <w:bottom w:val="none" w:sz="0" w:space="0" w:color="auto"/>
        <w:right w:val="none" w:sz="0" w:space="0" w:color="auto"/>
      </w:divBdr>
      <w:divsChild>
        <w:div w:id="870655780">
          <w:marLeft w:val="0"/>
          <w:marRight w:val="0"/>
          <w:marTop w:val="0"/>
          <w:marBottom w:val="0"/>
          <w:divBdr>
            <w:top w:val="none" w:sz="0" w:space="0" w:color="auto"/>
            <w:left w:val="none" w:sz="0" w:space="0" w:color="auto"/>
            <w:bottom w:val="none" w:sz="0" w:space="0" w:color="auto"/>
            <w:right w:val="none" w:sz="0" w:space="0" w:color="auto"/>
          </w:divBdr>
        </w:div>
      </w:divsChild>
    </w:div>
    <w:div w:id="792291073">
      <w:marLeft w:val="0"/>
      <w:marRight w:val="0"/>
      <w:marTop w:val="120"/>
      <w:marBottom w:val="0"/>
      <w:divBdr>
        <w:top w:val="none" w:sz="0" w:space="0" w:color="auto"/>
        <w:left w:val="none" w:sz="0" w:space="0" w:color="auto"/>
        <w:bottom w:val="none" w:sz="0" w:space="0" w:color="auto"/>
        <w:right w:val="none" w:sz="0" w:space="0" w:color="auto"/>
      </w:divBdr>
    </w:div>
    <w:div w:id="795638973">
      <w:marLeft w:val="0"/>
      <w:marRight w:val="0"/>
      <w:marTop w:val="180"/>
      <w:marBottom w:val="0"/>
      <w:divBdr>
        <w:top w:val="none" w:sz="0" w:space="0" w:color="auto"/>
        <w:left w:val="none" w:sz="0" w:space="0" w:color="auto"/>
        <w:bottom w:val="none" w:sz="0" w:space="0" w:color="auto"/>
        <w:right w:val="none" w:sz="0" w:space="0" w:color="auto"/>
      </w:divBdr>
    </w:div>
    <w:div w:id="800078530">
      <w:marLeft w:val="0"/>
      <w:marRight w:val="0"/>
      <w:marTop w:val="120"/>
      <w:marBottom w:val="120"/>
      <w:divBdr>
        <w:top w:val="none" w:sz="0" w:space="0" w:color="auto"/>
        <w:left w:val="none" w:sz="0" w:space="0" w:color="auto"/>
        <w:bottom w:val="none" w:sz="0" w:space="0" w:color="auto"/>
        <w:right w:val="none" w:sz="0" w:space="0" w:color="auto"/>
      </w:divBdr>
    </w:div>
    <w:div w:id="803155950">
      <w:marLeft w:val="0"/>
      <w:marRight w:val="0"/>
      <w:marTop w:val="120"/>
      <w:marBottom w:val="0"/>
      <w:divBdr>
        <w:top w:val="none" w:sz="0" w:space="0" w:color="auto"/>
        <w:left w:val="none" w:sz="0" w:space="0" w:color="auto"/>
        <w:bottom w:val="none" w:sz="0" w:space="0" w:color="auto"/>
        <w:right w:val="none" w:sz="0" w:space="0" w:color="auto"/>
      </w:divBdr>
    </w:div>
    <w:div w:id="803812537">
      <w:marLeft w:val="0"/>
      <w:marRight w:val="0"/>
      <w:marTop w:val="60"/>
      <w:marBottom w:val="0"/>
      <w:divBdr>
        <w:top w:val="none" w:sz="0" w:space="0" w:color="auto"/>
        <w:left w:val="none" w:sz="0" w:space="0" w:color="auto"/>
        <w:bottom w:val="none" w:sz="0" w:space="0" w:color="auto"/>
        <w:right w:val="none" w:sz="0" w:space="0" w:color="auto"/>
      </w:divBdr>
    </w:div>
    <w:div w:id="807011567">
      <w:marLeft w:val="0"/>
      <w:marRight w:val="0"/>
      <w:marTop w:val="120"/>
      <w:marBottom w:val="120"/>
      <w:divBdr>
        <w:top w:val="none" w:sz="0" w:space="0" w:color="auto"/>
        <w:left w:val="none" w:sz="0" w:space="0" w:color="auto"/>
        <w:bottom w:val="none" w:sz="0" w:space="0" w:color="auto"/>
        <w:right w:val="none" w:sz="0" w:space="0" w:color="auto"/>
      </w:divBdr>
    </w:div>
    <w:div w:id="807866863">
      <w:marLeft w:val="0"/>
      <w:marRight w:val="0"/>
      <w:marTop w:val="120"/>
      <w:marBottom w:val="0"/>
      <w:divBdr>
        <w:top w:val="none" w:sz="0" w:space="0" w:color="auto"/>
        <w:left w:val="none" w:sz="0" w:space="0" w:color="auto"/>
        <w:bottom w:val="none" w:sz="0" w:space="0" w:color="auto"/>
        <w:right w:val="none" w:sz="0" w:space="0" w:color="auto"/>
      </w:divBdr>
    </w:div>
    <w:div w:id="808667206">
      <w:marLeft w:val="0"/>
      <w:marRight w:val="0"/>
      <w:marTop w:val="120"/>
      <w:marBottom w:val="0"/>
      <w:divBdr>
        <w:top w:val="none" w:sz="0" w:space="0" w:color="auto"/>
        <w:left w:val="none" w:sz="0" w:space="0" w:color="auto"/>
        <w:bottom w:val="none" w:sz="0" w:space="0" w:color="auto"/>
        <w:right w:val="none" w:sz="0" w:space="0" w:color="auto"/>
      </w:divBdr>
    </w:div>
    <w:div w:id="809202457">
      <w:marLeft w:val="0"/>
      <w:marRight w:val="0"/>
      <w:marTop w:val="240"/>
      <w:marBottom w:val="120"/>
      <w:divBdr>
        <w:top w:val="none" w:sz="0" w:space="0" w:color="auto"/>
        <w:left w:val="none" w:sz="0" w:space="0" w:color="auto"/>
        <w:bottom w:val="none" w:sz="0" w:space="0" w:color="auto"/>
        <w:right w:val="none" w:sz="0" w:space="0" w:color="auto"/>
      </w:divBdr>
    </w:div>
    <w:div w:id="813833386">
      <w:marLeft w:val="0"/>
      <w:marRight w:val="0"/>
      <w:marTop w:val="0"/>
      <w:marBottom w:val="0"/>
      <w:divBdr>
        <w:top w:val="none" w:sz="0" w:space="0" w:color="auto"/>
        <w:left w:val="none" w:sz="0" w:space="0" w:color="auto"/>
        <w:bottom w:val="none" w:sz="0" w:space="0" w:color="auto"/>
        <w:right w:val="none" w:sz="0" w:space="0" w:color="auto"/>
      </w:divBdr>
      <w:divsChild>
        <w:div w:id="1129399656">
          <w:marLeft w:val="0"/>
          <w:marRight w:val="0"/>
          <w:marTop w:val="0"/>
          <w:marBottom w:val="0"/>
          <w:divBdr>
            <w:top w:val="none" w:sz="0" w:space="0" w:color="auto"/>
            <w:left w:val="none" w:sz="0" w:space="0" w:color="auto"/>
            <w:bottom w:val="none" w:sz="0" w:space="0" w:color="auto"/>
            <w:right w:val="none" w:sz="0" w:space="0" w:color="auto"/>
          </w:divBdr>
        </w:div>
        <w:div w:id="1310016931">
          <w:marLeft w:val="0"/>
          <w:marRight w:val="0"/>
          <w:marTop w:val="0"/>
          <w:marBottom w:val="0"/>
          <w:divBdr>
            <w:top w:val="none" w:sz="0" w:space="0" w:color="auto"/>
            <w:left w:val="none" w:sz="0" w:space="0" w:color="auto"/>
            <w:bottom w:val="none" w:sz="0" w:space="0" w:color="auto"/>
            <w:right w:val="none" w:sz="0" w:space="0" w:color="auto"/>
          </w:divBdr>
        </w:div>
        <w:div w:id="442530163">
          <w:marLeft w:val="0"/>
          <w:marRight w:val="0"/>
          <w:marTop w:val="0"/>
          <w:marBottom w:val="0"/>
          <w:divBdr>
            <w:top w:val="none" w:sz="0" w:space="0" w:color="auto"/>
            <w:left w:val="none" w:sz="0" w:space="0" w:color="auto"/>
            <w:bottom w:val="none" w:sz="0" w:space="0" w:color="auto"/>
            <w:right w:val="none" w:sz="0" w:space="0" w:color="auto"/>
          </w:divBdr>
        </w:div>
        <w:div w:id="1273247015">
          <w:marLeft w:val="0"/>
          <w:marRight w:val="0"/>
          <w:marTop w:val="0"/>
          <w:marBottom w:val="0"/>
          <w:divBdr>
            <w:top w:val="none" w:sz="0" w:space="0" w:color="auto"/>
            <w:left w:val="none" w:sz="0" w:space="0" w:color="auto"/>
            <w:bottom w:val="none" w:sz="0" w:space="0" w:color="auto"/>
            <w:right w:val="none" w:sz="0" w:space="0" w:color="auto"/>
          </w:divBdr>
        </w:div>
        <w:div w:id="602806557">
          <w:marLeft w:val="0"/>
          <w:marRight w:val="0"/>
          <w:marTop w:val="0"/>
          <w:marBottom w:val="0"/>
          <w:divBdr>
            <w:top w:val="none" w:sz="0" w:space="0" w:color="auto"/>
            <w:left w:val="none" w:sz="0" w:space="0" w:color="auto"/>
            <w:bottom w:val="none" w:sz="0" w:space="0" w:color="auto"/>
            <w:right w:val="none" w:sz="0" w:space="0" w:color="auto"/>
          </w:divBdr>
        </w:div>
        <w:div w:id="2035036061">
          <w:marLeft w:val="0"/>
          <w:marRight w:val="0"/>
          <w:marTop w:val="0"/>
          <w:marBottom w:val="0"/>
          <w:divBdr>
            <w:top w:val="none" w:sz="0" w:space="0" w:color="auto"/>
            <w:left w:val="none" w:sz="0" w:space="0" w:color="auto"/>
            <w:bottom w:val="none" w:sz="0" w:space="0" w:color="auto"/>
            <w:right w:val="none" w:sz="0" w:space="0" w:color="auto"/>
          </w:divBdr>
        </w:div>
        <w:div w:id="946079710">
          <w:marLeft w:val="0"/>
          <w:marRight w:val="0"/>
          <w:marTop w:val="0"/>
          <w:marBottom w:val="0"/>
          <w:divBdr>
            <w:top w:val="none" w:sz="0" w:space="0" w:color="auto"/>
            <w:left w:val="none" w:sz="0" w:space="0" w:color="auto"/>
            <w:bottom w:val="none" w:sz="0" w:space="0" w:color="auto"/>
            <w:right w:val="none" w:sz="0" w:space="0" w:color="auto"/>
          </w:divBdr>
        </w:div>
        <w:div w:id="1512793027">
          <w:marLeft w:val="0"/>
          <w:marRight w:val="0"/>
          <w:marTop w:val="0"/>
          <w:marBottom w:val="0"/>
          <w:divBdr>
            <w:top w:val="none" w:sz="0" w:space="0" w:color="auto"/>
            <w:left w:val="none" w:sz="0" w:space="0" w:color="auto"/>
            <w:bottom w:val="none" w:sz="0" w:space="0" w:color="auto"/>
            <w:right w:val="none" w:sz="0" w:space="0" w:color="auto"/>
          </w:divBdr>
        </w:div>
        <w:div w:id="1485704297">
          <w:marLeft w:val="0"/>
          <w:marRight w:val="0"/>
          <w:marTop w:val="0"/>
          <w:marBottom w:val="0"/>
          <w:divBdr>
            <w:top w:val="none" w:sz="0" w:space="0" w:color="auto"/>
            <w:left w:val="none" w:sz="0" w:space="0" w:color="auto"/>
            <w:bottom w:val="none" w:sz="0" w:space="0" w:color="auto"/>
            <w:right w:val="none" w:sz="0" w:space="0" w:color="auto"/>
          </w:divBdr>
        </w:div>
        <w:div w:id="596256983">
          <w:marLeft w:val="0"/>
          <w:marRight w:val="0"/>
          <w:marTop w:val="0"/>
          <w:marBottom w:val="0"/>
          <w:divBdr>
            <w:top w:val="none" w:sz="0" w:space="0" w:color="auto"/>
            <w:left w:val="none" w:sz="0" w:space="0" w:color="auto"/>
            <w:bottom w:val="none" w:sz="0" w:space="0" w:color="auto"/>
            <w:right w:val="none" w:sz="0" w:space="0" w:color="auto"/>
          </w:divBdr>
        </w:div>
        <w:div w:id="1576207888">
          <w:marLeft w:val="0"/>
          <w:marRight w:val="0"/>
          <w:marTop w:val="0"/>
          <w:marBottom w:val="0"/>
          <w:divBdr>
            <w:top w:val="none" w:sz="0" w:space="0" w:color="auto"/>
            <w:left w:val="none" w:sz="0" w:space="0" w:color="auto"/>
            <w:bottom w:val="none" w:sz="0" w:space="0" w:color="auto"/>
            <w:right w:val="none" w:sz="0" w:space="0" w:color="auto"/>
          </w:divBdr>
        </w:div>
        <w:div w:id="315644455">
          <w:marLeft w:val="0"/>
          <w:marRight w:val="0"/>
          <w:marTop w:val="0"/>
          <w:marBottom w:val="0"/>
          <w:divBdr>
            <w:top w:val="none" w:sz="0" w:space="0" w:color="auto"/>
            <w:left w:val="none" w:sz="0" w:space="0" w:color="auto"/>
            <w:bottom w:val="none" w:sz="0" w:space="0" w:color="auto"/>
            <w:right w:val="none" w:sz="0" w:space="0" w:color="auto"/>
          </w:divBdr>
        </w:div>
        <w:div w:id="982202155">
          <w:marLeft w:val="0"/>
          <w:marRight w:val="0"/>
          <w:marTop w:val="0"/>
          <w:marBottom w:val="0"/>
          <w:divBdr>
            <w:top w:val="none" w:sz="0" w:space="0" w:color="auto"/>
            <w:left w:val="none" w:sz="0" w:space="0" w:color="auto"/>
            <w:bottom w:val="none" w:sz="0" w:space="0" w:color="auto"/>
            <w:right w:val="none" w:sz="0" w:space="0" w:color="auto"/>
          </w:divBdr>
        </w:div>
        <w:div w:id="2110081705">
          <w:marLeft w:val="0"/>
          <w:marRight w:val="0"/>
          <w:marTop w:val="0"/>
          <w:marBottom w:val="0"/>
          <w:divBdr>
            <w:top w:val="none" w:sz="0" w:space="0" w:color="auto"/>
            <w:left w:val="none" w:sz="0" w:space="0" w:color="auto"/>
            <w:bottom w:val="none" w:sz="0" w:space="0" w:color="auto"/>
            <w:right w:val="none" w:sz="0" w:space="0" w:color="auto"/>
          </w:divBdr>
        </w:div>
        <w:div w:id="1082335090">
          <w:marLeft w:val="0"/>
          <w:marRight w:val="0"/>
          <w:marTop w:val="0"/>
          <w:marBottom w:val="0"/>
          <w:divBdr>
            <w:top w:val="none" w:sz="0" w:space="0" w:color="auto"/>
            <w:left w:val="none" w:sz="0" w:space="0" w:color="auto"/>
            <w:bottom w:val="none" w:sz="0" w:space="0" w:color="auto"/>
            <w:right w:val="none" w:sz="0" w:space="0" w:color="auto"/>
          </w:divBdr>
        </w:div>
        <w:div w:id="1539321982">
          <w:marLeft w:val="0"/>
          <w:marRight w:val="0"/>
          <w:marTop w:val="0"/>
          <w:marBottom w:val="0"/>
          <w:divBdr>
            <w:top w:val="none" w:sz="0" w:space="0" w:color="auto"/>
            <w:left w:val="none" w:sz="0" w:space="0" w:color="auto"/>
            <w:bottom w:val="none" w:sz="0" w:space="0" w:color="auto"/>
            <w:right w:val="none" w:sz="0" w:space="0" w:color="auto"/>
          </w:divBdr>
        </w:div>
        <w:div w:id="1806318097">
          <w:marLeft w:val="0"/>
          <w:marRight w:val="0"/>
          <w:marTop w:val="0"/>
          <w:marBottom w:val="0"/>
          <w:divBdr>
            <w:top w:val="none" w:sz="0" w:space="0" w:color="auto"/>
            <w:left w:val="none" w:sz="0" w:space="0" w:color="auto"/>
            <w:bottom w:val="none" w:sz="0" w:space="0" w:color="auto"/>
            <w:right w:val="none" w:sz="0" w:space="0" w:color="auto"/>
          </w:divBdr>
        </w:div>
        <w:div w:id="684983260">
          <w:marLeft w:val="0"/>
          <w:marRight w:val="0"/>
          <w:marTop w:val="0"/>
          <w:marBottom w:val="0"/>
          <w:divBdr>
            <w:top w:val="none" w:sz="0" w:space="0" w:color="auto"/>
            <w:left w:val="none" w:sz="0" w:space="0" w:color="auto"/>
            <w:bottom w:val="none" w:sz="0" w:space="0" w:color="auto"/>
            <w:right w:val="none" w:sz="0" w:space="0" w:color="auto"/>
          </w:divBdr>
        </w:div>
        <w:div w:id="119108241">
          <w:marLeft w:val="0"/>
          <w:marRight w:val="0"/>
          <w:marTop w:val="0"/>
          <w:marBottom w:val="0"/>
          <w:divBdr>
            <w:top w:val="none" w:sz="0" w:space="0" w:color="auto"/>
            <w:left w:val="none" w:sz="0" w:space="0" w:color="auto"/>
            <w:bottom w:val="none" w:sz="0" w:space="0" w:color="auto"/>
            <w:right w:val="none" w:sz="0" w:space="0" w:color="auto"/>
          </w:divBdr>
        </w:div>
        <w:div w:id="1355233218">
          <w:marLeft w:val="0"/>
          <w:marRight w:val="0"/>
          <w:marTop w:val="0"/>
          <w:marBottom w:val="0"/>
          <w:divBdr>
            <w:top w:val="none" w:sz="0" w:space="0" w:color="auto"/>
            <w:left w:val="none" w:sz="0" w:space="0" w:color="auto"/>
            <w:bottom w:val="none" w:sz="0" w:space="0" w:color="auto"/>
            <w:right w:val="none" w:sz="0" w:space="0" w:color="auto"/>
          </w:divBdr>
        </w:div>
        <w:div w:id="368147635">
          <w:marLeft w:val="0"/>
          <w:marRight w:val="0"/>
          <w:marTop w:val="0"/>
          <w:marBottom w:val="0"/>
          <w:divBdr>
            <w:top w:val="none" w:sz="0" w:space="0" w:color="auto"/>
            <w:left w:val="none" w:sz="0" w:space="0" w:color="auto"/>
            <w:bottom w:val="none" w:sz="0" w:space="0" w:color="auto"/>
            <w:right w:val="none" w:sz="0" w:space="0" w:color="auto"/>
          </w:divBdr>
        </w:div>
        <w:div w:id="508447462">
          <w:marLeft w:val="0"/>
          <w:marRight w:val="0"/>
          <w:marTop w:val="0"/>
          <w:marBottom w:val="0"/>
          <w:divBdr>
            <w:top w:val="none" w:sz="0" w:space="0" w:color="auto"/>
            <w:left w:val="none" w:sz="0" w:space="0" w:color="auto"/>
            <w:bottom w:val="none" w:sz="0" w:space="0" w:color="auto"/>
            <w:right w:val="none" w:sz="0" w:space="0" w:color="auto"/>
          </w:divBdr>
        </w:div>
        <w:div w:id="1930194920">
          <w:marLeft w:val="0"/>
          <w:marRight w:val="0"/>
          <w:marTop w:val="0"/>
          <w:marBottom w:val="0"/>
          <w:divBdr>
            <w:top w:val="none" w:sz="0" w:space="0" w:color="auto"/>
            <w:left w:val="none" w:sz="0" w:space="0" w:color="auto"/>
            <w:bottom w:val="none" w:sz="0" w:space="0" w:color="auto"/>
            <w:right w:val="none" w:sz="0" w:space="0" w:color="auto"/>
          </w:divBdr>
        </w:div>
        <w:div w:id="1142505475">
          <w:marLeft w:val="0"/>
          <w:marRight w:val="0"/>
          <w:marTop w:val="0"/>
          <w:marBottom w:val="0"/>
          <w:divBdr>
            <w:top w:val="none" w:sz="0" w:space="0" w:color="auto"/>
            <w:left w:val="none" w:sz="0" w:space="0" w:color="auto"/>
            <w:bottom w:val="none" w:sz="0" w:space="0" w:color="auto"/>
            <w:right w:val="none" w:sz="0" w:space="0" w:color="auto"/>
          </w:divBdr>
        </w:div>
      </w:divsChild>
    </w:div>
    <w:div w:id="830100869">
      <w:marLeft w:val="0"/>
      <w:marRight w:val="0"/>
      <w:marTop w:val="60"/>
      <w:marBottom w:val="60"/>
      <w:divBdr>
        <w:top w:val="none" w:sz="0" w:space="0" w:color="auto"/>
        <w:left w:val="none" w:sz="0" w:space="0" w:color="auto"/>
        <w:bottom w:val="none" w:sz="0" w:space="0" w:color="auto"/>
        <w:right w:val="none" w:sz="0" w:space="0" w:color="auto"/>
      </w:divBdr>
    </w:div>
    <w:div w:id="830565075">
      <w:marLeft w:val="0"/>
      <w:marRight w:val="0"/>
      <w:marTop w:val="120"/>
      <w:marBottom w:val="0"/>
      <w:divBdr>
        <w:top w:val="none" w:sz="0" w:space="0" w:color="auto"/>
        <w:left w:val="none" w:sz="0" w:space="0" w:color="auto"/>
        <w:bottom w:val="none" w:sz="0" w:space="0" w:color="auto"/>
        <w:right w:val="none" w:sz="0" w:space="0" w:color="auto"/>
      </w:divBdr>
    </w:div>
    <w:div w:id="831989638">
      <w:marLeft w:val="0"/>
      <w:marRight w:val="0"/>
      <w:marTop w:val="0"/>
      <w:marBottom w:val="0"/>
      <w:divBdr>
        <w:top w:val="none" w:sz="0" w:space="0" w:color="auto"/>
        <w:left w:val="none" w:sz="0" w:space="0" w:color="auto"/>
        <w:bottom w:val="none" w:sz="0" w:space="0" w:color="auto"/>
        <w:right w:val="none" w:sz="0" w:space="0" w:color="auto"/>
      </w:divBdr>
    </w:div>
    <w:div w:id="833641843">
      <w:marLeft w:val="0"/>
      <w:marRight w:val="0"/>
      <w:marTop w:val="0"/>
      <w:marBottom w:val="0"/>
      <w:divBdr>
        <w:top w:val="none" w:sz="0" w:space="0" w:color="auto"/>
        <w:left w:val="none" w:sz="0" w:space="0" w:color="auto"/>
        <w:bottom w:val="none" w:sz="0" w:space="0" w:color="auto"/>
        <w:right w:val="none" w:sz="0" w:space="0" w:color="auto"/>
      </w:divBdr>
    </w:div>
    <w:div w:id="837812352">
      <w:marLeft w:val="0"/>
      <w:marRight w:val="0"/>
      <w:marTop w:val="120"/>
      <w:marBottom w:val="120"/>
      <w:divBdr>
        <w:top w:val="none" w:sz="0" w:space="0" w:color="auto"/>
        <w:left w:val="none" w:sz="0" w:space="0" w:color="auto"/>
        <w:bottom w:val="none" w:sz="0" w:space="0" w:color="auto"/>
        <w:right w:val="none" w:sz="0" w:space="0" w:color="auto"/>
      </w:divBdr>
    </w:div>
    <w:div w:id="838083855">
      <w:marLeft w:val="0"/>
      <w:marRight w:val="0"/>
      <w:marTop w:val="120"/>
      <w:marBottom w:val="0"/>
      <w:divBdr>
        <w:top w:val="none" w:sz="0" w:space="0" w:color="auto"/>
        <w:left w:val="none" w:sz="0" w:space="0" w:color="auto"/>
        <w:bottom w:val="none" w:sz="0" w:space="0" w:color="auto"/>
        <w:right w:val="none" w:sz="0" w:space="0" w:color="auto"/>
      </w:divBdr>
    </w:div>
    <w:div w:id="840850716">
      <w:marLeft w:val="0"/>
      <w:marRight w:val="0"/>
      <w:marTop w:val="120"/>
      <w:marBottom w:val="0"/>
      <w:divBdr>
        <w:top w:val="none" w:sz="0" w:space="0" w:color="auto"/>
        <w:left w:val="none" w:sz="0" w:space="0" w:color="auto"/>
        <w:bottom w:val="none" w:sz="0" w:space="0" w:color="auto"/>
        <w:right w:val="none" w:sz="0" w:space="0" w:color="auto"/>
      </w:divBdr>
    </w:div>
    <w:div w:id="842009300">
      <w:marLeft w:val="0"/>
      <w:marRight w:val="0"/>
      <w:marTop w:val="0"/>
      <w:marBottom w:val="0"/>
      <w:divBdr>
        <w:top w:val="none" w:sz="0" w:space="0" w:color="auto"/>
        <w:left w:val="none" w:sz="0" w:space="0" w:color="auto"/>
        <w:bottom w:val="none" w:sz="0" w:space="0" w:color="auto"/>
        <w:right w:val="none" w:sz="0" w:space="0" w:color="auto"/>
      </w:divBdr>
    </w:div>
    <w:div w:id="843125655">
      <w:marLeft w:val="0"/>
      <w:marRight w:val="0"/>
      <w:marTop w:val="120"/>
      <w:marBottom w:val="120"/>
      <w:divBdr>
        <w:top w:val="none" w:sz="0" w:space="0" w:color="auto"/>
        <w:left w:val="none" w:sz="0" w:space="0" w:color="auto"/>
        <w:bottom w:val="none" w:sz="0" w:space="0" w:color="auto"/>
        <w:right w:val="none" w:sz="0" w:space="0" w:color="auto"/>
      </w:divBdr>
    </w:div>
    <w:div w:id="843398124">
      <w:marLeft w:val="0"/>
      <w:marRight w:val="0"/>
      <w:marTop w:val="60"/>
      <w:marBottom w:val="0"/>
      <w:divBdr>
        <w:top w:val="none" w:sz="0" w:space="0" w:color="auto"/>
        <w:left w:val="none" w:sz="0" w:space="0" w:color="auto"/>
        <w:bottom w:val="none" w:sz="0" w:space="0" w:color="auto"/>
        <w:right w:val="none" w:sz="0" w:space="0" w:color="auto"/>
      </w:divBdr>
    </w:div>
    <w:div w:id="850217008">
      <w:marLeft w:val="0"/>
      <w:marRight w:val="0"/>
      <w:marTop w:val="0"/>
      <w:marBottom w:val="0"/>
      <w:divBdr>
        <w:top w:val="none" w:sz="0" w:space="0" w:color="auto"/>
        <w:left w:val="none" w:sz="0" w:space="0" w:color="auto"/>
        <w:bottom w:val="none" w:sz="0" w:space="0" w:color="auto"/>
        <w:right w:val="none" w:sz="0" w:space="0" w:color="auto"/>
      </w:divBdr>
      <w:divsChild>
        <w:div w:id="1117455188">
          <w:marLeft w:val="0"/>
          <w:marRight w:val="0"/>
          <w:marTop w:val="0"/>
          <w:marBottom w:val="0"/>
          <w:divBdr>
            <w:top w:val="none" w:sz="0" w:space="0" w:color="auto"/>
            <w:left w:val="none" w:sz="0" w:space="0" w:color="auto"/>
            <w:bottom w:val="none" w:sz="0" w:space="0" w:color="auto"/>
            <w:right w:val="none" w:sz="0" w:space="0" w:color="auto"/>
          </w:divBdr>
        </w:div>
      </w:divsChild>
    </w:div>
    <w:div w:id="853761157">
      <w:marLeft w:val="0"/>
      <w:marRight w:val="0"/>
      <w:marTop w:val="0"/>
      <w:marBottom w:val="0"/>
      <w:divBdr>
        <w:top w:val="none" w:sz="0" w:space="0" w:color="auto"/>
        <w:left w:val="none" w:sz="0" w:space="0" w:color="auto"/>
        <w:bottom w:val="none" w:sz="0" w:space="0" w:color="auto"/>
        <w:right w:val="none" w:sz="0" w:space="0" w:color="auto"/>
      </w:divBdr>
    </w:div>
    <w:div w:id="860164517">
      <w:marLeft w:val="0"/>
      <w:marRight w:val="0"/>
      <w:marTop w:val="120"/>
      <w:marBottom w:val="0"/>
      <w:divBdr>
        <w:top w:val="none" w:sz="0" w:space="0" w:color="auto"/>
        <w:left w:val="none" w:sz="0" w:space="0" w:color="auto"/>
        <w:bottom w:val="none" w:sz="0" w:space="0" w:color="auto"/>
        <w:right w:val="none" w:sz="0" w:space="0" w:color="auto"/>
      </w:divBdr>
    </w:div>
    <w:div w:id="860778466">
      <w:marLeft w:val="0"/>
      <w:marRight w:val="0"/>
      <w:marTop w:val="120"/>
      <w:marBottom w:val="0"/>
      <w:divBdr>
        <w:top w:val="none" w:sz="0" w:space="0" w:color="auto"/>
        <w:left w:val="none" w:sz="0" w:space="0" w:color="auto"/>
        <w:bottom w:val="none" w:sz="0" w:space="0" w:color="auto"/>
        <w:right w:val="none" w:sz="0" w:space="0" w:color="auto"/>
      </w:divBdr>
    </w:div>
    <w:div w:id="869730466">
      <w:marLeft w:val="0"/>
      <w:marRight w:val="0"/>
      <w:marTop w:val="120"/>
      <w:marBottom w:val="0"/>
      <w:divBdr>
        <w:top w:val="none" w:sz="0" w:space="0" w:color="auto"/>
        <w:left w:val="none" w:sz="0" w:space="0" w:color="auto"/>
        <w:bottom w:val="none" w:sz="0" w:space="0" w:color="auto"/>
        <w:right w:val="none" w:sz="0" w:space="0" w:color="auto"/>
      </w:divBdr>
    </w:div>
    <w:div w:id="869877889">
      <w:marLeft w:val="0"/>
      <w:marRight w:val="0"/>
      <w:marTop w:val="120"/>
      <w:marBottom w:val="0"/>
      <w:divBdr>
        <w:top w:val="none" w:sz="0" w:space="0" w:color="auto"/>
        <w:left w:val="none" w:sz="0" w:space="0" w:color="auto"/>
        <w:bottom w:val="none" w:sz="0" w:space="0" w:color="auto"/>
        <w:right w:val="none" w:sz="0" w:space="0" w:color="auto"/>
      </w:divBdr>
    </w:div>
    <w:div w:id="870263270">
      <w:marLeft w:val="0"/>
      <w:marRight w:val="0"/>
      <w:marTop w:val="120"/>
      <w:marBottom w:val="0"/>
      <w:divBdr>
        <w:top w:val="none" w:sz="0" w:space="0" w:color="auto"/>
        <w:left w:val="none" w:sz="0" w:space="0" w:color="auto"/>
        <w:bottom w:val="none" w:sz="0" w:space="0" w:color="auto"/>
        <w:right w:val="none" w:sz="0" w:space="0" w:color="auto"/>
      </w:divBdr>
    </w:div>
    <w:div w:id="870411535">
      <w:marLeft w:val="0"/>
      <w:marRight w:val="0"/>
      <w:marTop w:val="0"/>
      <w:marBottom w:val="0"/>
      <w:divBdr>
        <w:top w:val="none" w:sz="0" w:space="0" w:color="auto"/>
        <w:left w:val="none" w:sz="0" w:space="0" w:color="auto"/>
        <w:bottom w:val="none" w:sz="0" w:space="0" w:color="auto"/>
        <w:right w:val="none" w:sz="0" w:space="0" w:color="auto"/>
      </w:divBdr>
    </w:div>
    <w:div w:id="879198140">
      <w:marLeft w:val="0"/>
      <w:marRight w:val="0"/>
      <w:marTop w:val="120"/>
      <w:marBottom w:val="20"/>
      <w:divBdr>
        <w:top w:val="none" w:sz="0" w:space="0" w:color="auto"/>
        <w:left w:val="none" w:sz="0" w:space="0" w:color="auto"/>
        <w:bottom w:val="none" w:sz="0" w:space="0" w:color="auto"/>
        <w:right w:val="none" w:sz="0" w:space="0" w:color="auto"/>
      </w:divBdr>
    </w:div>
    <w:div w:id="880553736">
      <w:marLeft w:val="0"/>
      <w:marRight w:val="0"/>
      <w:marTop w:val="120"/>
      <w:marBottom w:val="0"/>
      <w:divBdr>
        <w:top w:val="none" w:sz="0" w:space="0" w:color="auto"/>
        <w:left w:val="none" w:sz="0" w:space="0" w:color="auto"/>
        <w:bottom w:val="none" w:sz="0" w:space="0" w:color="auto"/>
        <w:right w:val="none" w:sz="0" w:space="0" w:color="auto"/>
      </w:divBdr>
    </w:div>
    <w:div w:id="882137959">
      <w:marLeft w:val="0"/>
      <w:marRight w:val="0"/>
      <w:marTop w:val="0"/>
      <w:marBottom w:val="20"/>
      <w:divBdr>
        <w:top w:val="none" w:sz="0" w:space="0" w:color="auto"/>
        <w:left w:val="none" w:sz="0" w:space="0" w:color="auto"/>
        <w:bottom w:val="none" w:sz="0" w:space="0" w:color="auto"/>
        <w:right w:val="none" w:sz="0" w:space="0" w:color="auto"/>
      </w:divBdr>
      <w:divsChild>
        <w:div w:id="316039231">
          <w:marLeft w:val="0"/>
          <w:marRight w:val="0"/>
          <w:marTop w:val="120"/>
          <w:marBottom w:val="0"/>
          <w:divBdr>
            <w:top w:val="none" w:sz="0" w:space="0" w:color="auto"/>
            <w:left w:val="none" w:sz="0" w:space="0" w:color="auto"/>
            <w:bottom w:val="none" w:sz="0" w:space="0" w:color="auto"/>
            <w:right w:val="none" w:sz="0" w:space="0" w:color="auto"/>
          </w:divBdr>
        </w:div>
      </w:divsChild>
    </w:div>
    <w:div w:id="888880241">
      <w:marLeft w:val="0"/>
      <w:marRight w:val="0"/>
      <w:marTop w:val="0"/>
      <w:marBottom w:val="0"/>
      <w:divBdr>
        <w:top w:val="none" w:sz="0" w:space="0" w:color="auto"/>
        <w:left w:val="none" w:sz="0" w:space="0" w:color="auto"/>
        <w:bottom w:val="none" w:sz="0" w:space="0" w:color="auto"/>
        <w:right w:val="none" w:sz="0" w:space="0" w:color="auto"/>
      </w:divBdr>
    </w:div>
    <w:div w:id="894004716">
      <w:marLeft w:val="0"/>
      <w:marRight w:val="0"/>
      <w:marTop w:val="120"/>
      <w:marBottom w:val="20"/>
      <w:divBdr>
        <w:top w:val="none" w:sz="0" w:space="0" w:color="auto"/>
        <w:left w:val="none" w:sz="0" w:space="0" w:color="auto"/>
        <w:bottom w:val="none" w:sz="0" w:space="0" w:color="auto"/>
        <w:right w:val="none" w:sz="0" w:space="0" w:color="auto"/>
      </w:divBdr>
      <w:divsChild>
        <w:div w:id="163404576">
          <w:marLeft w:val="0"/>
          <w:marRight w:val="0"/>
          <w:marTop w:val="0"/>
          <w:marBottom w:val="0"/>
          <w:divBdr>
            <w:top w:val="none" w:sz="0" w:space="0" w:color="auto"/>
            <w:left w:val="none" w:sz="0" w:space="0" w:color="auto"/>
            <w:bottom w:val="none" w:sz="0" w:space="0" w:color="auto"/>
            <w:right w:val="none" w:sz="0" w:space="0" w:color="auto"/>
          </w:divBdr>
        </w:div>
      </w:divsChild>
    </w:div>
    <w:div w:id="895122109">
      <w:marLeft w:val="0"/>
      <w:marRight w:val="0"/>
      <w:marTop w:val="120"/>
      <w:marBottom w:val="0"/>
      <w:divBdr>
        <w:top w:val="none" w:sz="0" w:space="0" w:color="auto"/>
        <w:left w:val="none" w:sz="0" w:space="0" w:color="auto"/>
        <w:bottom w:val="none" w:sz="0" w:space="0" w:color="auto"/>
        <w:right w:val="none" w:sz="0" w:space="0" w:color="auto"/>
      </w:divBdr>
    </w:div>
    <w:div w:id="896084117">
      <w:marLeft w:val="0"/>
      <w:marRight w:val="0"/>
      <w:marTop w:val="120"/>
      <w:marBottom w:val="0"/>
      <w:divBdr>
        <w:top w:val="none" w:sz="0" w:space="0" w:color="auto"/>
        <w:left w:val="none" w:sz="0" w:space="0" w:color="auto"/>
        <w:bottom w:val="none" w:sz="0" w:space="0" w:color="auto"/>
        <w:right w:val="none" w:sz="0" w:space="0" w:color="auto"/>
      </w:divBdr>
    </w:div>
    <w:div w:id="897008605">
      <w:marLeft w:val="0"/>
      <w:marRight w:val="0"/>
      <w:marTop w:val="0"/>
      <w:marBottom w:val="0"/>
      <w:divBdr>
        <w:top w:val="none" w:sz="0" w:space="0" w:color="auto"/>
        <w:left w:val="none" w:sz="0" w:space="0" w:color="auto"/>
        <w:bottom w:val="none" w:sz="0" w:space="0" w:color="auto"/>
        <w:right w:val="none" w:sz="0" w:space="0" w:color="auto"/>
      </w:divBdr>
    </w:div>
    <w:div w:id="898134569">
      <w:marLeft w:val="0"/>
      <w:marRight w:val="0"/>
      <w:marTop w:val="0"/>
      <w:marBottom w:val="0"/>
      <w:divBdr>
        <w:top w:val="none" w:sz="0" w:space="0" w:color="auto"/>
        <w:left w:val="none" w:sz="0" w:space="0" w:color="auto"/>
        <w:bottom w:val="none" w:sz="0" w:space="0" w:color="auto"/>
        <w:right w:val="none" w:sz="0" w:space="0" w:color="auto"/>
      </w:divBdr>
      <w:divsChild>
        <w:div w:id="729377941">
          <w:marLeft w:val="0"/>
          <w:marRight w:val="0"/>
          <w:marTop w:val="0"/>
          <w:marBottom w:val="0"/>
          <w:divBdr>
            <w:top w:val="none" w:sz="0" w:space="0" w:color="auto"/>
            <w:left w:val="none" w:sz="0" w:space="0" w:color="auto"/>
            <w:bottom w:val="none" w:sz="0" w:space="0" w:color="auto"/>
            <w:right w:val="none" w:sz="0" w:space="0" w:color="auto"/>
          </w:divBdr>
        </w:div>
      </w:divsChild>
    </w:div>
    <w:div w:id="910431500">
      <w:marLeft w:val="0"/>
      <w:marRight w:val="0"/>
      <w:marTop w:val="120"/>
      <w:marBottom w:val="0"/>
      <w:divBdr>
        <w:top w:val="none" w:sz="0" w:space="0" w:color="auto"/>
        <w:left w:val="none" w:sz="0" w:space="0" w:color="auto"/>
        <w:bottom w:val="none" w:sz="0" w:space="0" w:color="auto"/>
        <w:right w:val="none" w:sz="0" w:space="0" w:color="auto"/>
      </w:divBdr>
    </w:div>
    <w:div w:id="910693640">
      <w:marLeft w:val="0"/>
      <w:marRight w:val="0"/>
      <w:marTop w:val="120"/>
      <w:marBottom w:val="0"/>
      <w:divBdr>
        <w:top w:val="none" w:sz="0" w:space="0" w:color="auto"/>
        <w:left w:val="none" w:sz="0" w:space="0" w:color="auto"/>
        <w:bottom w:val="none" w:sz="0" w:space="0" w:color="auto"/>
        <w:right w:val="none" w:sz="0" w:space="0" w:color="auto"/>
      </w:divBdr>
    </w:div>
    <w:div w:id="911351138">
      <w:marLeft w:val="0"/>
      <w:marRight w:val="0"/>
      <w:marTop w:val="120"/>
      <w:marBottom w:val="0"/>
      <w:divBdr>
        <w:top w:val="none" w:sz="0" w:space="0" w:color="auto"/>
        <w:left w:val="none" w:sz="0" w:space="0" w:color="auto"/>
        <w:bottom w:val="none" w:sz="0" w:space="0" w:color="auto"/>
        <w:right w:val="none" w:sz="0" w:space="0" w:color="auto"/>
      </w:divBdr>
    </w:div>
    <w:div w:id="914514429">
      <w:marLeft w:val="0"/>
      <w:marRight w:val="0"/>
      <w:marTop w:val="0"/>
      <w:marBottom w:val="0"/>
      <w:divBdr>
        <w:top w:val="none" w:sz="0" w:space="0" w:color="auto"/>
        <w:left w:val="none" w:sz="0" w:space="0" w:color="auto"/>
        <w:bottom w:val="none" w:sz="0" w:space="0" w:color="auto"/>
        <w:right w:val="none" w:sz="0" w:space="0" w:color="auto"/>
      </w:divBdr>
      <w:divsChild>
        <w:div w:id="1352951583">
          <w:marLeft w:val="0"/>
          <w:marRight w:val="0"/>
          <w:marTop w:val="0"/>
          <w:marBottom w:val="0"/>
          <w:divBdr>
            <w:top w:val="none" w:sz="0" w:space="0" w:color="auto"/>
            <w:left w:val="none" w:sz="0" w:space="0" w:color="auto"/>
            <w:bottom w:val="none" w:sz="0" w:space="0" w:color="auto"/>
            <w:right w:val="none" w:sz="0" w:space="0" w:color="auto"/>
          </w:divBdr>
        </w:div>
      </w:divsChild>
    </w:div>
    <w:div w:id="916287176">
      <w:marLeft w:val="0"/>
      <w:marRight w:val="0"/>
      <w:marTop w:val="0"/>
      <w:marBottom w:val="0"/>
      <w:divBdr>
        <w:top w:val="none" w:sz="0" w:space="0" w:color="auto"/>
        <w:left w:val="none" w:sz="0" w:space="0" w:color="auto"/>
        <w:bottom w:val="none" w:sz="0" w:space="0" w:color="auto"/>
        <w:right w:val="none" w:sz="0" w:space="0" w:color="auto"/>
      </w:divBdr>
      <w:divsChild>
        <w:div w:id="2142458203">
          <w:marLeft w:val="0"/>
          <w:marRight w:val="0"/>
          <w:marTop w:val="0"/>
          <w:marBottom w:val="0"/>
          <w:divBdr>
            <w:top w:val="none" w:sz="0" w:space="0" w:color="auto"/>
            <w:left w:val="none" w:sz="0" w:space="0" w:color="auto"/>
            <w:bottom w:val="none" w:sz="0" w:space="0" w:color="auto"/>
            <w:right w:val="none" w:sz="0" w:space="0" w:color="auto"/>
          </w:divBdr>
        </w:div>
      </w:divsChild>
    </w:div>
    <w:div w:id="917522044">
      <w:marLeft w:val="0"/>
      <w:marRight w:val="0"/>
      <w:marTop w:val="120"/>
      <w:marBottom w:val="0"/>
      <w:divBdr>
        <w:top w:val="none" w:sz="0" w:space="0" w:color="auto"/>
        <w:left w:val="none" w:sz="0" w:space="0" w:color="auto"/>
        <w:bottom w:val="none" w:sz="0" w:space="0" w:color="auto"/>
        <w:right w:val="none" w:sz="0" w:space="0" w:color="auto"/>
      </w:divBdr>
    </w:div>
    <w:div w:id="923344890">
      <w:marLeft w:val="0"/>
      <w:marRight w:val="0"/>
      <w:marTop w:val="120"/>
      <w:marBottom w:val="120"/>
      <w:divBdr>
        <w:top w:val="none" w:sz="0" w:space="0" w:color="auto"/>
        <w:left w:val="none" w:sz="0" w:space="0" w:color="auto"/>
        <w:bottom w:val="none" w:sz="0" w:space="0" w:color="auto"/>
        <w:right w:val="none" w:sz="0" w:space="0" w:color="auto"/>
      </w:divBdr>
    </w:div>
    <w:div w:id="928200991">
      <w:marLeft w:val="0"/>
      <w:marRight w:val="0"/>
      <w:marTop w:val="120"/>
      <w:marBottom w:val="120"/>
      <w:divBdr>
        <w:top w:val="none" w:sz="0" w:space="0" w:color="auto"/>
        <w:left w:val="none" w:sz="0" w:space="0" w:color="auto"/>
        <w:bottom w:val="none" w:sz="0" w:space="0" w:color="auto"/>
        <w:right w:val="none" w:sz="0" w:space="0" w:color="auto"/>
      </w:divBdr>
    </w:div>
    <w:div w:id="930239896">
      <w:marLeft w:val="0"/>
      <w:marRight w:val="0"/>
      <w:marTop w:val="120"/>
      <w:marBottom w:val="0"/>
      <w:divBdr>
        <w:top w:val="none" w:sz="0" w:space="0" w:color="auto"/>
        <w:left w:val="none" w:sz="0" w:space="0" w:color="auto"/>
        <w:bottom w:val="none" w:sz="0" w:space="0" w:color="auto"/>
        <w:right w:val="none" w:sz="0" w:space="0" w:color="auto"/>
      </w:divBdr>
    </w:div>
    <w:div w:id="931888224">
      <w:marLeft w:val="0"/>
      <w:marRight w:val="0"/>
      <w:marTop w:val="120"/>
      <w:marBottom w:val="0"/>
      <w:divBdr>
        <w:top w:val="none" w:sz="0" w:space="0" w:color="auto"/>
        <w:left w:val="none" w:sz="0" w:space="0" w:color="auto"/>
        <w:bottom w:val="none" w:sz="0" w:space="0" w:color="auto"/>
        <w:right w:val="none" w:sz="0" w:space="0" w:color="auto"/>
      </w:divBdr>
    </w:div>
    <w:div w:id="932980970">
      <w:marLeft w:val="0"/>
      <w:marRight w:val="0"/>
      <w:marTop w:val="120"/>
      <w:marBottom w:val="0"/>
      <w:divBdr>
        <w:top w:val="none" w:sz="0" w:space="0" w:color="auto"/>
        <w:left w:val="none" w:sz="0" w:space="0" w:color="auto"/>
        <w:bottom w:val="none" w:sz="0" w:space="0" w:color="auto"/>
        <w:right w:val="none" w:sz="0" w:space="0" w:color="auto"/>
      </w:divBdr>
    </w:div>
    <w:div w:id="933322685">
      <w:marLeft w:val="0"/>
      <w:marRight w:val="0"/>
      <w:marTop w:val="0"/>
      <w:marBottom w:val="0"/>
      <w:divBdr>
        <w:top w:val="none" w:sz="0" w:space="0" w:color="auto"/>
        <w:left w:val="none" w:sz="0" w:space="0" w:color="auto"/>
        <w:bottom w:val="none" w:sz="0" w:space="0" w:color="auto"/>
        <w:right w:val="none" w:sz="0" w:space="0" w:color="auto"/>
      </w:divBdr>
      <w:divsChild>
        <w:div w:id="407577877">
          <w:marLeft w:val="0"/>
          <w:marRight w:val="0"/>
          <w:marTop w:val="0"/>
          <w:marBottom w:val="0"/>
          <w:divBdr>
            <w:top w:val="none" w:sz="0" w:space="0" w:color="auto"/>
            <w:left w:val="none" w:sz="0" w:space="0" w:color="auto"/>
            <w:bottom w:val="none" w:sz="0" w:space="0" w:color="auto"/>
            <w:right w:val="none" w:sz="0" w:space="0" w:color="auto"/>
          </w:divBdr>
        </w:div>
      </w:divsChild>
    </w:div>
    <w:div w:id="936400666">
      <w:marLeft w:val="0"/>
      <w:marRight w:val="0"/>
      <w:marTop w:val="0"/>
      <w:marBottom w:val="0"/>
      <w:divBdr>
        <w:top w:val="none" w:sz="0" w:space="0" w:color="auto"/>
        <w:left w:val="none" w:sz="0" w:space="0" w:color="auto"/>
        <w:bottom w:val="none" w:sz="0" w:space="0" w:color="auto"/>
        <w:right w:val="none" w:sz="0" w:space="0" w:color="auto"/>
      </w:divBdr>
    </w:div>
    <w:div w:id="937563373">
      <w:marLeft w:val="0"/>
      <w:marRight w:val="0"/>
      <w:marTop w:val="0"/>
      <w:marBottom w:val="0"/>
      <w:divBdr>
        <w:top w:val="none" w:sz="0" w:space="0" w:color="auto"/>
        <w:left w:val="none" w:sz="0" w:space="0" w:color="auto"/>
        <w:bottom w:val="none" w:sz="0" w:space="0" w:color="auto"/>
        <w:right w:val="none" w:sz="0" w:space="0" w:color="auto"/>
      </w:divBdr>
    </w:div>
    <w:div w:id="942687253">
      <w:marLeft w:val="0"/>
      <w:marRight w:val="0"/>
      <w:marTop w:val="120"/>
      <w:marBottom w:val="0"/>
      <w:divBdr>
        <w:top w:val="none" w:sz="0" w:space="0" w:color="auto"/>
        <w:left w:val="none" w:sz="0" w:space="0" w:color="auto"/>
        <w:bottom w:val="none" w:sz="0" w:space="0" w:color="auto"/>
        <w:right w:val="none" w:sz="0" w:space="0" w:color="auto"/>
      </w:divBdr>
    </w:div>
    <w:div w:id="944069674">
      <w:marLeft w:val="0"/>
      <w:marRight w:val="0"/>
      <w:marTop w:val="120"/>
      <w:marBottom w:val="0"/>
      <w:divBdr>
        <w:top w:val="none" w:sz="0" w:space="0" w:color="auto"/>
        <w:left w:val="none" w:sz="0" w:space="0" w:color="auto"/>
        <w:bottom w:val="none" w:sz="0" w:space="0" w:color="auto"/>
        <w:right w:val="none" w:sz="0" w:space="0" w:color="auto"/>
      </w:divBdr>
    </w:div>
    <w:div w:id="945649151">
      <w:marLeft w:val="0"/>
      <w:marRight w:val="0"/>
      <w:marTop w:val="120"/>
      <w:marBottom w:val="0"/>
      <w:divBdr>
        <w:top w:val="none" w:sz="0" w:space="0" w:color="auto"/>
        <w:left w:val="none" w:sz="0" w:space="0" w:color="auto"/>
        <w:bottom w:val="none" w:sz="0" w:space="0" w:color="auto"/>
        <w:right w:val="none" w:sz="0" w:space="0" w:color="auto"/>
      </w:divBdr>
    </w:div>
    <w:div w:id="952907042">
      <w:marLeft w:val="0"/>
      <w:marRight w:val="0"/>
      <w:marTop w:val="0"/>
      <w:marBottom w:val="0"/>
      <w:divBdr>
        <w:top w:val="none" w:sz="0" w:space="0" w:color="auto"/>
        <w:left w:val="none" w:sz="0" w:space="0" w:color="auto"/>
        <w:bottom w:val="none" w:sz="0" w:space="0" w:color="auto"/>
        <w:right w:val="none" w:sz="0" w:space="0" w:color="auto"/>
      </w:divBdr>
    </w:div>
    <w:div w:id="957100156">
      <w:marLeft w:val="0"/>
      <w:marRight w:val="0"/>
      <w:marTop w:val="120"/>
      <w:marBottom w:val="120"/>
      <w:divBdr>
        <w:top w:val="none" w:sz="0" w:space="0" w:color="auto"/>
        <w:left w:val="none" w:sz="0" w:space="0" w:color="auto"/>
        <w:bottom w:val="none" w:sz="0" w:space="0" w:color="auto"/>
        <w:right w:val="none" w:sz="0" w:space="0" w:color="auto"/>
      </w:divBdr>
    </w:div>
    <w:div w:id="957644449">
      <w:marLeft w:val="0"/>
      <w:marRight w:val="0"/>
      <w:marTop w:val="120"/>
      <w:marBottom w:val="0"/>
      <w:divBdr>
        <w:top w:val="none" w:sz="0" w:space="0" w:color="auto"/>
        <w:left w:val="none" w:sz="0" w:space="0" w:color="auto"/>
        <w:bottom w:val="none" w:sz="0" w:space="0" w:color="auto"/>
        <w:right w:val="none" w:sz="0" w:space="0" w:color="auto"/>
      </w:divBdr>
    </w:div>
    <w:div w:id="962617662">
      <w:marLeft w:val="0"/>
      <w:marRight w:val="0"/>
      <w:marTop w:val="0"/>
      <w:marBottom w:val="0"/>
      <w:divBdr>
        <w:top w:val="none" w:sz="0" w:space="0" w:color="auto"/>
        <w:left w:val="none" w:sz="0" w:space="0" w:color="auto"/>
        <w:bottom w:val="none" w:sz="0" w:space="0" w:color="auto"/>
        <w:right w:val="none" w:sz="0" w:space="0" w:color="auto"/>
      </w:divBdr>
    </w:div>
    <w:div w:id="962921474">
      <w:marLeft w:val="0"/>
      <w:marRight w:val="0"/>
      <w:marTop w:val="120"/>
      <w:marBottom w:val="0"/>
      <w:divBdr>
        <w:top w:val="none" w:sz="0" w:space="0" w:color="auto"/>
        <w:left w:val="none" w:sz="0" w:space="0" w:color="auto"/>
        <w:bottom w:val="none" w:sz="0" w:space="0" w:color="auto"/>
        <w:right w:val="none" w:sz="0" w:space="0" w:color="auto"/>
      </w:divBdr>
    </w:div>
    <w:div w:id="963466856">
      <w:marLeft w:val="0"/>
      <w:marRight w:val="0"/>
      <w:marTop w:val="120"/>
      <w:marBottom w:val="0"/>
      <w:divBdr>
        <w:top w:val="none" w:sz="0" w:space="0" w:color="auto"/>
        <w:left w:val="none" w:sz="0" w:space="0" w:color="auto"/>
        <w:bottom w:val="none" w:sz="0" w:space="0" w:color="auto"/>
        <w:right w:val="none" w:sz="0" w:space="0" w:color="auto"/>
      </w:divBdr>
    </w:div>
    <w:div w:id="964235057">
      <w:marLeft w:val="0"/>
      <w:marRight w:val="0"/>
      <w:marTop w:val="120"/>
      <w:marBottom w:val="0"/>
      <w:divBdr>
        <w:top w:val="none" w:sz="0" w:space="0" w:color="auto"/>
        <w:left w:val="none" w:sz="0" w:space="0" w:color="auto"/>
        <w:bottom w:val="none" w:sz="0" w:space="0" w:color="auto"/>
        <w:right w:val="none" w:sz="0" w:space="0" w:color="auto"/>
      </w:divBdr>
    </w:div>
    <w:div w:id="968315648">
      <w:marLeft w:val="0"/>
      <w:marRight w:val="0"/>
      <w:marTop w:val="120"/>
      <w:marBottom w:val="0"/>
      <w:divBdr>
        <w:top w:val="none" w:sz="0" w:space="0" w:color="auto"/>
        <w:left w:val="none" w:sz="0" w:space="0" w:color="auto"/>
        <w:bottom w:val="none" w:sz="0" w:space="0" w:color="auto"/>
        <w:right w:val="none" w:sz="0" w:space="0" w:color="auto"/>
      </w:divBdr>
    </w:div>
    <w:div w:id="970329318">
      <w:marLeft w:val="0"/>
      <w:marRight w:val="0"/>
      <w:marTop w:val="120"/>
      <w:marBottom w:val="0"/>
      <w:divBdr>
        <w:top w:val="none" w:sz="0" w:space="0" w:color="auto"/>
        <w:left w:val="none" w:sz="0" w:space="0" w:color="auto"/>
        <w:bottom w:val="none" w:sz="0" w:space="0" w:color="auto"/>
        <w:right w:val="none" w:sz="0" w:space="0" w:color="auto"/>
      </w:divBdr>
    </w:div>
    <w:div w:id="971180122">
      <w:marLeft w:val="0"/>
      <w:marRight w:val="0"/>
      <w:marTop w:val="0"/>
      <w:marBottom w:val="0"/>
      <w:divBdr>
        <w:top w:val="none" w:sz="0" w:space="0" w:color="auto"/>
        <w:left w:val="none" w:sz="0" w:space="0" w:color="auto"/>
        <w:bottom w:val="none" w:sz="0" w:space="0" w:color="auto"/>
        <w:right w:val="none" w:sz="0" w:space="0" w:color="auto"/>
      </w:divBdr>
      <w:divsChild>
        <w:div w:id="886648697">
          <w:marLeft w:val="0"/>
          <w:marRight w:val="0"/>
          <w:marTop w:val="0"/>
          <w:marBottom w:val="0"/>
          <w:divBdr>
            <w:top w:val="none" w:sz="0" w:space="0" w:color="auto"/>
            <w:left w:val="none" w:sz="0" w:space="0" w:color="auto"/>
            <w:bottom w:val="none" w:sz="0" w:space="0" w:color="auto"/>
            <w:right w:val="none" w:sz="0" w:space="0" w:color="auto"/>
          </w:divBdr>
        </w:div>
      </w:divsChild>
    </w:div>
    <w:div w:id="971403839">
      <w:marLeft w:val="0"/>
      <w:marRight w:val="0"/>
      <w:marTop w:val="120"/>
      <w:marBottom w:val="0"/>
      <w:divBdr>
        <w:top w:val="none" w:sz="0" w:space="0" w:color="auto"/>
        <w:left w:val="none" w:sz="0" w:space="0" w:color="auto"/>
        <w:bottom w:val="none" w:sz="0" w:space="0" w:color="auto"/>
        <w:right w:val="none" w:sz="0" w:space="0" w:color="auto"/>
      </w:divBdr>
    </w:div>
    <w:div w:id="972909358">
      <w:marLeft w:val="0"/>
      <w:marRight w:val="0"/>
      <w:marTop w:val="120"/>
      <w:marBottom w:val="0"/>
      <w:divBdr>
        <w:top w:val="none" w:sz="0" w:space="0" w:color="auto"/>
        <w:left w:val="none" w:sz="0" w:space="0" w:color="auto"/>
        <w:bottom w:val="none" w:sz="0" w:space="0" w:color="auto"/>
        <w:right w:val="none" w:sz="0" w:space="0" w:color="auto"/>
      </w:divBdr>
    </w:div>
    <w:div w:id="974214566">
      <w:marLeft w:val="0"/>
      <w:marRight w:val="0"/>
      <w:marTop w:val="0"/>
      <w:marBottom w:val="180"/>
      <w:divBdr>
        <w:top w:val="none" w:sz="0" w:space="0" w:color="auto"/>
        <w:left w:val="none" w:sz="0" w:space="0" w:color="auto"/>
        <w:bottom w:val="none" w:sz="0" w:space="0" w:color="auto"/>
        <w:right w:val="none" w:sz="0" w:space="0" w:color="auto"/>
      </w:divBdr>
    </w:div>
    <w:div w:id="974260517">
      <w:marLeft w:val="0"/>
      <w:marRight w:val="0"/>
      <w:marTop w:val="0"/>
      <w:marBottom w:val="0"/>
      <w:divBdr>
        <w:top w:val="none" w:sz="0" w:space="0" w:color="auto"/>
        <w:left w:val="none" w:sz="0" w:space="0" w:color="auto"/>
        <w:bottom w:val="none" w:sz="0" w:space="0" w:color="auto"/>
        <w:right w:val="none" w:sz="0" w:space="0" w:color="auto"/>
      </w:divBdr>
    </w:div>
    <w:div w:id="978925761">
      <w:marLeft w:val="0"/>
      <w:marRight w:val="0"/>
      <w:marTop w:val="120"/>
      <w:marBottom w:val="0"/>
      <w:divBdr>
        <w:top w:val="none" w:sz="0" w:space="0" w:color="auto"/>
        <w:left w:val="none" w:sz="0" w:space="0" w:color="auto"/>
        <w:bottom w:val="none" w:sz="0" w:space="0" w:color="auto"/>
        <w:right w:val="none" w:sz="0" w:space="0" w:color="auto"/>
      </w:divBdr>
    </w:div>
    <w:div w:id="990208275">
      <w:marLeft w:val="0"/>
      <w:marRight w:val="0"/>
      <w:marTop w:val="60"/>
      <w:marBottom w:val="0"/>
      <w:divBdr>
        <w:top w:val="none" w:sz="0" w:space="0" w:color="auto"/>
        <w:left w:val="none" w:sz="0" w:space="0" w:color="auto"/>
        <w:bottom w:val="none" w:sz="0" w:space="0" w:color="auto"/>
        <w:right w:val="none" w:sz="0" w:space="0" w:color="auto"/>
      </w:divBdr>
    </w:div>
    <w:div w:id="998271714">
      <w:marLeft w:val="0"/>
      <w:marRight w:val="0"/>
      <w:marTop w:val="120"/>
      <w:marBottom w:val="0"/>
      <w:divBdr>
        <w:top w:val="none" w:sz="0" w:space="0" w:color="auto"/>
        <w:left w:val="none" w:sz="0" w:space="0" w:color="auto"/>
        <w:bottom w:val="none" w:sz="0" w:space="0" w:color="auto"/>
        <w:right w:val="none" w:sz="0" w:space="0" w:color="auto"/>
      </w:divBdr>
    </w:div>
    <w:div w:id="1003895778">
      <w:marLeft w:val="0"/>
      <w:marRight w:val="0"/>
      <w:marTop w:val="120"/>
      <w:marBottom w:val="0"/>
      <w:divBdr>
        <w:top w:val="none" w:sz="0" w:space="0" w:color="auto"/>
        <w:left w:val="none" w:sz="0" w:space="0" w:color="auto"/>
        <w:bottom w:val="none" w:sz="0" w:space="0" w:color="auto"/>
        <w:right w:val="none" w:sz="0" w:space="0" w:color="auto"/>
      </w:divBdr>
    </w:div>
    <w:div w:id="1005017428">
      <w:marLeft w:val="0"/>
      <w:marRight w:val="0"/>
      <w:marTop w:val="120"/>
      <w:marBottom w:val="0"/>
      <w:divBdr>
        <w:top w:val="none" w:sz="0" w:space="0" w:color="auto"/>
        <w:left w:val="none" w:sz="0" w:space="0" w:color="auto"/>
        <w:bottom w:val="none" w:sz="0" w:space="0" w:color="auto"/>
        <w:right w:val="none" w:sz="0" w:space="0" w:color="auto"/>
      </w:divBdr>
    </w:div>
    <w:div w:id="1006057764">
      <w:marLeft w:val="0"/>
      <w:marRight w:val="0"/>
      <w:marTop w:val="120"/>
      <w:marBottom w:val="0"/>
      <w:divBdr>
        <w:top w:val="none" w:sz="0" w:space="0" w:color="auto"/>
        <w:left w:val="none" w:sz="0" w:space="0" w:color="auto"/>
        <w:bottom w:val="none" w:sz="0" w:space="0" w:color="auto"/>
        <w:right w:val="none" w:sz="0" w:space="0" w:color="auto"/>
      </w:divBdr>
    </w:div>
    <w:div w:id="1016732606">
      <w:marLeft w:val="0"/>
      <w:marRight w:val="0"/>
      <w:marTop w:val="180"/>
      <w:marBottom w:val="0"/>
      <w:divBdr>
        <w:top w:val="none" w:sz="0" w:space="0" w:color="auto"/>
        <w:left w:val="none" w:sz="0" w:space="0" w:color="auto"/>
        <w:bottom w:val="none" w:sz="0" w:space="0" w:color="auto"/>
        <w:right w:val="none" w:sz="0" w:space="0" w:color="auto"/>
      </w:divBdr>
    </w:div>
    <w:div w:id="1021511529">
      <w:marLeft w:val="0"/>
      <w:marRight w:val="0"/>
      <w:marTop w:val="120"/>
      <w:marBottom w:val="0"/>
      <w:divBdr>
        <w:top w:val="none" w:sz="0" w:space="0" w:color="auto"/>
        <w:left w:val="none" w:sz="0" w:space="0" w:color="auto"/>
        <w:bottom w:val="none" w:sz="0" w:space="0" w:color="auto"/>
        <w:right w:val="none" w:sz="0" w:space="0" w:color="auto"/>
      </w:divBdr>
    </w:div>
    <w:div w:id="1022511693">
      <w:marLeft w:val="0"/>
      <w:marRight w:val="0"/>
      <w:marTop w:val="0"/>
      <w:marBottom w:val="0"/>
      <w:divBdr>
        <w:top w:val="none" w:sz="0" w:space="0" w:color="auto"/>
        <w:left w:val="none" w:sz="0" w:space="0" w:color="auto"/>
        <w:bottom w:val="none" w:sz="0" w:space="0" w:color="auto"/>
        <w:right w:val="none" w:sz="0" w:space="0" w:color="auto"/>
      </w:divBdr>
      <w:divsChild>
        <w:div w:id="1373846524">
          <w:marLeft w:val="0"/>
          <w:marRight w:val="0"/>
          <w:marTop w:val="0"/>
          <w:marBottom w:val="0"/>
          <w:divBdr>
            <w:top w:val="none" w:sz="0" w:space="0" w:color="auto"/>
            <w:left w:val="none" w:sz="0" w:space="0" w:color="auto"/>
            <w:bottom w:val="none" w:sz="0" w:space="0" w:color="auto"/>
            <w:right w:val="none" w:sz="0" w:space="0" w:color="auto"/>
          </w:divBdr>
        </w:div>
      </w:divsChild>
    </w:div>
    <w:div w:id="1024942638">
      <w:marLeft w:val="0"/>
      <w:marRight w:val="0"/>
      <w:marTop w:val="0"/>
      <w:marBottom w:val="0"/>
      <w:divBdr>
        <w:top w:val="none" w:sz="0" w:space="0" w:color="auto"/>
        <w:left w:val="none" w:sz="0" w:space="0" w:color="auto"/>
        <w:bottom w:val="none" w:sz="0" w:space="0" w:color="auto"/>
        <w:right w:val="none" w:sz="0" w:space="0" w:color="auto"/>
      </w:divBdr>
      <w:divsChild>
        <w:div w:id="688606181">
          <w:marLeft w:val="0"/>
          <w:marRight w:val="0"/>
          <w:marTop w:val="0"/>
          <w:marBottom w:val="0"/>
          <w:divBdr>
            <w:top w:val="none" w:sz="0" w:space="0" w:color="auto"/>
            <w:left w:val="none" w:sz="0" w:space="0" w:color="auto"/>
            <w:bottom w:val="none" w:sz="0" w:space="0" w:color="auto"/>
            <w:right w:val="none" w:sz="0" w:space="0" w:color="auto"/>
          </w:divBdr>
        </w:div>
      </w:divsChild>
    </w:div>
    <w:div w:id="1028288729">
      <w:marLeft w:val="0"/>
      <w:marRight w:val="0"/>
      <w:marTop w:val="0"/>
      <w:marBottom w:val="0"/>
      <w:divBdr>
        <w:top w:val="none" w:sz="0" w:space="0" w:color="auto"/>
        <w:left w:val="none" w:sz="0" w:space="0" w:color="auto"/>
        <w:bottom w:val="none" w:sz="0" w:space="0" w:color="auto"/>
        <w:right w:val="none" w:sz="0" w:space="0" w:color="auto"/>
      </w:divBdr>
    </w:div>
    <w:div w:id="1035814552">
      <w:marLeft w:val="0"/>
      <w:marRight w:val="0"/>
      <w:marTop w:val="120"/>
      <w:marBottom w:val="0"/>
      <w:divBdr>
        <w:top w:val="none" w:sz="0" w:space="0" w:color="auto"/>
        <w:left w:val="none" w:sz="0" w:space="0" w:color="auto"/>
        <w:bottom w:val="none" w:sz="0" w:space="0" w:color="auto"/>
        <w:right w:val="none" w:sz="0" w:space="0" w:color="auto"/>
      </w:divBdr>
    </w:div>
    <w:div w:id="1046023737">
      <w:marLeft w:val="0"/>
      <w:marRight w:val="0"/>
      <w:marTop w:val="0"/>
      <w:marBottom w:val="0"/>
      <w:divBdr>
        <w:top w:val="none" w:sz="0" w:space="0" w:color="auto"/>
        <w:left w:val="none" w:sz="0" w:space="0" w:color="auto"/>
        <w:bottom w:val="none" w:sz="0" w:space="0" w:color="auto"/>
        <w:right w:val="none" w:sz="0" w:space="0" w:color="auto"/>
      </w:divBdr>
    </w:div>
    <w:div w:id="1046754641">
      <w:marLeft w:val="0"/>
      <w:marRight w:val="0"/>
      <w:marTop w:val="0"/>
      <w:marBottom w:val="0"/>
      <w:divBdr>
        <w:top w:val="none" w:sz="0" w:space="0" w:color="auto"/>
        <w:left w:val="none" w:sz="0" w:space="0" w:color="auto"/>
        <w:bottom w:val="none" w:sz="0" w:space="0" w:color="auto"/>
        <w:right w:val="none" w:sz="0" w:space="0" w:color="auto"/>
      </w:divBdr>
      <w:divsChild>
        <w:div w:id="178860037">
          <w:marLeft w:val="0"/>
          <w:marRight w:val="0"/>
          <w:marTop w:val="0"/>
          <w:marBottom w:val="0"/>
          <w:divBdr>
            <w:top w:val="none" w:sz="0" w:space="0" w:color="auto"/>
            <w:left w:val="none" w:sz="0" w:space="0" w:color="auto"/>
            <w:bottom w:val="none" w:sz="0" w:space="0" w:color="auto"/>
            <w:right w:val="none" w:sz="0" w:space="0" w:color="auto"/>
          </w:divBdr>
        </w:div>
      </w:divsChild>
    </w:div>
    <w:div w:id="1049257481">
      <w:marLeft w:val="0"/>
      <w:marRight w:val="0"/>
      <w:marTop w:val="120"/>
      <w:marBottom w:val="0"/>
      <w:divBdr>
        <w:top w:val="none" w:sz="0" w:space="0" w:color="auto"/>
        <w:left w:val="none" w:sz="0" w:space="0" w:color="auto"/>
        <w:bottom w:val="none" w:sz="0" w:space="0" w:color="auto"/>
        <w:right w:val="none" w:sz="0" w:space="0" w:color="auto"/>
      </w:divBdr>
    </w:div>
    <w:div w:id="1050958861">
      <w:marLeft w:val="0"/>
      <w:marRight w:val="0"/>
      <w:marTop w:val="120"/>
      <w:marBottom w:val="0"/>
      <w:divBdr>
        <w:top w:val="none" w:sz="0" w:space="0" w:color="auto"/>
        <w:left w:val="none" w:sz="0" w:space="0" w:color="auto"/>
        <w:bottom w:val="none" w:sz="0" w:space="0" w:color="auto"/>
        <w:right w:val="none" w:sz="0" w:space="0" w:color="auto"/>
      </w:divBdr>
    </w:div>
    <w:div w:id="1051616930">
      <w:marLeft w:val="0"/>
      <w:marRight w:val="0"/>
      <w:marTop w:val="120"/>
      <w:marBottom w:val="20"/>
      <w:divBdr>
        <w:top w:val="none" w:sz="0" w:space="0" w:color="auto"/>
        <w:left w:val="none" w:sz="0" w:space="0" w:color="auto"/>
        <w:bottom w:val="none" w:sz="0" w:space="0" w:color="auto"/>
        <w:right w:val="none" w:sz="0" w:space="0" w:color="auto"/>
      </w:divBdr>
    </w:div>
    <w:div w:id="1053041833">
      <w:marLeft w:val="0"/>
      <w:marRight w:val="0"/>
      <w:marTop w:val="120"/>
      <w:marBottom w:val="0"/>
      <w:divBdr>
        <w:top w:val="none" w:sz="0" w:space="0" w:color="auto"/>
        <w:left w:val="none" w:sz="0" w:space="0" w:color="auto"/>
        <w:bottom w:val="none" w:sz="0" w:space="0" w:color="auto"/>
        <w:right w:val="none" w:sz="0" w:space="0" w:color="auto"/>
      </w:divBdr>
    </w:div>
    <w:div w:id="1061174973">
      <w:marLeft w:val="0"/>
      <w:marRight w:val="0"/>
      <w:marTop w:val="120"/>
      <w:marBottom w:val="0"/>
      <w:divBdr>
        <w:top w:val="none" w:sz="0" w:space="0" w:color="auto"/>
        <w:left w:val="none" w:sz="0" w:space="0" w:color="auto"/>
        <w:bottom w:val="none" w:sz="0" w:space="0" w:color="auto"/>
        <w:right w:val="none" w:sz="0" w:space="0" w:color="auto"/>
      </w:divBdr>
    </w:div>
    <w:div w:id="1068310983">
      <w:marLeft w:val="0"/>
      <w:marRight w:val="0"/>
      <w:marTop w:val="120"/>
      <w:marBottom w:val="0"/>
      <w:divBdr>
        <w:top w:val="none" w:sz="0" w:space="0" w:color="auto"/>
        <w:left w:val="none" w:sz="0" w:space="0" w:color="auto"/>
        <w:bottom w:val="none" w:sz="0" w:space="0" w:color="auto"/>
        <w:right w:val="none" w:sz="0" w:space="0" w:color="auto"/>
      </w:divBdr>
    </w:div>
    <w:div w:id="1074543486">
      <w:marLeft w:val="0"/>
      <w:marRight w:val="0"/>
      <w:marTop w:val="60"/>
      <w:marBottom w:val="0"/>
      <w:divBdr>
        <w:top w:val="none" w:sz="0" w:space="0" w:color="auto"/>
        <w:left w:val="none" w:sz="0" w:space="0" w:color="auto"/>
        <w:bottom w:val="none" w:sz="0" w:space="0" w:color="auto"/>
        <w:right w:val="none" w:sz="0" w:space="0" w:color="auto"/>
      </w:divBdr>
    </w:div>
    <w:div w:id="1076125298">
      <w:marLeft w:val="0"/>
      <w:marRight w:val="0"/>
      <w:marTop w:val="120"/>
      <w:marBottom w:val="0"/>
      <w:divBdr>
        <w:top w:val="none" w:sz="0" w:space="0" w:color="auto"/>
        <w:left w:val="none" w:sz="0" w:space="0" w:color="auto"/>
        <w:bottom w:val="none" w:sz="0" w:space="0" w:color="auto"/>
        <w:right w:val="none" w:sz="0" w:space="0" w:color="auto"/>
      </w:divBdr>
    </w:div>
    <w:div w:id="1083797734">
      <w:marLeft w:val="0"/>
      <w:marRight w:val="0"/>
      <w:marTop w:val="0"/>
      <w:marBottom w:val="0"/>
      <w:divBdr>
        <w:top w:val="none" w:sz="0" w:space="0" w:color="auto"/>
        <w:left w:val="none" w:sz="0" w:space="0" w:color="auto"/>
        <w:bottom w:val="none" w:sz="0" w:space="0" w:color="auto"/>
        <w:right w:val="none" w:sz="0" w:space="0" w:color="auto"/>
      </w:divBdr>
    </w:div>
    <w:div w:id="1086070359">
      <w:marLeft w:val="0"/>
      <w:marRight w:val="0"/>
      <w:marTop w:val="0"/>
      <w:marBottom w:val="0"/>
      <w:divBdr>
        <w:top w:val="none" w:sz="0" w:space="0" w:color="auto"/>
        <w:left w:val="none" w:sz="0" w:space="0" w:color="auto"/>
        <w:bottom w:val="none" w:sz="0" w:space="0" w:color="auto"/>
        <w:right w:val="none" w:sz="0" w:space="0" w:color="auto"/>
      </w:divBdr>
      <w:divsChild>
        <w:div w:id="889145921">
          <w:marLeft w:val="0"/>
          <w:marRight w:val="0"/>
          <w:marTop w:val="0"/>
          <w:marBottom w:val="0"/>
          <w:divBdr>
            <w:top w:val="none" w:sz="0" w:space="0" w:color="auto"/>
            <w:left w:val="none" w:sz="0" w:space="0" w:color="auto"/>
            <w:bottom w:val="none" w:sz="0" w:space="0" w:color="auto"/>
            <w:right w:val="none" w:sz="0" w:space="0" w:color="auto"/>
          </w:divBdr>
        </w:div>
      </w:divsChild>
    </w:div>
    <w:div w:id="1101489249">
      <w:marLeft w:val="0"/>
      <w:marRight w:val="0"/>
      <w:marTop w:val="0"/>
      <w:marBottom w:val="0"/>
      <w:divBdr>
        <w:top w:val="none" w:sz="0" w:space="0" w:color="auto"/>
        <w:left w:val="none" w:sz="0" w:space="0" w:color="auto"/>
        <w:bottom w:val="none" w:sz="0" w:space="0" w:color="auto"/>
        <w:right w:val="none" w:sz="0" w:space="0" w:color="auto"/>
      </w:divBdr>
    </w:div>
    <w:div w:id="1112673759">
      <w:marLeft w:val="0"/>
      <w:marRight w:val="0"/>
      <w:marTop w:val="120"/>
      <w:marBottom w:val="0"/>
      <w:divBdr>
        <w:top w:val="none" w:sz="0" w:space="0" w:color="auto"/>
        <w:left w:val="none" w:sz="0" w:space="0" w:color="auto"/>
        <w:bottom w:val="none" w:sz="0" w:space="0" w:color="auto"/>
        <w:right w:val="none" w:sz="0" w:space="0" w:color="auto"/>
      </w:divBdr>
    </w:div>
    <w:div w:id="1114591623">
      <w:marLeft w:val="0"/>
      <w:marRight w:val="0"/>
      <w:marTop w:val="0"/>
      <w:marBottom w:val="0"/>
      <w:divBdr>
        <w:top w:val="none" w:sz="0" w:space="0" w:color="auto"/>
        <w:left w:val="none" w:sz="0" w:space="0" w:color="auto"/>
        <w:bottom w:val="none" w:sz="0" w:space="0" w:color="auto"/>
        <w:right w:val="none" w:sz="0" w:space="0" w:color="auto"/>
      </w:divBdr>
    </w:div>
    <w:div w:id="1118260130">
      <w:marLeft w:val="0"/>
      <w:marRight w:val="0"/>
      <w:marTop w:val="120"/>
      <w:marBottom w:val="0"/>
      <w:divBdr>
        <w:top w:val="none" w:sz="0" w:space="0" w:color="auto"/>
        <w:left w:val="none" w:sz="0" w:space="0" w:color="auto"/>
        <w:bottom w:val="none" w:sz="0" w:space="0" w:color="auto"/>
        <w:right w:val="none" w:sz="0" w:space="0" w:color="auto"/>
      </w:divBdr>
    </w:div>
    <w:div w:id="1127309471">
      <w:marLeft w:val="0"/>
      <w:marRight w:val="0"/>
      <w:marTop w:val="0"/>
      <w:marBottom w:val="0"/>
      <w:divBdr>
        <w:top w:val="none" w:sz="0" w:space="0" w:color="auto"/>
        <w:left w:val="none" w:sz="0" w:space="0" w:color="auto"/>
        <w:bottom w:val="none" w:sz="0" w:space="0" w:color="auto"/>
        <w:right w:val="none" w:sz="0" w:space="0" w:color="auto"/>
      </w:divBdr>
      <w:divsChild>
        <w:div w:id="1817452905">
          <w:marLeft w:val="0"/>
          <w:marRight w:val="0"/>
          <w:marTop w:val="0"/>
          <w:marBottom w:val="0"/>
          <w:divBdr>
            <w:top w:val="none" w:sz="0" w:space="0" w:color="auto"/>
            <w:left w:val="none" w:sz="0" w:space="0" w:color="auto"/>
            <w:bottom w:val="none" w:sz="0" w:space="0" w:color="auto"/>
            <w:right w:val="none" w:sz="0" w:space="0" w:color="auto"/>
          </w:divBdr>
        </w:div>
      </w:divsChild>
    </w:div>
    <w:div w:id="1129936827">
      <w:marLeft w:val="0"/>
      <w:marRight w:val="0"/>
      <w:marTop w:val="120"/>
      <w:marBottom w:val="0"/>
      <w:divBdr>
        <w:top w:val="none" w:sz="0" w:space="0" w:color="auto"/>
        <w:left w:val="none" w:sz="0" w:space="0" w:color="auto"/>
        <w:bottom w:val="none" w:sz="0" w:space="0" w:color="auto"/>
        <w:right w:val="none" w:sz="0" w:space="0" w:color="auto"/>
      </w:divBdr>
    </w:div>
    <w:div w:id="1134718059">
      <w:marLeft w:val="0"/>
      <w:marRight w:val="0"/>
      <w:marTop w:val="120"/>
      <w:marBottom w:val="0"/>
      <w:divBdr>
        <w:top w:val="none" w:sz="0" w:space="0" w:color="auto"/>
        <w:left w:val="none" w:sz="0" w:space="0" w:color="auto"/>
        <w:bottom w:val="none" w:sz="0" w:space="0" w:color="auto"/>
        <w:right w:val="none" w:sz="0" w:space="0" w:color="auto"/>
      </w:divBdr>
    </w:div>
    <w:div w:id="1135492418">
      <w:marLeft w:val="0"/>
      <w:marRight w:val="0"/>
      <w:marTop w:val="120"/>
      <w:marBottom w:val="0"/>
      <w:divBdr>
        <w:top w:val="none" w:sz="0" w:space="0" w:color="auto"/>
        <w:left w:val="none" w:sz="0" w:space="0" w:color="auto"/>
        <w:bottom w:val="none" w:sz="0" w:space="0" w:color="auto"/>
        <w:right w:val="none" w:sz="0" w:space="0" w:color="auto"/>
      </w:divBdr>
    </w:div>
    <w:div w:id="1144352451">
      <w:marLeft w:val="0"/>
      <w:marRight w:val="0"/>
      <w:marTop w:val="120"/>
      <w:marBottom w:val="0"/>
      <w:divBdr>
        <w:top w:val="none" w:sz="0" w:space="0" w:color="auto"/>
        <w:left w:val="none" w:sz="0" w:space="0" w:color="auto"/>
        <w:bottom w:val="none" w:sz="0" w:space="0" w:color="auto"/>
        <w:right w:val="none" w:sz="0" w:space="0" w:color="auto"/>
      </w:divBdr>
    </w:div>
    <w:div w:id="1156922336">
      <w:marLeft w:val="0"/>
      <w:marRight w:val="0"/>
      <w:marTop w:val="120"/>
      <w:marBottom w:val="0"/>
      <w:divBdr>
        <w:top w:val="none" w:sz="0" w:space="0" w:color="auto"/>
        <w:left w:val="none" w:sz="0" w:space="0" w:color="auto"/>
        <w:bottom w:val="none" w:sz="0" w:space="0" w:color="auto"/>
        <w:right w:val="none" w:sz="0" w:space="0" w:color="auto"/>
      </w:divBdr>
    </w:div>
    <w:div w:id="1159881774">
      <w:marLeft w:val="0"/>
      <w:marRight w:val="0"/>
      <w:marTop w:val="120"/>
      <w:marBottom w:val="0"/>
      <w:divBdr>
        <w:top w:val="none" w:sz="0" w:space="0" w:color="auto"/>
        <w:left w:val="none" w:sz="0" w:space="0" w:color="auto"/>
        <w:bottom w:val="none" w:sz="0" w:space="0" w:color="auto"/>
        <w:right w:val="none" w:sz="0" w:space="0" w:color="auto"/>
      </w:divBdr>
    </w:div>
    <w:div w:id="1166021930">
      <w:marLeft w:val="0"/>
      <w:marRight w:val="0"/>
      <w:marTop w:val="120"/>
      <w:marBottom w:val="120"/>
      <w:divBdr>
        <w:top w:val="none" w:sz="0" w:space="0" w:color="auto"/>
        <w:left w:val="none" w:sz="0" w:space="0" w:color="auto"/>
        <w:bottom w:val="none" w:sz="0" w:space="0" w:color="auto"/>
        <w:right w:val="none" w:sz="0" w:space="0" w:color="auto"/>
      </w:divBdr>
    </w:div>
    <w:div w:id="1168980302">
      <w:marLeft w:val="0"/>
      <w:marRight w:val="0"/>
      <w:marTop w:val="120"/>
      <w:marBottom w:val="0"/>
      <w:divBdr>
        <w:top w:val="none" w:sz="0" w:space="0" w:color="auto"/>
        <w:left w:val="none" w:sz="0" w:space="0" w:color="auto"/>
        <w:bottom w:val="none" w:sz="0" w:space="0" w:color="auto"/>
        <w:right w:val="none" w:sz="0" w:space="0" w:color="auto"/>
      </w:divBdr>
    </w:div>
    <w:div w:id="1169440764">
      <w:marLeft w:val="0"/>
      <w:marRight w:val="0"/>
      <w:marTop w:val="120"/>
      <w:marBottom w:val="0"/>
      <w:divBdr>
        <w:top w:val="none" w:sz="0" w:space="0" w:color="auto"/>
        <w:left w:val="none" w:sz="0" w:space="0" w:color="auto"/>
        <w:bottom w:val="none" w:sz="0" w:space="0" w:color="auto"/>
        <w:right w:val="none" w:sz="0" w:space="0" w:color="auto"/>
      </w:divBdr>
    </w:div>
    <w:div w:id="1179782455">
      <w:marLeft w:val="0"/>
      <w:marRight w:val="0"/>
      <w:marTop w:val="180"/>
      <w:marBottom w:val="120"/>
      <w:divBdr>
        <w:top w:val="none" w:sz="0" w:space="0" w:color="auto"/>
        <w:left w:val="none" w:sz="0" w:space="0" w:color="auto"/>
        <w:bottom w:val="none" w:sz="0" w:space="0" w:color="auto"/>
        <w:right w:val="none" w:sz="0" w:space="0" w:color="auto"/>
      </w:divBdr>
    </w:div>
    <w:div w:id="1181892668">
      <w:marLeft w:val="0"/>
      <w:marRight w:val="0"/>
      <w:marTop w:val="180"/>
      <w:marBottom w:val="0"/>
      <w:divBdr>
        <w:top w:val="none" w:sz="0" w:space="0" w:color="auto"/>
        <w:left w:val="none" w:sz="0" w:space="0" w:color="auto"/>
        <w:bottom w:val="none" w:sz="0" w:space="0" w:color="auto"/>
        <w:right w:val="none" w:sz="0" w:space="0" w:color="auto"/>
      </w:divBdr>
    </w:div>
    <w:div w:id="1184201676">
      <w:marLeft w:val="0"/>
      <w:marRight w:val="0"/>
      <w:marTop w:val="0"/>
      <w:marBottom w:val="0"/>
      <w:divBdr>
        <w:top w:val="none" w:sz="0" w:space="0" w:color="auto"/>
        <w:left w:val="none" w:sz="0" w:space="0" w:color="auto"/>
        <w:bottom w:val="none" w:sz="0" w:space="0" w:color="auto"/>
        <w:right w:val="none" w:sz="0" w:space="0" w:color="auto"/>
      </w:divBdr>
    </w:div>
    <w:div w:id="1189755948">
      <w:marLeft w:val="0"/>
      <w:marRight w:val="0"/>
      <w:marTop w:val="0"/>
      <w:marBottom w:val="20"/>
      <w:divBdr>
        <w:top w:val="none" w:sz="0" w:space="0" w:color="auto"/>
        <w:left w:val="none" w:sz="0" w:space="0" w:color="auto"/>
        <w:bottom w:val="none" w:sz="0" w:space="0" w:color="auto"/>
        <w:right w:val="none" w:sz="0" w:space="0" w:color="auto"/>
      </w:divBdr>
    </w:div>
    <w:div w:id="1204833566">
      <w:marLeft w:val="0"/>
      <w:marRight w:val="0"/>
      <w:marTop w:val="120"/>
      <w:marBottom w:val="0"/>
      <w:divBdr>
        <w:top w:val="none" w:sz="0" w:space="0" w:color="auto"/>
        <w:left w:val="none" w:sz="0" w:space="0" w:color="auto"/>
        <w:bottom w:val="none" w:sz="0" w:space="0" w:color="auto"/>
        <w:right w:val="none" w:sz="0" w:space="0" w:color="auto"/>
      </w:divBdr>
    </w:div>
    <w:div w:id="1206599981">
      <w:marLeft w:val="0"/>
      <w:marRight w:val="0"/>
      <w:marTop w:val="120"/>
      <w:marBottom w:val="0"/>
      <w:divBdr>
        <w:top w:val="none" w:sz="0" w:space="0" w:color="auto"/>
        <w:left w:val="none" w:sz="0" w:space="0" w:color="auto"/>
        <w:bottom w:val="none" w:sz="0" w:space="0" w:color="auto"/>
        <w:right w:val="none" w:sz="0" w:space="0" w:color="auto"/>
      </w:divBdr>
    </w:div>
    <w:div w:id="1208567198">
      <w:marLeft w:val="0"/>
      <w:marRight w:val="0"/>
      <w:marTop w:val="120"/>
      <w:marBottom w:val="0"/>
      <w:divBdr>
        <w:top w:val="none" w:sz="0" w:space="0" w:color="auto"/>
        <w:left w:val="none" w:sz="0" w:space="0" w:color="auto"/>
        <w:bottom w:val="none" w:sz="0" w:space="0" w:color="auto"/>
        <w:right w:val="none" w:sz="0" w:space="0" w:color="auto"/>
      </w:divBdr>
    </w:div>
    <w:div w:id="1211259703">
      <w:marLeft w:val="0"/>
      <w:marRight w:val="0"/>
      <w:marTop w:val="120"/>
      <w:marBottom w:val="0"/>
      <w:divBdr>
        <w:top w:val="none" w:sz="0" w:space="0" w:color="auto"/>
        <w:left w:val="none" w:sz="0" w:space="0" w:color="auto"/>
        <w:bottom w:val="none" w:sz="0" w:space="0" w:color="auto"/>
        <w:right w:val="none" w:sz="0" w:space="0" w:color="auto"/>
      </w:divBdr>
    </w:div>
    <w:div w:id="1219240015">
      <w:marLeft w:val="0"/>
      <w:marRight w:val="0"/>
      <w:marTop w:val="120"/>
      <w:marBottom w:val="0"/>
      <w:divBdr>
        <w:top w:val="none" w:sz="0" w:space="0" w:color="auto"/>
        <w:left w:val="none" w:sz="0" w:space="0" w:color="auto"/>
        <w:bottom w:val="none" w:sz="0" w:space="0" w:color="auto"/>
        <w:right w:val="none" w:sz="0" w:space="0" w:color="auto"/>
      </w:divBdr>
    </w:div>
    <w:div w:id="1219559826">
      <w:marLeft w:val="0"/>
      <w:marRight w:val="0"/>
      <w:marTop w:val="120"/>
      <w:marBottom w:val="0"/>
      <w:divBdr>
        <w:top w:val="none" w:sz="0" w:space="0" w:color="auto"/>
        <w:left w:val="none" w:sz="0" w:space="0" w:color="auto"/>
        <w:bottom w:val="none" w:sz="0" w:space="0" w:color="auto"/>
        <w:right w:val="none" w:sz="0" w:space="0" w:color="auto"/>
      </w:divBdr>
    </w:div>
    <w:div w:id="1231189142">
      <w:marLeft w:val="0"/>
      <w:marRight w:val="0"/>
      <w:marTop w:val="0"/>
      <w:marBottom w:val="0"/>
      <w:divBdr>
        <w:top w:val="none" w:sz="0" w:space="0" w:color="auto"/>
        <w:left w:val="none" w:sz="0" w:space="0" w:color="auto"/>
        <w:bottom w:val="none" w:sz="0" w:space="0" w:color="auto"/>
        <w:right w:val="none" w:sz="0" w:space="0" w:color="auto"/>
      </w:divBdr>
    </w:div>
    <w:div w:id="1237012830">
      <w:marLeft w:val="0"/>
      <w:marRight w:val="0"/>
      <w:marTop w:val="120"/>
      <w:marBottom w:val="0"/>
      <w:divBdr>
        <w:top w:val="none" w:sz="0" w:space="0" w:color="auto"/>
        <w:left w:val="none" w:sz="0" w:space="0" w:color="auto"/>
        <w:bottom w:val="none" w:sz="0" w:space="0" w:color="auto"/>
        <w:right w:val="none" w:sz="0" w:space="0" w:color="auto"/>
      </w:divBdr>
    </w:div>
    <w:div w:id="1237588526">
      <w:marLeft w:val="0"/>
      <w:marRight w:val="0"/>
      <w:marTop w:val="0"/>
      <w:marBottom w:val="0"/>
      <w:divBdr>
        <w:top w:val="none" w:sz="0" w:space="0" w:color="auto"/>
        <w:left w:val="none" w:sz="0" w:space="0" w:color="auto"/>
        <w:bottom w:val="none" w:sz="0" w:space="0" w:color="auto"/>
        <w:right w:val="none" w:sz="0" w:space="0" w:color="auto"/>
      </w:divBdr>
    </w:div>
    <w:div w:id="1237981586">
      <w:marLeft w:val="0"/>
      <w:marRight w:val="0"/>
      <w:marTop w:val="0"/>
      <w:marBottom w:val="0"/>
      <w:divBdr>
        <w:top w:val="none" w:sz="0" w:space="0" w:color="auto"/>
        <w:left w:val="none" w:sz="0" w:space="0" w:color="auto"/>
        <w:bottom w:val="none" w:sz="0" w:space="0" w:color="auto"/>
        <w:right w:val="none" w:sz="0" w:space="0" w:color="auto"/>
      </w:divBdr>
    </w:div>
    <w:div w:id="1240674424">
      <w:marLeft w:val="0"/>
      <w:marRight w:val="0"/>
      <w:marTop w:val="140"/>
      <w:marBottom w:val="0"/>
      <w:divBdr>
        <w:top w:val="none" w:sz="0" w:space="0" w:color="auto"/>
        <w:left w:val="none" w:sz="0" w:space="0" w:color="auto"/>
        <w:bottom w:val="none" w:sz="0" w:space="0" w:color="auto"/>
        <w:right w:val="none" w:sz="0" w:space="0" w:color="auto"/>
      </w:divBdr>
    </w:div>
    <w:div w:id="1240751790">
      <w:marLeft w:val="0"/>
      <w:marRight w:val="0"/>
      <w:marTop w:val="120"/>
      <w:marBottom w:val="0"/>
      <w:divBdr>
        <w:top w:val="none" w:sz="0" w:space="0" w:color="auto"/>
        <w:left w:val="none" w:sz="0" w:space="0" w:color="auto"/>
        <w:bottom w:val="none" w:sz="0" w:space="0" w:color="auto"/>
        <w:right w:val="none" w:sz="0" w:space="0" w:color="auto"/>
      </w:divBdr>
    </w:div>
    <w:div w:id="1241059932">
      <w:marLeft w:val="0"/>
      <w:marRight w:val="0"/>
      <w:marTop w:val="120"/>
      <w:marBottom w:val="0"/>
      <w:divBdr>
        <w:top w:val="none" w:sz="0" w:space="0" w:color="auto"/>
        <w:left w:val="none" w:sz="0" w:space="0" w:color="auto"/>
        <w:bottom w:val="none" w:sz="0" w:space="0" w:color="auto"/>
        <w:right w:val="none" w:sz="0" w:space="0" w:color="auto"/>
      </w:divBdr>
    </w:div>
    <w:div w:id="1243687633">
      <w:marLeft w:val="0"/>
      <w:marRight w:val="0"/>
      <w:marTop w:val="120"/>
      <w:marBottom w:val="0"/>
      <w:divBdr>
        <w:top w:val="none" w:sz="0" w:space="0" w:color="auto"/>
        <w:left w:val="none" w:sz="0" w:space="0" w:color="auto"/>
        <w:bottom w:val="none" w:sz="0" w:space="0" w:color="auto"/>
        <w:right w:val="none" w:sz="0" w:space="0" w:color="auto"/>
      </w:divBdr>
    </w:div>
    <w:div w:id="1250577022">
      <w:marLeft w:val="0"/>
      <w:marRight w:val="0"/>
      <w:marTop w:val="0"/>
      <w:marBottom w:val="0"/>
      <w:divBdr>
        <w:top w:val="none" w:sz="0" w:space="0" w:color="auto"/>
        <w:left w:val="none" w:sz="0" w:space="0" w:color="auto"/>
        <w:bottom w:val="none" w:sz="0" w:space="0" w:color="auto"/>
        <w:right w:val="none" w:sz="0" w:space="0" w:color="auto"/>
      </w:divBdr>
      <w:divsChild>
        <w:div w:id="1183982283">
          <w:marLeft w:val="0"/>
          <w:marRight w:val="0"/>
          <w:marTop w:val="0"/>
          <w:marBottom w:val="0"/>
          <w:divBdr>
            <w:top w:val="none" w:sz="0" w:space="0" w:color="auto"/>
            <w:left w:val="none" w:sz="0" w:space="0" w:color="auto"/>
            <w:bottom w:val="none" w:sz="0" w:space="0" w:color="auto"/>
            <w:right w:val="none" w:sz="0" w:space="0" w:color="auto"/>
          </w:divBdr>
        </w:div>
      </w:divsChild>
    </w:div>
    <w:div w:id="1253780989">
      <w:marLeft w:val="0"/>
      <w:marRight w:val="0"/>
      <w:marTop w:val="120"/>
      <w:marBottom w:val="120"/>
      <w:divBdr>
        <w:top w:val="none" w:sz="0" w:space="0" w:color="auto"/>
        <w:left w:val="none" w:sz="0" w:space="0" w:color="auto"/>
        <w:bottom w:val="none" w:sz="0" w:space="0" w:color="auto"/>
        <w:right w:val="none" w:sz="0" w:space="0" w:color="auto"/>
      </w:divBdr>
    </w:div>
    <w:div w:id="1254127680">
      <w:marLeft w:val="0"/>
      <w:marRight w:val="0"/>
      <w:marTop w:val="120"/>
      <w:marBottom w:val="0"/>
      <w:divBdr>
        <w:top w:val="none" w:sz="0" w:space="0" w:color="auto"/>
        <w:left w:val="none" w:sz="0" w:space="0" w:color="auto"/>
        <w:bottom w:val="none" w:sz="0" w:space="0" w:color="auto"/>
        <w:right w:val="none" w:sz="0" w:space="0" w:color="auto"/>
      </w:divBdr>
    </w:div>
    <w:div w:id="1258711798">
      <w:marLeft w:val="0"/>
      <w:marRight w:val="0"/>
      <w:marTop w:val="0"/>
      <w:marBottom w:val="0"/>
      <w:divBdr>
        <w:top w:val="none" w:sz="0" w:space="0" w:color="auto"/>
        <w:left w:val="none" w:sz="0" w:space="0" w:color="auto"/>
        <w:bottom w:val="none" w:sz="0" w:space="0" w:color="auto"/>
        <w:right w:val="none" w:sz="0" w:space="0" w:color="auto"/>
      </w:divBdr>
      <w:divsChild>
        <w:div w:id="542717000">
          <w:marLeft w:val="0"/>
          <w:marRight w:val="0"/>
          <w:marTop w:val="0"/>
          <w:marBottom w:val="0"/>
          <w:divBdr>
            <w:top w:val="none" w:sz="0" w:space="0" w:color="auto"/>
            <w:left w:val="none" w:sz="0" w:space="0" w:color="auto"/>
            <w:bottom w:val="none" w:sz="0" w:space="0" w:color="auto"/>
            <w:right w:val="none" w:sz="0" w:space="0" w:color="auto"/>
          </w:divBdr>
        </w:div>
      </w:divsChild>
    </w:div>
    <w:div w:id="1264849070">
      <w:marLeft w:val="0"/>
      <w:marRight w:val="0"/>
      <w:marTop w:val="0"/>
      <w:marBottom w:val="0"/>
      <w:divBdr>
        <w:top w:val="none" w:sz="0" w:space="0" w:color="auto"/>
        <w:left w:val="none" w:sz="0" w:space="0" w:color="auto"/>
        <w:bottom w:val="none" w:sz="0" w:space="0" w:color="auto"/>
        <w:right w:val="none" w:sz="0" w:space="0" w:color="auto"/>
      </w:divBdr>
    </w:div>
    <w:div w:id="1267732258">
      <w:marLeft w:val="0"/>
      <w:marRight w:val="0"/>
      <w:marTop w:val="120"/>
      <w:marBottom w:val="0"/>
      <w:divBdr>
        <w:top w:val="none" w:sz="0" w:space="0" w:color="auto"/>
        <w:left w:val="none" w:sz="0" w:space="0" w:color="auto"/>
        <w:bottom w:val="none" w:sz="0" w:space="0" w:color="auto"/>
        <w:right w:val="none" w:sz="0" w:space="0" w:color="auto"/>
      </w:divBdr>
    </w:div>
    <w:div w:id="1272474804">
      <w:marLeft w:val="0"/>
      <w:marRight w:val="0"/>
      <w:marTop w:val="120"/>
      <w:marBottom w:val="0"/>
      <w:divBdr>
        <w:top w:val="none" w:sz="0" w:space="0" w:color="auto"/>
        <w:left w:val="none" w:sz="0" w:space="0" w:color="auto"/>
        <w:bottom w:val="none" w:sz="0" w:space="0" w:color="auto"/>
        <w:right w:val="none" w:sz="0" w:space="0" w:color="auto"/>
      </w:divBdr>
    </w:div>
    <w:div w:id="1274746643">
      <w:marLeft w:val="0"/>
      <w:marRight w:val="0"/>
      <w:marTop w:val="120"/>
      <w:marBottom w:val="120"/>
      <w:divBdr>
        <w:top w:val="none" w:sz="0" w:space="0" w:color="auto"/>
        <w:left w:val="none" w:sz="0" w:space="0" w:color="auto"/>
        <w:bottom w:val="none" w:sz="0" w:space="0" w:color="auto"/>
        <w:right w:val="none" w:sz="0" w:space="0" w:color="auto"/>
      </w:divBdr>
    </w:div>
    <w:div w:id="1276641307">
      <w:marLeft w:val="0"/>
      <w:marRight w:val="0"/>
      <w:marTop w:val="120"/>
      <w:marBottom w:val="120"/>
      <w:divBdr>
        <w:top w:val="none" w:sz="0" w:space="0" w:color="auto"/>
        <w:left w:val="none" w:sz="0" w:space="0" w:color="auto"/>
        <w:bottom w:val="none" w:sz="0" w:space="0" w:color="auto"/>
        <w:right w:val="none" w:sz="0" w:space="0" w:color="auto"/>
      </w:divBdr>
    </w:div>
    <w:div w:id="1278372988">
      <w:marLeft w:val="0"/>
      <w:marRight w:val="0"/>
      <w:marTop w:val="120"/>
      <w:marBottom w:val="0"/>
      <w:divBdr>
        <w:top w:val="none" w:sz="0" w:space="0" w:color="auto"/>
        <w:left w:val="none" w:sz="0" w:space="0" w:color="auto"/>
        <w:bottom w:val="none" w:sz="0" w:space="0" w:color="auto"/>
        <w:right w:val="none" w:sz="0" w:space="0" w:color="auto"/>
      </w:divBdr>
    </w:div>
    <w:div w:id="1278953152">
      <w:marLeft w:val="0"/>
      <w:marRight w:val="0"/>
      <w:marTop w:val="120"/>
      <w:marBottom w:val="0"/>
      <w:divBdr>
        <w:top w:val="none" w:sz="0" w:space="0" w:color="auto"/>
        <w:left w:val="none" w:sz="0" w:space="0" w:color="auto"/>
        <w:bottom w:val="none" w:sz="0" w:space="0" w:color="auto"/>
        <w:right w:val="none" w:sz="0" w:space="0" w:color="auto"/>
      </w:divBdr>
    </w:div>
    <w:div w:id="1291014132">
      <w:marLeft w:val="0"/>
      <w:marRight w:val="0"/>
      <w:marTop w:val="120"/>
      <w:marBottom w:val="0"/>
      <w:divBdr>
        <w:top w:val="none" w:sz="0" w:space="0" w:color="auto"/>
        <w:left w:val="none" w:sz="0" w:space="0" w:color="auto"/>
        <w:bottom w:val="none" w:sz="0" w:space="0" w:color="auto"/>
        <w:right w:val="none" w:sz="0" w:space="0" w:color="auto"/>
      </w:divBdr>
    </w:div>
    <w:div w:id="1292781504">
      <w:marLeft w:val="0"/>
      <w:marRight w:val="0"/>
      <w:marTop w:val="120"/>
      <w:marBottom w:val="0"/>
      <w:divBdr>
        <w:top w:val="none" w:sz="0" w:space="0" w:color="auto"/>
        <w:left w:val="none" w:sz="0" w:space="0" w:color="auto"/>
        <w:bottom w:val="none" w:sz="0" w:space="0" w:color="auto"/>
        <w:right w:val="none" w:sz="0" w:space="0" w:color="auto"/>
      </w:divBdr>
    </w:div>
    <w:div w:id="1300841218">
      <w:marLeft w:val="0"/>
      <w:marRight w:val="0"/>
      <w:marTop w:val="0"/>
      <w:marBottom w:val="0"/>
      <w:divBdr>
        <w:top w:val="none" w:sz="0" w:space="0" w:color="auto"/>
        <w:left w:val="none" w:sz="0" w:space="0" w:color="auto"/>
        <w:bottom w:val="none" w:sz="0" w:space="0" w:color="auto"/>
        <w:right w:val="none" w:sz="0" w:space="0" w:color="auto"/>
      </w:divBdr>
      <w:divsChild>
        <w:div w:id="99302977">
          <w:marLeft w:val="0"/>
          <w:marRight w:val="0"/>
          <w:marTop w:val="0"/>
          <w:marBottom w:val="0"/>
          <w:divBdr>
            <w:top w:val="none" w:sz="0" w:space="0" w:color="auto"/>
            <w:left w:val="none" w:sz="0" w:space="0" w:color="auto"/>
            <w:bottom w:val="none" w:sz="0" w:space="0" w:color="auto"/>
            <w:right w:val="none" w:sz="0" w:space="0" w:color="auto"/>
          </w:divBdr>
        </w:div>
      </w:divsChild>
    </w:div>
    <w:div w:id="1309020738">
      <w:marLeft w:val="0"/>
      <w:marRight w:val="0"/>
      <w:marTop w:val="120"/>
      <w:marBottom w:val="0"/>
      <w:divBdr>
        <w:top w:val="none" w:sz="0" w:space="0" w:color="auto"/>
        <w:left w:val="none" w:sz="0" w:space="0" w:color="auto"/>
        <w:bottom w:val="none" w:sz="0" w:space="0" w:color="auto"/>
        <w:right w:val="none" w:sz="0" w:space="0" w:color="auto"/>
      </w:divBdr>
    </w:div>
    <w:div w:id="1310282142">
      <w:marLeft w:val="0"/>
      <w:marRight w:val="0"/>
      <w:marTop w:val="120"/>
      <w:marBottom w:val="120"/>
      <w:divBdr>
        <w:top w:val="none" w:sz="0" w:space="0" w:color="auto"/>
        <w:left w:val="none" w:sz="0" w:space="0" w:color="auto"/>
        <w:bottom w:val="none" w:sz="0" w:space="0" w:color="auto"/>
        <w:right w:val="none" w:sz="0" w:space="0" w:color="auto"/>
      </w:divBdr>
    </w:div>
    <w:div w:id="1310399519">
      <w:marLeft w:val="0"/>
      <w:marRight w:val="0"/>
      <w:marTop w:val="120"/>
      <w:marBottom w:val="0"/>
      <w:divBdr>
        <w:top w:val="none" w:sz="0" w:space="0" w:color="auto"/>
        <w:left w:val="none" w:sz="0" w:space="0" w:color="auto"/>
        <w:bottom w:val="none" w:sz="0" w:space="0" w:color="auto"/>
        <w:right w:val="none" w:sz="0" w:space="0" w:color="auto"/>
      </w:divBdr>
    </w:div>
    <w:div w:id="1313679449">
      <w:marLeft w:val="0"/>
      <w:marRight w:val="0"/>
      <w:marTop w:val="120"/>
      <w:marBottom w:val="120"/>
      <w:divBdr>
        <w:top w:val="none" w:sz="0" w:space="0" w:color="auto"/>
        <w:left w:val="none" w:sz="0" w:space="0" w:color="auto"/>
        <w:bottom w:val="none" w:sz="0" w:space="0" w:color="auto"/>
        <w:right w:val="none" w:sz="0" w:space="0" w:color="auto"/>
      </w:divBdr>
    </w:div>
    <w:div w:id="1314868141">
      <w:marLeft w:val="0"/>
      <w:marRight w:val="0"/>
      <w:marTop w:val="120"/>
      <w:marBottom w:val="0"/>
      <w:divBdr>
        <w:top w:val="none" w:sz="0" w:space="0" w:color="auto"/>
        <w:left w:val="none" w:sz="0" w:space="0" w:color="auto"/>
        <w:bottom w:val="none" w:sz="0" w:space="0" w:color="auto"/>
        <w:right w:val="none" w:sz="0" w:space="0" w:color="auto"/>
      </w:divBdr>
    </w:div>
    <w:div w:id="1315142023">
      <w:marLeft w:val="0"/>
      <w:marRight w:val="0"/>
      <w:marTop w:val="0"/>
      <w:marBottom w:val="0"/>
      <w:divBdr>
        <w:top w:val="none" w:sz="0" w:space="0" w:color="auto"/>
        <w:left w:val="none" w:sz="0" w:space="0" w:color="auto"/>
        <w:bottom w:val="none" w:sz="0" w:space="0" w:color="auto"/>
        <w:right w:val="none" w:sz="0" w:space="0" w:color="auto"/>
      </w:divBdr>
    </w:div>
    <w:div w:id="1316565798">
      <w:marLeft w:val="0"/>
      <w:marRight w:val="0"/>
      <w:marTop w:val="120"/>
      <w:marBottom w:val="0"/>
      <w:divBdr>
        <w:top w:val="none" w:sz="0" w:space="0" w:color="auto"/>
        <w:left w:val="none" w:sz="0" w:space="0" w:color="auto"/>
        <w:bottom w:val="none" w:sz="0" w:space="0" w:color="auto"/>
        <w:right w:val="none" w:sz="0" w:space="0" w:color="auto"/>
      </w:divBdr>
    </w:div>
    <w:div w:id="1316837590">
      <w:marLeft w:val="0"/>
      <w:marRight w:val="0"/>
      <w:marTop w:val="120"/>
      <w:marBottom w:val="0"/>
      <w:divBdr>
        <w:top w:val="none" w:sz="0" w:space="0" w:color="auto"/>
        <w:left w:val="none" w:sz="0" w:space="0" w:color="auto"/>
        <w:bottom w:val="none" w:sz="0" w:space="0" w:color="auto"/>
        <w:right w:val="none" w:sz="0" w:space="0" w:color="auto"/>
      </w:divBdr>
    </w:div>
    <w:div w:id="1317489446">
      <w:marLeft w:val="0"/>
      <w:marRight w:val="0"/>
      <w:marTop w:val="120"/>
      <w:marBottom w:val="120"/>
      <w:divBdr>
        <w:top w:val="none" w:sz="0" w:space="0" w:color="auto"/>
        <w:left w:val="none" w:sz="0" w:space="0" w:color="auto"/>
        <w:bottom w:val="none" w:sz="0" w:space="0" w:color="auto"/>
        <w:right w:val="none" w:sz="0" w:space="0" w:color="auto"/>
      </w:divBdr>
    </w:div>
    <w:div w:id="1318337806">
      <w:marLeft w:val="0"/>
      <w:marRight w:val="0"/>
      <w:marTop w:val="180"/>
      <w:marBottom w:val="120"/>
      <w:divBdr>
        <w:top w:val="none" w:sz="0" w:space="0" w:color="auto"/>
        <w:left w:val="none" w:sz="0" w:space="0" w:color="auto"/>
        <w:bottom w:val="none" w:sz="0" w:space="0" w:color="auto"/>
        <w:right w:val="none" w:sz="0" w:space="0" w:color="auto"/>
      </w:divBdr>
    </w:div>
    <w:div w:id="1318725835">
      <w:marLeft w:val="0"/>
      <w:marRight w:val="0"/>
      <w:marTop w:val="120"/>
      <w:marBottom w:val="120"/>
      <w:divBdr>
        <w:top w:val="none" w:sz="0" w:space="0" w:color="auto"/>
        <w:left w:val="none" w:sz="0" w:space="0" w:color="auto"/>
        <w:bottom w:val="none" w:sz="0" w:space="0" w:color="auto"/>
        <w:right w:val="none" w:sz="0" w:space="0" w:color="auto"/>
      </w:divBdr>
    </w:div>
    <w:div w:id="1320381201">
      <w:marLeft w:val="0"/>
      <w:marRight w:val="0"/>
      <w:marTop w:val="0"/>
      <w:marBottom w:val="0"/>
      <w:divBdr>
        <w:top w:val="none" w:sz="0" w:space="0" w:color="auto"/>
        <w:left w:val="none" w:sz="0" w:space="0" w:color="auto"/>
        <w:bottom w:val="none" w:sz="0" w:space="0" w:color="auto"/>
        <w:right w:val="none" w:sz="0" w:space="0" w:color="auto"/>
      </w:divBdr>
    </w:div>
    <w:div w:id="1321226415">
      <w:marLeft w:val="0"/>
      <w:marRight w:val="0"/>
      <w:marTop w:val="120"/>
      <w:marBottom w:val="0"/>
      <w:divBdr>
        <w:top w:val="none" w:sz="0" w:space="0" w:color="auto"/>
        <w:left w:val="none" w:sz="0" w:space="0" w:color="auto"/>
        <w:bottom w:val="none" w:sz="0" w:space="0" w:color="auto"/>
        <w:right w:val="none" w:sz="0" w:space="0" w:color="auto"/>
      </w:divBdr>
    </w:div>
    <w:div w:id="1324965826">
      <w:marLeft w:val="0"/>
      <w:marRight w:val="0"/>
      <w:marTop w:val="0"/>
      <w:marBottom w:val="0"/>
      <w:divBdr>
        <w:top w:val="none" w:sz="0" w:space="0" w:color="auto"/>
        <w:left w:val="none" w:sz="0" w:space="0" w:color="auto"/>
        <w:bottom w:val="none" w:sz="0" w:space="0" w:color="auto"/>
        <w:right w:val="none" w:sz="0" w:space="0" w:color="auto"/>
      </w:divBdr>
      <w:divsChild>
        <w:div w:id="394160224">
          <w:marLeft w:val="0"/>
          <w:marRight w:val="0"/>
          <w:marTop w:val="0"/>
          <w:marBottom w:val="0"/>
          <w:divBdr>
            <w:top w:val="none" w:sz="0" w:space="0" w:color="auto"/>
            <w:left w:val="none" w:sz="0" w:space="0" w:color="auto"/>
            <w:bottom w:val="none" w:sz="0" w:space="0" w:color="auto"/>
            <w:right w:val="none" w:sz="0" w:space="0" w:color="auto"/>
          </w:divBdr>
        </w:div>
      </w:divsChild>
    </w:div>
    <w:div w:id="1328289871">
      <w:marLeft w:val="0"/>
      <w:marRight w:val="0"/>
      <w:marTop w:val="0"/>
      <w:marBottom w:val="120"/>
      <w:divBdr>
        <w:top w:val="none" w:sz="0" w:space="0" w:color="auto"/>
        <w:left w:val="none" w:sz="0" w:space="0" w:color="auto"/>
        <w:bottom w:val="none" w:sz="0" w:space="0" w:color="auto"/>
        <w:right w:val="none" w:sz="0" w:space="0" w:color="auto"/>
      </w:divBdr>
    </w:div>
    <w:div w:id="1328555488">
      <w:marLeft w:val="0"/>
      <w:marRight w:val="0"/>
      <w:marTop w:val="120"/>
      <w:marBottom w:val="0"/>
      <w:divBdr>
        <w:top w:val="none" w:sz="0" w:space="0" w:color="auto"/>
        <w:left w:val="none" w:sz="0" w:space="0" w:color="auto"/>
        <w:bottom w:val="none" w:sz="0" w:space="0" w:color="auto"/>
        <w:right w:val="none" w:sz="0" w:space="0" w:color="auto"/>
      </w:divBdr>
    </w:div>
    <w:div w:id="1329020309">
      <w:marLeft w:val="0"/>
      <w:marRight w:val="0"/>
      <w:marTop w:val="120"/>
      <w:marBottom w:val="120"/>
      <w:divBdr>
        <w:top w:val="none" w:sz="0" w:space="0" w:color="auto"/>
        <w:left w:val="none" w:sz="0" w:space="0" w:color="auto"/>
        <w:bottom w:val="none" w:sz="0" w:space="0" w:color="auto"/>
        <w:right w:val="none" w:sz="0" w:space="0" w:color="auto"/>
      </w:divBdr>
    </w:div>
    <w:div w:id="1329477970">
      <w:marLeft w:val="0"/>
      <w:marRight w:val="0"/>
      <w:marTop w:val="120"/>
      <w:marBottom w:val="0"/>
      <w:divBdr>
        <w:top w:val="none" w:sz="0" w:space="0" w:color="auto"/>
        <w:left w:val="none" w:sz="0" w:space="0" w:color="auto"/>
        <w:bottom w:val="none" w:sz="0" w:space="0" w:color="auto"/>
        <w:right w:val="none" w:sz="0" w:space="0" w:color="auto"/>
      </w:divBdr>
    </w:div>
    <w:div w:id="1333295331">
      <w:marLeft w:val="0"/>
      <w:marRight w:val="0"/>
      <w:marTop w:val="120"/>
      <w:marBottom w:val="0"/>
      <w:divBdr>
        <w:top w:val="none" w:sz="0" w:space="0" w:color="auto"/>
        <w:left w:val="none" w:sz="0" w:space="0" w:color="auto"/>
        <w:bottom w:val="none" w:sz="0" w:space="0" w:color="auto"/>
        <w:right w:val="none" w:sz="0" w:space="0" w:color="auto"/>
      </w:divBdr>
    </w:div>
    <w:div w:id="1336835819">
      <w:marLeft w:val="0"/>
      <w:marRight w:val="0"/>
      <w:marTop w:val="120"/>
      <w:marBottom w:val="0"/>
      <w:divBdr>
        <w:top w:val="none" w:sz="0" w:space="0" w:color="auto"/>
        <w:left w:val="none" w:sz="0" w:space="0" w:color="auto"/>
        <w:bottom w:val="none" w:sz="0" w:space="0" w:color="auto"/>
        <w:right w:val="none" w:sz="0" w:space="0" w:color="auto"/>
      </w:divBdr>
    </w:div>
    <w:div w:id="1338387717">
      <w:marLeft w:val="0"/>
      <w:marRight w:val="0"/>
      <w:marTop w:val="120"/>
      <w:marBottom w:val="0"/>
      <w:divBdr>
        <w:top w:val="none" w:sz="0" w:space="0" w:color="auto"/>
        <w:left w:val="none" w:sz="0" w:space="0" w:color="auto"/>
        <w:bottom w:val="none" w:sz="0" w:space="0" w:color="auto"/>
        <w:right w:val="none" w:sz="0" w:space="0" w:color="auto"/>
      </w:divBdr>
    </w:div>
    <w:div w:id="1343632696">
      <w:marLeft w:val="0"/>
      <w:marRight w:val="0"/>
      <w:marTop w:val="0"/>
      <w:marBottom w:val="0"/>
      <w:divBdr>
        <w:top w:val="none" w:sz="0" w:space="0" w:color="auto"/>
        <w:left w:val="none" w:sz="0" w:space="0" w:color="auto"/>
        <w:bottom w:val="none" w:sz="0" w:space="0" w:color="auto"/>
        <w:right w:val="none" w:sz="0" w:space="0" w:color="auto"/>
      </w:divBdr>
    </w:div>
    <w:div w:id="1350060979">
      <w:marLeft w:val="0"/>
      <w:marRight w:val="0"/>
      <w:marTop w:val="0"/>
      <w:marBottom w:val="0"/>
      <w:divBdr>
        <w:top w:val="none" w:sz="0" w:space="0" w:color="auto"/>
        <w:left w:val="none" w:sz="0" w:space="0" w:color="auto"/>
        <w:bottom w:val="none" w:sz="0" w:space="0" w:color="auto"/>
        <w:right w:val="none" w:sz="0" w:space="0" w:color="auto"/>
      </w:divBdr>
      <w:divsChild>
        <w:div w:id="907424503">
          <w:marLeft w:val="0"/>
          <w:marRight w:val="0"/>
          <w:marTop w:val="0"/>
          <w:marBottom w:val="0"/>
          <w:divBdr>
            <w:top w:val="none" w:sz="0" w:space="0" w:color="auto"/>
            <w:left w:val="none" w:sz="0" w:space="0" w:color="auto"/>
            <w:bottom w:val="none" w:sz="0" w:space="0" w:color="auto"/>
            <w:right w:val="none" w:sz="0" w:space="0" w:color="auto"/>
          </w:divBdr>
        </w:div>
      </w:divsChild>
    </w:div>
    <w:div w:id="1353915328">
      <w:marLeft w:val="0"/>
      <w:marRight w:val="0"/>
      <w:marTop w:val="120"/>
      <w:marBottom w:val="20"/>
      <w:divBdr>
        <w:top w:val="none" w:sz="0" w:space="0" w:color="auto"/>
        <w:left w:val="none" w:sz="0" w:space="0" w:color="auto"/>
        <w:bottom w:val="none" w:sz="0" w:space="0" w:color="auto"/>
        <w:right w:val="none" w:sz="0" w:space="0" w:color="auto"/>
      </w:divBdr>
      <w:divsChild>
        <w:div w:id="1543134713">
          <w:marLeft w:val="0"/>
          <w:marRight w:val="0"/>
          <w:marTop w:val="120"/>
          <w:marBottom w:val="0"/>
          <w:divBdr>
            <w:top w:val="none" w:sz="0" w:space="0" w:color="auto"/>
            <w:left w:val="none" w:sz="0" w:space="0" w:color="auto"/>
            <w:bottom w:val="none" w:sz="0" w:space="0" w:color="auto"/>
            <w:right w:val="none" w:sz="0" w:space="0" w:color="auto"/>
          </w:divBdr>
        </w:div>
      </w:divsChild>
    </w:div>
    <w:div w:id="1357385493">
      <w:marLeft w:val="0"/>
      <w:marRight w:val="0"/>
      <w:marTop w:val="120"/>
      <w:marBottom w:val="0"/>
      <w:divBdr>
        <w:top w:val="none" w:sz="0" w:space="0" w:color="auto"/>
        <w:left w:val="none" w:sz="0" w:space="0" w:color="auto"/>
        <w:bottom w:val="none" w:sz="0" w:space="0" w:color="auto"/>
        <w:right w:val="none" w:sz="0" w:space="0" w:color="auto"/>
      </w:divBdr>
    </w:div>
    <w:div w:id="1362318877">
      <w:marLeft w:val="0"/>
      <w:marRight w:val="0"/>
      <w:marTop w:val="120"/>
      <w:marBottom w:val="0"/>
      <w:divBdr>
        <w:top w:val="none" w:sz="0" w:space="0" w:color="auto"/>
        <w:left w:val="none" w:sz="0" w:space="0" w:color="auto"/>
        <w:bottom w:val="none" w:sz="0" w:space="0" w:color="auto"/>
        <w:right w:val="none" w:sz="0" w:space="0" w:color="auto"/>
      </w:divBdr>
    </w:div>
    <w:div w:id="1365449891">
      <w:marLeft w:val="0"/>
      <w:marRight w:val="0"/>
      <w:marTop w:val="120"/>
      <w:marBottom w:val="0"/>
      <w:divBdr>
        <w:top w:val="none" w:sz="0" w:space="0" w:color="auto"/>
        <w:left w:val="none" w:sz="0" w:space="0" w:color="auto"/>
        <w:bottom w:val="none" w:sz="0" w:space="0" w:color="auto"/>
        <w:right w:val="none" w:sz="0" w:space="0" w:color="auto"/>
      </w:divBdr>
    </w:div>
    <w:div w:id="1372221136">
      <w:marLeft w:val="0"/>
      <w:marRight w:val="0"/>
      <w:marTop w:val="120"/>
      <w:marBottom w:val="0"/>
      <w:divBdr>
        <w:top w:val="none" w:sz="0" w:space="0" w:color="auto"/>
        <w:left w:val="none" w:sz="0" w:space="0" w:color="auto"/>
        <w:bottom w:val="none" w:sz="0" w:space="0" w:color="auto"/>
        <w:right w:val="none" w:sz="0" w:space="0" w:color="auto"/>
      </w:divBdr>
    </w:div>
    <w:div w:id="1379357215">
      <w:marLeft w:val="0"/>
      <w:marRight w:val="0"/>
      <w:marTop w:val="0"/>
      <w:marBottom w:val="0"/>
      <w:divBdr>
        <w:top w:val="none" w:sz="0" w:space="0" w:color="auto"/>
        <w:left w:val="none" w:sz="0" w:space="0" w:color="auto"/>
        <w:bottom w:val="none" w:sz="0" w:space="0" w:color="auto"/>
        <w:right w:val="none" w:sz="0" w:space="0" w:color="auto"/>
      </w:divBdr>
    </w:div>
    <w:div w:id="1385912551">
      <w:marLeft w:val="0"/>
      <w:marRight w:val="0"/>
      <w:marTop w:val="0"/>
      <w:marBottom w:val="0"/>
      <w:divBdr>
        <w:top w:val="none" w:sz="0" w:space="0" w:color="auto"/>
        <w:left w:val="none" w:sz="0" w:space="0" w:color="auto"/>
        <w:bottom w:val="none" w:sz="0" w:space="0" w:color="auto"/>
        <w:right w:val="none" w:sz="0" w:space="0" w:color="auto"/>
      </w:divBdr>
    </w:div>
    <w:div w:id="1386101142">
      <w:marLeft w:val="0"/>
      <w:marRight w:val="0"/>
      <w:marTop w:val="120"/>
      <w:marBottom w:val="0"/>
      <w:divBdr>
        <w:top w:val="none" w:sz="0" w:space="0" w:color="auto"/>
        <w:left w:val="none" w:sz="0" w:space="0" w:color="auto"/>
        <w:bottom w:val="none" w:sz="0" w:space="0" w:color="auto"/>
        <w:right w:val="none" w:sz="0" w:space="0" w:color="auto"/>
      </w:divBdr>
    </w:div>
    <w:div w:id="1386373007">
      <w:marLeft w:val="0"/>
      <w:marRight w:val="0"/>
      <w:marTop w:val="0"/>
      <w:marBottom w:val="0"/>
      <w:divBdr>
        <w:top w:val="none" w:sz="0" w:space="0" w:color="auto"/>
        <w:left w:val="none" w:sz="0" w:space="0" w:color="auto"/>
        <w:bottom w:val="none" w:sz="0" w:space="0" w:color="auto"/>
        <w:right w:val="none" w:sz="0" w:space="0" w:color="auto"/>
      </w:divBdr>
      <w:divsChild>
        <w:div w:id="578486591">
          <w:marLeft w:val="0"/>
          <w:marRight w:val="0"/>
          <w:marTop w:val="0"/>
          <w:marBottom w:val="0"/>
          <w:divBdr>
            <w:top w:val="none" w:sz="0" w:space="0" w:color="auto"/>
            <w:left w:val="none" w:sz="0" w:space="0" w:color="auto"/>
            <w:bottom w:val="none" w:sz="0" w:space="0" w:color="auto"/>
            <w:right w:val="none" w:sz="0" w:space="0" w:color="auto"/>
          </w:divBdr>
        </w:div>
      </w:divsChild>
    </w:div>
    <w:div w:id="1389495321">
      <w:marLeft w:val="0"/>
      <w:marRight w:val="0"/>
      <w:marTop w:val="120"/>
      <w:marBottom w:val="0"/>
      <w:divBdr>
        <w:top w:val="none" w:sz="0" w:space="0" w:color="auto"/>
        <w:left w:val="none" w:sz="0" w:space="0" w:color="auto"/>
        <w:bottom w:val="none" w:sz="0" w:space="0" w:color="auto"/>
        <w:right w:val="none" w:sz="0" w:space="0" w:color="auto"/>
      </w:divBdr>
    </w:div>
    <w:div w:id="1389495507">
      <w:marLeft w:val="0"/>
      <w:marRight w:val="0"/>
      <w:marTop w:val="0"/>
      <w:marBottom w:val="0"/>
      <w:divBdr>
        <w:top w:val="none" w:sz="0" w:space="0" w:color="auto"/>
        <w:left w:val="none" w:sz="0" w:space="0" w:color="auto"/>
        <w:bottom w:val="none" w:sz="0" w:space="0" w:color="auto"/>
        <w:right w:val="none" w:sz="0" w:space="0" w:color="auto"/>
      </w:divBdr>
      <w:divsChild>
        <w:div w:id="1354262314">
          <w:marLeft w:val="0"/>
          <w:marRight w:val="0"/>
          <w:marTop w:val="0"/>
          <w:marBottom w:val="0"/>
          <w:divBdr>
            <w:top w:val="none" w:sz="0" w:space="0" w:color="auto"/>
            <w:left w:val="none" w:sz="0" w:space="0" w:color="auto"/>
            <w:bottom w:val="none" w:sz="0" w:space="0" w:color="auto"/>
            <w:right w:val="none" w:sz="0" w:space="0" w:color="auto"/>
          </w:divBdr>
        </w:div>
      </w:divsChild>
    </w:div>
    <w:div w:id="1395472120">
      <w:marLeft w:val="0"/>
      <w:marRight w:val="0"/>
      <w:marTop w:val="120"/>
      <w:marBottom w:val="0"/>
      <w:divBdr>
        <w:top w:val="none" w:sz="0" w:space="0" w:color="auto"/>
        <w:left w:val="none" w:sz="0" w:space="0" w:color="auto"/>
        <w:bottom w:val="none" w:sz="0" w:space="0" w:color="auto"/>
        <w:right w:val="none" w:sz="0" w:space="0" w:color="auto"/>
      </w:divBdr>
    </w:div>
    <w:div w:id="1405293935">
      <w:marLeft w:val="0"/>
      <w:marRight w:val="0"/>
      <w:marTop w:val="120"/>
      <w:marBottom w:val="0"/>
      <w:divBdr>
        <w:top w:val="none" w:sz="0" w:space="0" w:color="auto"/>
        <w:left w:val="none" w:sz="0" w:space="0" w:color="auto"/>
        <w:bottom w:val="none" w:sz="0" w:space="0" w:color="auto"/>
        <w:right w:val="none" w:sz="0" w:space="0" w:color="auto"/>
      </w:divBdr>
    </w:div>
    <w:div w:id="1405568239">
      <w:marLeft w:val="0"/>
      <w:marRight w:val="0"/>
      <w:marTop w:val="120"/>
      <w:marBottom w:val="120"/>
      <w:divBdr>
        <w:top w:val="none" w:sz="0" w:space="0" w:color="auto"/>
        <w:left w:val="none" w:sz="0" w:space="0" w:color="auto"/>
        <w:bottom w:val="none" w:sz="0" w:space="0" w:color="auto"/>
        <w:right w:val="none" w:sz="0" w:space="0" w:color="auto"/>
      </w:divBdr>
    </w:div>
    <w:div w:id="1405688238">
      <w:marLeft w:val="0"/>
      <w:marRight w:val="0"/>
      <w:marTop w:val="0"/>
      <w:marBottom w:val="0"/>
      <w:divBdr>
        <w:top w:val="none" w:sz="0" w:space="0" w:color="auto"/>
        <w:left w:val="none" w:sz="0" w:space="0" w:color="auto"/>
        <w:bottom w:val="none" w:sz="0" w:space="0" w:color="auto"/>
        <w:right w:val="none" w:sz="0" w:space="0" w:color="auto"/>
      </w:divBdr>
    </w:div>
    <w:div w:id="1407650135">
      <w:marLeft w:val="0"/>
      <w:marRight w:val="0"/>
      <w:marTop w:val="120"/>
      <w:marBottom w:val="0"/>
      <w:divBdr>
        <w:top w:val="none" w:sz="0" w:space="0" w:color="auto"/>
        <w:left w:val="none" w:sz="0" w:space="0" w:color="auto"/>
        <w:bottom w:val="none" w:sz="0" w:space="0" w:color="auto"/>
        <w:right w:val="none" w:sz="0" w:space="0" w:color="auto"/>
      </w:divBdr>
    </w:div>
    <w:div w:id="1410737317">
      <w:marLeft w:val="0"/>
      <w:marRight w:val="0"/>
      <w:marTop w:val="0"/>
      <w:marBottom w:val="0"/>
      <w:divBdr>
        <w:top w:val="none" w:sz="0" w:space="0" w:color="auto"/>
        <w:left w:val="none" w:sz="0" w:space="0" w:color="auto"/>
        <w:bottom w:val="none" w:sz="0" w:space="0" w:color="auto"/>
        <w:right w:val="none" w:sz="0" w:space="0" w:color="auto"/>
      </w:divBdr>
      <w:divsChild>
        <w:div w:id="1708407354">
          <w:marLeft w:val="0"/>
          <w:marRight w:val="0"/>
          <w:marTop w:val="0"/>
          <w:marBottom w:val="0"/>
          <w:divBdr>
            <w:top w:val="none" w:sz="0" w:space="0" w:color="auto"/>
            <w:left w:val="none" w:sz="0" w:space="0" w:color="auto"/>
            <w:bottom w:val="none" w:sz="0" w:space="0" w:color="auto"/>
            <w:right w:val="none" w:sz="0" w:space="0" w:color="auto"/>
          </w:divBdr>
        </w:div>
      </w:divsChild>
    </w:div>
    <w:div w:id="1419058388">
      <w:marLeft w:val="0"/>
      <w:marRight w:val="0"/>
      <w:marTop w:val="0"/>
      <w:marBottom w:val="0"/>
      <w:divBdr>
        <w:top w:val="none" w:sz="0" w:space="0" w:color="auto"/>
        <w:left w:val="none" w:sz="0" w:space="0" w:color="auto"/>
        <w:bottom w:val="none" w:sz="0" w:space="0" w:color="auto"/>
        <w:right w:val="none" w:sz="0" w:space="0" w:color="auto"/>
      </w:divBdr>
      <w:divsChild>
        <w:div w:id="899900795">
          <w:marLeft w:val="0"/>
          <w:marRight w:val="0"/>
          <w:marTop w:val="0"/>
          <w:marBottom w:val="0"/>
          <w:divBdr>
            <w:top w:val="none" w:sz="0" w:space="0" w:color="auto"/>
            <w:left w:val="none" w:sz="0" w:space="0" w:color="auto"/>
            <w:bottom w:val="none" w:sz="0" w:space="0" w:color="auto"/>
            <w:right w:val="none" w:sz="0" w:space="0" w:color="auto"/>
          </w:divBdr>
        </w:div>
      </w:divsChild>
    </w:div>
    <w:div w:id="1420714259">
      <w:marLeft w:val="0"/>
      <w:marRight w:val="0"/>
      <w:marTop w:val="120"/>
      <w:marBottom w:val="0"/>
      <w:divBdr>
        <w:top w:val="none" w:sz="0" w:space="0" w:color="auto"/>
        <w:left w:val="none" w:sz="0" w:space="0" w:color="auto"/>
        <w:bottom w:val="none" w:sz="0" w:space="0" w:color="auto"/>
        <w:right w:val="none" w:sz="0" w:space="0" w:color="auto"/>
      </w:divBdr>
    </w:div>
    <w:div w:id="1426998482">
      <w:marLeft w:val="0"/>
      <w:marRight w:val="0"/>
      <w:marTop w:val="0"/>
      <w:marBottom w:val="0"/>
      <w:divBdr>
        <w:top w:val="none" w:sz="0" w:space="0" w:color="auto"/>
        <w:left w:val="none" w:sz="0" w:space="0" w:color="auto"/>
        <w:bottom w:val="none" w:sz="0" w:space="0" w:color="auto"/>
        <w:right w:val="none" w:sz="0" w:space="0" w:color="auto"/>
      </w:divBdr>
    </w:div>
    <w:div w:id="1430275285">
      <w:marLeft w:val="0"/>
      <w:marRight w:val="0"/>
      <w:marTop w:val="120"/>
      <w:marBottom w:val="120"/>
      <w:divBdr>
        <w:top w:val="none" w:sz="0" w:space="0" w:color="auto"/>
        <w:left w:val="none" w:sz="0" w:space="0" w:color="auto"/>
        <w:bottom w:val="none" w:sz="0" w:space="0" w:color="auto"/>
        <w:right w:val="none" w:sz="0" w:space="0" w:color="auto"/>
      </w:divBdr>
    </w:div>
    <w:div w:id="1432818926">
      <w:marLeft w:val="0"/>
      <w:marRight w:val="0"/>
      <w:marTop w:val="120"/>
      <w:marBottom w:val="0"/>
      <w:divBdr>
        <w:top w:val="none" w:sz="0" w:space="0" w:color="auto"/>
        <w:left w:val="none" w:sz="0" w:space="0" w:color="auto"/>
        <w:bottom w:val="none" w:sz="0" w:space="0" w:color="auto"/>
        <w:right w:val="none" w:sz="0" w:space="0" w:color="auto"/>
      </w:divBdr>
    </w:div>
    <w:div w:id="1442802516">
      <w:marLeft w:val="0"/>
      <w:marRight w:val="0"/>
      <w:marTop w:val="120"/>
      <w:marBottom w:val="120"/>
      <w:divBdr>
        <w:top w:val="none" w:sz="0" w:space="0" w:color="auto"/>
        <w:left w:val="none" w:sz="0" w:space="0" w:color="auto"/>
        <w:bottom w:val="none" w:sz="0" w:space="0" w:color="auto"/>
        <w:right w:val="none" w:sz="0" w:space="0" w:color="auto"/>
      </w:divBdr>
    </w:div>
    <w:div w:id="1443040122">
      <w:marLeft w:val="0"/>
      <w:marRight w:val="0"/>
      <w:marTop w:val="0"/>
      <w:marBottom w:val="20"/>
      <w:divBdr>
        <w:top w:val="none" w:sz="0" w:space="0" w:color="auto"/>
        <w:left w:val="none" w:sz="0" w:space="0" w:color="auto"/>
        <w:bottom w:val="none" w:sz="0" w:space="0" w:color="auto"/>
        <w:right w:val="none" w:sz="0" w:space="0" w:color="auto"/>
      </w:divBdr>
      <w:divsChild>
        <w:div w:id="2029522580">
          <w:marLeft w:val="0"/>
          <w:marRight w:val="0"/>
          <w:marTop w:val="120"/>
          <w:marBottom w:val="0"/>
          <w:divBdr>
            <w:top w:val="none" w:sz="0" w:space="0" w:color="auto"/>
            <w:left w:val="none" w:sz="0" w:space="0" w:color="auto"/>
            <w:bottom w:val="none" w:sz="0" w:space="0" w:color="auto"/>
            <w:right w:val="none" w:sz="0" w:space="0" w:color="auto"/>
          </w:divBdr>
        </w:div>
        <w:div w:id="1521045154">
          <w:marLeft w:val="0"/>
          <w:marRight w:val="0"/>
          <w:marTop w:val="120"/>
          <w:marBottom w:val="0"/>
          <w:divBdr>
            <w:top w:val="none" w:sz="0" w:space="0" w:color="auto"/>
            <w:left w:val="none" w:sz="0" w:space="0" w:color="auto"/>
            <w:bottom w:val="none" w:sz="0" w:space="0" w:color="auto"/>
            <w:right w:val="none" w:sz="0" w:space="0" w:color="auto"/>
          </w:divBdr>
        </w:div>
        <w:div w:id="933902652">
          <w:marLeft w:val="0"/>
          <w:marRight w:val="0"/>
          <w:marTop w:val="120"/>
          <w:marBottom w:val="0"/>
          <w:divBdr>
            <w:top w:val="none" w:sz="0" w:space="0" w:color="auto"/>
            <w:left w:val="none" w:sz="0" w:space="0" w:color="auto"/>
            <w:bottom w:val="none" w:sz="0" w:space="0" w:color="auto"/>
            <w:right w:val="none" w:sz="0" w:space="0" w:color="auto"/>
          </w:divBdr>
        </w:div>
        <w:div w:id="1167555105">
          <w:marLeft w:val="0"/>
          <w:marRight w:val="0"/>
          <w:marTop w:val="120"/>
          <w:marBottom w:val="0"/>
          <w:divBdr>
            <w:top w:val="none" w:sz="0" w:space="0" w:color="auto"/>
            <w:left w:val="none" w:sz="0" w:space="0" w:color="auto"/>
            <w:bottom w:val="none" w:sz="0" w:space="0" w:color="auto"/>
            <w:right w:val="none" w:sz="0" w:space="0" w:color="auto"/>
          </w:divBdr>
        </w:div>
        <w:div w:id="2130081327">
          <w:marLeft w:val="0"/>
          <w:marRight w:val="0"/>
          <w:marTop w:val="120"/>
          <w:marBottom w:val="0"/>
          <w:divBdr>
            <w:top w:val="none" w:sz="0" w:space="0" w:color="auto"/>
            <w:left w:val="none" w:sz="0" w:space="0" w:color="auto"/>
            <w:bottom w:val="none" w:sz="0" w:space="0" w:color="auto"/>
            <w:right w:val="none" w:sz="0" w:space="0" w:color="auto"/>
          </w:divBdr>
        </w:div>
      </w:divsChild>
    </w:div>
    <w:div w:id="1443259701">
      <w:marLeft w:val="0"/>
      <w:marRight w:val="0"/>
      <w:marTop w:val="120"/>
      <w:marBottom w:val="120"/>
      <w:divBdr>
        <w:top w:val="none" w:sz="0" w:space="0" w:color="auto"/>
        <w:left w:val="none" w:sz="0" w:space="0" w:color="auto"/>
        <w:bottom w:val="none" w:sz="0" w:space="0" w:color="auto"/>
        <w:right w:val="none" w:sz="0" w:space="0" w:color="auto"/>
      </w:divBdr>
    </w:div>
    <w:div w:id="1446079720">
      <w:marLeft w:val="0"/>
      <w:marRight w:val="0"/>
      <w:marTop w:val="0"/>
      <w:marBottom w:val="0"/>
      <w:divBdr>
        <w:top w:val="none" w:sz="0" w:space="0" w:color="auto"/>
        <w:left w:val="none" w:sz="0" w:space="0" w:color="auto"/>
        <w:bottom w:val="none" w:sz="0" w:space="0" w:color="auto"/>
        <w:right w:val="none" w:sz="0" w:space="0" w:color="auto"/>
      </w:divBdr>
      <w:divsChild>
        <w:div w:id="908805781">
          <w:marLeft w:val="0"/>
          <w:marRight w:val="0"/>
          <w:marTop w:val="0"/>
          <w:marBottom w:val="0"/>
          <w:divBdr>
            <w:top w:val="none" w:sz="0" w:space="0" w:color="auto"/>
            <w:left w:val="none" w:sz="0" w:space="0" w:color="auto"/>
            <w:bottom w:val="none" w:sz="0" w:space="0" w:color="auto"/>
            <w:right w:val="none" w:sz="0" w:space="0" w:color="auto"/>
          </w:divBdr>
        </w:div>
      </w:divsChild>
    </w:div>
    <w:div w:id="1447696672">
      <w:marLeft w:val="0"/>
      <w:marRight w:val="0"/>
      <w:marTop w:val="0"/>
      <w:marBottom w:val="20"/>
      <w:divBdr>
        <w:top w:val="none" w:sz="0" w:space="0" w:color="auto"/>
        <w:left w:val="none" w:sz="0" w:space="0" w:color="auto"/>
        <w:bottom w:val="none" w:sz="0" w:space="0" w:color="auto"/>
        <w:right w:val="none" w:sz="0" w:space="0" w:color="auto"/>
      </w:divBdr>
      <w:divsChild>
        <w:div w:id="1747455150">
          <w:marLeft w:val="0"/>
          <w:marRight w:val="0"/>
          <w:marTop w:val="0"/>
          <w:marBottom w:val="0"/>
          <w:divBdr>
            <w:top w:val="none" w:sz="0" w:space="0" w:color="auto"/>
            <w:left w:val="none" w:sz="0" w:space="0" w:color="auto"/>
            <w:bottom w:val="none" w:sz="0" w:space="0" w:color="auto"/>
            <w:right w:val="none" w:sz="0" w:space="0" w:color="auto"/>
          </w:divBdr>
        </w:div>
        <w:div w:id="2102018773">
          <w:marLeft w:val="0"/>
          <w:marRight w:val="0"/>
          <w:marTop w:val="0"/>
          <w:marBottom w:val="0"/>
          <w:divBdr>
            <w:top w:val="none" w:sz="0" w:space="0" w:color="auto"/>
            <w:left w:val="none" w:sz="0" w:space="0" w:color="auto"/>
            <w:bottom w:val="none" w:sz="0" w:space="0" w:color="auto"/>
            <w:right w:val="none" w:sz="0" w:space="0" w:color="auto"/>
          </w:divBdr>
        </w:div>
        <w:div w:id="150872863">
          <w:marLeft w:val="0"/>
          <w:marRight w:val="0"/>
          <w:marTop w:val="0"/>
          <w:marBottom w:val="0"/>
          <w:divBdr>
            <w:top w:val="none" w:sz="0" w:space="0" w:color="auto"/>
            <w:left w:val="none" w:sz="0" w:space="0" w:color="auto"/>
            <w:bottom w:val="none" w:sz="0" w:space="0" w:color="auto"/>
            <w:right w:val="none" w:sz="0" w:space="0" w:color="auto"/>
          </w:divBdr>
        </w:div>
        <w:div w:id="1693068239">
          <w:marLeft w:val="0"/>
          <w:marRight w:val="0"/>
          <w:marTop w:val="0"/>
          <w:marBottom w:val="0"/>
          <w:divBdr>
            <w:top w:val="none" w:sz="0" w:space="0" w:color="auto"/>
            <w:left w:val="none" w:sz="0" w:space="0" w:color="auto"/>
            <w:bottom w:val="none" w:sz="0" w:space="0" w:color="auto"/>
            <w:right w:val="none" w:sz="0" w:space="0" w:color="auto"/>
          </w:divBdr>
        </w:div>
        <w:div w:id="953292459">
          <w:marLeft w:val="0"/>
          <w:marRight w:val="0"/>
          <w:marTop w:val="0"/>
          <w:marBottom w:val="0"/>
          <w:divBdr>
            <w:top w:val="none" w:sz="0" w:space="0" w:color="auto"/>
            <w:left w:val="none" w:sz="0" w:space="0" w:color="auto"/>
            <w:bottom w:val="none" w:sz="0" w:space="0" w:color="auto"/>
            <w:right w:val="none" w:sz="0" w:space="0" w:color="auto"/>
          </w:divBdr>
        </w:div>
        <w:div w:id="1056853390">
          <w:marLeft w:val="0"/>
          <w:marRight w:val="0"/>
          <w:marTop w:val="0"/>
          <w:marBottom w:val="0"/>
          <w:divBdr>
            <w:top w:val="none" w:sz="0" w:space="0" w:color="auto"/>
            <w:left w:val="none" w:sz="0" w:space="0" w:color="auto"/>
            <w:bottom w:val="none" w:sz="0" w:space="0" w:color="auto"/>
            <w:right w:val="none" w:sz="0" w:space="0" w:color="auto"/>
          </w:divBdr>
        </w:div>
        <w:div w:id="1447115663">
          <w:marLeft w:val="0"/>
          <w:marRight w:val="0"/>
          <w:marTop w:val="0"/>
          <w:marBottom w:val="0"/>
          <w:divBdr>
            <w:top w:val="none" w:sz="0" w:space="0" w:color="auto"/>
            <w:left w:val="none" w:sz="0" w:space="0" w:color="auto"/>
            <w:bottom w:val="none" w:sz="0" w:space="0" w:color="auto"/>
            <w:right w:val="none" w:sz="0" w:space="0" w:color="auto"/>
          </w:divBdr>
        </w:div>
        <w:div w:id="106778251">
          <w:marLeft w:val="0"/>
          <w:marRight w:val="0"/>
          <w:marTop w:val="0"/>
          <w:marBottom w:val="0"/>
          <w:divBdr>
            <w:top w:val="none" w:sz="0" w:space="0" w:color="auto"/>
            <w:left w:val="none" w:sz="0" w:space="0" w:color="auto"/>
            <w:bottom w:val="none" w:sz="0" w:space="0" w:color="auto"/>
            <w:right w:val="none" w:sz="0" w:space="0" w:color="auto"/>
          </w:divBdr>
        </w:div>
        <w:div w:id="1103377925">
          <w:marLeft w:val="0"/>
          <w:marRight w:val="0"/>
          <w:marTop w:val="0"/>
          <w:marBottom w:val="0"/>
          <w:divBdr>
            <w:top w:val="none" w:sz="0" w:space="0" w:color="auto"/>
            <w:left w:val="none" w:sz="0" w:space="0" w:color="auto"/>
            <w:bottom w:val="none" w:sz="0" w:space="0" w:color="auto"/>
            <w:right w:val="none" w:sz="0" w:space="0" w:color="auto"/>
          </w:divBdr>
        </w:div>
        <w:div w:id="1700936682">
          <w:marLeft w:val="0"/>
          <w:marRight w:val="0"/>
          <w:marTop w:val="0"/>
          <w:marBottom w:val="0"/>
          <w:divBdr>
            <w:top w:val="none" w:sz="0" w:space="0" w:color="auto"/>
            <w:left w:val="none" w:sz="0" w:space="0" w:color="auto"/>
            <w:bottom w:val="none" w:sz="0" w:space="0" w:color="auto"/>
            <w:right w:val="none" w:sz="0" w:space="0" w:color="auto"/>
          </w:divBdr>
        </w:div>
        <w:div w:id="606040156">
          <w:marLeft w:val="0"/>
          <w:marRight w:val="0"/>
          <w:marTop w:val="0"/>
          <w:marBottom w:val="0"/>
          <w:divBdr>
            <w:top w:val="none" w:sz="0" w:space="0" w:color="auto"/>
            <w:left w:val="none" w:sz="0" w:space="0" w:color="auto"/>
            <w:bottom w:val="none" w:sz="0" w:space="0" w:color="auto"/>
            <w:right w:val="none" w:sz="0" w:space="0" w:color="auto"/>
          </w:divBdr>
        </w:div>
        <w:div w:id="370420796">
          <w:marLeft w:val="0"/>
          <w:marRight w:val="0"/>
          <w:marTop w:val="0"/>
          <w:marBottom w:val="0"/>
          <w:divBdr>
            <w:top w:val="none" w:sz="0" w:space="0" w:color="auto"/>
            <w:left w:val="none" w:sz="0" w:space="0" w:color="auto"/>
            <w:bottom w:val="none" w:sz="0" w:space="0" w:color="auto"/>
            <w:right w:val="none" w:sz="0" w:space="0" w:color="auto"/>
          </w:divBdr>
        </w:div>
        <w:div w:id="403112181">
          <w:marLeft w:val="0"/>
          <w:marRight w:val="0"/>
          <w:marTop w:val="0"/>
          <w:marBottom w:val="0"/>
          <w:divBdr>
            <w:top w:val="none" w:sz="0" w:space="0" w:color="auto"/>
            <w:left w:val="none" w:sz="0" w:space="0" w:color="auto"/>
            <w:bottom w:val="none" w:sz="0" w:space="0" w:color="auto"/>
            <w:right w:val="none" w:sz="0" w:space="0" w:color="auto"/>
          </w:divBdr>
        </w:div>
        <w:div w:id="750272417">
          <w:marLeft w:val="0"/>
          <w:marRight w:val="0"/>
          <w:marTop w:val="0"/>
          <w:marBottom w:val="0"/>
          <w:divBdr>
            <w:top w:val="none" w:sz="0" w:space="0" w:color="auto"/>
            <w:left w:val="none" w:sz="0" w:space="0" w:color="auto"/>
            <w:bottom w:val="none" w:sz="0" w:space="0" w:color="auto"/>
            <w:right w:val="none" w:sz="0" w:space="0" w:color="auto"/>
          </w:divBdr>
        </w:div>
        <w:div w:id="720397323">
          <w:marLeft w:val="0"/>
          <w:marRight w:val="0"/>
          <w:marTop w:val="0"/>
          <w:marBottom w:val="0"/>
          <w:divBdr>
            <w:top w:val="none" w:sz="0" w:space="0" w:color="auto"/>
            <w:left w:val="none" w:sz="0" w:space="0" w:color="auto"/>
            <w:bottom w:val="none" w:sz="0" w:space="0" w:color="auto"/>
            <w:right w:val="none" w:sz="0" w:space="0" w:color="auto"/>
          </w:divBdr>
        </w:div>
        <w:div w:id="533274301">
          <w:marLeft w:val="0"/>
          <w:marRight w:val="0"/>
          <w:marTop w:val="0"/>
          <w:marBottom w:val="0"/>
          <w:divBdr>
            <w:top w:val="none" w:sz="0" w:space="0" w:color="auto"/>
            <w:left w:val="none" w:sz="0" w:space="0" w:color="auto"/>
            <w:bottom w:val="none" w:sz="0" w:space="0" w:color="auto"/>
            <w:right w:val="none" w:sz="0" w:space="0" w:color="auto"/>
          </w:divBdr>
        </w:div>
        <w:div w:id="1138644785">
          <w:marLeft w:val="0"/>
          <w:marRight w:val="0"/>
          <w:marTop w:val="0"/>
          <w:marBottom w:val="0"/>
          <w:divBdr>
            <w:top w:val="none" w:sz="0" w:space="0" w:color="auto"/>
            <w:left w:val="none" w:sz="0" w:space="0" w:color="auto"/>
            <w:bottom w:val="none" w:sz="0" w:space="0" w:color="auto"/>
            <w:right w:val="none" w:sz="0" w:space="0" w:color="auto"/>
          </w:divBdr>
        </w:div>
        <w:div w:id="95952029">
          <w:marLeft w:val="0"/>
          <w:marRight w:val="0"/>
          <w:marTop w:val="0"/>
          <w:marBottom w:val="0"/>
          <w:divBdr>
            <w:top w:val="none" w:sz="0" w:space="0" w:color="auto"/>
            <w:left w:val="none" w:sz="0" w:space="0" w:color="auto"/>
            <w:bottom w:val="none" w:sz="0" w:space="0" w:color="auto"/>
            <w:right w:val="none" w:sz="0" w:space="0" w:color="auto"/>
          </w:divBdr>
        </w:div>
        <w:div w:id="1019165688">
          <w:marLeft w:val="0"/>
          <w:marRight w:val="0"/>
          <w:marTop w:val="0"/>
          <w:marBottom w:val="0"/>
          <w:divBdr>
            <w:top w:val="none" w:sz="0" w:space="0" w:color="auto"/>
            <w:left w:val="none" w:sz="0" w:space="0" w:color="auto"/>
            <w:bottom w:val="none" w:sz="0" w:space="0" w:color="auto"/>
            <w:right w:val="none" w:sz="0" w:space="0" w:color="auto"/>
          </w:divBdr>
        </w:div>
        <w:div w:id="1130707855">
          <w:marLeft w:val="0"/>
          <w:marRight w:val="0"/>
          <w:marTop w:val="0"/>
          <w:marBottom w:val="0"/>
          <w:divBdr>
            <w:top w:val="none" w:sz="0" w:space="0" w:color="auto"/>
            <w:left w:val="none" w:sz="0" w:space="0" w:color="auto"/>
            <w:bottom w:val="none" w:sz="0" w:space="0" w:color="auto"/>
            <w:right w:val="none" w:sz="0" w:space="0" w:color="auto"/>
          </w:divBdr>
        </w:div>
        <w:div w:id="1904294126">
          <w:marLeft w:val="0"/>
          <w:marRight w:val="0"/>
          <w:marTop w:val="0"/>
          <w:marBottom w:val="0"/>
          <w:divBdr>
            <w:top w:val="none" w:sz="0" w:space="0" w:color="auto"/>
            <w:left w:val="none" w:sz="0" w:space="0" w:color="auto"/>
            <w:bottom w:val="none" w:sz="0" w:space="0" w:color="auto"/>
            <w:right w:val="none" w:sz="0" w:space="0" w:color="auto"/>
          </w:divBdr>
        </w:div>
        <w:div w:id="651445792">
          <w:marLeft w:val="0"/>
          <w:marRight w:val="0"/>
          <w:marTop w:val="0"/>
          <w:marBottom w:val="0"/>
          <w:divBdr>
            <w:top w:val="none" w:sz="0" w:space="0" w:color="auto"/>
            <w:left w:val="none" w:sz="0" w:space="0" w:color="auto"/>
            <w:bottom w:val="none" w:sz="0" w:space="0" w:color="auto"/>
            <w:right w:val="none" w:sz="0" w:space="0" w:color="auto"/>
          </w:divBdr>
        </w:div>
        <w:div w:id="1762679848">
          <w:marLeft w:val="0"/>
          <w:marRight w:val="0"/>
          <w:marTop w:val="0"/>
          <w:marBottom w:val="0"/>
          <w:divBdr>
            <w:top w:val="none" w:sz="0" w:space="0" w:color="auto"/>
            <w:left w:val="none" w:sz="0" w:space="0" w:color="auto"/>
            <w:bottom w:val="none" w:sz="0" w:space="0" w:color="auto"/>
            <w:right w:val="none" w:sz="0" w:space="0" w:color="auto"/>
          </w:divBdr>
        </w:div>
        <w:div w:id="383607190">
          <w:marLeft w:val="0"/>
          <w:marRight w:val="0"/>
          <w:marTop w:val="0"/>
          <w:marBottom w:val="0"/>
          <w:divBdr>
            <w:top w:val="none" w:sz="0" w:space="0" w:color="auto"/>
            <w:left w:val="none" w:sz="0" w:space="0" w:color="auto"/>
            <w:bottom w:val="none" w:sz="0" w:space="0" w:color="auto"/>
            <w:right w:val="none" w:sz="0" w:space="0" w:color="auto"/>
          </w:divBdr>
        </w:div>
        <w:div w:id="1326085426">
          <w:marLeft w:val="0"/>
          <w:marRight w:val="0"/>
          <w:marTop w:val="0"/>
          <w:marBottom w:val="0"/>
          <w:divBdr>
            <w:top w:val="none" w:sz="0" w:space="0" w:color="auto"/>
            <w:left w:val="none" w:sz="0" w:space="0" w:color="auto"/>
            <w:bottom w:val="none" w:sz="0" w:space="0" w:color="auto"/>
            <w:right w:val="none" w:sz="0" w:space="0" w:color="auto"/>
          </w:divBdr>
        </w:div>
        <w:div w:id="956526495">
          <w:marLeft w:val="0"/>
          <w:marRight w:val="0"/>
          <w:marTop w:val="0"/>
          <w:marBottom w:val="0"/>
          <w:divBdr>
            <w:top w:val="none" w:sz="0" w:space="0" w:color="auto"/>
            <w:left w:val="none" w:sz="0" w:space="0" w:color="auto"/>
            <w:bottom w:val="none" w:sz="0" w:space="0" w:color="auto"/>
            <w:right w:val="none" w:sz="0" w:space="0" w:color="auto"/>
          </w:divBdr>
        </w:div>
        <w:div w:id="1338922524">
          <w:marLeft w:val="0"/>
          <w:marRight w:val="0"/>
          <w:marTop w:val="0"/>
          <w:marBottom w:val="0"/>
          <w:divBdr>
            <w:top w:val="none" w:sz="0" w:space="0" w:color="auto"/>
            <w:left w:val="none" w:sz="0" w:space="0" w:color="auto"/>
            <w:bottom w:val="none" w:sz="0" w:space="0" w:color="auto"/>
            <w:right w:val="none" w:sz="0" w:space="0" w:color="auto"/>
          </w:divBdr>
        </w:div>
        <w:div w:id="103698614">
          <w:marLeft w:val="0"/>
          <w:marRight w:val="0"/>
          <w:marTop w:val="0"/>
          <w:marBottom w:val="0"/>
          <w:divBdr>
            <w:top w:val="none" w:sz="0" w:space="0" w:color="auto"/>
            <w:left w:val="none" w:sz="0" w:space="0" w:color="auto"/>
            <w:bottom w:val="none" w:sz="0" w:space="0" w:color="auto"/>
            <w:right w:val="none" w:sz="0" w:space="0" w:color="auto"/>
          </w:divBdr>
        </w:div>
        <w:div w:id="24913403">
          <w:marLeft w:val="0"/>
          <w:marRight w:val="0"/>
          <w:marTop w:val="0"/>
          <w:marBottom w:val="0"/>
          <w:divBdr>
            <w:top w:val="none" w:sz="0" w:space="0" w:color="auto"/>
            <w:left w:val="none" w:sz="0" w:space="0" w:color="auto"/>
            <w:bottom w:val="none" w:sz="0" w:space="0" w:color="auto"/>
            <w:right w:val="none" w:sz="0" w:space="0" w:color="auto"/>
          </w:divBdr>
        </w:div>
        <w:div w:id="618344293">
          <w:marLeft w:val="0"/>
          <w:marRight w:val="0"/>
          <w:marTop w:val="0"/>
          <w:marBottom w:val="0"/>
          <w:divBdr>
            <w:top w:val="none" w:sz="0" w:space="0" w:color="auto"/>
            <w:left w:val="none" w:sz="0" w:space="0" w:color="auto"/>
            <w:bottom w:val="none" w:sz="0" w:space="0" w:color="auto"/>
            <w:right w:val="none" w:sz="0" w:space="0" w:color="auto"/>
          </w:divBdr>
        </w:div>
        <w:div w:id="1366564812">
          <w:marLeft w:val="0"/>
          <w:marRight w:val="0"/>
          <w:marTop w:val="0"/>
          <w:marBottom w:val="0"/>
          <w:divBdr>
            <w:top w:val="none" w:sz="0" w:space="0" w:color="auto"/>
            <w:left w:val="none" w:sz="0" w:space="0" w:color="auto"/>
            <w:bottom w:val="none" w:sz="0" w:space="0" w:color="auto"/>
            <w:right w:val="none" w:sz="0" w:space="0" w:color="auto"/>
          </w:divBdr>
        </w:div>
        <w:div w:id="1564752098">
          <w:marLeft w:val="0"/>
          <w:marRight w:val="0"/>
          <w:marTop w:val="0"/>
          <w:marBottom w:val="0"/>
          <w:divBdr>
            <w:top w:val="none" w:sz="0" w:space="0" w:color="auto"/>
            <w:left w:val="none" w:sz="0" w:space="0" w:color="auto"/>
            <w:bottom w:val="none" w:sz="0" w:space="0" w:color="auto"/>
            <w:right w:val="none" w:sz="0" w:space="0" w:color="auto"/>
          </w:divBdr>
        </w:div>
      </w:divsChild>
    </w:div>
    <w:div w:id="1449008484">
      <w:marLeft w:val="0"/>
      <w:marRight w:val="0"/>
      <w:marTop w:val="0"/>
      <w:marBottom w:val="0"/>
      <w:divBdr>
        <w:top w:val="none" w:sz="0" w:space="0" w:color="auto"/>
        <w:left w:val="none" w:sz="0" w:space="0" w:color="auto"/>
        <w:bottom w:val="none" w:sz="0" w:space="0" w:color="auto"/>
        <w:right w:val="none" w:sz="0" w:space="0" w:color="auto"/>
      </w:divBdr>
      <w:divsChild>
        <w:div w:id="412043758">
          <w:marLeft w:val="0"/>
          <w:marRight w:val="0"/>
          <w:marTop w:val="0"/>
          <w:marBottom w:val="0"/>
          <w:divBdr>
            <w:top w:val="none" w:sz="0" w:space="0" w:color="auto"/>
            <w:left w:val="none" w:sz="0" w:space="0" w:color="auto"/>
            <w:bottom w:val="none" w:sz="0" w:space="0" w:color="auto"/>
            <w:right w:val="none" w:sz="0" w:space="0" w:color="auto"/>
          </w:divBdr>
        </w:div>
      </w:divsChild>
    </w:div>
    <w:div w:id="1450856194">
      <w:marLeft w:val="0"/>
      <w:marRight w:val="0"/>
      <w:marTop w:val="120"/>
      <w:marBottom w:val="120"/>
      <w:divBdr>
        <w:top w:val="none" w:sz="0" w:space="0" w:color="auto"/>
        <w:left w:val="none" w:sz="0" w:space="0" w:color="auto"/>
        <w:bottom w:val="none" w:sz="0" w:space="0" w:color="auto"/>
        <w:right w:val="none" w:sz="0" w:space="0" w:color="auto"/>
      </w:divBdr>
    </w:div>
    <w:div w:id="1453937072">
      <w:marLeft w:val="0"/>
      <w:marRight w:val="0"/>
      <w:marTop w:val="120"/>
      <w:marBottom w:val="0"/>
      <w:divBdr>
        <w:top w:val="none" w:sz="0" w:space="0" w:color="auto"/>
        <w:left w:val="none" w:sz="0" w:space="0" w:color="auto"/>
        <w:bottom w:val="none" w:sz="0" w:space="0" w:color="auto"/>
        <w:right w:val="none" w:sz="0" w:space="0" w:color="auto"/>
      </w:divBdr>
    </w:div>
    <w:div w:id="1454405276">
      <w:marLeft w:val="0"/>
      <w:marRight w:val="0"/>
      <w:marTop w:val="0"/>
      <w:marBottom w:val="0"/>
      <w:divBdr>
        <w:top w:val="none" w:sz="0" w:space="0" w:color="auto"/>
        <w:left w:val="none" w:sz="0" w:space="0" w:color="auto"/>
        <w:bottom w:val="none" w:sz="0" w:space="0" w:color="auto"/>
        <w:right w:val="none" w:sz="0" w:space="0" w:color="auto"/>
      </w:divBdr>
      <w:divsChild>
        <w:div w:id="437062692">
          <w:marLeft w:val="0"/>
          <w:marRight w:val="0"/>
          <w:marTop w:val="0"/>
          <w:marBottom w:val="0"/>
          <w:divBdr>
            <w:top w:val="none" w:sz="0" w:space="0" w:color="auto"/>
            <w:left w:val="none" w:sz="0" w:space="0" w:color="auto"/>
            <w:bottom w:val="none" w:sz="0" w:space="0" w:color="auto"/>
            <w:right w:val="none" w:sz="0" w:space="0" w:color="auto"/>
          </w:divBdr>
        </w:div>
      </w:divsChild>
    </w:div>
    <w:div w:id="1455098233">
      <w:marLeft w:val="0"/>
      <w:marRight w:val="0"/>
      <w:marTop w:val="120"/>
      <w:marBottom w:val="0"/>
      <w:divBdr>
        <w:top w:val="none" w:sz="0" w:space="0" w:color="auto"/>
        <w:left w:val="none" w:sz="0" w:space="0" w:color="auto"/>
        <w:bottom w:val="none" w:sz="0" w:space="0" w:color="auto"/>
        <w:right w:val="none" w:sz="0" w:space="0" w:color="auto"/>
      </w:divBdr>
    </w:div>
    <w:div w:id="1455173310">
      <w:marLeft w:val="0"/>
      <w:marRight w:val="0"/>
      <w:marTop w:val="0"/>
      <w:marBottom w:val="0"/>
      <w:divBdr>
        <w:top w:val="none" w:sz="0" w:space="0" w:color="auto"/>
        <w:left w:val="none" w:sz="0" w:space="0" w:color="auto"/>
        <w:bottom w:val="none" w:sz="0" w:space="0" w:color="auto"/>
        <w:right w:val="none" w:sz="0" w:space="0" w:color="auto"/>
      </w:divBdr>
      <w:divsChild>
        <w:div w:id="2093164105">
          <w:marLeft w:val="0"/>
          <w:marRight w:val="0"/>
          <w:marTop w:val="0"/>
          <w:marBottom w:val="0"/>
          <w:divBdr>
            <w:top w:val="none" w:sz="0" w:space="0" w:color="auto"/>
            <w:left w:val="none" w:sz="0" w:space="0" w:color="auto"/>
            <w:bottom w:val="none" w:sz="0" w:space="0" w:color="auto"/>
            <w:right w:val="none" w:sz="0" w:space="0" w:color="auto"/>
          </w:divBdr>
        </w:div>
      </w:divsChild>
    </w:div>
    <w:div w:id="1462265410">
      <w:marLeft w:val="0"/>
      <w:marRight w:val="0"/>
      <w:marTop w:val="120"/>
      <w:marBottom w:val="0"/>
      <w:divBdr>
        <w:top w:val="none" w:sz="0" w:space="0" w:color="auto"/>
        <w:left w:val="none" w:sz="0" w:space="0" w:color="auto"/>
        <w:bottom w:val="none" w:sz="0" w:space="0" w:color="auto"/>
        <w:right w:val="none" w:sz="0" w:space="0" w:color="auto"/>
      </w:divBdr>
    </w:div>
    <w:div w:id="1462839577">
      <w:marLeft w:val="0"/>
      <w:marRight w:val="0"/>
      <w:marTop w:val="120"/>
      <w:marBottom w:val="0"/>
      <w:divBdr>
        <w:top w:val="none" w:sz="0" w:space="0" w:color="auto"/>
        <w:left w:val="none" w:sz="0" w:space="0" w:color="auto"/>
        <w:bottom w:val="none" w:sz="0" w:space="0" w:color="auto"/>
        <w:right w:val="none" w:sz="0" w:space="0" w:color="auto"/>
      </w:divBdr>
    </w:div>
    <w:div w:id="1469860366">
      <w:marLeft w:val="0"/>
      <w:marRight w:val="0"/>
      <w:marTop w:val="0"/>
      <w:marBottom w:val="0"/>
      <w:divBdr>
        <w:top w:val="none" w:sz="0" w:space="0" w:color="auto"/>
        <w:left w:val="none" w:sz="0" w:space="0" w:color="auto"/>
        <w:bottom w:val="none" w:sz="0" w:space="0" w:color="auto"/>
        <w:right w:val="none" w:sz="0" w:space="0" w:color="auto"/>
      </w:divBdr>
    </w:div>
    <w:div w:id="1472094962">
      <w:marLeft w:val="0"/>
      <w:marRight w:val="0"/>
      <w:marTop w:val="0"/>
      <w:marBottom w:val="0"/>
      <w:divBdr>
        <w:top w:val="none" w:sz="0" w:space="0" w:color="auto"/>
        <w:left w:val="none" w:sz="0" w:space="0" w:color="auto"/>
        <w:bottom w:val="none" w:sz="0" w:space="0" w:color="auto"/>
        <w:right w:val="none" w:sz="0" w:space="0" w:color="auto"/>
      </w:divBdr>
      <w:divsChild>
        <w:div w:id="1507943260">
          <w:marLeft w:val="0"/>
          <w:marRight w:val="0"/>
          <w:marTop w:val="0"/>
          <w:marBottom w:val="0"/>
          <w:divBdr>
            <w:top w:val="none" w:sz="0" w:space="0" w:color="auto"/>
            <w:left w:val="none" w:sz="0" w:space="0" w:color="auto"/>
            <w:bottom w:val="none" w:sz="0" w:space="0" w:color="auto"/>
            <w:right w:val="none" w:sz="0" w:space="0" w:color="auto"/>
          </w:divBdr>
        </w:div>
      </w:divsChild>
    </w:div>
    <w:div w:id="1473326925">
      <w:marLeft w:val="0"/>
      <w:marRight w:val="0"/>
      <w:marTop w:val="0"/>
      <w:marBottom w:val="0"/>
      <w:divBdr>
        <w:top w:val="none" w:sz="0" w:space="0" w:color="auto"/>
        <w:left w:val="none" w:sz="0" w:space="0" w:color="auto"/>
        <w:bottom w:val="none" w:sz="0" w:space="0" w:color="auto"/>
        <w:right w:val="none" w:sz="0" w:space="0" w:color="auto"/>
      </w:divBdr>
      <w:divsChild>
        <w:div w:id="217784404">
          <w:marLeft w:val="0"/>
          <w:marRight w:val="0"/>
          <w:marTop w:val="0"/>
          <w:marBottom w:val="0"/>
          <w:divBdr>
            <w:top w:val="none" w:sz="0" w:space="0" w:color="auto"/>
            <w:left w:val="none" w:sz="0" w:space="0" w:color="auto"/>
            <w:bottom w:val="none" w:sz="0" w:space="0" w:color="auto"/>
            <w:right w:val="none" w:sz="0" w:space="0" w:color="auto"/>
          </w:divBdr>
        </w:div>
      </w:divsChild>
    </w:div>
    <w:div w:id="1474908720">
      <w:marLeft w:val="0"/>
      <w:marRight w:val="0"/>
      <w:marTop w:val="120"/>
      <w:marBottom w:val="0"/>
      <w:divBdr>
        <w:top w:val="none" w:sz="0" w:space="0" w:color="auto"/>
        <w:left w:val="none" w:sz="0" w:space="0" w:color="auto"/>
        <w:bottom w:val="none" w:sz="0" w:space="0" w:color="auto"/>
        <w:right w:val="none" w:sz="0" w:space="0" w:color="auto"/>
      </w:divBdr>
    </w:div>
    <w:div w:id="1476871479">
      <w:marLeft w:val="0"/>
      <w:marRight w:val="0"/>
      <w:marTop w:val="120"/>
      <w:marBottom w:val="0"/>
      <w:divBdr>
        <w:top w:val="none" w:sz="0" w:space="0" w:color="auto"/>
        <w:left w:val="none" w:sz="0" w:space="0" w:color="auto"/>
        <w:bottom w:val="none" w:sz="0" w:space="0" w:color="auto"/>
        <w:right w:val="none" w:sz="0" w:space="0" w:color="auto"/>
      </w:divBdr>
    </w:div>
    <w:div w:id="1480656809">
      <w:marLeft w:val="0"/>
      <w:marRight w:val="0"/>
      <w:marTop w:val="120"/>
      <w:marBottom w:val="0"/>
      <w:divBdr>
        <w:top w:val="none" w:sz="0" w:space="0" w:color="auto"/>
        <w:left w:val="none" w:sz="0" w:space="0" w:color="auto"/>
        <w:bottom w:val="none" w:sz="0" w:space="0" w:color="auto"/>
        <w:right w:val="none" w:sz="0" w:space="0" w:color="auto"/>
      </w:divBdr>
    </w:div>
    <w:div w:id="1481075566">
      <w:marLeft w:val="0"/>
      <w:marRight w:val="0"/>
      <w:marTop w:val="120"/>
      <w:marBottom w:val="0"/>
      <w:divBdr>
        <w:top w:val="none" w:sz="0" w:space="0" w:color="auto"/>
        <w:left w:val="none" w:sz="0" w:space="0" w:color="auto"/>
        <w:bottom w:val="none" w:sz="0" w:space="0" w:color="auto"/>
        <w:right w:val="none" w:sz="0" w:space="0" w:color="auto"/>
      </w:divBdr>
    </w:div>
    <w:div w:id="1482572956">
      <w:marLeft w:val="0"/>
      <w:marRight w:val="0"/>
      <w:marTop w:val="120"/>
      <w:marBottom w:val="0"/>
      <w:divBdr>
        <w:top w:val="none" w:sz="0" w:space="0" w:color="auto"/>
        <w:left w:val="none" w:sz="0" w:space="0" w:color="auto"/>
        <w:bottom w:val="none" w:sz="0" w:space="0" w:color="auto"/>
        <w:right w:val="none" w:sz="0" w:space="0" w:color="auto"/>
      </w:divBdr>
    </w:div>
    <w:div w:id="1484349062">
      <w:marLeft w:val="0"/>
      <w:marRight w:val="0"/>
      <w:marTop w:val="80"/>
      <w:marBottom w:val="0"/>
      <w:divBdr>
        <w:top w:val="none" w:sz="0" w:space="0" w:color="auto"/>
        <w:left w:val="none" w:sz="0" w:space="0" w:color="auto"/>
        <w:bottom w:val="none" w:sz="0" w:space="0" w:color="auto"/>
        <w:right w:val="none" w:sz="0" w:space="0" w:color="auto"/>
      </w:divBdr>
    </w:div>
    <w:div w:id="1487866909">
      <w:marLeft w:val="0"/>
      <w:marRight w:val="0"/>
      <w:marTop w:val="120"/>
      <w:marBottom w:val="0"/>
      <w:divBdr>
        <w:top w:val="none" w:sz="0" w:space="0" w:color="auto"/>
        <w:left w:val="none" w:sz="0" w:space="0" w:color="auto"/>
        <w:bottom w:val="none" w:sz="0" w:space="0" w:color="auto"/>
        <w:right w:val="none" w:sz="0" w:space="0" w:color="auto"/>
      </w:divBdr>
    </w:div>
    <w:div w:id="1493720041">
      <w:marLeft w:val="0"/>
      <w:marRight w:val="0"/>
      <w:marTop w:val="120"/>
      <w:marBottom w:val="0"/>
      <w:divBdr>
        <w:top w:val="none" w:sz="0" w:space="0" w:color="auto"/>
        <w:left w:val="none" w:sz="0" w:space="0" w:color="auto"/>
        <w:bottom w:val="none" w:sz="0" w:space="0" w:color="auto"/>
        <w:right w:val="none" w:sz="0" w:space="0" w:color="auto"/>
      </w:divBdr>
    </w:div>
    <w:div w:id="1503737321">
      <w:marLeft w:val="0"/>
      <w:marRight w:val="0"/>
      <w:marTop w:val="0"/>
      <w:marBottom w:val="20"/>
      <w:divBdr>
        <w:top w:val="none" w:sz="0" w:space="0" w:color="auto"/>
        <w:left w:val="none" w:sz="0" w:space="0" w:color="auto"/>
        <w:bottom w:val="none" w:sz="0" w:space="0" w:color="auto"/>
        <w:right w:val="none" w:sz="0" w:space="0" w:color="auto"/>
      </w:divBdr>
    </w:div>
    <w:div w:id="1507162765">
      <w:marLeft w:val="0"/>
      <w:marRight w:val="0"/>
      <w:marTop w:val="0"/>
      <w:marBottom w:val="0"/>
      <w:divBdr>
        <w:top w:val="none" w:sz="0" w:space="0" w:color="auto"/>
        <w:left w:val="none" w:sz="0" w:space="0" w:color="auto"/>
        <w:bottom w:val="none" w:sz="0" w:space="0" w:color="auto"/>
        <w:right w:val="none" w:sz="0" w:space="0" w:color="auto"/>
      </w:divBdr>
      <w:divsChild>
        <w:div w:id="1515995533">
          <w:marLeft w:val="0"/>
          <w:marRight w:val="0"/>
          <w:marTop w:val="0"/>
          <w:marBottom w:val="0"/>
          <w:divBdr>
            <w:top w:val="none" w:sz="0" w:space="0" w:color="auto"/>
            <w:left w:val="none" w:sz="0" w:space="0" w:color="auto"/>
            <w:bottom w:val="none" w:sz="0" w:space="0" w:color="auto"/>
            <w:right w:val="none" w:sz="0" w:space="0" w:color="auto"/>
          </w:divBdr>
        </w:div>
      </w:divsChild>
    </w:div>
    <w:div w:id="1507818102">
      <w:marLeft w:val="0"/>
      <w:marRight w:val="0"/>
      <w:marTop w:val="0"/>
      <w:marBottom w:val="0"/>
      <w:divBdr>
        <w:top w:val="none" w:sz="0" w:space="0" w:color="auto"/>
        <w:left w:val="none" w:sz="0" w:space="0" w:color="auto"/>
        <w:bottom w:val="none" w:sz="0" w:space="0" w:color="auto"/>
        <w:right w:val="none" w:sz="0" w:space="0" w:color="auto"/>
      </w:divBdr>
      <w:divsChild>
        <w:div w:id="1689985686">
          <w:marLeft w:val="0"/>
          <w:marRight w:val="0"/>
          <w:marTop w:val="0"/>
          <w:marBottom w:val="0"/>
          <w:divBdr>
            <w:top w:val="none" w:sz="0" w:space="0" w:color="auto"/>
            <w:left w:val="none" w:sz="0" w:space="0" w:color="auto"/>
            <w:bottom w:val="none" w:sz="0" w:space="0" w:color="auto"/>
            <w:right w:val="none" w:sz="0" w:space="0" w:color="auto"/>
          </w:divBdr>
        </w:div>
      </w:divsChild>
    </w:div>
    <w:div w:id="1514879597">
      <w:marLeft w:val="0"/>
      <w:marRight w:val="0"/>
      <w:marTop w:val="120"/>
      <w:marBottom w:val="120"/>
      <w:divBdr>
        <w:top w:val="none" w:sz="0" w:space="0" w:color="auto"/>
        <w:left w:val="none" w:sz="0" w:space="0" w:color="auto"/>
        <w:bottom w:val="none" w:sz="0" w:space="0" w:color="auto"/>
        <w:right w:val="none" w:sz="0" w:space="0" w:color="auto"/>
      </w:divBdr>
    </w:div>
    <w:div w:id="1518427722">
      <w:marLeft w:val="0"/>
      <w:marRight w:val="0"/>
      <w:marTop w:val="120"/>
      <w:marBottom w:val="120"/>
      <w:divBdr>
        <w:top w:val="none" w:sz="0" w:space="0" w:color="auto"/>
        <w:left w:val="none" w:sz="0" w:space="0" w:color="auto"/>
        <w:bottom w:val="none" w:sz="0" w:space="0" w:color="auto"/>
        <w:right w:val="none" w:sz="0" w:space="0" w:color="auto"/>
      </w:divBdr>
    </w:div>
    <w:div w:id="1522622247">
      <w:marLeft w:val="0"/>
      <w:marRight w:val="0"/>
      <w:marTop w:val="120"/>
      <w:marBottom w:val="0"/>
      <w:divBdr>
        <w:top w:val="none" w:sz="0" w:space="0" w:color="auto"/>
        <w:left w:val="none" w:sz="0" w:space="0" w:color="auto"/>
        <w:bottom w:val="none" w:sz="0" w:space="0" w:color="auto"/>
        <w:right w:val="none" w:sz="0" w:space="0" w:color="auto"/>
      </w:divBdr>
    </w:div>
    <w:div w:id="1524052394">
      <w:marLeft w:val="0"/>
      <w:marRight w:val="0"/>
      <w:marTop w:val="120"/>
      <w:marBottom w:val="0"/>
      <w:divBdr>
        <w:top w:val="none" w:sz="0" w:space="0" w:color="auto"/>
        <w:left w:val="none" w:sz="0" w:space="0" w:color="auto"/>
        <w:bottom w:val="none" w:sz="0" w:space="0" w:color="auto"/>
        <w:right w:val="none" w:sz="0" w:space="0" w:color="auto"/>
      </w:divBdr>
    </w:div>
    <w:div w:id="1526476109">
      <w:marLeft w:val="0"/>
      <w:marRight w:val="0"/>
      <w:marTop w:val="120"/>
      <w:marBottom w:val="120"/>
      <w:divBdr>
        <w:top w:val="none" w:sz="0" w:space="0" w:color="auto"/>
        <w:left w:val="none" w:sz="0" w:space="0" w:color="auto"/>
        <w:bottom w:val="none" w:sz="0" w:space="0" w:color="auto"/>
        <w:right w:val="none" w:sz="0" w:space="0" w:color="auto"/>
      </w:divBdr>
    </w:div>
    <w:div w:id="1531063668">
      <w:marLeft w:val="0"/>
      <w:marRight w:val="0"/>
      <w:marTop w:val="0"/>
      <w:marBottom w:val="0"/>
      <w:divBdr>
        <w:top w:val="none" w:sz="0" w:space="0" w:color="auto"/>
        <w:left w:val="none" w:sz="0" w:space="0" w:color="auto"/>
        <w:bottom w:val="none" w:sz="0" w:space="0" w:color="auto"/>
        <w:right w:val="none" w:sz="0" w:space="0" w:color="auto"/>
      </w:divBdr>
      <w:divsChild>
        <w:div w:id="74976586">
          <w:marLeft w:val="0"/>
          <w:marRight w:val="0"/>
          <w:marTop w:val="0"/>
          <w:marBottom w:val="0"/>
          <w:divBdr>
            <w:top w:val="none" w:sz="0" w:space="0" w:color="auto"/>
            <w:left w:val="none" w:sz="0" w:space="0" w:color="auto"/>
            <w:bottom w:val="none" w:sz="0" w:space="0" w:color="auto"/>
            <w:right w:val="none" w:sz="0" w:space="0" w:color="auto"/>
          </w:divBdr>
        </w:div>
      </w:divsChild>
    </w:div>
    <w:div w:id="1532911036">
      <w:marLeft w:val="0"/>
      <w:marRight w:val="0"/>
      <w:marTop w:val="0"/>
      <w:marBottom w:val="0"/>
      <w:divBdr>
        <w:top w:val="none" w:sz="0" w:space="0" w:color="auto"/>
        <w:left w:val="none" w:sz="0" w:space="0" w:color="auto"/>
        <w:bottom w:val="none" w:sz="0" w:space="0" w:color="auto"/>
        <w:right w:val="none" w:sz="0" w:space="0" w:color="auto"/>
      </w:divBdr>
    </w:div>
    <w:div w:id="1536969633">
      <w:marLeft w:val="0"/>
      <w:marRight w:val="0"/>
      <w:marTop w:val="120"/>
      <w:marBottom w:val="0"/>
      <w:divBdr>
        <w:top w:val="none" w:sz="0" w:space="0" w:color="auto"/>
        <w:left w:val="none" w:sz="0" w:space="0" w:color="auto"/>
        <w:bottom w:val="none" w:sz="0" w:space="0" w:color="auto"/>
        <w:right w:val="none" w:sz="0" w:space="0" w:color="auto"/>
      </w:divBdr>
    </w:div>
    <w:div w:id="1538735863">
      <w:marLeft w:val="0"/>
      <w:marRight w:val="0"/>
      <w:marTop w:val="0"/>
      <w:marBottom w:val="0"/>
      <w:divBdr>
        <w:top w:val="none" w:sz="0" w:space="0" w:color="auto"/>
        <w:left w:val="none" w:sz="0" w:space="0" w:color="auto"/>
        <w:bottom w:val="none" w:sz="0" w:space="0" w:color="auto"/>
        <w:right w:val="none" w:sz="0" w:space="0" w:color="auto"/>
      </w:divBdr>
      <w:divsChild>
        <w:div w:id="1125655353">
          <w:marLeft w:val="0"/>
          <w:marRight w:val="0"/>
          <w:marTop w:val="0"/>
          <w:marBottom w:val="0"/>
          <w:divBdr>
            <w:top w:val="none" w:sz="0" w:space="0" w:color="auto"/>
            <w:left w:val="none" w:sz="0" w:space="0" w:color="auto"/>
            <w:bottom w:val="none" w:sz="0" w:space="0" w:color="auto"/>
            <w:right w:val="none" w:sz="0" w:space="0" w:color="auto"/>
          </w:divBdr>
        </w:div>
      </w:divsChild>
    </w:div>
    <w:div w:id="1540050557">
      <w:marLeft w:val="0"/>
      <w:marRight w:val="0"/>
      <w:marTop w:val="120"/>
      <w:marBottom w:val="0"/>
      <w:divBdr>
        <w:top w:val="none" w:sz="0" w:space="0" w:color="auto"/>
        <w:left w:val="none" w:sz="0" w:space="0" w:color="auto"/>
        <w:bottom w:val="none" w:sz="0" w:space="0" w:color="auto"/>
        <w:right w:val="none" w:sz="0" w:space="0" w:color="auto"/>
      </w:divBdr>
    </w:div>
    <w:div w:id="1547793244">
      <w:marLeft w:val="0"/>
      <w:marRight w:val="0"/>
      <w:marTop w:val="120"/>
      <w:marBottom w:val="120"/>
      <w:divBdr>
        <w:top w:val="none" w:sz="0" w:space="0" w:color="auto"/>
        <w:left w:val="none" w:sz="0" w:space="0" w:color="auto"/>
        <w:bottom w:val="none" w:sz="0" w:space="0" w:color="auto"/>
        <w:right w:val="none" w:sz="0" w:space="0" w:color="auto"/>
      </w:divBdr>
    </w:div>
    <w:div w:id="1549761495">
      <w:marLeft w:val="0"/>
      <w:marRight w:val="0"/>
      <w:marTop w:val="180"/>
      <w:marBottom w:val="0"/>
      <w:divBdr>
        <w:top w:val="none" w:sz="0" w:space="0" w:color="auto"/>
        <w:left w:val="none" w:sz="0" w:space="0" w:color="auto"/>
        <w:bottom w:val="none" w:sz="0" w:space="0" w:color="auto"/>
        <w:right w:val="none" w:sz="0" w:space="0" w:color="auto"/>
      </w:divBdr>
    </w:div>
    <w:div w:id="1550722404">
      <w:marLeft w:val="0"/>
      <w:marRight w:val="0"/>
      <w:marTop w:val="120"/>
      <w:marBottom w:val="120"/>
      <w:divBdr>
        <w:top w:val="none" w:sz="0" w:space="0" w:color="auto"/>
        <w:left w:val="none" w:sz="0" w:space="0" w:color="auto"/>
        <w:bottom w:val="none" w:sz="0" w:space="0" w:color="auto"/>
        <w:right w:val="none" w:sz="0" w:space="0" w:color="auto"/>
      </w:divBdr>
    </w:div>
    <w:div w:id="1551650197">
      <w:marLeft w:val="0"/>
      <w:marRight w:val="0"/>
      <w:marTop w:val="120"/>
      <w:marBottom w:val="0"/>
      <w:divBdr>
        <w:top w:val="none" w:sz="0" w:space="0" w:color="auto"/>
        <w:left w:val="none" w:sz="0" w:space="0" w:color="auto"/>
        <w:bottom w:val="none" w:sz="0" w:space="0" w:color="auto"/>
        <w:right w:val="none" w:sz="0" w:space="0" w:color="auto"/>
      </w:divBdr>
    </w:div>
    <w:div w:id="1556118795">
      <w:marLeft w:val="0"/>
      <w:marRight w:val="0"/>
      <w:marTop w:val="120"/>
      <w:marBottom w:val="120"/>
      <w:divBdr>
        <w:top w:val="none" w:sz="0" w:space="0" w:color="auto"/>
        <w:left w:val="none" w:sz="0" w:space="0" w:color="auto"/>
        <w:bottom w:val="none" w:sz="0" w:space="0" w:color="auto"/>
        <w:right w:val="none" w:sz="0" w:space="0" w:color="auto"/>
      </w:divBdr>
    </w:div>
    <w:div w:id="1563100775">
      <w:marLeft w:val="0"/>
      <w:marRight w:val="0"/>
      <w:marTop w:val="120"/>
      <w:marBottom w:val="0"/>
      <w:divBdr>
        <w:top w:val="none" w:sz="0" w:space="0" w:color="auto"/>
        <w:left w:val="none" w:sz="0" w:space="0" w:color="auto"/>
        <w:bottom w:val="none" w:sz="0" w:space="0" w:color="auto"/>
        <w:right w:val="none" w:sz="0" w:space="0" w:color="auto"/>
      </w:divBdr>
    </w:div>
    <w:div w:id="1572043050">
      <w:marLeft w:val="0"/>
      <w:marRight w:val="0"/>
      <w:marTop w:val="180"/>
      <w:marBottom w:val="0"/>
      <w:divBdr>
        <w:top w:val="none" w:sz="0" w:space="0" w:color="auto"/>
        <w:left w:val="none" w:sz="0" w:space="0" w:color="auto"/>
        <w:bottom w:val="none" w:sz="0" w:space="0" w:color="auto"/>
        <w:right w:val="none" w:sz="0" w:space="0" w:color="auto"/>
      </w:divBdr>
    </w:div>
    <w:div w:id="1574663560">
      <w:marLeft w:val="0"/>
      <w:marRight w:val="0"/>
      <w:marTop w:val="120"/>
      <w:marBottom w:val="0"/>
      <w:divBdr>
        <w:top w:val="none" w:sz="0" w:space="0" w:color="auto"/>
        <w:left w:val="none" w:sz="0" w:space="0" w:color="auto"/>
        <w:bottom w:val="none" w:sz="0" w:space="0" w:color="auto"/>
        <w:right w:val="none" w:sz="0" w:space="0" w:color="auto"/>
      </w:divBdr>
    </w:div>
    <w:div w:id="1582369032">
      <w:marLeft w:val="0"/>
      <w:marRight w:val="0"/>
      <w:marTop w:val="0"/>
      <w:marBottom w:val="0"/>
      <w:divBdr>
        <w:top w:val="none" w:sz="0" w:space="0" w:color="auto"/>
        <w:left w:val="none" w:sz="0" w:space="0" w:color="auto"/>
        <w:bottom w:val="none" w:sz="0" w:space="0" w:color="auto"/>
        <w:right w:val="none" w:sz="0" w:space="0" w:color="auto"/>
      </w:divBdr>
    </w:div>
    <w:div w:id="1596134768">
      <w:marLeft w:val="0"/>
      <w:marRight w:val="0"/>
      <w:marTop w:val="120"/>
      <w:marBottom w:val="0"/>
      <w:divBdr>
        <w:top w:val="none" w:sz="0" w:space="0" w:color="auto"/>
        <w:left w:val="none" w:sz="0" w:space="0" w:color="auto"/>
        <w:bottom w:val="none" w:sz="0" w:space="0" w:color="auto"/>
        <w:right w:val="none" w:sz="0" w:space="0" w:color="auto"/>
      </w:divBdr>
    </w:div>
    <w:div w:id="1599219338">
      <w:marLeft w:val="0"/>
      <w:marRight w:val="0"/>
      <w:marTop w:val="0"/>
      <w:marBottom w:val="0"/>
      <w:divBdr>
        <w:top w:val="none" w:sz="0" w:space="0" w:color="auto"/>
        <w:left w:val="none" w:sz="0" w:space="0" w:color="auto"/>
        <w:bottom w:val="none" w:sz="0" w:space="0" w:color="auto"/>
        <w:right w:val="none" w:sz="0" w:space="0" w:color="auto"/>
      </w:divBdr>
      <w:divsChild>
        <w:div w:id="1784231475">
          <w:marLeft w:val="0"/>
          <w:marRight w:val="0"/>
          <w:marTop w:val="0"/>
          <w:marBottom w:val="0"/>
          <w:divBdr>
            <w:top w:val="none" w:sz="0" w:space="0" w:color="auto"/>
            <w:left w:val="none" w:sz="0" w:space="0" w:color="auto"/>
            <w:bottom w:val="none" w:sz="0" w:space="0" w:color="auto"/>
            <w:right w:val="none" w:sz="0" w:space="0" w:color="auto"/>
          </w:divBdr>
        </w:div>
      </w:divsChild>
    </w:div>
    <w:div w:id="1602492491">
      <w:marLeft w:val="0"/>
      <w:marRight w:val="0"/>
      <w:marTop w:val="120"/>
      <w:marBottom w:val="0"/>
      <w:divBdr>
        <w:top w:val="none" w:sz="0" w:space="0" w:color="auto"/>
        <w:left w:val="none" w:sz="0" w:space="0" w:color="auto"/>
        <w:bottom w:val="none" w:sz="0" w:space="0" w:color="auto"/>
        <w:right w:val="none" w:sz="0" w:space="0" w:color="auto"/>
      </w:divBdr>
    </w:div>
    <w:div w:id="1602953426">
      <w:marLeft w:val="0"/>
      <w:marRight w:val="0"/>
      <w:marTop w:val="120"/>
      <w:marBottom w:val="120"/>
      <w:divBdr>
        <w:top w:val="none" w:sz="0" w:space="0" w:color="auto"/>
        <w:left w:val="none" w:sz="0" w:space="0" w:color="auto"/>
        <w:bottom w:val="none" w:sz="0" w:space="0" w:color="auto"/>
        <w:right w:val="none" w:sz="0" w:space="0" w:color="auto"/>
      </w:divBdr>
    </w:div>
    <w:div w:id="1610503265">
      <w:marLeft w:val="0"/>
      <w:marRight w:val="0"/>
      <w:marTop w:val="120"/>
      <w:marBottom w:val="0"/>
      <w:divBdr>
        <w:top w:val="none" w:sz="0" w:space="0" w:color="auto"/>
        <w:left w:val="none" w:sz="0" w:space="0" w:color="auto"/>
        <w:bottom w:val="none" w:sz="0" w:space="0" w:color="auto"/>
        <w:right w:val="none" w:sz="0" w:space="0" w:color="auto"/>
      </w:divBdr>
    </w:div>
    <w:div w:id="1613973110">
      <w:marLeft w:val="0"/>
      <w:marRight w:val="0"/>
      <w:marTop w:val="0"/>
      <w:marBottom w:val="0"/>
      <w:divBdr>
        <w:top w:val="none" w:sz="0" w:space="0" w:color="auto"/>
        <w:left w:val="none" w:sz="0" w:space="0" w:color="auto"/>
        <w:bottom w:val="none" w:sz="0" w:space="0" w:color="auto"/>
        <w:right w:val="none" w:sz="0" w:space="0" w:color="auto"/>
      </w:divBdr>
    </w:div>
    <w:div w:id="1618442926">
      <w:marLeft w:val="0"/>
      <w:marRight w:val="0"/>
      <w:marTop w:val="0"/>
      <w:marBottom w:val="0"/>
      <w:divBdr>
        <w:top w:val="none" w:sz="0" w:space="0" w:color="auto"/>
        <w:left w:val="none" w:sz="0" w:space="0" w:color="auto"/>
        <w:bottom w:val="none" w:sz="0" w:space="0" w:color="auto"/>
        <w:right w:val="none" w:sz="0" w:space="0" w:color="auto"/>
      </w:divBdr>
      <w:divsChild>
        <w:div w:id="1817334532">
          <w:marLeft w:val="0"/>
          <w:marRight w:val="0"/>
          <w:marTop w:val="0"/>
          <w:marBottom w:val="0"/>
          <w:divBdr>
            <w:top w:val="none" w:sz="0" w:space="0" w:color="auto"/>
            <w:left w:val="none" w:sz="0" w:space="0" w:color="auto"/>
            <w:bottom w:val="none" w:sz="0" w:space="0" w:color="auto"/>
            <w:right w:val="none" w:sz="0" w:space="0" w:color="auto"/>
          </w:divBdr>
        </w:div>
      </w:divsChild>
    </w:div>
    <w:div w:id="1625578773">
      <w:marLeft w:val="0"/>
      <w:marRight w:val="0"/>
      <w:marTop w:val="120"/>
      <w:marBottom w:val="0"/>
      <w:divBdr>
        <w:top w:val="none" w:sz="0" w:space="0" w:color="auto"/>
        <w:left w:val="none" w:sz="0" w:space="0" w:color="auto"/>
        <w:bottom w:val="none" w:sz="0" w:space="0" w:color="auto"/>
        <w:right w:val="none" w:sz="0" w:space="0" w:color="auto"/>
      </w:divBdr>
    </w:div>
    <w:div w:id="1628393824">
      <w:marLeft w:val="0"/>
      <w:marRight w:val="0"/>
      <w:marTop w:val="20"/>
      <w:marBottom w:val="0"/>
      <w:divBdr>
        <w:top w:val="none" w:sz="0" w:space="0" w:color="auto"/>
        <w:left w:val="none" w:sz="0" w:space="0" w:color="auto"/>
        <w:bottom w:val="none" w:sz="0" w:space="0" w:color="auto"/>
        <w:right w:val="none" w:sz="0" w:space="0" w:color="auto"/>
      </w:divBdr>
    </w:div>
    <w:div w:id="1631934013">
      <w:marLeft w:val="0"/>
      <w:marRight w:val="0"/>
      <w:marTop w:val="120"/>
      <w:marBottom w:val="0"/>
      <w:divBdr>
        <w:top w:val="none" w:sz="0" w:space="0" w:color="auto"/>
        <w:left w:val="none" w:sz="0" w:space="0" w:color="auto"/>
        <w:bottom w:val="none" w:sz="0" w:space="0" w:color="auto"/>
        <w:right w:val="none" w:sz="0" w:space="0" w:color="auto"/>
      </w:divBdr>
    </w:div>
    <w:div w:id="1633747706">
      <w:marLeft w:val="0"/>
      <w:marRight w:val="0"/>
      <w:marTop w:val="120"/>
      <w:marBottom w:val="0"/>
      <w:divBdr>
        <w:top w:val="none" w:sz="0" w:space="0" w:color="auto"/>
        <w:left w:val="none" w:sz="0" w:space="0" w:color="auto"/>
        <w:bottom w:val="none" w:sz="0" w:space="0" w:color="auto"/>
        <w:right w:val="none" w:sz="0" w:space="0" w:color="auto"/>
      </w:divBdr>
    </w:div>
    <w:div w:id="1634403224">
      <w:marLeft w:val="0"/>
      <w:marRight w:val="0"/>
      <w:marTop w:val="120"/>
      <w:marBottom w:val="0"/>
      <w:divBdr>
        <w:top w:val="none" w:sz="0" w:space="0" w:color="auto"/>
        <w:left w:val="none" w:sz="0" w:space="0" w:color="auto"/>
        <w:bottom w:val="none" w:sz="0" w:space="0" w:color="auto"/>
        <w:right w:val="none" w:sz="0" w:space="0" w:color="auto"/>
      </w:divBdr>
    </w:div>
    <w:div w:id="1644461414">
      <w:marLeft w:val="0"/>
      <w:marRight w:val="0"/>
      <w:marTop w:val="120"/>
      <w:marBottom w:val="0"/>
      <w:divBdr>
        <w:top w:val="none" w:sz="0" w:space="0" w:color="auto"/>
        <w:left w:val="none" w:sz="0" w:space="0" w:color="auto"/>
        <w:bottom w:val="none" w:sz="0" w:space="0" w:color="auto"/>
        <w:right w:val="none" w:sz="0" w:space="0" w:color="auto"/>
      </w:divBdr>
    </w:div>
    <w:div w:id="1645164248">
      <w:marLeft w:val="0"/>
      <w:marRight w:val="0"/>
      <w:marTop w:val="120"/>
      <w:marBottom w:val="0"/>
      <w:divBdr>
        <w:top w:val="none" w:sz="0" w:space="0" w:color="auto"/>
        <w:left w:val="none" w:sz="0" w:space="0" w:color="auto"/>
        <w:bottom w:val="none" w:sz="0" w:space="0" w:color="auto"/>
        <w:right w:val="none" w:sz="0" w:space="0" w:color="auto"/>
      </w:divBdr>
    </w:div>
    <w:div w:id="1646734991">
      <w:marLeft w:val="0"/>
      <w:marRight w:val="0"/>
      <w:marTop w:val="120"/>
      <w:marBottom w:val="0"/>
      <w:divBdr>
        <w:top w:val="none" w:sz="0" w:space="0" w:color="auto"/>
        <w:left w:val="none" w:sz="0" w:space="0" w:color="auto"/>
        <w:bottom w:val="none" w:sz="0" w:space="0" w:color="auto"/>
        <w:right w:val="none" w:sz="0" w:space="0" w:color="auto"/>
      </w:divBdr>
    </w:div>
    <w:div w:id="1646812432">
      <w:marLeft w:val="0"/>
      <w:marRight w:val="0"/>
      <w:marTop w:val="0"/>
      <w:marBottom w:val="0"/>
      <w:divBdr>
        <w:top w:val="none" w:sz="0" w:space="0" w:color="auto"/>
        <w:left w:val="none" w:sz="0" w:space="0" w:color="auto"/>
        <w:bottom w:val="none" w:sz="0" w:space="0" w:color="auto"/>
        <w:right w:val="none" w:sz="0" w:space="0" w:color="auto"/>
      </w:divBdr>
    </w:div>
    <w:div w:id="1647542097">
      <w:marLeft w:val="0"/>
      <w:marRight w:val="0"/>
      <w:marTop w:val="20"/>
      <w:marBottom w:val="120"/>
      <w:divBdr>
        <w:top w:val="none" w:sz="0" w:space="0" w:color="auto"/>
        <w:left w:val="none" w:sz="0" w:space="0" w:color="auto"/>
        <w:bottom w:val="none" w:sz="0" w:space="0" w:color="auto"/>
        <w:right w:val="none" w:sz="0" w:space="0" w:color="auto"/>
      </w:divBdr>
    </w:div>
    <w:div w:id="1649507921">
      <w:marLeft w:val="0"/>
      <w:marRight w:val="0"/>
      <w:marTop w:val="0"/>
      <w:marBottom w:val="0"/>
      <w:divBdr>
        <w:top w:val="none" w:sz="0" w:space="0" w:color="auto"/>
        <w:left w:val="none" w:sz="0" w:space="0" w:color="auto"/>
        <w:bottom w:val="none" w:sz="0" w:space="0" w:color="auto"/>
        <w:right w:val="none" w:sz="0" w:space="0" w:color="auto"/>
      </w:divBdr>
      <w:divsChild>
        <w:div w:id="1351950544">
          <w:marLeft w:val="0"/>
          <w:marRight w:val="0"/>
          <w:marTop w:val="0"/>
          <w:marBottom w:val="0"/>
          <w:divBdr>
            <w:top w:val="none" w:sz="0" w:space="0" w:color="auto"/>
            <w:left w:val="none" w:sz="0" w:space="0" w:color="auto"/>
            <w:bottom w:val="none" w:sz="0" w:space="0" w:color="auto"/>
            <w:right w:val="none" w:sz="0" w:space="0" w:color="auto"/>
          </w:divBdr>
        </w:div>
      </w:divsChild>
    </w:div>
    <w:div w:id="1652708673">
      <w:marLeft w:val="0"/>
      <w:marRight w:val="0"/>
      <w:marTop w:val="0"/>
      <w:marBottom w:val="0"/>
      <w:divBdr>
        <w:top w:val="none" w:sz="0" w:space="0" w:color="auto"/>
        <w:left w:val="none" w:sz="0" w:space="0" w:color="auto"/>
        <w:bottom w:val="none" w:sz="0" w:space="0" w:color="auto"/>
        <w:right w:val="none" w:sz="0" w:space="0" w:color="auto"/>
      </w:divBdr>
    </w:div>
    <w:div w:id="1653871782">
      <w:marLeft w:val="0"/>
      <w:marRight w:val="0"/>
      <w:marTop w:val="120"/>
      <w:marBottom w:val="0"/>
      <w:divBdr>
        <w:top w:val="none" w:sz="0" w:space="0" w:color="auto"/>
        <w:left w:val="none" w:sz="0" w:space="0" w:color="auto"/>
        <w:bottom w:val="none" w:sz="0" w:space="0" w:color="auto"/>
        <w:right w:val="none" w:sz="0" w:space="0" w:color="auto"/>
      </w:divBdr>
    </w:div>
    <w:div w:id="1655257544">
      <w:marLeft w:val="0"/>
      <w:marRight w:val="0"/>
      <w:marTop w:val="120"/>
      <w:marBottom w:val="0"/>
      <w:divBdr>
        <w:top w:val="none" w:sz="0" w:space="0" w:color="auto"/>
        <w:left w:val="none" w:sz="0" w:space="0" w:color="auto"/>
        <w:bottom w:val="none" w:sz="0" w:space="0" w:color="auto"/>
        <w:right w:val="none" w:sz="0" w:space="0" w:color="auto"/>
      </w:divBdr>
    </w:div>
    <w:div w:id="1656178576">
      <w:marLeft w:val="0"/>
      <w:marRight w:val="0"/>
      <w:marTop w:val="120"/>
      <w:marBottom w:val="0"/>
      <w:divBdr>
        <w:top w:val="none" w:sz="0" w:space="0" w:color="auto"/>
        <w:left w:val="none" w:sz="0" w:space="0" w:color="auto"/>
        <w:bottom w:val="none" w:sz="0" w:space="0" w:color="auto"/>
        <w:right w:val="none" w:sz="0" w:space="0" w:color="auto"/>
      </w:divBdr>
    </w:div>
    <w:div w:id="1657414790">
      <w:marLeft w:val="0"/>
      <w:marRight w:val="0"/>
      <w:marTop w:val="0"/>
      <w:marBottom w:val="0"/>
      <w:divBdr>
        <w:top w:val="none" w:sz="0" w:space="0" w:color="auto"/>
        <w:left w:val="none" w:sz="0" w:space="0" w:color="auto"/>
        <w:bottom w:val="none" w:sz="0" w:space="0" w:color="auto"/>
        <w:right w:val="none" w:sz="0" w:space="0" w:color="auto"/>
      </w:divBdr>
    </w:div>
    <w:div w:id="1661036915">
      <w:marLeft w:val="0"/>
      <w:marRight w:val="0"/>
      <w:marTop w:val="120"/>
      <w:marBottom w:val="0"/>
      <w:divBdr>
        <w:top w:val="none" w:sz="0" w:space="0" w:color="auto"/>
        <w:left w:val="none" w:sz="0" w:space="0" w:color="auto"/>
        <w:bottom w:val="none" w:sz="0" w:space="0" w:color="auto"/>
        <w:right w:val="none" w:sz="0" w:space="0" w:color="auto"/>
      </w:divBdr>
    </w:div>
    <w:div w:id="1661805602">
      <w:marLeft w:val="0"/>
      <w:marRight w:val="0"/>
      <w:marTop w:val="0"/>
      <w:marBottom w:val="0"/>
      <w:divBdr>
        <w:top w:val="none" w:sz="0" w:space="0" w:color="auto"/>
        <w:left w:val="none" w:sz="0" w:space="0" w:color="auto"/>
        <w:bottom w:val="none" w:sz="0" w:space="0" w:color="auto"/>
        <w:right w:val="none" w:sz="0" w:space="0" w:color="auto"/>
      </w:divBdr>
      <w:divsChild>
        <w:div w:id="855774816">
          <w:marLeft w:val="0"/>
          <w:marRight w:val="0"/>
          <w:marTop w:val="0"/>
          <w:marBottom w:val="0"/>
          <w:divBdr>
            <w:top w:val="none" w:sz="0" w:space="0" w:color="auto"/>
            <w:left w:val="none" w:sz="0" w:space="0" w:color="auto"/>
            <w:bottom w:val="none" w:sz="0" w:space="0" w:color="auto"/>
            <w:right w:val="none" w:sz="0" w:space="0" w:color="auto"/>
          </w:divBdr>
        </w:div>
      </w:divsChild>
    </w:div>
    <w:div w:id="1663777819">
      <w:marLeft w:val="0"/>
      <w:marRight w:val="0"/>
      <w:marTop w:val="120"/>
      <w:marBottom w:val="120"/>
      <w:divBdr>
        <w:top w:val="none" w:sz="0" w:space="0" w:color="auto"/>
        <w:left w:val="none" w:sz="0" w:space="0" w:color="auto"/>
        <w:bottom w:val="none" w:sz="0" w:space="0" w:color="auto"/>
        <w:right w:val="none" w:sz="0" w:space="0" w:color="auto"/>
      </w:divBdr>
    </w:div>
    <w:div w:id="1664897175">
      <w:marLeft w:val="0"/>
      <w:marRight w:val="0"/>
      <w:marTop w:val="120"/>
      <w:marBottom w:val="0"/>
      <w:divBdr>
        <w:top w:val="none" w:sz="0" w:space="0" w:color="auto"/>
        <w:left w:val="none" w:sz="0" w:space="0" w:color="auto"/>
        <w:bottom w:val="none" w:sz="0" w:space="0" w:color="auto"/>
        <w:right w:val="none" w:sz="0" w:space="0" w:color="auto"/>
      </w:divBdr>
    </w:div>
    <w:div w:id="1668628084">
      <w:marLeft w:val="0"/>
      <w:marRight w:val="0"/>
      <w:marTop w:val="0"/>
      <w:marBottom w:val="0"/>
      <w:divBdr>
        <w:top w:val="none" w:sz="0" w:space="0" w:color="auto"/>
        <w:left w:val="none" w:sz="0" w:space="0" w:color="auto"/>
        <w:bottom w:val="none" w:sz="0" w:space="0" w:color="auto"/>
        <w:right w:val="none" w:sz="0" w:space="0" w:color="auto"/>
      </w:divBdr>
      <w:divsChild>
        <w:div w:id="143207099">
          <w:marLeft w:val="0"/>
          <w:marRight w:val="0"/>
          <w:marTop w:val="0"/>
          <w:marBottom w:val="0"/>
          <w:divBdr>
            <w:top w:val="none" w:sz="0" w:space="0" w:color="auto"/>
            <w:left w:val="none" w:sz="0" w:space="0" w:color="auto"/>
            <w:bottom w:val="none" w:sz="0" w:space="0" w:color="auto"/>
            <w:right w:val="none" w:sz="0" w:space="0" w:color="auto"/>
          </w:divBdr>
        </w:div>
      </w:divsChild>
    </w:div>
    <w:div w:id="1671178541">
      <w:marLeft w:val="0"/>
      <w:marRight w:val="0"/>
      <w:marTop w:val="120"/>
      <w:marBottom w:val="0"/>
      <w:divBdr>
        <w:top w:val="none" w:sz="0" w:space="0" w:color="auto"/>
        <w:left w:val="none" w:sz="0" w:space="0" w:color="auto"/>
        <w:bottom w:val="none" w:sz="0" w:space="0" w:color="auto"/>
        <w:right w:val="none" w:sz="0" w:space="0" w:color="auto"/>
      </w:divBdr>
    </w:div>
    <w:div w:id="1674994869">
      <w:marLeft w:val="0"/>
      <w:marRight w:val="0"/>
      <w:marTop w:val="120"/>
      <w:marBottom w:val="0"/>
      <w:divBdr>
        <w:top w:val="none" w:sz="0" w:space="0" w:color="auto"/>
        <w:left w:val="none" w:sz="0" w:space="0" w:color="auto"/>
        <w:bottom w:val="none" w:sz="0" w:space="0" w:color="auto"/>
        <w:right w:val="none" w:sz="0" w:space="0" w:color="auto"/>
      </w:divBdr>
    </w:div>
    <w:div w:id="1675840465">
      <w:marLeft w:val="0"/>
      <w:marRight w:val="0"/>
      <w:marTop w:val="60"/>
      <w:marBottom w:val="0"/>
      <w:divBdr>
        <w:top w:val="none" w:sz="0" w:space="0" w:color="auto"/>
        <w:left w:val="none" w:sz="0" w:space="0" w:color="auto"/>
        <w:bottom w:val="none" w:sz="0" w:space="0" w:color="auto"/>
        <w:right w:val="none" w:sz="0" w:space="0" w:color="auto"/>
      </w:divBdr>
    </w:div>
    <w:div w:id="1675958148">
      <w:marLeft w:val="0"/>
      <w:marRight w:val="0"/>
      <w:marTop w:val="120"/>
      <w:marBottom w:val="0"/>
      <w:divBdr>
        <w:top w:val="none" w:sz="0" w:space="0" w:color="auto"/>
        <w:left w:val="none" w:sz="0" w:space="0" w:color="auto"/>
        <w:bottom w:val="none" w:sz="0" w:space="0" w:color="auto"/>
        <w:right w:val="none" w:sz="0" w:space="0" w:color="auto"/>
      </w:divBdr>
    </w:div>
    <w:div w:id="1679192088">
      <w:marLeft w:val="0"/>
      <w:marRight w:val="0"/>
      <w:marTop w:val="120"/>
      <w:marBottom w:val="0"/>
      <w:divBdr>
        <w:top w:val="none" w:sz="0" w:space="0" w:color="auto"/>
        <w:left w:val="none" w:sz="0" w:space="0" w:color="auto"/>
        <w:bottom w:val="none" w:sz="0" w:space="0" w:color="auto"/>
        <w:right w:val="none" w:sz="0" w:space="0" w:color="auto"/>
      </w:divBdr>
    </w:div>
    <w:div w:id="1680040440">
      <w:marLeft w:val="0"/>
      <w:marRight w:val="0"/>
      <w:marTop w:val="120"/>
      <w:marBottom w:val="0"/>
      <w:divBdr>
        <w:top w:val="none" w:sz="0" w:space="0" w:color="auto"/>
        <w:left w:val="none" w:sz="0" w:space="0" w:color="auto"/>
        <w:bottom w:val="none" w:sz="0" w:space="0" w:color="auto"/>
        <w:right w:val="none" w:sz="0" w:space="0" w:color="auto"/>
      </w:divBdr>
    </w:div>
    <w:div w:id="1691057426">
      <w:marLeft w:val="0"/>
      <w:marRight w:val="0"/>
      <w:marTop w:val="180"/>
      <w:marBottom w:val="0"/>
      <w:divBdr>
        <w:top w:val="none" w:sz="0" w:space="0" w:color="auto"/>
        <w:left w:val="none" w:sz="0" w:space="0" w:color="auto"/>
        <w:bottom w:val="none" w:sz="0" w:space="0" w:color="auto"/>
        <w:right w:val="none" w:sz="0" w:space="0" w:color="auto"/>
      </w:divBdr>
    </w:div>
    <w:div w:id="1694723544">
      <w:marLeft w:val="0"/>
      <w:marRight w:val="0"/>
      <w:marTop w:val="120"/>
      <w:marBottom w:val="0"/>
      <w:divBdr>
        <w:top w:val="none" w:sz="0" w:space="0" w:color="auto"/>
        <w:left w:val="none" w:sz="0" w:space="0" w:color="auto"/>
        <w:bottom w:val="none" w:sz="0" w:space="0" w:color="auto"/>
        <w:right w:val="none" w:sz="0" w:space="0" w:color="auto"/>
      </w:divBdr>
    </w:div>
    <w:div w:id="1699819376">
      <w:marLeft w:val="0"/>
      <w:marRight w:val="0"/>
      <w:marTop w:val="180"/>
      <w:marBottom w:val="0"/>
      <w:divBdr>
        <w:top w:val="none" w:sz="0" w:space="0" w:color="auto"/>
        <w:left w:val="none" w:sz="0" w:space="0" w:color="auto"/>
        <w:bottom w:val="none" w:sz="0" w:space="0" w:color="auto"/>
        <w:right w:val="none" w:sz="0" w:space="0" w:color="auto"/>
      </w:divBdr>
    </w:div>
    <w:div w:id="1706248858">
      <w:marLeft w:val="0"/>
      <w:marRight w:val="0"/>
      <w:marTop w:val="0"/>
      <w:marBottom w:val="0"/>
      <w:divBdr>
        <w:top w:val="none" w:sz="0" w:space="0" w:color="auto"/>
        <w:left w:val="none" w:sz="0" w:space="0" w:color="auto"/>
        <w:bottom w:val="none" w:sz="0" w:space="0" w:color="auto"/>
        <w:right w:val="none" w:sz="0" w:space="0" w:color="auto"/>
      </w:divBdr>
      <w:divsChild>
        <w:div w:id="460465167">
          <w:marLeft w:val="0"/>
          <w:marRight w:val="0"/>
          <w:marTop w:val="0"/>
          <w:marBottom w:val="0"/>
          <w:divBdr>
            <w:top w:val="none" w:sz="0" w:space="0" w:color="auto"/>
            <w:left w:val="none" w:sz="0" w:space="0" w:color="auto"/>
            <w:bottom w:val="none" w:sz="0" w:space="0" w:color="auto"/>
            <w:right w:val="none" w:sz="0" w:space="0" w:color="auto"/>
          </w:divBdr>
        </w:div>
      </w:divsChild>
    </w:div>
    <w:div w:id="1710181021">
      <w:marLeft w:val="0"/>
      <w:marRight w:val="0"/>
      <w:marTop w:val="20"/>
      <w:marBottom w:val="0"/>
      <w:divBdr>
        <w:top w:val="none" w:sz="0" w:space="0" w:color="auto"/>
        <w:left w:val="none" w:sz="0" w:space="0" w:color="auto"/>
        <w:bottom w:val="none" w:sz="0" w:space="0" w:color="auto"/>
        <w:right w:val="none" w:sz="0" w:space="0" w:color="auto"/>
      </w:divBdr>
    </w:div>
    <w:div w:id="1717580031">
      <w:marLeft w:val="0"/>
      <w:marRight w:val="0"/>
      <w:marTop w:val="120"/>
      <w:marBottom w:val="120"/>
      <w:divBdr>
        <w:top w:val="none" w:sz="0" w:space="0" w:color="auto"/>
        <w:left w:val="none" w:sz="0" w:space="0" w:color="auto"/>
        <w:bottom w:val="none" w:sz="0" w:space="0" w:color="auto"/>
        <w:right w:val="none" w:sz="0" w:space="0" w:color="auto"/>
      </w:divBdr>
    </w:div>
    <w:div w:id="1720206032">
      <w:marLeft w:val="0"/>
      <w:marRight w:val="0"/>
      <w:marTop w:val="120"/>
      <w:marBottom w:val="0"/>
      <w:divBdr>
        <w:top w:val="none" w:sz="0" w:space="0" w:color="auto"/>
        <w:left w:val="none" w:sz="0" w:space="0" w:color="auto"/>
        <w:bottom w:val="none" w:sz="0" w:space="0" w:color="auto"/>
        <w:right w:val="none" w:sz="0" w:space="0" w:color="auto"/>
      </w:divBdr>
    </w:div>
    <w:div w:id="1720786477">
      <w:marLeft w:val="0"/>
      <w:marRight w:val="0"/>
      <w:marTop w:val="0"/>
      <w:marBottom w:val="0"/>
      <w:divBdr>
        <w:top w:val="none" w:sz="0" w:space="0" w:color="auto"/>
        <w:left w:val="none" w:sz="0" w:space="0" w:color="auto"/>
        <w:bottom w:val="none" w:sz="0" w:space="0" w:color="auto"/>
        <w:right w:val="none" w:sz="0" w:space="0" w:color="auto"/>
      </w:divBdr>
    </w:div>
    <w:div w:id="1726221393">
      <w:marLeft w:val="0"/>
      <w:marRight w:val="0"/>
      <w:marTop w:val="0"/>
      <w:marBottom w:val="0"/>
      <w:divBdr>
        <w:top w:val="none" w:sz="0" w:space="0" w:color="auto"/>
        <w:left w:val="none" w:sz="0" w:space="0" w:color="auto"/>
        <w:bottom w:val="none" w:sz="0" w:space="0" w:color="auto"/>
        <w:right w:val="none" w:sz="0" w:space="0" w:color="auto"/>
      </w:divBdr>
      <w:divsChild>
        <w:div w:id="1015306641">
          <w:marLeft w:val="0"/>
          <w:marRight w:val="0"/>
          <w:marTop w:val="0"/>
          <w:marBottom w:val="0"/>
          <w:divBdr>
            <w:top w:val="none" w:sz="0" w:space="0" w:color="auto"/>
            <w:left w:val="none" w:sz="0" w:space="0" w:color="auto"/>
            <w:bottom w:val="none" w:sz="0" w:space="0" w:color="auto"/>
            <w:right w:val="none" w:sz="0" w:space="0" w:color="auto"/>
          </w:divBdr>
        </w:div>
        <w:div w:id="790897954">
          <w:marLeft w:val="0"/>
          <w:marRight w:val="0"/>
          <w:marTop w:val="0"/>
          <w:marBottom w:val="0"/>
          <w:divBdr>
            <w:top w:val="none" w:sz="0" w:space="0" w:color="auto"/>
            <w:left w:val="none" w:sz="0" w:space="0" w:color="auto"/>
            <w:bottom w:val="none" w:sz="0" w:space="0" w:color="auto"/>
            <w:right w:val="none" w:sz="0" w:space="0" w:color="auto"/>
          </w:divBdr>
        </w:div>
        <w:div w:id="323166311">
          <w:marLeft w:val="0"/>
          <w:marRight w:val="0"/>
          <w:marTop w:val="0"/>
          <w:marBottom w:val="0"/>
          <w:divBdr>
            <w:top w:val="none" w:sz="0" w:space="0" w:color="auto"/>
            <w:left w:val="none" w:sz="0" w:space="0" w:color="auto"/>
            <w:bottom w:val="none" w:sz="0" w:space="0" w:color="auto"/>
            <w:right w:val="none" w:sz="0" w:space="0" w:color="auto"/>
          </w:divBdr>
        </w:div>
        <w:div w:id="233051863">
          <w:marLeft w:val="0"/>
          <w:marRight w:val="0"/>
          <w:marTop w:val="0"/>
          <w:marBottom w:val="0"/>
          <w:divBdr>
            <w:top w:val="none" w:sz="0" w:space="0" w:color="auto"/>
            <w:left w:val="none" w:sz="0" w:space="0" w:color="auto"/>
            <w:bottom w:val="none" w:sz="0" w:space="0" w:color="auto"/>
            <w:right w:val="none" w:sz="0" w:space="0" w:color="auto"/>
          </w:divBdr>
        </w:div>
        <w:div w:id="1066533265">
          <w:marLeft w:val="0"/>
          <w:marRight w:val="0"/>
          <w:marTop w:val="0"/>
          <w:marBottom w:val="0"/>
          <w:divBdr>
            <w:top w:val="none" w:sz="0" w:space="0" w:color="auto"/>
            <w:left w:val="none" w:sz="0" w:space="0" w:color="auto"/>
            <w:bottom w:val="none" w:sz="0" w:space="0" w:color="auto"/>
            <w:right w:val="none" w:sz="0" w:space="0" w:color="auto"/>
          </w:divBdr>
        </w:div>
        <w:div w:id="765882230">
          <w:marLeft w:val="0"/>
          <w:marRight w:val="0"/>
          <w:marTop w:val="0"/>
          <w:marBottom w:val="0"/>
          <w:divBdr>
            <w:top w:val="none" w:sz="0" w:space="0" w:color="auto"/>
            <w:left w:val="none" w:sz="0" w:space="0" w:color="auto"/>
            <w:bottom w:val="none" w:sz="0" w:space="0" w:color="auto"/>
            <w:right w:val="none" w:sz="0" w:space="0" w:color="auto"/>
          </w:divBdr>
        </w:div>
        <w:div w:id="686100125">
          <w:marLeft w:val="0"/>
          <w:marRight w:val="0"/>
          <w:marTop w:val="0"/>
          <w:marBottom w:val="0"/>
          <w:divBdr>
            <w:top w:val="none" w:sz="0" w:space="0" w:color="auto"/>
            <w:left w:val="none" w:sz="0" w:space="0" w:color="auto"/>
            <w:bottom w:val="none" w:sz="0" w:space="0" w:color="auto"/>
            <w:right w:val="none" w:sz="0" w:space="0" w:color="auto"/>
          </w:divBdr>
        </w:div>
        <w:div w:id="755899661">
          <w:marLeft w:val="0"/>
          <w:marRight w:val="0"/>
          <w:marTop w:val="0"/>
          <w:marBottom w:val="0"/>
          <w:divBdr>
            <w:top w:val="none" w:sz="0" w:space="0" w:color="auto"/>
            <w:left w:val="none" w:sz="0" w:space="0" w:color="auto"/>
            <w:bottom w:val="none" w:sz="0" w:space="0" w:color="auto"/>
            <w:right w:val="none" w:sz="0" w:space="0" w:color="auto"/>
          </w:divBdr>
        </w:div>
        <w:div w:id="2035690535">
          <w:marLeft w:val="0"/>
          <w:marRight w:val="0"/>
          <w:marTop w:val="0"/>
          <w:marBottom w:val="0"/>
          <w:divBdr>
            <w:top w:val="none" w:sz="0" w:space="0" w:color="auto"/>
            <w:left w:val="none" w:sz="0" w:space="0" w:color="auto"/>
            <w:bottom w:val="none" w:sz="0" w:space="0" w:color="auto"/>
            <w:right w:val="none" w:sz="0" w:space="0" w:color="auto"/>
          </w:divBdr>
        </w:div>
        <w:div w:id="1885478905">
          <w:marLeft w:val="0"/>
          <w:marRight w:val="0"/>
          <w:marTop w:val="0"/>
          <w:marBottom w:val="0"/>
          <w:divBdr>
            <w:top w:val="none" w:sz="0" w:space="0" w:color="auto"/>
            <w:left w:val="none" w:sz="0" w:space="0" w:color="auto"/>
            <w:bottom w:val="none" w:sz="0" w:space="0" w:color="auto"/>
            <w:right w:val="none" w:sz="0" w:space="0" w:color="auto"/>
          </w:divBdr>
        </w:div>
      </w:divsChild>
    </w:div>
    <w:div w:id="1726827577">
      <w:marLeft w:val="0"/>
      <w:marRight w:val="0"/>
      <w:marTop w:val="120"/>
      <w:marBottom w:val="0"/>
      <w:divBdr>
        <w:top w:val="none" w:sz="0" w:space="0" w:color="auto"/>
        <w:left w:val="none" w:sz="0" w:space="0" w:color="auto"/>
        <w:bottom w:val="none" w:sz="0" w:space="0" w:color="auto"/>
        <w:right w:val="none" w:sz="0" w:space="0" w:color="auto"/>
      </w:divBdr>
    </w:div>
    <w:div w:id="1736465595">
      <w:marLeft w:val="0"/>
      <w:marRight w:val="0"/>
      <w:marTop w:val="0"/>
      <w:marBottom w:val="0"/>
      <w:divBdr>
        <w:top w:val="none" w:sz="0" w:space="0" w:color="auto"/>
        <w:left w:val="none" w:sz="0" w:space="0" w:color="auto"/>
        <w:bottom w:val="none" w:sz="0" w:space="0" w:color="auto"/>
        <w:right w:val="none" w:sz="0" w:space="0" w:color="auto"/>
      </w:divBdr>
      <w:divsChild>
        <w:div w:id="1497649033">
          <w:marLeft w:val="0"/>
          <w:marRight w:val="0"/>
          <w:marTop w:val="0"/>
          <w:marBottom w:val="0"/>
          <w:divBdr>
            <w:top w:val="none" w:sz="0" w:space="0" w:color="auto"/>
            <w:left w:val="none" w:sz="0" w:space="0" w:color="auto"/>
            <w:bottom w:val="none" w:sz="0" w:space="0" w:color="auto"/>
            <w:right w:val="none" w:sz="0" w:space="0" w:color="auto"/>
          </w:divBdr>
        </w:div>
      </w:divsChild>
    </w:div>
    <w:div w:id="1737164650">
      <w:marLeft w:val="0"/>
      <w:marRight w:val="0"/>
      <w:marTop w:val="120"/>
      <w:marBottom w:val="0"/>
      <w:divBdr>
        <w:top w:val="none" w:sz="0" w:space="0" w:color="auto"/>
        <w:left w:val="none" w:sz="0" w:space="0" w:color="auto"/>
        <w:bottom w:val="none" w:sz="0" w:space="0" w:color="auto"/>
        <w:right w:val="none" w:sz="0" w:space="0" w:color="auto"/>
      </w:divBdr>
    </w:div>
    <w:div w:id="1737849693">
      <w:marLeft w:val="0"/>
      <w:marRight w:val="0"/>
      <w:marTop w:val="120"/>
      <w:marBottom w:val="0"/>
      <w:divBdr>
        <w:top w:val="none" w:sz="0" w:space="0" w:color="auto"/>
        <w:left w:val="none" w:sz="0" w:space="0" w:color="auto"/>
        <w:bottom w:val="none" w:sz="0" w:space="0" w:color="auto"/>
        <w:right w:val="none" w:sz="0" w:space="0" w:color="auto"/>
      </w:divBdr>
    </w:div>
    <w:div w:id="1737899800">
      <w:marLeft w:val="0"/>
      <w:marRight w:val="0"/>
      <w:marTop w:val="120"/>
      <w:marBottom w:val="0"/>
      <w:divBdr>
        <w:top w:val="none" w:sz="0" w:space="0" w:color="auto"/>
        <w:left w:val="none" w:sz="0" w:space="0" w:color="auto"/>
        <w:bottom w:val="none" w:sz="0" w:space="0" w:color="auto"/>
        <w:right w:val="none" w:sz="0" w:space="0" w:color="auto"/>
      </w:divBdr>
    </w:div>
    <w:div w:id="1740982558">
      <w:marLeft w:val="0"/>
      <w:marRight w:val="0"/>
      <w:marTop w:val="120"/>
      <w:marBottom w:val="0"/>
      <w:divBdr>
        <w:top w:val="none" w:sz="0" w:space="0" w:color="auto"/>
        <w:left w:val="none" w:sz="0" w:space="0" w:color="auto"/>
        <w:bottom w:val="none" w:sz="0" w:space="0" w:color="auto"/>
        <w:right w:val="none" w:sz="0" w:space="0" w:color="auto"/>
      </w:divBdr>
    </w:div>
    <w:div w:id="1742093816">
      <w:marLeft w:val="0"/>
      <w:marRight w:val="0"/>
      <w:marTop w:val="120"/>
      <w:marBottom w:val="120"/>
      <w:divBdr>
        <w:top w:val="none" w:sz="0" w:space="0" w:color="auto"/>
        <w:left w:val="none" w:sz="0" w:space="0" w:color="auto"/>
        <w:bottom w:val="none" w:sz="0" w:space="0" w:color="auto"/>
        <w:right w:val="none" w:sz="0" w:space="0" w:color="auto"/>
      </w:divBdr>
    </w:div>
    <w:div w:id="1742826818">
      <w:marLeft w:val="0"/>
      <w:marRight w:val="0"/>
      <w:marTop w:val="0"/>
      <w:marBottom w:val="0"/>
      <w:divBdr>
        <w:top w:val="none" w:sz="0" w:space="0" w:color="auto"/>
        <w:left w:val="none" w:sz="0" w:space="0" w:color="auto"/>
        <w:bottom w:val="none" w:sz="0" w:space="0" w:color="auto"/>
        <w:right w:val="none" w:sz="0" w:space="0" w:color="auto"/>
      </w:divBdr>
      <w:divsChild>
        <w:div w:id="1534460884">
          <w:marLeft w:val="0"/>
          <w:marRight w:val="0"/>
          <w:marTop w:val="0"/>
          <w:marBottom w:val="0"/>
          <w:divBdr>
            <w:top w:val="none" w:sz="0" w:space="0" w:color="auto"/>
            <w:left w:val="none" w:sz="0" w:space="0" w:color="auto"/>
            <w:bottom w:val="none" w:sz="0" w:space="0" w:color="auto"/>
            <w:right w:val="none" w:sz="0" w:space="0" w:color="auto"/>
          </w:divBdr>
        </w:div>
      </w:divsChild>
    </w:div>
    <w:div w:id="1750157980">
      <w:marLeft w:val="0"/>
      <w:marRight w:val="0"/>
      <w:marTop w:val="120"/>
      <w:marBottom w:val="0"/>
      <w:divBdr>
        <w:top w:val="none" w:sz="0" w:space="0" w:color="auto"/>
        <w:left w:val="none" w:sz="0" w:space="0" w:color="auto"/>
        <w:bottom w:val="none" w:sz="0" w:space="0" w:color="auto"/>
        <w:right w:val="none" w:sz="0" w:space="0" w:color="auto"/>
      </w:divBdr>
    </w:div>
    <w:div w:id="1754664892">
      <w:marLeft w:val="0"/>
      <w:marRight w:val="0"/>
      <w:marTop w:val="0"/>
      <w:marBottom w:val="0"/>
      <w:divBdr>
        <w:top w:val="none" w:sz="0" w:space="0" w:color="auto"/>
        <w:left w:val="none" w:sz="0" w:space="0" w:color="auto"/>
        <w:bottom w:val="none" w:sz="0" w:space="0" w:color="auto"/>
        <w:right w:val="none" w:sz="0" w:space="0" w:color="auto"/>
      </w:divBdr>
      <w:divsChild>
        <w:div w:id="2057661944">
          <w:marLeft w:val="0"/>
          <w:marRight w:val="0"/>
          <w:marTop w:val="0"/>
          <w:marBottom w:val="0"/>
          <w:divBdr>
            <w:top w:val="none" w:sz="0" w:space="0" w:color="auto"/>
            <w:left w:val="none" w:sz="0" w:space="0" w:color="auto"/>
            <w:bottom w:val="none" w:sz="0" w:space="0" w:color="auto"/>
            <w:right w:val="none" w:sz="0" w:space="0" w:color="auto"/>
          </w:divBdr>
        </w:div>
      </w:divsChild>
    </w:div>
    <w:div w:id="1754743981">
      <w:marLeft w:val="0"/>
      <w:marRight w:val="0"/>
      <w:marTop w:val="120"/>
      <w:marBottom w:val="0"/>
      <w:divBdr>
        <w:top w:val="none" w:sz="0" w:space="0" w:color="auto"/>
        <w:left w:val="none" w:sz="0" w:space="0" w:color="auto"/>
        <w:bottom w:val="none" w:sz="0" w:space="0" w:color="auto"/>
        <w:right w:val="none" w:sz="0" w:space="0" w:color="auto"/>
      </w:divBdr>
    </w:div>
    <w:div w:id="1755711126">
      <w:marLeft w:val="0"/>
      <w:marRight w:val="0"/>
      <w:marTop w:val="120"/>
      <w:marBottom w:val="0"/>
      <w:divBdr>
        <w:top w:val="none" w:sz="0" w:space="0" w:color="auto"/>
        <w:left w:val="none" w:sz="0" w:space="0" w:color="auto"/>
        <w:bottom w:val="none" w:sz="0" w:space="0" w:color="auto"/>
        <w:right w:val="none" w:sz="0" w:space="0" w:color="auto"/>
      </w:divBdr>
    </w:div>
    <w:div w:id="1767144950">
      <w:marLeft w:val="0"/>
      <w:marRight w:val="0"/>
      <w:marTop w:val="0"/>
      <w:marBottom w:val="0"/>
      <w:divBdr>
        <w:top w:val="none" w:sz="0" w:space="0" w:color="auto"/>
        <w:left w:val="none" w:sz="0" w:space="0" w:color="auto"/>
        <w:bottom w:val="none" w:sz="0" w:space="0" w:color="auto"/>
        <w:right w:val="none" w:sz="0" w:space="0" w:color="auto"/>
      </w:divBdr>
      <w:divsChild>
        <w:div w:id="325866715">
          <w:marLeft w:val="0"/>
          <w:marRight w:val="0"/>
          <w:marTop w:val="0"/>
          <w:marBottom w:val="0"/>
          <w:divBdr>
            <w:top w:val="none" w:sz="0" w:space="0" w:color="auto"/>
            <w:left w:val="none" w:sz="0" w:space="0" w:color="auto"/>
            <w:bottom w:val="none" w:sz="0" w:space="0" w:color="auto"/>
            <w:right w:val="none" w:sz="0" w:space="0" w:color="auto"/>
          </w:divBdr>
        </w:div>
      </w:divsChild>
    </w:div>
    <w:div w:id="1768963893">
      <w:marLeft w:val="0"/>
      <w:marRight w:val="0"/>
      <w:marTop w:val="120"/>
      <w:marBottom w:val="0"/>
      <w:divBdr>
        <w:top w:val="none" w:sz="0" w:space="0" w:color="auto"/>
        <w:left w:val="none" w:sz="0" w:space="0" w:color="auto"/>
        <w:bottom w:val="none" w:sz="0" w:space="0" w:color="auto"/>
        <w:right w:val="none" w:sz="0" w:space="0" w:color="auto"/>
      </w:divBdr>
    </w:div>
    <w:div w:id="1773161906">
      <w:marLeft w:val="0"/>
      <w:marRight w:val="0"/>
      <w:marTop w:val="120"/>
      <w:marBottom w:val="0"/>
      <w:divBdr>
        <w:top w:val="none" w:sz="0" w:space="0" w:color="auto"/>
        <w:left w:val="none" w:sz="0" w:space="0" w:color="auto"/>
        <w:bottom w:val="none" w:sz="0" w:space="0" w:color="auto"/>
        <w:right w:val="none" w:sz="0" w:space="0" w:color="auto"/>
      </w:divBdr>
    </w:div>
    <w:div w:id="1774669931">
      <w:marLeft w:val="0"/>
      <w:marRight w:val="0"/>
      <w:marTop w:val="0"/>
      <w:marBottom w:val="0"/>
      <w:divBdr>
        <w:top w:val="none" w:sz="0" w:space="0" w:color="auto"/>
        <w:left w:val="none" w:sz="0" w:space="0" w:color="auto"/>
        <w:bottom w:val="none" w:sz="0" w:space="0" w:color="auto"/>
        <w:right w:val="none" w:sz="0" w:space="0" w:color="auto"/>
      </w:divBdr>
      <w:divsChild>
        <w:div w:id="263537404">
          <w:marLeft w:val="0"/>
          <w:marRight w:val="0"/>
          <w:marTop w:val="0"/>
          <w:marBottom w:val="0"/>
          <w:divBdr>
            <w:top w:val="none" w:sz="0" w:space="0" w:color="auto"/>
            <w:left w:val="none" w:sz="0" w:space="0" w:color="auto"/>
            <w:bottom w:val="none" w:sz="0" w:space="0" w:color="auto"/>
            <w:right w:val="none" w:sz="0" w:space="0" w:color="auto"/>
          </w:divBdr>
        </w:div>
      </w:divsChild>
    </w:div>
    <w:div w:id="1782186421">
      <w:marLeft w:val="0"/>
      <w:marRight w:val="0"/>
      <w:marTop w:val="60"/>
      <w:marBottom w:val="0"/>
      <w:divBdr>
        <w:top w:val="none" w:sz="0" w:space="0" w:color="auto"/>
        <w:left w:val="none" w:sz="0" w:space="0" w:color="auto"/>
        <w:bottom w:val="none" w:sz="0" w:space="0" w:color="auto"/>
        <w:right w:val="none" w:sz="0" w:space="0" w:color="auto"/>
      </w:divBdr>
    </w:div>
    <w:div w:id="1787650883">
      <w:marLeft w:val="0"/>
      <w:marRight w:val="0"/>
      <w:marTop w:val="120"/>
      <w:marBottom w:val="120"/>
      <w:divBdr>
        <w:top w:val="none" w:sz="0" w:space="0" w:color="auto"/>
        <w:left w:val="none" w:sz="0" w:space="0" w:color="auto"/>
        <w:bottom w:val="none" w:sz="0" w:space="0" w:color="auto"/>
        <w:right w:val="none" w:sz="0" w:space="0" w:color="auto"/>
      </w:divBdr>
    </w:div>
    <w:div w:id="1788888429">
      <w:marLeft w:val="0"/>
      <w:marRight w:val="0"/>
      <w:marTop w:val="120"/>
      <w:marBottom w:val="0"/>
      <w:divBdr>
        <w:top w:val="none" w:sz="0" w:space="0" w:color="auto"/>
        <w:left w:val="none" w:sz="0" w:space="0" w:color="auto"/>
        <w:bottom w:val="none" w:sz="0" w:space="0" w:color="auto"/>
        <w:right w:val="none" w:sz="0" w:space="0" w:color="auto"/>
      </w:divBdr>
    </w:div>
    <w:div w:id="1795826296">
      <w:marLeft w:val="0"/>
      <w:marRight w:val="0"/>
      <w:marTop w:val="0"/>
      <w:marBottom w:val="20"/>
      <w:divBdr>
        <w:top w:val="none" w:sz="0" w:space="0" w:color="auto"/>
        <w:left w:val="none" w:sz="0" w:space="0" w:color="auto"/>
        <w:bottom w:val="none" w:sz="0" w:space="0" w:color="auto"/>
        <w:right w:val="none" w:sz="0" w:space="0" w:color="auto"/>
      </w:divBdr>
      <w:divsChild>
        <w:div w:id="1107240763">
          <w:marLeft w:val="0"/>
          <w:marRight w:val="0"/>
          <w:marTop w:val="0"/>
          <w:marBottom w:val="0"/>
          <w:divBdr>
            <w:top w:val="none" w:sz="0" w:space="0" w:color="auto"/>
            <w:left w:val="none" w:sz="0" w:space="0" w:color="auto"/>
            <w:bottom w:val="none" w:sz="0" w:space="0" w:color="auto"/>
            <w:right w:val="none" w:sz="0" w:space="0" w:color="auto"/>
          </w:divBdr>
        </w:div>
      </w:divsChild>
    </w:div>
    <w:div w:id="1807889165">
      <w:marLeft w:val="0"/>
      <w:marRight w:val="0"/>
      <w:marTop w:val="180"/>
      <w:marBottom w:val="120"/>
      <w:divBdr>
        <w:top w:val="none" w:sz="0" w:space="0" w:color="auto"/>
        <w:left w:val="none" w:sz="0" w:space="0" w:color="auto"/>
        <w:bottom w:val="none" w:sz="0" w:space="0" w:color="auto"/>
        <w:right w:val="none" w:sz="0" w:space="0" w:color="auto"/>
      </w:divBdr>
    </w:div>
    <w:div w:id="1809585973">
      <w:marLeft w:val="0"/>
      <w:marRight w:val="0"/>
      <w:marTop w:val="120"/>
      <w:marBottom w:val="0"/>
      <w:divBdr>
        <w:top w:val="none" w:sz="0" w:space="0" w:color="auto"/>
        <w:left w:val="none" w:sz="0" w:space="0" w:color="auto"/>
        <w:bottom w:val="none" w:sz="0" w:space="0" w:color="auto"/>
        <w:right w:val="none" w:sz="0" w:space="0" w:color="auto"/>
      </w:divBdr>
    </w:div>
    <w:div w:id="1814908683">
      <w:marLeft w:val="0"/>
      <w:marRight w:val="0"/>
      <w:marTop w:val="0"/>
      <w:marBottom w:val="0"/>
      <w:divBdr>
        <w:top w:val="none" w:sz="0" w:space="0" w:color="auto"/>
        <w:left w:val="none" w:sz="0" w:space="0" w:color="auto"/>
        <w:bottom w:val="none" w:sz="0" w:space="0" w:color="auto"/>
        <w:right w:val="none" w:sz="0" w:space="0" w:color="auto"/>
      </w:divBdr>
      <w:divsChild>
        <w:div w:id="69813706">
          <w:marLeft w:val="0"/>
          <w:marRight w:val="0"/>
          <w:marTop w:val="0"/>
          <w:marBottom w:val="0"/>
          <w:divBdr>
            <w:top w:val="none" w:sz="0" w:space="0" w:color="auto"/>
            <w:left w:val="none" w:sz="0" w:space="0" w:color="auto"/>
            <w:bottom w:val="none" w:sz="0" w:space="0" w:color="auto"/>
            <w:right w:val="none" w:sz="0" w:space="0" w:color="auto"/>
          </w:divBdr>
        </w:div>
      </w:divsChild>
    </w:div>
    <w:div w:id="1817450714">
      <w:marLeft w:val="0"/>
      <w:marRight w:val="0"/>
      <w:marTop w:val="120"/>
      <w:marBottom w:val="0"/>
      <w:divBdr>
        <w:top w:val="none" w:sz="0" w:space="0" w:color="auto"/>
        <w:left w:val="none" w:sz="0" w:space="0" w:color="auto"/>
        <w:bottom w:val="none" w:sz="0" w:space="0" w:color="auto"/>
        <w:right w:val="none" w:sz="0" w:space="0" w:color="auto"/>
      </w:divBdr>
    </w:div>
    <w:div w:id="1821533215">
      <w:marLeft w:val="0"/>
      <w:marRight w:val="0"/>
      <w:marTop w:val="120"/>
      <w:marBottom w:val="0"/>
      <w:divBdr>
        <w:top w:val="none" w:sz="0" w:space="0" w:color="auto"/>
        <w:left w:val="none" w:sz="0" w:space="0" w:color="auto"/>
        <w:bottom w:val="none" w:sz="0" w:space="0" w:color="auto"/>
        <w:right w:val="none" w:sz="0" w:space="0" w:color="auto"/>
      </w:divBdr>
    </w:div>
    <w:div w:id="1826555766">
      <w:marLeft w:val="0"/>
      <w:marRight w:val="0"/>
      <w:marTop w:val="120"/>
      <w:marBottom w:val="0"/>
      <w:divBdr>
        <w:top w:val="none" w:sz="0" w:space="0" w:color="auto"/>
        <w:left w:val="none" w:sz="0" w:space="0" w:color="auto"/>
        <w:bottom w:val="none" w:sz="0" w:space="0" w:color="auto"/>
        <w:right w:val="none" w:sz="0" w:space="0" w:color="auto"/>
      </w:divBdr>
    </w:div>
    <w:div w:id="1826972199">
      <w:marLeft w:val="0"/>
      <w:marRight w:val="0"/>
      <w:marTop w:val="120"/>
      <w:marBottom w:val="0"/>
      <w:divBdr>
        <w:top w:val="none" w:sz="0" w:space="0" w:color="auto"/>
        <w:left w:val="none" w:sz="0" w:space="0" w:color="auto"/>
        <w:bottom w:val="none" w:sz="0" w:space="0" w:color="auto"/>
        <w:right w:val="none" w:sz="0" w:space="0" w:color="auto"/>
      </w:divBdr>
    </w:div>
    <w:div w:id="1827239351">
      <w:marLeft w:val="0"/>
      <w:marRight w:val="0"/>
      <w:marTop w:val="0"/>
      <w:marBottom w:val="0"/>
      <w:divBdr>
        <w:top w:val="none" w:sz="0" w:space="0" w:color="auto"/>
        <w:left w:val="none" w:sz="0" w:space="0" w:color="auto"/>
        <w:bottom w:val="none" w:sz="0" w:space="0" w:color="auto"/>
        <w:right w:val="none" w:sz="0" w:space="0" w:color="auto"/>
      </w:divBdr>
      <w:divsChild>
        <w:div w:id="2098166622">
          <w:marLeft w:val="0"/>
          <w:marRight w:val="0"/>
          <w:marTop w:val="0"/>
          <w:marBottom w:val="0"/>
          <w:divBdr>
            <w:top w:val="none" w:sz="0" w:space="0" w:color="auto"/>
            <w:left w:val="none" w:sz="0" w:space="0" w:color="auto"/>
            <w:bottom w:val="none" w:sz="0" w:space="0" w:color="auto"/>
            <w:right w:val="none" w:sz="0" w:space="0" w:color="auto"/>
          </w:divBdr>
        </w:div>
      </w:divsChild>
    </w:div>
    <w:div w:id="1828814589">
      <w:marLeft w:val="0"/>
      <w:marRight w:val="0"/>
      <w:marTop w:val="120"/>
      <w:marBottom w:val="0"/>
      <w:divBdr>
        <w:top w:val="none" w:sz="0" w:space="0" w:color="auto"/>
        <w:left w:val="none" w:sz="0" w:space="0" w:color="auto"/>
        <w:bottom w:val="none" w:sz="0" w:space="0" w:color="auto"/>
        <w:right w:val="none" w:sz="0" w:space="0" w:color="auto"/>
      </w:divBdr>
    </w:div>
    <w:div w:id="1837650080">
      <w:marLeft w:val="0"/>
      <w:marRight w:val="0"/>
      <w:marTop w:val="120"/>
      <w:marBottom w:val="0"/>
      <w:divBdr>
        <w:top w:val="none" w:sz="0" w:space="0" w:color="auto"/>
        <w:left w:val="none" w:sz="0" w:space="0" w:color="auto"/>
        <w:bottom w:val="none" w:sz="0" w:space="0" w:color="auto"/>
        <w:right w:val="none" w:sz="0" w:space="0" w:color="auto"/>
      </w:divBdr>
    </w:div>
    <w:div w:id="1838619512">
      <w:marLeft w:val="0"/>
      <w:marRight w:val="0"/>
      <w:marTop w:val="0"/>
      <w:marBottom w:val="0"/>
      <w:divBdr>
        <w:top w:val="none" w:sz="0" w:space="0" w:color="auto"/>
        <w:left w:val="none" w:sz="0" w:space="0" w:color="auto"/>
        <w:bottom w:val="none" w:sz="0" w:space="0" w:color="auto"/>
        <w:right w:val="none" w:sz="0" w:space="0" w:color="auto"/>
      </w:divBdr>
      <w:divsChild>
        <w:div w:id="39986498">
          <w:marLeft w:val="0"/>
          <w:marRight w:val="0"/>
          <w:marTop w:val="0"/>
          <w:marBottom w:val="0"/>
          <w:divBdr>
            <w:top w:val="none" w:sz="0" w:space="0" w:color="auto"/>
            <w:left w:val="none" w:sz="0" w:space="0" w:color="auto"/>
            <w:bottom w:val="none" w:sz="0" w:space="0" w:color="auto"/>
            <w:right w:val="none" w:sz="0" w:space="0" w:color="auto"/>
          </w:divBdr>
        </w:div>
      </w:divsChild>
    </w:div>
    <w:div w:id="1840149213">
      <w:marLeft w:val="0"/>
      <w:marRight w:val="0"/>
      <w:marTop w:val="120"/>
      <w:marBottom w:val="0"/>
      <w:divBdr>
        <w:top w:val="none" w:sz="0" w:space="0" w:color="auto"/>
        <w:left w:val="none" w:sz="0" w:space="0" w:color="auto"/>
        <w:bottom w:val="none" w:sz="0" w:space="0" w:color="auto"/>
        <w:right w:val="none" w:sz="0" w:space="0" w:color="auto"/>
      </w:divBdr>
    </w:div>
    <w:div w:id="1842037380">
      <w:marLeft w:val="0"/>
      <w:marRight w:val="0"/>
      <w:marTop w:val="120"/>
      <w:marBottom w:val="0"/>
      <w:divBdr>
        <w:top w:val="none" w:sz="0" w:space="0" w:color="auto"/>
        <w:left w:val="none" w:sz="0" w:space="0" w:color="auto"/>
        <w:bottom w:val="none" w:sz="0" w:space="0" w:color="auto"/>
        <w:right w:val="none" w:sz="0" w:space="0" w:color="auto"/>
      </w:divBdr>
    </w:div>
    <w:div w:id="1847787562">
      <w:marLeft w:val="0"/>
      <w:marRight w:val="0"/>
      <w:marTop w:val="180"/>
      <w:marBottom w:val="120"/>
      <w:divBdr>
        <w:top w:val="none" w:sz="0" w:space="0" w:color="auto"/>
        <w:left w:val="none" w:sz="0" w:space="0" w:color="auto"/>
        <w:bottom w:val="none" w:sz="0" w:space="0" w:color="auto"/>
        <w:right w:val="none" w:sz="0" w:space="0" w:color="auto"/>
      </w:divBdr>
    </w:div>
    <w:div w:id="1849635196">
      <w:marLeft w:val="0"/>
      <w:marRight w:val="0"/>
      <w:marTop w:val="120"/>
      <w:marBottom w:val="0"/>
      <w:divBdr>
        <w:top w:val="none" w:sz="0" w:space="0" w:color="auto"/>
        <w:left w:val="none" w:sz="0" w:space="0" w:color="auto"/>
        <w:bottom w:val="none" w:sz="0" w:space="0" w:color="auto"/>
        <w:right w:val="none" w:sz="0" w:space="0" w:color="auto"/>
      </w:divBdr>
    </w:div>
    <w:div w:id="1849977598">
      <w:marLeft w:val="0"/>
      <w:marRight w:val="0"/>
      <w:marTop w:val="0"/>
      <w:marBottom w:val="0"/>
      <w:divBdr>
        <w:top w:val="none" w:sz="0" w:space="0" w:color="auto"/>
        <w:left w:val="none" w:sz="0" w:space="0" w:color="auto"/>
        <w:bottom w:val="none" w:sz="0" w:space="0" w:color="auto"/>
        <w:right w:val="none" w:sz="0" w:space="0" w:color="auto"/>
      </w:divBdr>
    </w:div>
    <w:div w:id="1852335118">
      <w:marLeft w:val="0"/>
      <w:marRight w:val="0"/>
      <w:marTop w:val="0"/>
      <w:marBottom w:val="0"/>
      <w:divBdr>
        <w:top w:val="none" w:sz="0" w:space="0" w:color="auto"/>
        <w:left w:val="none" w:sz="0" w:space="0" w:color="auto"/>
        <w:bottom w:val="none" w:sz="0" w:space="0" w:color="auto"/>
        <w:right w:val="none" w:sz="0" w:space="0" w:color="auto"/>
      </w:divBdr>
    </w:div>
    <w:div w:id="1855487753">
      <w:marLeft w:val="0"/>
      <w:marRight w:val="0"/>
      <w:marTop w:val="120"/>
      <w:marBottom w:val="0"/>
      <w:divBdr>
        <w:top w:val="none" w:sz="0" w:space="0" w:color="auto"/>
        <w:left w:val="none" w:sz="0" w:space="0" w:color="auto"/>
        <w:bottom w:val="none" w:sz="0" w:space="0" w:color="auto"/>
        <w:right w:val="none" w:sz="0" w:space="0" w:color="auto"/>
      </w:divBdr>
    </w:div>
    <w:div w:id="1856074198">
      <w:marLeft w:val="0"/>
      <w:marRight w:val="0"/>
      <w:marTop w:val="0"/>
      <w:marBottom w:val="0"/>
      <w:divBdr>
        <w:top w:val="none" w:sz="0" w:space="0" w:color="auto"/>
        <w:left w:val="none" w:sz="0" w:space="0" w:color="auto"/>
        <w:bottom w:val="none" w:sz="0" w:space="0" w:color="auto"/>
        <w:right w:val="none" w:sz="0" w:space="0" w:color="auto"/>
      </w:divBdr>
    </w:div>
    <w:div w:id="1858079723">
      <w:marLeft w:val="0"/>
      <w:marRight w:val="0"/>
      <w:marTop w:val="0"/>
      <w:marBottom w:val="0"/>
      <w:divBdr>
        <w:top w:val="none" w:sz="0" w:space="0" w:color="auto"/>
        <w:left w:val="none" w:sz="0" w:space="0" w:color="auto"/>
        <w:bottom w:val="none" w:sz="0" w:space="0" w:color="auto"/>
        <w:right w:val="none" w:sz="0" w:space="0" w:color="auto"/>
      </w:divBdr>
      <w:divsChild>
        <w:div w:id="2002807345">
          <w:marLeft w:val="0"/>
          <w:marRight w:val="0"/>
          <w:marTop w:val="0"/>
          <w:marBottom w:val="0"/>
          <w:divBdr>
            <w:top w:val="none" w:sz="0" w:space="0" w:color="auto"/>
            <w:left w:val="none" w:sz="0" w:space="0" w:color="auto"/>
            <w:bottom w:val="none" w:sz="0" w:space="0" w:color="auto"/>
            <w:right w:val="none" w:sz="0" w:space="0" w:color="auto"/>
          </w:divBdr>
        </w:div>
      </w:divsChild>
    </w:div>
    <w:div w:id="1859193746">
      <w:marLeft w:val="0"/>
      <w:marRight w:val="0"/>
      <w:marTop w:val="120"/>
      <w:marBottom w:val="0"/>
      <w:divBdr>
        <w:top w:val="none" w:sz="0" w:space="0" w:color="auto"/>
        <w:left w:val="none" w:sz="0" w:space="0" w:color="auto"/>
        <w:bottom w:val="none" w:sz="0" w:space="0" w:color="auto"/>
        <w:right w:val="none" w:sz="0" w:space="0" w:color="auto"/>
      </w:divBdr>
    </w:div>
    <w:div w:id="1865702677">
      <w:marLeft w:val="0"/>
      <w:marRight w:val="0"/>
      <w:marTop w:val="120"/>
      <w:marBottom w:val="120"/>
      <w:divBdr>
        <w:top w:val="none" w:sz="0" w:space="0" w:color="auto"/>
        <w:left w:val="none" w:sz="0" w:space="0" w:color="auto"/>
        <w:bottom w:val="none" w:sz="0" w:space="0" w:color="auto"/>
        <w:right w:val="none" w:sz="0" w:space="0" w:color="auto"/>
      </w:divBdr>
    </w:div>
    <w:div w:id="1867792871">
      <w:marLeft w:val="0"/>
      <w:marRight w:val="0"/>
      <w:marTop w:val="0"/>
      <w:marBottom w:val="0"/>
      <w:divBdr>
        <w:top w:val="none" w:sz="0" w:space="0" w:color="auto"/>
        <w:left w:val="none" w:sz="0" w:space="0" w:color="auto"/>
        <w:bottom w:val="none" w:sz="0" w:space="0" w:color="auto"/>
        <w:right w:val="none" w:sz="0" w:space="0" w:color="auto"/>
      </w:divBdr>
      <w:divsChild>
        <w:div w:id="147325915">
          <w:marLeft w:val="0"/>
          <w:marRight w:val="0"/>
          <w:marTop w:val="0"/>
          <w:marBottom w:val="0"/>
          <w:divBdr>
            <w:top w:val="none" w:sz="0" w:space="0" w:color="auto"/>
            <w:left w:val="none" w:sz="0" w:space="0" w:color="auto"/>
            <w:bottom w:val="none" w:sz="0" w:space="0" w:color="auto"/>
            <w:right w:val="none" w:sz="0" w:space="0" w:color="auto"/>
          </w:divBdr>
        </w:div>
      </w:divsChild>
    </w:div>
    <w:div w:id="1872450547">
      <w:marLeft w:val="0"/>
      <w:marRight w:val="0"/>
      <w:marTop w:val="120"/>
      <w:marBottom w:val="120"/>
      <w:divBdr>
        <w:top w:val="none" w:sz="0" w:space="0" w:color="auto"/>
        <w:left w:val="none" w:sz="0" w:space="0" w:color="auto"/>
        <w:bottom w:val="none" w:sz="0" w:space="0" w:color="auto"/>
        <w:right w:val="none" w:sz="0" w:space="0" w:color="auto"/>
      </w:divBdr>
    </w:div>
    <w:div w:id="1875533978">
      <w:marLeft w:val="0"/>
      <w:marRight w:val="0"/>
      <w:marTop w:val="180"/>
      <w:marBottom w:val="0"/>
      <w:divBdr>
        <w:top w:val="none" w:sz="0" w:space="0" w:color="auto"/>
        <w:left w:val="none" w:sz="0" w:space="0" w:color="auto"/>
        <w:bottom w:val="none" w:sz="0" w:space="0" w:color="auto"/>
        <w:right w:val="none" w:sz="0" w:space="0" w:color="auto"/>
      </w:divBdr>
    </w:div>
    <w:div w:id="1876499942">
      <w:marLeft w:val="0"/>
      <w:marRight w:val="0"/>
      <w:marTop w:val="0"/>
      <w:marBottom w:val="0"/>
      <w:divBdr>
        <w:top w:val="none" w:sz="0" w:space="0" w:color="auto"/>
        <w:left w:val="none" w:sz="0" w:space="0" w:color="auto"/>
        <w:bottom w:val="none" w:sz="0" w:space="0" w:color="auto"/>
        <w:right w:val="none" w:sz="0" w:space="0" w:color="auto"/>
      </w:divBdr>
      <w:divsChild>
        <w:div w:id="879978309">
          <w:marLeft w:val="0"/>
          <w:marRight w:val="0"/>
          <w:marTop w:val="0"/>
          <w:marBottom w:val="0"/>
          <w:divBdr>
            <w:top w:val="none" w:sz="0" w:space="0" w:color="auto"/>
            <w:left w:val="none" w:sz="0" w:space="0" w:color="auto"/>
            <w:bottom w:val="none" w:sz="0" w:space="0" w:color="auto"/>
            <w:right w:val="none" w:sz="0" w:space="0" w:color="auto"/>
          </w:divBdr>
        </w:div>
      </w:divsChild>
    </w:div>
    <w:div w:id="1882590335">
      <w:marLeft w:val="0"/>
      <w:marRight w:val="0"/>
      <w:marTop w:val="0"/>
      <w:marBottom w:val="0"/>
      <w:divBdr>
        <w:top w:val="none" w:sz="0" w:space="0" w:color="auto"/>
        <w:left w:val="none" w:sz="0" w:space="0" w:color="auto"/>
        <w:bottom w:val="none" w:sz="0" w:space="0" w:color="auto"/>
        <w:right w:val="none" w:sz="0" w:space="0" w:color="auto"/>
      </w:divBdr>
    </w:div>
    <w:div w:id="1882934649">
      <w:marLeft w:val="0"/>
      <w:marRight w:val="0"/>
      <w:marTop w:val="0"/>
      <w:marBottom w:val="0"/>
      <w:divBdr>
        <w:top w:val="none" w:sz="0" w:space="0" w:color="auto"/>
        <w:left w:val="none" w:sz="0" w:space="0" w:color="auto"/>
        <w:bottom w:val="none" w:sz="0" w:space="0" w:color="auto"/>
        <w:right w:val="none" w:sz="0" w:space="0" w:color="auto"/>
      </w:divBdr>
    </w:div>
    <w:div w:id="1884752309">
      <w:marLeft w:val="0"/>
      <w:marRight w:val="0"/>
      <w:marTop w:val="0"/>
      <w:marBottom w:val="0"/>
      <w:divBdr>
        <w:top w:val="none" w:sz="0" w:space="0" w:color="auto"/>
        <w:left w:val="none" w:sz="0" w:space="0" w:color="auto"/>
        <w:bottom w:val="none" w:sz="0" w:space="0" w:color="auto"/>
        <w:right w:val="none" w:sz="0" w:space="0" w:color="auto"/>
      </w:divBdr>
      <w:divsChild>
        <w:div w:id="15274151">
          <w:marLeft w:val="0"/>
          <w:marRight w:val="0"/>
          <w:marTop w:val="0"/>
          <w:marBottom w:val="0"/>
          <w:divBdr>
            <w:top w:val="none" w:sz="0" w:space="0" w:color="auto"/>
            <w:left w:val="none" w:sz="0" w:space="0" w:color="auto"/>
            <w:bottom w:val="none" w:sz="0" w:space="0" w:color="auto"/>
            <w:right w:val="none" w:sz="0" w:space="0" w:color="auto"/>
          </w:divBdr>
        </w:div>
      </w:divsChild>
    </w:div>
    <w:div w:id="1895659284">
      <w:marLeft w:val="0"/>
      <w:marRight w:val="0"/>
      <w:marTop w:val="180"/>
      <w:marBottom w:val="120"/>
      <w:divBdr>
        <w:top w:val="none" w:sz="0" w:space="0" w:color="auto"/>
        <w:left w:val="none" w:sz="0" w:space="0" w:color="auto"/>
        <w:bottom w:val="none" w:sz="0" w:space="0" w:color="auto"/>
        <w:right w:val="none" w:sz="0" w:space="0" w:color="auto"/>
      </w:divBdr>
    </w:div>
    <w:div w:id="1897467643">
      <w:marLeft w:val="0"/>
      <w:marRight w:val="0"/>
      <w:marTop w:val="120"/>
      <w:marBottom w:val="0"/>
      <w:divBdr>
        <w:top w:val="none" w:sz="0" w:space="0" w:color="auto"/>
        <w:left w:val="none" w:sz="0" w:space="0" w:color="auto"/>
        <w:bottom w:val="none" w:sz="0" w:space="0" w:color="auto"/>
        <w:right w:val="none" w:sz="0" w:space="0" w:color="auto"/>
      </w:divBdr>
    </w:div>
    <w:div w:id="1899437738">
      <w:marLeft w:val="0"/>
      <w:marRight w:val="0"/>
      <w:marTop w:val="0"/>
      <w:marBottom w:val="0"/>
      <w:divBdr>
        <w:top w:val="none" w:sz="0" w:space="0" w:color="auto"/>
        <w:left w:val="none" w:sz="0" w:space="0" w:color="auto"/>
        <w:bottom w:val="none" w:sz="0" w:space="0" w:color="auto"/>
        <w:right w:val="none" w:sz="0" w:space="0" w:color="auto"/>
      </w:divBdr>
    </w:div>
    <w:div w:id="1901204872">
      <w:marLeft w:val="0"/>
      <w:marRight w:val="0"/>
      <w:marTop w:val="0"/>
      <w:marBottom w:val="0"/>
      <w:divBdr>
        <w:top w:val="none" w:sz="0" w:space="0" w:color="auto"/>
        <w:left w:val="none" w:sz="0" w:space="0" w:color="auto"/>
        <w:bottom w:val="none" w:sz="0" w:space="0" w:color="auto"/>
        <w:right w:val="none" w:sz="0" w:space="0" w:color="auto"/>
      </w:divBdr>
    </w:div>
    <w:div w:id="1901670019">
      <w:marLeft w:val="0"/>
      <w:marRight w:val="0"/>
      <w:marTop w:val="120"/>
      <w:marBottom w:val="0"/>
      <w:divBdr>
        <w:top w:val="none" w:sz="0" w:space="0" w:color="auto"/>
        <w:left w:val="none" w:sz="0" w:space="0" w:color="auto"/>
        <w:bottom w:val="none" w:sz="0" w:space="0" w:color="auto"/>
        <w:right w:val="none" w:sz="0" w:space="0" w:color="auto"/>
      </w:divBdr>
    </w:div>
    <w:div w:id="1905093670">
      <w:marLeft w:val="0"/>
      <w:marRight w:val="0"/>
      <w:marTop w:val="120"/>
      <w:marBottom w:val="0"/>
      <w:divBdr>
        <w:top w:val="none" w:sz="0" w:space="0" w:color="auto"/>
        <w:left w:val="none" w:sz="0" w:space="0" w:color="auto"/>
        <w:bottom w:val="none" w:sz="0" w:space="0" w:color="auto"/>
        <w:right w:val="none" w:sz="0" w:space="0" w:color="auto"/>
      </w:divBdr>
    </w:div>
    <w:div w:id="1906866918">
      <w:marLeft w:val="0"/>
      <w:marRight w:val="0"/>
      <w:marTop w:val="0"/>
      <w:marBottom w:val="0"/>
      <w:divBdr>
        <w:top w:val="none" w:sz="0" w:space="0" w:color="auto"/>
        <w:left w:val="none" w:sz="0" w:space="0" w:color="auto"/>
        <w:bottom w:val="none" w:sz="0" w:space="0" w:color="auto"/>
        <w:right w:val="none" w:sz="0" w:space="0" w:color="auto"/>
      </w:divBdr>
    </w:div>
    <w:div w:id="1916933979">
      <w:marLeft w:val="0"/>
      <w:marRight w:val="0"/>
      <w:marTop w:val="120"/>
      <w:marBottom w:val="120"/>
      <w:divBdr>
        <w:top w:val="none" w:sz="0" w:space="0" w:color="auto"/>
        <w:left w:val="none" w:sz="0" w:space="0" w:color="auto"/>
        <w:bottom w:val="none" w:sz="0" w:space="0" w:color="auto"/>
        <w:right w:val="none" w:sz="0" w:space="0" w:color="auto"/>
      </w:divBdr>
    </w:div>
    <w:div w:id="1918325758">
      <w:marLeft w:val="0"/>
      <w:marRight w:val="0"/>
      <w:marTop w:val="120"/>
      <w:marBottom w:val="0"/>
      <w:divBdr>
        <w:top w:val="none" w:sz="0" w:space="0" w:color="auto"/>
        <w:left w:val="none" w:sz="0" w:space="0" w:color="auto"/>
        <w:bottom w:val="none" w:sz="0" w:space="0" w:color="auto"/>
        <w:right w:val="none" w:sz="0" w:space="0" w:color="auto"/>
      </w:divBdr>
    </w:div>
    <w:div w:id="1922644062">
      <w:marLeft w:val="0"/>
      <w:marRight w:val="0"/>
      <w:marTop w:val="180"/>
      <w:marBottom w:val="0"/>
      <w:divBdr>
        <w:top w:val="none" w:sz="0" w:space="0" w:color="auto"/>
        <w:left w:val="none" w:sz="0" w:space="0" w:color="auto"/>
        <w:bottom w:val="none" w:sz="0" w:space="0" w:color="auto"/>
        <w:right w:val="none" w:sz="0" w:space="0" w:color="auto"/>
      </w:divBdr>
    </w:div>
    <w:div w:id="1927763655">
      <w:marLeft w:val="0"/>
      <w:marRight w:val="0"/>
      <w:marTop w:val="120"/>
      <w:marBottom w:val="0"/>
      <w:divBdr>
        <w:top w:val="none" w:sz="0" w:space="0" w:color="auto"/>
        <w:left w:val="none" w:sz="0" w:space="0" w:color="auto"/>
        <w:bottom w:val="none" w:sz="0" w:space="0" w:color="auto"/>
        <w:right w:val="none" w:sz="0" w:space="0" w:color="auto"/>
      </w:divBdr>
    </w:div>
    <w:div w:id="1929725366">
      <w:marLeft w:val="0"/>
      <w:marRight w:val="0"/>
      <w:marTop w:val="120"/>
      <w:marBottom w:val="120"/>
      <w:divBdr>
        <w:top w:val="none" w:sz="0" w:space="0" w:color="auto"/>
        <w:left w:val="none" w:sz="0" w:space="0" w:color="auto"/>
        <w:bottom w:val="none" w:sz="0" w:space="0" w:color="auto"/>
        <w:right w:val="none" w:sz="0" w:space="0" w:color="auto"/>
      </w:divBdr>
    </w:div>
    <w:div w:id="1934434152">
      <w:marLeft w:val="0"/>
      <w:marRight w:val="0"/>
      <w:marTop w:val="120"/>
      <w:marBottom w:val="0"/>
      <w:divBdr>
        <w:top w:val="none" w:sz="0" w:space="0" w:color="auto"/>
        <w:left w:val="none" w:sz="0" w:space="0" w:color="auto"/>
        <w:bottom w:val="none" w:sz="0" w:space="0" w:color="auto"/>
        <w:right w:val="none" w:sz="0" w:space="0" w:color="auto"/>
      </w:divBdr>
    </w:div>
    <w:div w:id="1935355477">
      <w:marLeft w:val="0"/>
      <w:marRight w:val="0"/>
      <w:marTop w:val="0"/>
      <w:marBottom w:val="0"/>
      <w:divBdr>
        <w:top w:val="none" w:sz="0" w:space="0" w:color="auto"/>
        <w:left w:val="none" w:sz="0" w:space="0" w:color="auto"/>
        <w:bottom w:val="none" w:sz="0" w:space="0" w:color="auto"/>
        <w:right w:val="none" w:sz="0" w:space="0" w:color="auto"/>
      </w:divBdr>
    </w:div>
    <w:div w:id="1944146166">
      <w:marLeft w:val="0"/>
      <w:marRight w:val="0"/>
      <w:marTop w:val="0"/>
      <w:marBottom w:val="0"/>
      <w:divBdr>
        <w:top w:val="none" w:sz="0" w:space="0" w:color="auto"/>
        <w:left w:val="none" w:sz="0" w:space="0" w:color="auto"/>
        <w:bottom w:val="none" w:sz="0" w:space="0" w:color="auto"/>
        <w:right w:val="none" w:sz="0" w:space="0" w:color="auto"/>
      </w:divBdr>
      <w:divsChild>
        <w:div w:id="101146650">
          <w:marLeft w:val="0"/>
          <w:marRight w:val="0"/>
          <w:marTop w:val="0"/>
          <w:marBottom w:val="0"/>
          <w:divBdr>
            <w:top w:val="none" w:sz="0" w:space="0" w:color="auto"/>
            <w:left w:val="none" w:sz="0" w:space="0" w:color="auto"/>
            <w:bottom w:val="none" w:sz="0" w:space="0" w:color="auto"/>
            <w:right w:val="none" w:sz="0" w:space="0" w:color="auto"/>
          </w:divBdr>
        </w:div>
      </w:divsChild>
    </w:div>
    <w:div w:id="1945529624">
      <w:marLeft w:val="0"/>
      <w:marRight w:val="0"/>
      <w:marTop w:val="120"/>
      <w:marBottom w:val="0"/>
      <w:divBdr>
        <w:top w:val="none" w:sz="0" w:space="0" w:color="auto"/>
        <w:left w:val="none" w:sz="0" w:space="0" w:color="auto"/>
        <w:bottom w:val="none" w:sz="0" w:space="0" w:color="auto"/>
        <w:right w:val="none" w:sz="0" w:space="0" w:color="auto"/>
      </w:divBdr>
    </w:div>
    <w:div w:id="1946107062">
      <w:marLeft w:val="0"/>
      <w:marRight w:val="0"/>
      <w:marTop w:val="0"/>
      <w:marBottom w:val="0"/>
      <w:divBdr>
        <w:top w:val="none" w:sz="0" w:space="0" w:color="auto"/>
        <w:left w:val="none" w:sz="0" w:space="0" w:color="auto"/>
        <w:bottom w:val="none" w:sz="0" w:space="0" w:color="auto"/>
        <w:right w:val="none" w:sz="0" w:space="0" w:color="auto"/>
      </w:divBdr>
    </w:div>
    <w:div w:id="1946307494">
      <w:marLeft w:val="0"/>
      <w:marRight w:val="0"/>
      <w:marTop w:val="120"/>
      <w:marBottom w:val="0"/>
      <w:divBdr>
        <w:top w:val="none" w:sz="0" w:space="0" w:color="auto"/>
        <w:left w:val="none" w:sz="0" w:space="0" w:color="auto"/>
        <w:bottom w:val="none" w:sz="0" w:space="0" w:color="auto"/>
        <w:right w:val="none" w:sz="0" w:space="0" w:color="auto"/>
      </w:divBdr>
    </w:div>
    <w:div w:id="1946644807">
      <w:marLeft w:val="0"/>
      <w:marRight w:val="0"/>
      <w:marTop w:val="120"/>
      <w:marBottom w:val="0"/>
      <w:divBdr>
        <w:top w:val="none" w:sz="0" w:space="0" w:color="auto"/>
        <w:left w:val="none" w:sz="0" w:space="0" w:color="auto"/>
        <w:bottom w:val="none" w:sz="0" w:space="0" w:color="auto"/>
        <w:right w:val="none" w:sz="0" w:space="0" w:color="auto"/>
      </w:divBdr>
    </w:div>
    <w:div w:id="1958874656">
      <w:marLeft w:val="0"/>
      <w:marRight w:val="0"/>
      <w:marTop w:val="120"/>
      <w:marBottom w:val="0"/>
      <w:divBdr>
        <w:top w:val="none" w:sz="0" w:space="0" w:color="auto"/>
        <w:left w:val="none" w:sz="0" w:space="0" w:color="auto"/>
        <w:bottom w:val="none" w:sz="0" w:space="0" w:color="auto"/>
        <w:right w:val="none" w:sz="0" w:space="0" w:color="auto"/>
      </w:divBdr>
    </w:div>
    <w:div w:id="1958902086">
      <w:marLeft w:val="0"/>
      <w:marRight w:val="0"/>
      <w:marTop w:val="120"/>
      <w:marBottom w:val="0"/>
      <w:divBdr>
        <w:top w:val="none" w:sz="0" w:space="0" w:color="auto"/>
        <w:left w:val="none" w:sz="0" w:space="0" w:color="auto"/>
        <w:bottom w:val="none" w:sz="0" w:space="0" w:color="auto"/>
        <w:right w:val="none" w:sz="0" w:space="0" w:color="auto"/>
      </w:divBdr>
    </w:div>
    <w:div w:id="1961374411">
      <w:marLeft w:val="0"/>
      <w:marRight w:val="0"/>
      <w:marTop w:val="60"/>
      <w:marBottom w:val="0"/>
      <w:divBdr>
        <w:top w:val="none" w:sz="0" w:space="0" w:color="auto"/>
        <w:left w:val="none" w:sz="0" w:space="0" w:color="auto"/>
        <w:bottom w:val="none" w:sz="0" w:space="0" w:color="auto"/>
        <w:right w:val="none" w:sz="0" w:space="0" w:color="auto"/>
      </w:divBdr>
    </w:div>
    <w:div w:id="1963611651">
      <w:marLeft w:val="0"/>
      <w:marRight w:val="0"/>
      <w:marTop w:val="120"/>
      <w:marBottom w:val="0"/>
      <w:divBdr>
        <w:top w:val="none" w:sz="0" w:space="0" w:color="auto"/>
        <w:left w:val="none" w:sz="0" w:space="0" w:color="auto"/>
        <w:bottom w:val="none" w:sz="0" w:space="0" w:color="auto"/>
        <w:right w:val="none" w:sz="0" w:space="0" w:color="auto"/>
      </w:divBdr>
    </w:div>
    <w:div w:id="1978366522">
      <w:marLeft w:val="0"/>
      <w:marRight w:val="0"/>
      <w:marTop w:val="0"/>
      <w:marBottom w:val="0"/>
      <w:divBdr>
        <w:top w:val="none" w:sz="0" w:space="0" w:color="auto"/>
        <w:left w:val="none" w:sz="0" w:space="0" w:color="auto"/>
        <w:bottom w:val="none" w:sz="0" w:space="0" w:color="auto"/>
        <w:right w:val="none" w:sz="0" w:space="0" w:color="auto"/>
      </w:divBdr>
    </w:div>
    <w:div w:id="1986230319">
      <w:marLeft w:val="0"/>
      <w:marRight w:val="0"/>
      <w:marTop w:val="120"/>
      <w:marBottom w:val="0"/>
      <w:divBdr>
        <w:top w:val="none" w:sz="0" w:space="0" w:color="auto"/>
        <w:left w:val="none" w:sz="0" w:space="0" w:color="auto"/>
        <w:bottom w:val="none" w:sz="0" w:space="0" w:color="auto"/>
        <w:right w:val="none" w:sz="0" w:space="0" w:color="auto"/>
      </w:divBdr>
    </w:div>
    <w:div w:id="1991055205">
      <w:marLeft w:val="0"/>
      <w:marRight w:val="0"/>
      <w:marTop w:val="0"/>
      <w:marBottom w:val="20"/>
      <w:divBdr>
        <w:top w:val="none" w:sz="0" w:space="0" w:color="auto"/>
        <w:left w:val="none" w:sz="0" w:space="0" w:color="auto"/>
        <w:bottom w:val="none" w:sz="0" w:space="0" w:color="auto"/>
        <w:right w:val="none" w:sz="0" w:space="0" w:color="auto"/>
      </w:divBdr>
    </w:div>
    <w:div w:id="1991517832">
      <w:marLeft w:val="0"/>
      <w:marRight w:val="0"/>
      <w:marTop w:val="60"/>
      <w:marBottom w:val="0"/>
      <w:divBdr>
        <w:top w:val="none" w:sz="0" w:space="0" w:color="auto"/>
        <w:left w:val="none" w:sz="0" w:space="0" w:color="auto"/>
        <w:bottom w:val="none" w:sz="0" w:space="0" w:color="auto"/>
        <w:right w:val="none" w:sz="0" w:space="0" w:color="auto"/>
      </w:divBdr>
    </w:div>
    <w:div w:id="1992556936">
      <w:marLeft w:val="0"/>
      <w:marRight w:val="0"/>
      <w:marTop w:val="120"/>
      <w:marBottom w:val="120"/>
      <w:divBdr>
        <w:top w:val="none" w:sz="0" w:space="0" w:color="auto"/>
        <w:left w:val="none" w:sz="0" w:space="0" w:color="auto"/>
        <w:bottom w:val="none" w:sz="0" w:space="0" w:color="auto"/>
        <w:right w:val="none" w:sz="0" w:space="0" w:color="auto"/>
      </w:divBdr>
    </w:div>
    <w:div w:id="1995571520">
      <w:marLeft w:val="0"/>
      <w:marRight w:val="0"/>
      <w:marTop w:val="0"/>
      <w:marBottom w:val="0"/>
      <w:divBdr>
        <w:top w:val="none" w:sz="0" w:space="0" w:color="auto"/>
        <w:left w:val="none" w:sz="0" w:space="0" w:color="auto"/>
        <w:bottom w:val="none" w:sz="0" w:space="0" w:color="auto"/>
        <w:right w:val="none" w:sz="0" w:space="0" w:color="auto"/>
      </w:divBdr>
      <w:divsChild>
        <w:div w:id="1868172786">
          <w:marLeft w:val="0"/>
          <w:marRight w:val="0"/>
          <w:marTop w:val="0"/>
          <w:marBottom w:val="0"/>
          <w:divBdr>
            <w:top w:val="none" w:sz="0" w:space="0" w:color="auto"/>
            <w:left w:val="none" w:sz="0" w:space="0" w:color="auto"/>
            <w:bottom w:val="none" w:sz="0" w:space="0" w:color="auto"/>
            <w:right w:val="none" w:sz="0" w:space="0" w:color="auto"/>
          </w:divBdr>
        </w:div>
      </w:divsChild>
    </w:div>
    <w:div w:id="2002544708">
      <w:marLeft w:val="0"/>
      <w:marRight w:val="0"/>
      <w:marTop w:val="120"/>
      <w:marBottom w:val="120"/>
      <w:divBdr>
        <w:top w:val="none" w:sz="0" w:space="0" w:color="auto"/>
        <w:left w:val="none" w:sz="0" w:space="0" w:color="auto"/>
        <w:bottom w:val="none" w:sz="0" w:space="0" w:color="auto"/>
        <w:right w:val="none" w:sz="0" w:space="0" w:color="auto"/>
      </w:divBdr>
    </w:div>
    <w:div w:id="2003466239">
      <w:marLeft w:val="0"/>
      <w:marRight w:val="0"/>
      <w:marTop w:val="0"/>
      <w:marBottom w:val="0"/>
      <w:divBdr>
        <w:top w:val="none" w:sz="0" w:space="0" w:color="auto"/>
        <w:left w:val="none" w:sz="0" w:space="0" w:color="auto"/>
        <w:bottom w:val="none" w:sz="0" w:space="0" w:color="auto"/>
        <w:right w:val="none" w:sz="0" w:space="0" w:color="auto"/>
      </w:divBdr>
    </w:div>
    <w:div w:id="2010937682">
      <w:marLeft w:val="0"/>
      <w:marRight w:val="0"/>
      <w:marTop w:val="120"/>
      <w:marBottom w:val="0"/>
      <w:divBdr>
        <w:top w:val="none" w:sz="0" w:space="0" w:color="auto"/>
        <w:left w:val="none" w:sz="0" w:space="0" w:color="auto"/>
        <w:bottom w:val="none" w:sz="0" w:space="0" w:color="auto"/>
        <w:right w:val="none" w:sz="0" w:space="0" w:color="auto"/>
      </w:divBdr>
    </w:div>
    <w:div w:id="2013754778">
      <w:marLeft w:val="0"/>
      <w:marRight w:val="0"/>
      <w:marTop w:val="0"/>
      <w:marBottom w:val="0"/>
      <w:divBdr>
        <w:top w:val="none" w:sz="0" w:space="0" w:color="auto"/>
        <w:left w:val="none" w:sz="0" w:space="0" w:color="auto"/>
        <w:bottom w:val="none" w:sz="0" w:space="0" w:color="auto"/>
        <w:right w:val="none" w:sz="0" w:space="0" w:color="auto"/>
      </w:divBdr>
    </w:div>
    <w:div w:id="2018071497">
      <w:marLeft w:val="0"/>
      <w:marRight w:val="0"/>
      <w:marTop w:val="0"/>
      <w:marBottom w:val="0"/>
      <w:divBdr>
        <w:top w:val="none" w:sz="0" w:space="0" w:color="auto"/>
        <w:left w:val="none" w:sz="0" w:space="0" w:color="auto"/>
        <w:bottom w:val="none" w:sz="0" w:space="0" w:color="auto"/>
        <w:right w:val="none" w:sz="0" w:space="0" w:color="auto"/>
      </w:divBdr>
      <w:divsChild>
        <w:div w:id="770929555">
          <w:marLeft w:val="0"/>
          <w:marRight w:val="0"/>
          <w:marTop w:val="0"/>
          <w:marBottom w:val="0"/>
          <w:divBdr>
            <w:top w:val="none" w:sz="0" w:space="0" w:color="auto"/>
            <w:left w:val="none" w:sz="0" w:space="0" w:color="auto"/>
            <w:bottom w:val="none" w:sz="0" w:space="0" w:color="auto"/>
            <w:right w:val="none" w:sz="0" w:space="0" w:color="auto"/>
          </w:divBdr>
        </w:div>
      </w:divsChild>
    </w:div>
    <w:div w:id="2025159405">
      <w:marLeft w:val="0"/>
      <w:marRight w:val="0"/>
      <w:marTop w:val="0"/>
      <w:marBottom w:val="0"/>
      <w:divBdr>
        <w:top w:val="none" w:sz="0" w:space="0" w:color="auto"/>
        <w:left w:val="none" w:sz="0" w:space="0" w:color="auto"/>
        <w:bottom w:val="none" w:sz="0" w:space="0" w:color="auto"/>
        <w:right w:val="none" w:sz="0" w:space="0" w:color="auto"/>
      </w:divBdr>
      <w:divsChild>
        <w:div w:id="1137574505">
          <w:marLeft w:val="0"/>
          <w:marRight w:val="0"/>
          <w:marTop w:val="0"/>
          <w:marBottom w:val="0"/>
          <w:divBdr>
            <w:top w:val="none" w:sz="0" w:space="0" w:color="auto"/>
            <w:left w:val="none" w:sz="0" w:space="0" w:color="auto"/>
            <w:bottom w:val="none" w:sz="0" w:space="0" w:color="auto"/>
            <w:right w:val="none" w:sz="0" w:space="0" w:color="auto"/>
          </w:divBdr>
        </w:div>
      </w:divsChild>
    </w:div>
    <w:div w:id="2026983118">
      <w:marLeft w:val="0"/>
      <w:marRight w:val="0"/>
      <w:marTop w:val="120"/>
      <w:marBottom w:val="0"/>
      <w:divBdr>
        <w:top w:val="none" w:sz="0" w:space="0" w:color="auto"/>
        <w:left w:val="none" w:sz="0" w:space="0" w:color="auto"/>
        <w:bottom w:val="none" w:sz="0" w:space="0" w:color="auto"/>
        <w:right w:val="none" w:sz="0" w:space="0" w:color="auto"/>
      </w:divBdr>
    </w:div>
    <w:div w:id="2029332071">
      <w:marLeft w:val="0"/>
      <w:marRight w:val="0"/>
      <w:marTop w:val="0"/>
      <w:marBottom w:val="0"/>
      <w:divBdr>
        <w:top w:val="none" w:sz="0" w:space="0" w:color="auto"/>
        <w:left w:val="none" w:sz="0" w:space="0" w:color="auto"/>
        <w:bottom w:val="none" w:sz="0" w:space="0" w:color="auto"/>
        <w:right w:val="none" w:sz="0" w:space="0" w:color="auto"/>
      </w:divBdr>
      <w:divsChild>
        <w:div w:id="1544904470">
          <w:marLeft w:val="0"/>
          <w:marRight w:val="0"/>
          <w:marTop w:val="0"/>
          <w:marBottom w:val="0"/>
          <w:divBdr>
            <w:top w:val="none" w:sz="0" w:space="0" w:color="auto"/>
            <w:left w:val="none" w:sz="0" w:space="0" w:color="auto"/>
            <w:bottom w:val="none" w:sz="0" w:space="0" w:color="auto"/>
            <w:right w:val="none" w:sz="0" w:space="0" w:color="auto"/>
          </w:divBdr>
        </w:div>
      </w:divsChild>
    </w:div>
    <w:div w:id="2032998188">
      <w:marLeft w:val="0"/>
      <w:marRight w:val="0"/>
      <w:marTop w:val="0"/>
      <w:marBottom w:val="0"/>
      <w:divBdr>
        <w:top w:val="none" w:sz="0" w:space="0" w:color="auto"/>
        <w:left w:val="none" w:sz="0" w:space="0" w:color="auto"/>
        <w:bottom w:val="none" w:sz="0" w:space="0" w:color="auto"/>
        <w:right w:val="none" w:sz="0" w:space="0" w:color="auto"/>
      </w:divBdr>
      <w:divsChild>
        <w:div w:id="1594316529">
          <w:marLeft w:val="0"/>
          <w:marRight w:val="0"/>
          <w:marTop w:val="0"/>
          <w:marBottom w:val="0"/>
          <w:divBdr>
            <w:top w:val="none" w:sz="0" w:space="0" w:color="auto"/>
            <w:left w:val="none" w:sz="0" w:space="0" w:color="auto"/>
            <w:bottom w:val="none" w:sz="0" w:space="0" w:color="auto"/>
            <w:right w:val="none" w:sz="0" w:space="0" w:color="auto"/>
          </w:divBdr>
        </w:div>
      </w:divsChild>
    </w:div>
    <w:div w:id="2033189922">
      <w:marLeft w:val="0"/>
      <w:marRight w:val="0"/>
      <w:marTop w:val="120"/>
      <w:marBottom w:val="0"/>
      <w:divBdr>
        <w:top w:val="none" w:sz="0" w:space="0" w:color="auto"/>
        <w:left w:val="none" w:sz="0" w:space="0" w:color="auto"/>
        <w:bottom w:val="none" w:sz="0" w:space="0" w:color="auto"/>
        <w:right w:val="none" w:sz="0" w:space="0" w:color="auto"/>
      </w:divBdr>
    </w:div>
    <w:div w:id="2035032797">
      <w:marLeft w:val="0"/>
      <w:marRight w:val="0"/>
      <w:marTop w:val="120"/>
      <w:marBottom w:val="0"/>
      <w:divBdr>
        <w:top w:val="none" w:sz="0" w:space="0" w:color="auto"/>
        <w:left w:val="none" w:sz="0" w:space="0" w:color="auto"/>
        <w:bottom w:val="none" w:sz="0" w:space="0" w:color="auto"/>
        <w:right w:val="none" w:sz="0" w:space="0" w:color="auto"/>
      </w:divBdr>
    </w:div>
    <w:div w:id="2040888658">
      <w:marLeft w:val="0"/>
      <w:marRight w:val="0"/>
      <w:marTop w:val="120"/>
      <w:marBottom w:val="120"/>
      <w:divBdr>
        <w:top w:val="none" w:sz="0" w:space="0" w:color="auto"/>
        <w:left w:val="none" w:sz="0" w:space="0" w:color="auto"/>
        <w:bottom w:val="none" w:sz="0" w:space="0" w:color="auto"/>
        <w:right w:val="none" w:sz="0" w:space="0" w:color="auto"/>
      </w:divBdr>
    </w:div>
    <w:div w:id="2041591074">
      <w:marLeft w:val="0"/>
      <w:marRight w:val="0"/>
      <w:marTop w:val="120"/>
      <w:marBottom w:val="0"/>
      <w:divBdr>
        <w:top w:val="none" w:sz="0" w:space="0" w:color="auto"/>
        <w:left w:val="none" w:sz="0" w:space="0" w:color="auto"/>
        <w:bottom w:val="none" w:sz="0" w:space="0" w:color="auto"/>
        <w:right w:val="none" w:sz="0" w:space="0" w:color="auto"/>
      </w:divBdr>
    </w:div>
    <w:div w:id="2042626788">
      <w:marLeft w:val="0"/>
      <w:marRight w:val="0"/>
      <w:marTop w:val="120"/>
      <w:marBottom w:val="0"/>
      <w:divBdr>
        <w:top w:val="none" w:sz="0" w:space="0" w:color="auto"/>
        <w:left w:val="none" w:sz="0" w:space="0" w:color="auto"/>
        <w:bottom w:val="none" w:sz="0" w:space="0" w:color="auto"/>
        <w:right w:val="none" w:sz="0" w:space="0" w:color="auto"/>
      </w:divBdr>
    </w:div>
    <w:div w:id="2049405445">
      <w:marLeft w:val="0"/>
      <w:marRight w:val="0"/>
      <w:marTop w:val="120"/>
      <w:marBottom w:val="0"/>
      <w:divBdr>
        <w:top w:val="none" w:sz="0" w:space="0" w:color="auto"/>
        <w:left w:val="none" w:sz="0" w:space="0" w:color="auto"/>
        <w:bottom w:val="none" w:sz="0" w:space="0" w:color="auto"/>
        <w:right w:val="none" w:sz="0" w:space="0" w:color="auto"/>
      </w:divBdr>
    </w:div>
    <w:div w:id="2053653073">
      <w:marLeft w:val="0"/>
      <w:marRight w:val="0"/>
      <w:marTop w:val="120"/>
      <w:marBottom w:val="120"/>
      <w:divBdr>
        <w:top w:val="none" w:sz="0" w:space="0" w:color="auto"/>
        <w:left w:val="none" w:sz="0" w:space="0" w:color="auto"/>
        <w:bottom w:val="none" w:sz="0" w:space="0" w:color="auto"/>
        <w:right w:val="none" w:sz="0" w:space="0" w:color="auto"/>
      </w:divBdr>
    </w:div>
    <w:div w:id="2057662648">
      <w:marLeft w:val="0"/>
      <w:marRight w:val="0"/>
      <w:marTop w:val="120"/>
      <w:marBottom w:val="20"/>
      <w:divBdr>
        <w:top w:val="none" w:sz="0" w:space="0" w:color="auto"/>
        <w:left w:val="none" w:sz="0" w:space="0" w:color="auto"/>
        <w:bottom w:val="none" w:sz="0" w:space="0" w:color="auto"/>
        <w:right w:val="none" w:sz="0" w:space="0" w:color="auto"/>
      </w:divBdr>
    </w:div>
    <w:div w:id="2058817278">
      <w:marLeft w:val="0"/>
      <w:marRight w:val="0"/>
      <w:marTop w:val="120"/>
      <w:marBottom w:val="0"/>
      <w:divBdr>
        <w:top w:val="none" w:sz="0" w:space="0" w:color="auto"/>
        <w:left w:val="none" w:sz="0" w:space="0" w:color="auto"/>
        <w:bottom w:val="none" w:sz="0" w:space="0" w:color="auto"/>
        <w:right w:val="none" w:sz="0" w:space="0" w:color="auto"/>
      </w:divBdr>
    </w:div>
    <w:div w:id="2059619469">
      <w:marLeft w:val="0"/>
      <w:marRight w:val="0"/>
      <w:marTop w:val="0"/>
      <w:marBottom w:val="0"/>
      <w:divBdr>
        <w:top w:val="none" w:sz="0" w:space="0" w:color="auto"/>
        <w:left w:val="none" w:sz="0" w:space="0" w:color="auto"/>
        <w:bottom w:val="none" w:sz="0" w:space="0" w:color="auto"/>
        <w:right w:val="none" w:sz="0" w:space="0" w:color="auto"/>
      </w:divBdr>
    </w:div>
    <w:div w:id="2060321215">
      <w:marLeft w:val="0"/>
      <w:marRight w:val="0"/>
      <w:marTop w:val="120"/>
      <w:marBottom w:val="0"/>
      <w:divBdr>
        <w:top w:val="none" w:sz="0" w:space="0" w:color="auto"/>
        <w:left w:val="none" w:sz="0" w:space="0" w:color="auto"/>
        <w:bottom w:val="none" w:sz="0" w:space="0" w:color="auto"/>
        <w:right w:val="none" w:sz="0" w:space="0" w:color="auto"/>
      </w:divBdr>
    </w:div>
    <w:div w:id="2061049367">
      <w:marLeft w:val="0"/>
      <w:marRight w:val="0"/>
      <w:marTop w:val="120"/>
      <w:marBottom w:val="0"/>
      <w:divBdr>
        <w:top w:val="none" w:sz="0" w:space="0" w:color="auto"/>
        <w:left w:val="none" w:sz="0" w:space="0" w:color="auto"/>
        <w:bottom w:val="none" w:sz="0" w:space="0" w:color="auto"/>
        <w:right w:val="none" w:sz="0" w:space="0" w:color="auto"/>
      </w:divBdr>
    </w:div>
    <w:div w:id="2067870812">
      <w:marLeft w:val="0"/>
      <w:marRight w:val="0"/>
      <w:marTop w:val="120"/>
      <w:marBottom w:val="0"/>
      <w:divBdr>
        <w:top w:val="none" w:sz="0" w:space="0" w:color="auto"/>
        <w:left w:val="none" w:sz="0" w:space="0" w:color="auto"/>
        <w:bottom w:val="none" w:sz="0" w:space="0" w:color="auto"/>
        <w:right w:val="none" w:sz="0" w:space="0" w:color="auto"/>
      </w:divBdr>
    </w:div>
    <w:div w:id="2074500603">
      <w:marLeft w:val="0"/>
      <w:marRight w:val="0"/>
      <w:marTop w:val="120"/>
      <w:marBottom w:val="0"/>
      <w:divBdr>
        <w:top w:val="none" w:sz="0" w:space="0" w:color="auto"/>
        <w:left w:val="none" w:sz="0" w:space="0" w:color="auto"/>
        <w:bottom w:val="none" w:sz="0" w:space="0" w:color="auto"/>
        <w:right w:val="none" w:sz="0" w:space="0" w:color="auto"/>
      </w:divBdr>
    </w:div>
    <w:div w:id="2076857424">
      <w:marLeft w:val="0"/>
      <w:marRight w:val="0"/>
      <w:marTop w:val="120"/>
      <w:marBottom w:val="0"/>
      <w:divBdr>
        <w:top w:val="none" w:sz="0" w:space="0" w:color="auto"/>
        <w:left w:val="none" w:sz="0" w:space="0" w:color="auto"/>
        <w:bottom w:val="none" w:sz="0" w:space="0" w:color="auto"/>
        <w:right w:val="none" w:sz="0" w:space="0" w:color="auto"/>
      </w:divBdr>
    </w:div>
    <w:div w:id="2080012929">
      <w:marLeft w:val="0"/>
      <w:marRight w:val="0"/>
      <w:marTop w:val="120"/>
      <w:marBottom w:val="0"/>
      <w:divBdr>
        <w:top w:val="none" w:sz="0" w:space="0" w:color="auto"/>
        <w:left w:val="none" w:sz="0" w:space="0" w:color="auto"/>
        <w:bottom w:val="none" w:sz="0" w:space="0" w:color="auto"/>
        <w:right w:val="none" w:sz="0" w:space="0" w:color="auto"/>
      </w:divBdr>
    </w:div>
    <w:div w:id="2081713961">
      <w:marLeft w:val="0"/>
      <w:marRight w:val="0"/>
      <w:marTop w:val="120"/>
      <w:marBottom w:val="120"/>
      <w:divBdr>
        <w:top w:val="none" w:sz="0" w:space="0" w:color="auto"/>
        <w:left w:val="none" w:sz="0" w:space="0" w:color="auto"/>
        <w:bottom w:val="none" w:sz="0" w:space="0" w:color="auto"/>
        <w:right w:val="none" w:sz="0" w:space="0" w:color="auto"/>
      </w:divBdr>
    </w:div>
    <w:div w:id="2083410484">
      <w:marLeft w:val="0"/>
      <w:marRight w:val="0"/>
      <w:marTop w:val="120"/>
      <w:marBottom w:val="0"/>
      <w:divBdr>
        <w:top w:val="none" w:sz="0" w:space="0" w:color="auto"/>
        <w:left w:val="none" w:sz="0" w:space="0" w:color="auto"/>
        <w:bottom w:val="none" w:sz="0" w:space="0" w:color="auto"/>
        <w:right w:val="none" w:sz="0" w:space="0" w:color="auto"/>
      </w:divBdr>
    </w:div>
    <w:div w:id="2084331626">
      <w:marLeft w:val="0"/>
      <w:marRight w:val="0"/>
      <w:marTop w:val="120"/>
      <w:marBottom w:val="0"/>
      <w:divBdr>
        <w:top w:val="none" w:sz="0" w:space="0" w:color="auto"/>
        <w:left w:val="none" w:sz="0" w:space="0" w:color="auto"/>
        <w:bottom w:val="none" w:sz="0" w:space="0" w:color="auto"/>
        <w:right w:val="none" w:sz="0" w:space="0" w:color="auto"/>
      </w:divBdr>
    </w:div>
    <w:div w:id="2091658885">
      <w:marLeft w:val="0"/>
      <w:marRight w:val="0"/>
      <w:marTop w:val="0"/>
      <w:marBottom w:val="0"/>
      <w:divBdr>
        <w:top w:val="none" w:sz="0" w:space="0" w:color="auto"/>
        <w:left w:val="none" w:sz="0" w:space="0" w:color="auto"/>
        <w:bottom w:val="none" w:sz="0" w:space="0" w:color="auto"/>
        <w:right w:val="none" w:sz="0" w:space="0" w:color="auto"/>
      </w:divBdr>
    </w:div>
    <w:div w:id="2095322741">
      <w:marLeft w:val="0"/>
      <w:marRight w:val="0"/>
      <w:marTop w:val="20"/>
      <w:marBottom w:val="0"/>
      <w:divBdr>
        <w:top w:val="none" w:sz="0" w:space="0" w:color="auto"/>
        <w:left w:val="none" w:sz="0" w:space="0" w:color="auto"/>
        <w:bottom w:val="none" w:sz="0" w:space="0" w:color="auto"/>
        <w:right w:val="none" w:sz="0" w:space="0" w:color="auto"/>
      </w:divBdr>
    </w:div>
    <w:div w:id="2097163968">
      <w:marLeft w:val="0"/>
      <w:marRight w:val="0"/>
      <w:marTop w:val="0"/>
      <w:marBottom w:val="20"/>
      <w:divBdr>
        <w:top w:val="none" w:sz="0" w:space="0" w:color="auto"/>
        <w:left w:val="none" w:sz="0" w:space="0" w:color="auto"/>
        <w:bottom w:val="none" w:sz="0" w:space="0" w:color="auto"/>
        <w:right w:val="none" w:sz="0" w:space="0" w:color="auto"/>
      </w:divBdr>
    </w:div>
    <w:div w:id="2110195549">
      <w:marLeft w:val="0"/>
      <w:marRight w:val="0"/>
      <w:marTop w:val="120"/>
      <w:marBottom w:val="0"/>
      <w:divBdr>
        <w:top w:val="none" w:sz="0" w:space="0" w:color="auto"/>
        <w:left w:val="none" w:sz="0" w:space="0" w:color="auto"/>
        <w:bottom w:val="none" w:sz="0" w:space="0" w:color="auto"/>
        <w:right w:val="none" w:sz="0" w:space="0" w:color="auto"/>
      </w:divBdr>
    </w:div>
    <w:div w:id="2115637243">
      <w:marLeft w:val="0"/>
      <w:marRight w:val="0"/>
      <w:marTop w:val="120"/>
      <w:marBottom w:val="0"/>
      <w:divBdr>
        <w:top w:val="none" w:sz="0" w:space="0" w:color="auto"/>
        <w:left w:val="none" w:sz="0" w:space="0" w:color="auto"/>
        <w:bottom w:val="none" w:sz="0" w:space="0" w:color="auto"/>
        <w:right w:val="none" w:sz="0" w:space="0" w:color="auto"/>
      </w:divBdr>
    </w:div>
    <w:div w:id="2117823430">
      <w:marLeft w:val="0"/>
      <w:marRight w:val="0"/>
      <w:marTop w:val="120"/>
      <w:marBottom w:val="120"/>
      <w:divBdr>
        <w:top w:val="none" w:sz="0" w:space="0" w:color="auto"/>
        <w:left w:val="none" w:sz="0" w:space="0" w:color="auto"/>
        <w:bottom w:val="none" w:sz="0" w:space="0" w:color="auto"/>
        <w:right w:val="none" w:sz="0" w:space="0" w:color="auto"/>
      </w:divBdr>
    </w:div>
    <w:div w:id="2121798022">
      <w:marLeft w:val="0"/>
      <w:marRight w:val="0"/>
      <w:marTop w:val="120"/>
      <w:marBottom w:val="0"/>
      <w:divBdr>
        <w:top w:val="none" w:sz="0" w:space="0" w:color="auto"/>
        <w:left w:val="none" w:sz="0" w:space="0" w:color="auto"/>
        <w:bottom w:val="none" w:sz="0" w:space="0" w:color="auto"/>
        <w:right w:val="none" w:sz="0" w:space="0" w:color="auto"/>
      </w:divBdr>
    </w:div>
    <w:div w:id="2124838977">
      <w:marLeft w:val="0"/>
      <w:marRight w:val="0"/>
      <w:marTop w:val="120"/>
      <w:marBottom w:val="0"/>
      <w:divBdr>
        <w:top w:val="none" w:sz="0" w:space="0" w:color="auto"/>
        <w:left w:val="none" w:sz="0" w:space="0" w:color="auto"/>
        <w:bottom w:val="none" w:sz="0" w:space="0" w:color="auto"/>
        <w:right w:val="none" w:sz="0" w:space="0" w:color="auto"/>
      </w:divBdr>
    </w:div>
    <w:div w:id="2128624352">
      <w:marLeft w:val="0"/>
      <w:marRight w:val="0"/>
      <w:marTop w:val="120"/>
      <w:marBottom w:val="120"/>
      <w:divBdr>
        <w:top w:val="none" w:sz="0" w:space="0" w:color="auto"/>
        <w:left w:val="none" w:sz="0" w:space="0" w:color="auto"/>
        <w:bottom w:val="none" w:sz="0" w:space="0" w:color="auto"/>
        <w:right w:val="none" w:sz="0" w:space="0" w:color="auto"/>
      </w:divBdr>
    </w:div>
    <w:div w:id="2131892709">
      <w:marLeft w:val="0"/>
      <w:marRight w:val="0"/>
      <w:marTop w:val="120"/>
      <w:marBottom w:val="0"/>
      <w:divBdr>
        <w:top w:val="none" w:sz="0" w:space="0" w:color="auto"/>
        <w:left w:val="none" w:sz="0" w:space="0" w:color="auto"/>
        <w:bottom w:val="none" w:sz="0" w:space="0" w:color="auto"/>
        <w:right w:val="none" w:sz="0" w:space="0" w:color="auto"/>
      </w:divBdr>
    </w:div>
    <w:div w:id="2132438201">
      <w:marLeft w:val="0"/>
      <w:marRight w:val="0"/>
      <w:marTop w:val="120"/>
      <w:marBottom w:val="0"/>
      <w:divBdr>
        <w:top w:val="none" w:sz="0" w:space="0" w:color="auto"/>
        <w:left w:val="none" w:sz="0" w:space="0" w:color="auto"/>
        <w:bottom w:val="none" w:sz="0" w:space="0" w:color="auto"/>
        <w:right w:val="none" w:sz="0" w:space="0" w:color="auto"/>
      </w:divBdr>
    </w:div>
    <w:div w:id="2137217371">
      <w:marLeft w:val="0"/>
      <w:marRight w:val="0"/>
      <w:marTop w:val="120"/>
      <w:marBottom w:val="0"/>
      <w:divBdr>
        <w:top w:val="none" w:sz="0" w:space="0" w:color="auto"/>
        <w:left w:val="none" w:sz="0" w:space="0" w:color="auto"/>
        <w:bottom w:val="none" w:sz="0" w:space="0" w:color="auto"/>
        <w:right w:val="none" w:sz="0" w:space="0" w:color="auto"/>
      </w:divBdr>
    </w:div>
    <w:div w:id="2141921666">
      <w:marLeft w:val="0"/>
      <w:marRight w:val="0"/>
      <w:marTop w:val="0"/>
      <w:marBottom w:val="20"/>
      <w:divBdr>
        <w:top w:val="none" w:sz="0" w:space="0" w:color="auto"/>
        <w:left w:val="none" w:sz="0" w:space="0" w:color="auto"/>
        <w:bottom w:val="none" w:sz="0" w:space="0" w:color="auto"/>
        <w:right w:val="none" w:sz="0" w:space="0" w:color="auto"/>
      </w:divBdr>
      <w:divsChild>
        <w:div w:id="557277577">
          <w:marLeft w:val="0"/>
          <w:marRight w:val="0"/>
          <w:marTop w:val="120"/>
          <w:marBottom w:val="0"/>
          <w:divBdr>
            <w:top w:val="none" w:sz="0" w:space="0" w:color="auto"/>
            <w:left w:val="none" w:sz="0" w:space="0" w:color="auto"/>
            <w:bottom w:val="none" w:sz="0" w:space="0" w:color="auto"/>
            <w:right w:val="none" w:sz="0" w:space="0" w:color="auto"/>
          </w:divBdr>
        </w:div>
      </w:divsChild>
    </w:div>
    <w:div w:id="2146001292">
      <w:marLeft w:val="0"/>
      <w:marRight w:val="0"/>
      <w:marTop w:val="0"/>
      <w:marBottom w:val="0"/>
      <w:divBdr>
        <w:top w:val="none" w:sz="0" w:space="0" w:color="auto"/>
        <w:left w:val="none" w:sz="0" w:space="0" w:color="auto"/>
        <w:bottom w:val="none" w:sz="0" w:space="0" w:color="auto"/>
        <w:right w:val="none" w:sz="0" w:space="0" w:color="auto"/>
      </w:divBdr>
      <w:divsChild>
        <w:div w:id="1460611655">
          <w:marLeft w:val="0"/>
          <w:marRight w:val="0"/>
          <w:marTop w:val="0"/>
          <w:marBottom w:val="0"/>
          <w:divBdr>
            <w:top w:val="none" w:sz="0" w:space="0" w:color="auto"/>
            <w:left w:val="none" w:sz="0" w:space="0" w:color="auto"/>
            <w:bottom w:val="none" w:sz="0" w:space="0" w:color="auto"/>
            <w:right w:val="none" w:sz="0" w:space="0" w:color="auto"/>
          </w:divBdr>
        </w:div>
      </w:divsChild>
    </w:div>
    <w:div w:id="2146583693">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04328/000119312517189502/d383851dex42.htm" TargetMode="External"/><Relationship Id="rId18" Type="http://schemas.openxmlformats.org/officeDocument/2006/relationships/hyperlink" Target="http://www.sec.gov/Archives/edgar/data/804328/000119312517189502/d383851dex411.htm" TargetMode="External"/><Relationship Id="rId26" Type="http://schemas.openxmlformats.org/officeDocument/2006/relationships/hyperlink" Target="http://www.sec.gov/Archives/edgar/data/804328/000110465920096322/tm2027698d1_ex4-6.htm" TargetMode="External"/><Relationship Id="rId39" Type="http://schemas.openxmlformats.org/officeDocument/2006/relationships/hyperlink" Target="qcom062721ex311.htm" TargetMode="External"/><Relationship Id="rId21" Type="http://schemas.openxmlformats.org/officeDocument/2006/relationships/hyperlink" Target="http://www.sec.gov/Archives/edgar/data/804328/000110465920058923/tm2015417d4_ex4-4.htm" TargetMode="External"/><Relationship Id="rId34" Type="http://schemas.openxmlformats.org/officeDocument/2006/relationships/hyperlink" Target="qcom062721ex311.htm" TargetMode="External"/><Relationship Id="rId42" Type="http://schemas.openxmlformats.org/officeDocument/2006/relationships/hyperlink" Target="qcom062721ex321.htm" TargetMode="External"/><Relationship Id="rId47" Type="http://schemas.openxmlformats.org/officeDocument/2006/relationships/hyperlink" Target="qcom062721ex321.htm" TargetMode="External"/><Relationship Id="rId50" Type="http://schemas.openxmlformats.org/officeDocument/2006/relationships/fontTable" Target="fontTable.xml"/><Relationship Id="rId7" Type="http://schemas.openxmlformats.org/officeDocument/2006/relationships/hyperlink" Target="http://www.sec.gov/Archives/edgar/data/804328/000119312515195451/d931327dex41.htm" TargetMode="External"/><Relationship Id="rId2" Type="http://schemas.openxmlformats.org/officeDocument/2006/relationships/settings" Target="settings.xml"/><Relationship Id="rId16" Type="http://schemas.openxmlformats.org/officeDocument/2006/relationships/hyperlink" Target="http://www.sec.gov/Archives/edgar/data/804328/000119312517189502/d383851dex49.htm" TargetMode="External"/><Relationship Id="rId29" Type="http://schemas.openxmlformats.org/officeDocument/2006/relationships/hyperlink" Target="http://www.sec.gov/Archives/edgar/data/0000804328/000172894921000022/qcom122720ex424.htm" TargetMode="External"/><Relationship Id="rId11" Type="http://schemas.openxmlformats.org/officeDocument/2006/relationships/hyperlink" Target="http://www.sec.gov/Archives/edgar/data/804328/000119312515195451/d931327dex49.htm" TargetMode="External"/><Relationship Id="rId24" Type="http://schemas.openxmlformats.org/officeDocument/2006/relationships/hyperlink" Target="http://www.sec.gov/Archives/edgar/data/804328/000110465920096322/tm2027698d1_ex4-4.htm" TargetMode="External"/><Relationship Id="rId32" Type="http://schemas.openxmlformats.org/officeDocument/2006/relationships/hyperlink" Target="qcom062721ex1011.htm" TargetMode="External"/><Relationship Id="rId37" Type="http://schemas.openxmlformats.org/officeDocument/2006/relationships/hyperlink" Target="qcom062721ex311.htm" TargetMode="External"/><Relationship Id="rId40" Type="http://schemas.openxmlformats.org/officeDocument/2006/relationships/hyperlink" Target="qcom062721ex312.htm" TargetMode="External"/><Relationship Id="rId45" Type="http://schemas.openxmlformats.org/officeDocument/2006/relationships/hyperlink" Target="qcom062721ex321.htm" TargetMode="External"/><Relationship Id="rId5" Type="http://schemas.openxmlformats.org/officeDocument/2006/relationships/hyperlink" Target="http://www.sec.gov/Archives/edgar/data/804328/000172894918000029/qcom04182018ex31.htm" TargetMode="External"/><Relationship Id="rId15" Type="http://schemas.openxmlformats.org/officeDocument/2006/relationships/hyperlink" Target="http://www.sec.gov/Archives/edgar/data/804328/000119312517189502/d383851dex48.htm" TargetMode="External"/><Relationship Id="rId23" Type="http://schemas.openxmlformats.org/officeDocument/2006/relationships/hyperlink" Target="http://www.sec.gov/Archives/edgar/data/804328/000110465920096322/tm2027698d1_ex4-3.htm" TargetMode="External"/><Relationship Id="rId28" Type="http://schemas.openxmlformats.org/officeDocument/2006/relationships/hyperlink" Target="http://www.sec.gov/Archives/edgar/data/0000804328/000172894921000022/qcom122720ex423.htm" TargetMode="External"/><Relationship Id="rId36" Type="http://schemas.openxmlformats.org/officeDocument/2006/relationships/hyperlink" Target="qcom062721ex311.htm" TargetMode="External"/><Relationship Id="rId49" Type="http://schemas.openxmlformats.org/officeDocument/2006/relationships/hyperlink" Target="qcom062721ex322.htm" TargetMode="External"/><Relationship Id="rId10" Type="http://schemas.openxmlformats.org/officeDocument/2006/relationships/hyperlink" Target="http://www.sec.gov/Archives/edgar/data/804328/000119312515195451/d931327dex48.htm" TargetMode="External"/><Relationship Id="rId19" Type="http://schemas.openxmlformats.org/officeDocument/2006/relationships/hyperlink" Target="http://www.sec.gov/Archives/edgar/data/804328/000110465920058923/tm2015417d4_ex4-2.htm" TargetMode="External"/><Relationship Id="rId31" Type="http://schemas.openxmlformats.org/officeDocument/2006/relationships/hyperlink" Target="qcom062721ex107.htm" TargetMode="External"/><Relationship Id="rId44" Type="http://schemas.openxmlformats.org/officeDocument/2006/relationships/hyperlink" Target="qcom062721ex321.htm" TargetMode="External"/><Relationship Id="rId4" Type="http://schemas.openxmlformats.org/officeDocument/2006/relationships/hyperlink" Target="https://www.sec.gov/Archives/edgar/data/804328/000172894921000009/nile-mergeragreement.htm" TargetMode="External"/><Relationship Id="rId9" Type="http://schemas.openxmlformats.org/officeDocument/2006/relationships/hyperlink" Target="http://www.sec.gov/Archives/edgar/data/804328/000119312515195451/d931327dex47.htm" TargetMode="External"/><Relationship Id="rId14" Type="http://schemas.openxmlformats.org/officeDocument/2006/relationships/hyperlink" Target="http://www.sec.gov/Archives/edgar/data/804328/000119312517189502/d383851dex45.htm" TargetMode="External"/><Relationship Id="rId22" Type="http://schemas.openxmlformats.org/officeDocument/2006/relationships/hyperlink" Target="http://www.sec.gov/Archives/edgar/data/804328/000110465920096322/tm2027698d1_ex4-2.htm" TargetMode="External"/><Relationship Id="rId27" Type="http://schemas.openxmlformats.org/officeDocument/2006/relationships/hyperlink" Target="http://www.sec.gov/Archives/edgar/data/804328/000110465920096322/tm2027698d1_ex4-7.htm" TargetMode="External"/><Relationship Id="rId30" Type="http://schemas.openxmlformats.org/officeDocument/2006/relationships/hyperlink" Target="http://www.sec.gov/Archives/edgar/data/0000804328/000172894921000022/qcom122720ex425.htm" TargetMode="External"/><Relationship Id="rId35" Type="http://schemas.openxmlformats.org/officeDocument/2006/relationships/hyperlink" Target="qcom062721ex311.htm" TargetMode="External"/><Relationship Id="rId43" Type="http://schemas.openxmlformats.org/officeDocument/2006/relationships/hyperlink" Target="qcom062721ex321.htm" TargetMode="External"/><Relationship Id="rId48" Type="http://schemas.openxmlformats.org/officeDocument/2006/relationships/hyperlink" Target="qcom062721ex321.htm" TargetMode="External"/><Relationship Id="rId8" Type="http://schemas.openxmlformats.org/officeDocument/2006/relationships/hyperlink" Target="http://www.sec.gov/Archives/edgar/data/804328/000119312515195451/d931327dex42.htm"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c.gov/Archives/edgar/data/804328/000119312515195451/d931327dex410.htm" TargetMode="External"/><Relationship Id="rId17" Type="http://schemas.openxmlformats.org/officeDocument/2006/relationships/hyperlink" Target="http://www.sec.gov/Archives/edgar/data/804328/000119312517189502/d383851dex410.htm" TargetMode="External"/><Relationship Id="rId25" Type="http://schemas.openxmlformats.org/officeDocument/2006/relationships/hyperlink" Target="http://www.sec.gov/Archives/edgar/data/804328/000110465920096322/tm2027698d1_ex4-5.htm" TargetMode="External"/><Relationship Id="rId33" Type="http://schemas.openxmlformats.org/officeDocument/2006/relationships/hyperlink" Target="qcom062721ex1012.htm" TargetMode="External"/><Relationship Id="rId38" Type="http://schemas.openxmlformats.org/officeDocument/2006/relationships/hyperlink" Target="qcom062721ex311.htm" TargetMode="External"/><Relationship Id="rId46" Type="http://schemas.openxmlformats.org/officeDocument/2006/relationships/hyperlink" Target="qcom062721ex321.htm" TargetMode="External"/><Relationship Id="rId20" Type="http://schemas.openxmlformats.org/officeDocument/2006/relationships/hyperlink" Target="http://www.sec.gov/Archives/edgar/data/804328/000110465920058923/tm2015417d4_ex4-3.htm" TargetMode="External"/><Relationship Id="rId41" Type="http://schemas.openxmlformats.org/officeDocument/2006/relationships/hyperlink" Target="qcom062721ex321.htm" TargetMode="External"/><Relationship Id="rId1" Type="http://schemas.openxmlformats.org/officeDocument/2006/relationships/styles" Target="styles.xml"/><Relationship Id="rId6" Type="http://schemas.openxmlformats.org/officeDocument/2006/relationships/hyperlink" Target="http://www.sec.gov/Archives/edgar/data/804328/000172894921000055/ex-32amendedandrestatedbyl.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37247</Words>
  <Characters>212309</Characters>
  <Application>Microsoft Office Word</Application>
  <DocSecurity>0</DocSecurity>
  <Lines>1769</Lines>
  <Paragraphs>498</Paragraphs>
  <ScaleCrop>false</ScaleCrop>
  <Company/>
  <LinksUpToDate>false</LinksUpToDate>
  <CharactersWithSpaces>249058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qcom-20210627</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