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97CC" w14:textId="77777777" w:rsidR="00000000" w:rsidRDefault="009B6C69">
      <w:pPr>
        <w:divId w:val="1717390647"/>
        <w:rPr>
          <w:rFonts w:eastAsia="Times New Roman"/>
          <w:vanish/>
        </w:rPr>
      </w:pPr>
      <w:r>
        <w:rPr>
          <w:rFonts w:eastAsia="Times New Roman"/>
          <w:vanish/>
        </w:rPr>
        <w:t>QUALCOMM INC/DE00008043282022FYFALSE--09-25P1MP1Mhttp://fasb.org/us-gaap/2022#InvestmentIncomeNonoperatinghttp://fasb.org/us-gaap/2022#InvestmentIncomeNonoperating</w:t>
      </w:r>
      <w:r>
        <w:rPr>
          <w:rFonts w:eastAsia="Times New Roman"/>
          <w:vanish/>
        </w:rPr>
        <w:t>http://fasb.org/us-gaap/2022#InvestmentIncomeNonoperatingP1Y0M0DP1Y0M0DP1Y0M0DP1Y0M0DP1Y0M0DP1Y0M0DP1Y0M0Dhttp://fasb.org/us-gaap/2022#InterestExpensehttp://fasb.org/us-gaap/2022#OtherAssetsCurrenthttp://fasb.org/us-gaap/2022#OtherAssetsCurrenthttp://fasb.</w:t>
      </w:r>
      <w:r>
        <w:rPr>
          <w:rFonts w:eastAsia="Times New Roman"/>
          <w:vanish/>
        </w:rPr>
        <w:t>org/us-gaap/2022#OtherLiabilitiesCurrenthttp://fasb.org/us-gaap/2022#OtherLiabilitiesCurrenthttp://fasb.org/us-gaap/2022#OtherLiabilitieshttp://fasb.org/us-gaap/2022#OtherLiabilities00008043282021-09-272022-09-2500008043282022-03-27iso4217:USD0000804328202</w:t>
      </w:r>
      <w:r>
        <w:rPr>
          <w:rFonts w:eastAsia="Times New Roman"/>
          <w:vanish/>
        </w:rPr>
        <w:t>2-10-31xbrli:shares00008043282022-09-2500008043282021-09-26iso4217:USDxbrli:shares00008043282020-09-282021-09-2600008043282019-09-302020-09-2700008043282019-09-302020-06-2800008043282020-09-2700008043282019-09-290000804328us-gaap:CommonStockIncludingAdditi</w:t>
      </w:r>
      <w:r>
        <w:rPr>
          <w:rFonts w:eastAsia="Times New Roman"/>
          <w:vanish/>
        </w:rPr>
        <w:t>onalPaidInCapitalMember2021-09-260000804328us-gaap:CommonStockIncludingAdditionalPaidInCapitalMember2020-09-270000804328us-gaap:CommonStockIncludingAdditionalPaidInCapitalMember2019-09-290000804328us-gaap:CommonStockIncludingAdditionalPaidInCapitalMember20</w:t>
      </w:r>
      <w:r>
        <w:rPr>
          <w:rFonts w:eastAsia="Times New Roman"/>
          <w:vanish/>
        </w:rPr>
        <w:t>21-09-272022-09-250000804328us-gaap:CommonStockIncludingAdditionalPaidInCapitalMember2020-09-282021-09-260000804328us-gaap:CommonStockIncludingAdditionalPaidInCapitalMember2019-09-302020-09-270000804328us-gaap:CommonStockIncludingAdditionalPaidInCapitalMem</w:t>
      </w:r>
      <w:r>
        <w:rPr>
          <w:rFonts w:eastAsia="Times New Roman"/>
          <w:vanish/>
        </w:rPr>
        <w:t>ber2022-09-250000804328us-gaap:RetainedEarningsMember2021-09-260000804328us-gaap:RetainedEarningsMember2020-09-270000804328us-gaap:RetainedEarningsMember2019-09-290000804328us-gaap:RetainedEarningsMember2021-09-272022-09-250000804328us-gaap:RetainedEarning</w:t>
      </w:r>
      <w:r>
        <w:rPr>
          <w:rFonts w:eastAsia="Times New Roman"/>
          <w:vanish/>
        </w:rPr>
        <w:t>sMember2020-09-282021-09-260000804328us-gaap:RetainedEarningsMember2019-09-302020-09-270000804328us-gaap:RetainedEarningsMember2022-09-250000804328us-gaap:AccumulatedOtherComprehensiveIncomeMember2021-09-260000804328us-gaap:AccumulatedOtherComprehensiveInc</w:t>
      </w:r>
      <w:r>
        <w:rPr>
          <w:rFonts w:eastAsia="Times New Roman"/>
          <w:vanish/>
        </w:rPr>
        <w:t>omeMember2020-09-270000804328us-gaap:AccumulatedOtherComprehensiveIncomeMember2019-09-290000804328us-gaap:AccumulatedOtherComprehensiveIncomeMember2021-09-272022-09-250000804328us-gaap:AccumulatedOtherComprehensiveIncomeMember2020-09-282021-09-260000804328</w:t>
      </w:r>
      <w:r>
        <w:rPr>
          <w:rFonts w:eastAsia="Times New Roman"/>
          <w:vanish/>
        </w:rPr>
        <w:t>us-gaap:AccumulatedOtherComprehensiveIncomeMember2019-09-302020-09-270000804328us-gaap:AccumulatedOtherComprehensiveIncomeMember2022-09-250000804328srt:MinimumMemberus-gaap:ForeignExchangeContractMember2020-09-282021-09-260000804328srt:MaximumMemberus-gaap</w:t>
      </w:r>
      <w:r>
        <w:rPr>
          <w:rFonts w:eastAsia="Times New Roman"/>
          <w:vanish/>
        </w:rPr>
        <w:t>:ForeignExchangeContractMember2021-09-272022-09-250000804328srt:MaximumMemberus-gaap:ForeignExchangeContractMember2020-09-282021-09-260000804328us-gaap:ForwardContractsMember2022-09-250000804328us-gaap:ForwardContractsMember2021-09-260000804328us-gaap:Stoc</w:t>
      </w:r>
      <w:r>
        <w:rPr>
          <w:rFonts w:eastAsia="Times New Roman"/>
          <w:vanish/>
        </w:rPr>
        <w:t>kOptionMember2022-09-250000804328us-gaap:StockOptionMember2021-09-260000804328us-gaap:SwapMember2022-09-250000804328us-gaap:SwapMember2021-09-260000804328currency:GBP2022-09-250000804328currency:GBP2021-09-260000804328currency:CNY2022-09-250000804328curren</w:t>
      </w:r>
      <w:r>
        <w:rPr>
          <w:rFonts w:eastAsia="Times New Roman"/>
          <w:vanish/>
        </w:rPr>
        <w:t>cy:CNY2021-09-260000804328currency:EUR2022-09-250000804328currency:EUR2021-09-260000804328currency:INR2022-09-250000804328currency:INR2021-09-260000804328currency:JPY2022-09-250000804328currency:JPY2021-09-260000804328currency:USD2022-09-250000804328curren</w:t>
      </w:r>
      <w:r>
        <w:rPr>
          <w:rFonts w:eastAsia="Times New Roman"/>
          <w:vanish/>
        </w:rPr>
        <w:t>cy:USD2021-09-260000804328qcom:ECMemberus-gaap:DesignatedAsHedgingInstrumentMember2022-09-250000804328qcom:ECMemberus-gaap:DesignatedAsHedgingInstrumentMember2021-09-260000804328us-gaap:BuildingMember2021-09-272022-09-250000804328us-gaap:BuildingImprovemen</w:t>
      </w:r>
      <w:r>
        <w:rPr>
          <w:rFonts w:eastAsia="Times New Roman"/>
          <w:vanish/>
        </w:rPr>
        <w:t>tsMember2021-09-272022-09-250000804328srt:MaximumMemberus-gaap:LeaseholdImprovementsMember2021-09-272022-09-250000804328srt:MaximumMemberus-gaap:BuildingMember2021-09-272022-09-250000804328us-gaap:PropertyPlantAndEquipmentOtherTypesMembersrt:MinimumMember2</w:t>
      </w:r>
      <w:r>
        <w:rPr>
          <w:rFonts w:eastAsia="Times New Roman"/>
          <w:vanish/>
        </w:rPr>
        <w:t>021-09-272022-09-250000804328srt:MaximumMemberus-gaap:PropertyPlantAndEquipmentOtherTypesMember2021-09-272022-09-250000804328us-gaap:ServiceOtherMember2021-09-272022-09-25xbrli:pure0000804328us-gaap:ServiceOtherMember2020-09-282021-09-260000804328us-gaap:S</w:t>
      </w:r>
      <w:r>
        <w:rPr>
          <w:rFonts w:eastAsia="Times New Roman"/>
          <w:vanish/>
        </w:rPr>
        <w:t>erviceOtherMember2019-09-302020-09-270000804328qcom:CustomeroneMemberus-gaap:CustomerConcentrationRiskMemberus-gaap:SalesMember2021-09-272022-09-250000804328qcom:CustomeroneMemberus-gaap:CustomerConcentrationRiskMemberus-gaap:SalesMember2020-09-282021-09-2</w:t>
      </w:r>
      <w:r>
        <w:rPr>
          <w:rFonts w:eastAsia="Times New Roman"/>
          <w:vanish/>
        </w:rPr>
        <w:t>60000804328qcom:CustomeroneMemberus-gaap:CustomerConcentrationRiskMemberus-gaap:SalesMember2019-09-302020-09-270000804328qcom:CustomertwoMemberus-gaap:CustomerConcentrationRiskMemberus-gaap:SalesMember2021-09-272022-09-250000804328qcom:CustomertwoMemberus-</w:t>
      </w:r>
      <w:r>
        <w:rPr>
          <w:rFonts w:eastAsia="Times New Roman"/>
          <w:vanish/>
        </w:rPr>
        <w:t>gaap:CustomerConcentrationRiskMemberus-gaap:SalesMember2020-09-282021-09-260000804328qcom:CustomertwoMemberus-gaap:CustomerConcentrationRiskMemberus-gaap:SalesMember2019-09-302020-09-270000804328us-gaap:CustomerConcentrationRiskMemberus-gaap:SalesMemberqco</w:t>
      </w:r>
      <w:r>
        <w:rPr>
          <w:rFonts w:eastAsia="Times New Roman"/>
          <w:vanish/>
        </w:rPr>
        <w:t>m:CustomerthreeMember2020-09-282021-09-260000804328us-gaap:CustomerConcentrationRiskMemberus-gaap:SalesMemberqcom:CustomerthreeMember2019-09-302020-09-270000804328us-gaap:CustomerConcentrationRiskMemberus-gaap:SalesMemberqcom:CustomerFourMember2019-09-3020</w:t>
      </w:r>
      <w:r>
        <w:rPr>
          <w:rFonts w:eastAsia="Times New Roman"/>
          <w:vanish/>
        </w:rPr>
        <w:t>20-09-270000804328qcom:QctMember2020-09-270000804328qcom:QtlMember2020-09-270000804328qcom:QctMember2020-09-282021-09-260000804328qcom:QtlMember2020-09-282021-09-260000804328qcom:QctMember2021-09-260000804328qcom:QtlMember2021-09-260000804328qcom:QctMember</w:t>
      </w:r>
      <w:r>
        <w:rPr>
          <w:rFonts w:eastAsia="Times New Roman"/>
          <w:vanish/>
        </w:rPr>
        <w:t>2021-09-272022-09-250000804328qcom:QtlMember2021-09-272022-09-250000804328qcom:QctMember2022-09-250000804328qcom:QtlMember2022-09-250000804328us-gaap:TechnologyBasedIntangibleAssetsMember2022-09-250000804328us-gaap:TechnologyBasedIntangibleAssetsMember2021</w:t>
      </w:r>
      <w:r>
        <w:rPr>
          <w:rFonts w:eastAsia="Times New Roman"/>
          <w:vanish/>
        </w:rPr>
        <w:t>-09-272022-09-250000804328us-gaap:TechnologyBasedIntangibleAssetsMember2021-09-260000804328us-gaap:TechnologyBasedIntangibleAssetsMember2020-09-282021-09-260000804328us-gaap:OtherIntangibleAssetsMember2022-09-250000804328us-gaap:OtherIntangibleAssetsMember</w:t>
      </w:r>
      <w:r>
        <w:rPr>
          <w:rFonts w:eastAsia="Times New Roman"/>
          <w:vanish/>
        </w:rPr>
        <w:t>2021-09-272022-09-250000804328us-gaap:OtherIntangibleAssetsMember2021-09-260000804328us-gaap:OtherIntangibleAssetsMember2020-09-282021-09-260000804328qcom:ECMemberqcom:TotalAccrualforECMember2022-09-250000804328qcom:ECMemberqcom:TotalAccrualforECMember2021</w:t>
      </w:r>
      <w:r>
        <w:rPr>
          <w:rFonts w:eastAsia="Times New Roman"/>
          <w:vanish/>
        </w:rPr>
        <w:t>-09-260000804328qcom:QctMemberqcom:MobileHandsetsMember2021-09-272022-09-250000804328qcom:QctMemberqcom:MobileHandsetsMember2020-09-282021-09-260000804328qcom:QctMemberqcom:MobileHandsetsMember2019-09-302020-09-270000804328qcom:QctMemberqcom:RFFEMember2021</w:t>
      </w:r>
      <w:r>
        <w:rPr>
          <w:rFonts w:eastAsia="Times New Roman"/>
          <w:vanish/>
        </w:rPr>
        <w:t>-09-272022-09-250000804328qcom:QctMemberqcom:RFFEMember2020-09-282021-09-260000804328qcom:QctMemberqcom:RFFEMember2019-09-302020-09-270000804328qcom:QctMemberqcom:AutomotiveMember2021-09-272022-09-250000804328qcom:QctMemberqcom:AutomotiveMember2020-09-2820</w:t>
      </w:r>
      <w:r>
        <w:rPr>
          <w:rFonts w:eastAsia="Times New Roman"/>
          <w:vanish/>
        </w:rPr>
        <w:t>21-09-260000804328qcom:QctMemberqcom:AutomotiveMember2019-09-302020-09-270000804328qcom:IoTMemberqcom:QctMember2021-09-272022-09-250000804328qcom:IoTMemberqcom:QctMember2020-09-282021-09-260000804328qcom:IoTMemberqcom:QctMember2019-09-302020-09-27000080432</w:t>
      </w:r>
      <w:r>
        <w:rPr>
          <w:rFonts w:eastAsia="Times New Roman"/>
          <w:vanish/>
        </w:rPr>
        <w:t>8qcom:QctMember2019-09-302020-09-2700008043282022-09-262022-09-2500008043282023-09-252022-09-2500008043282024-09-302022-09-2500008043282025-09-292022-09-2500008043282026-09-282022-09-2500008043282027-09-272022-09-250000804328us-gaap:CostOfSalesMember2021-0</w:t>
      </w:r>
      <w:r>
        <w:rPr>
          <w:rFonts w:eastAsia="Times New Roman"/>
          <w:vanish/>
        </w:rPr>
        <w:t>9-272022-09-250000804328us-gaap:CostOfSalesMember2020-09-282021-09-260000804328us-gaap:CostOfSalesMember2019-09-302020-09-270000804328us-gaap:ResearchAndDevelopmentExpenseMember2021-09-272022-09-250000804328us-gaap:ResearchAndDevelopmentExpenseMember2020-0</w:t>
      </w:r>
      <w:r>
        <w:rPr>
          <w:rFonts w:eastAsia="Times New Roman"/>
          <w:vanish/>
        </w:rPr>
        <w:t>9-282021-09-260000804328us-gaap:ResearchAndDevelopmentExpenseMember2019-09-302020-09-270000804328us-gaap:SellingGeneralAndAdministrativeExpensesMember2021-09-272022-09-250000804328us-gaap:SellingGeneralAndAdministrativeExpensesMember2020-09-282021-09-26000</w:t>
      </w:r>
      <w:r>
        <w:rPr>
          <w:rFonts w:eastAsia="Times New Roman"/>
          <w:vanish/>
        </w:rPr>
        <w:t>0804328us-gaap:SellingGeneralAndAdministrativeExpensesMember2019-09-302020-09-270000804328qcom:ECMember2021-09-272022-09-2500008043282021-09-272022-09-250000804328qcom:FDIIEffectiveTaxRateMember2021-09-272022-09-250000804328qcom:FDIIEffectiveTaxRateMember2</w:t>
      </w:r>
      <w:r>
        <w:rPr>
          <w:rFonts w:eastAsia="Times New Roman"/>
          <w:vanish/>
        </w:rPr>
        <w:t>020-09-282021-09-260000804328qcom:FDIIEffectiveTaxRateMember2019-09-302020-09-270000804328srt:ScenarioForecastMemberqcom:U.S.TaxCutsandJobsActEffective2018Member2022-09-260000804328qcom:U.S.TaxCutsandJobsActEffective2018Member2022-09-250000804328us-gaap:Ot</w:t>
      </w:r>
      <w:r>
        <w:rPr>
          <w:rFonts w:eastAsia="Times New Roman"/>
          <w:vanish/>
        </w:rPr>
        <w:t>herLiabilitiesMember2022-09-250000804328us-gaap:OtherLiabilitiesMember2021-09-260000804328us-gaap:InternalRevenueServiceIRSMember2022-09-250000804328us-gaap:StateAndLocalJurisdictionMember2022-09-250000804328us-gaap:ForeignCountryMember2022-09-250000804328</w:t>
      </w:r>
      <w:r>
        <w:rPr>
          <w:rFonts w:eastAsia="Times New Roman"/>
          <w:vanish/>
        </w:rPr>
        <w:t>us-gaap:InternalRevenueServiceIRSMember2022-09-250000804328qcom:A10BStockRepurchaseProgramAnnouncedOctober122021Member2021-10-120000804328qcom:A10BStockRepurchaseProgramAnnouncedOctober122021Member2022-09-250000804328us-gaap:SubsequentEventMember2022-10-14</w:t>
      </w:r>
      <w:r>
        <w:rPr>
          <w:rFonts w:eastAsia="Times New Roman"/>
          <w:vanish/>
        </w:rPr>
        <w:t>2022-10-140000804328us-gaap:SubsequentEventMember2022-12-152022-12-150000804328us-gaap:SubsequentEventMember2022-12-012022-12-0100008043282020-03-102020-03-100000804328us-gaap:RestrictedStockUnitsRSUMember2021-09-272022-09-250000804328us-gaap:StockCompensa</w:t>
      </w:r>
      <w:r>
        <w:rPr>
          <w:rFonts w:eastAsia="Times New Roman"/>
          <w:vanish/>
        </w:rPr>
        <w:t>tionPlanMember2022-09-250000804328us-gaap:RestrictedStockUnitsRSUMember2021-09-260000804328us-gaap:RestrictedStockUnitsRSUMember2022-09-250000804328us-gaap:RestrictedStockUnitsRSUMember2020-09-282021-09-260000804328us-gaap:RestrictedStockUnitsRSUMember2019</w:t>
      </w:r>
      <w:r>
        <w:rPr>
          <w:rFonts w:eastAsia="Times New Roman"/>
          <w:vanish/>
        </w:rPr>
        <w:t>-09-302020-09-270000804328us-gaap:EmployeeStockOptionMember2021-09-272022-09-250000804328us-gaap:EmployeeStockOptionMember2020-09-282021-09-260000804328us-gaap:EmployeeStockOptionMember2019-09-302020-09-270000804328qcom:EmployeeStockPurchasePlansMember2021</w:t>
      </w:r>
      <w:r>
        <w:rPr>
          <w:rFonts w:eastAsia="Times New Roman"/>
          <w:vanish/>
        </w:rPr>
        <w:t>-09-272022-09-250000804328qcom:EmployeeStockPurchasePlansMember2022-09-250000804328qcom:EmployeeStockPurchasePlansMember2020-09-282021-09-260000804328qcom:EmployeeStockPurchasePlansMember2019-09-302020-09-270000804328qcom:EmployeeStockPurchasePlansMembersr</w:t>
      </w:r>
      <w:r>
        <w:rPr>
          <w:rFonts w:eastAsia="Times New Roman"/>
          <w:vanish/>
        </w:rPr>
        <w:t>t:WeightedAverageMember2022-09-250000804328qcom:EmployeeStockPurchasePlansMembersrt:WeightedAverageMember2021-09-260000804328qcom:EmployeeStockPurchasePlansMembersrt:WeightedAverageMember2020-09-270000804328qcom:FixedRate425DueMay2032Member2022-05-09000080</w:t>
      </w:r>
      <w:r>
        <w:rPr>
          <w:rFonts w:eastAsia="Times New Roman"/>
          <w:vanish/>
        </w:rPr>
        <w:t>4328qcom:FixedRate450DueMay2052Member2022-05-090000804328qcom:FixedRateNotesDueMay2022Member2022-05-090000804328qcom:May2015NotesMember2021-09-272022-09-250000804328qcom:May2015NotesMember2022-09-250000804328qcom:May2015NotesMembersrt:MinimumMember2022-09-</w:t>
      </w:r>
      <w:r>
        <w:rPr>
          <w:rFonts w:eastAsia="Times New Roman"/>
          <w:vanish/>
        </w:rPr>
        <w:t>250000804328srt:MaximumMemberqcom:May2015NotesMember2022-09-250000804328qcom:May2015NotesMember2020-09-282021-09-260000804328qcom:May2015NotesMember2021-09-260000804328qcom:May2015NotesMembersrt:MinimumMember2021-09-260000804328srt:MaximumMemberqcom:May201</w:t>
      </w:r>
      <w:r>
        <w:rPr>
          <w:rFonts w:eastAsia="Times New Roman"/>
          <w:vanish/>
        </w:rPr>
        <w:t>5NotesMember2021-09-260000804328qcom:May2017NotesMember2021-09-272022-09-250000804328qcom:May2017NotesMember2022-09-250000804328srt:MinimumMemberqcom:May2017NotesMember2022-09-250000804328srt:MaximumMemberqcom:May2017NotesMember2022-09-250000804328qcom:May</w:t>
      </w:r>
      <w:r>
        <w:rPr>
          <w:rFonts w:eastAsia="Times New Roman"/>
          <w:vanish/>
        </w:rPr>
        <w:t>2017NotesMember2020-09-282021-09-260000804328qcom:May2017NotesMember2021-09-260000804328srt:MinimumMemberqcom:May2017NotesMember2021-09-260000804328srt:MaximumMemberqcom:May2017NotesMember2021-09-260000804328qcom:May2020NotesMember2021-09-272022-09-2500008</w:t>
      </w:r>
      <w:r>
        <w:rPr>
          <w:rFonts w:eastAsia="Times New Roman"/>
          <w:vanish/>
        </w:rPr>
        <w:t>04328qcom:May2020NotesMember2022-09-250000804328qcom:May2020NotesMembersrt:MinimumMember2022-09-250000804328qcom:May2020NotesMembersrt:MaximumMember2022-09-250000804328qcom:May2020NotesMember2020-09-282021-09-260000804328qcom:May2020NotesMember2021-09-2600</w:t>
      </w:r>
      <w:r>
        <w:rPr>
          <w:rFonts w:eastAsia="Times New Roman"/>
          <w:vanish/>
        </w:rPr>
        <w:t>00804328qcom:May2020NotesMembersrt:MinimumMember2021-09-260000804328qcom:May2020NotesMembersrt:MaximumMember2021-09-260000804328qcom:August2020NotesMember2021-09-272022-09-250000804328qcom:August2020NotesMember2022-09-250000804328srt:MinimumMemberqcom:Augu</w:t>
      </w:r>
      <w:r>
        <w:rPr>
          <w:rFonts w:eastAsia="Times New Roman"/>
          <w:vanish/>
        </w:rPr>
        <w:t>st2020NotesMember2022-09-250000804328srt:MaximumMemberqcom:August2020NotesMember2022-09-250000804328qcom:August2020NotesMember2020-09-282021-09-260000804328qcom:August2020NotesMember2021-09-260000804328srt:MinimumMemberqcom:August2020NotesMember2021-09-260</w:t>
      </w:r>
      <w:r>
        <w:rPr>
          <w:rFonts w:eastAsia="Times New Roman"/>
          <w:vanish/>
        </w:rPr>
        <w:t>000804328srt:MaximumMemberqcom:August2020NotesMember2021-09-260000804328qcom:May2022NotesMember2021-09-272022-09-250000804328qcom:May2022NotesMember2022-09-250000804328srt:MinimumMemberqcom:May2022NotesMember2022-09-250000804328srt:MaximumMemberqcom:May202</w:t>
      </w:r>
      <w:r>
        <w:rPr>
          <w:rFonts w:eastAsia="Times New Roman"/>
          <w:vanish/>
        </w:rPr>
        <w:t>2NotesMember2022-09-250000804328qcom:May2022NotesMember2021-09-260000804328qcom:FloatingRateNotesDueJanuary302023Member2022-09-250000804328qcom:ForwardStartingInterestRateSwapMember2022-09-250000804328qcom:ForwardStartingInterestRateSwapMember2021-09-26000</w:t>
      </w:r>
      <w:r>
        <w:rPr>
          <w:rFonts w:eastAsia="Times New Roman"/>
          <w:vanish/>
        </w:rPr>
        <w:t>0804328qcom:ForwardStartingInterestRateSwapMember2022-03-282022-06-260000804328qcom:ForwardStartingInterestRateSwapMember2021-09-272022-09-250000804328us-gaap:InterestRateSwapMember2022-09-250000804328qcom:November2021Memberus-gaap:CommercialPaperMember202</w:t>
      </w:r>
      <w:r>
        <w:rPr>
          <w:rFonts w:eastAsia="Times New Roman"/>
          <w:vanish/>
        </w:rPr>
        <w:t>2-09-250000804328srt:MinimumMemberus-gaap:CommercialPaperMember2021-09-272022-09-250000804328srt:MaximumMemberus-gaap:CommercialPaperMember2021-09-272022-09-250000804328us-gaap:CommercialPaperMember2022-09-250000804328us-gaap:CommercialPaperMember2021-09-2</w:t>
      </w:r>
      <w:r>
        <w:rPr>
          <w:rFonts w:eastAsia="Times New Roman"/>
          <w:vanish/>
        </w:rPr>
        <w:t>60000804328us-gaap:CommercialPaperMembersrt:WeightedAverageMember2021-09-272022-09-250000804328us-gaap:CommercialPaperMembersrt:WeightedAverageMember2020-09-282021-09-260000804328qcom:November2021Memberus-gaap:RevolvingCreditFacilityMember2022-09-250000804</w:t>
      </w:r>
      <w:r>
        <w:rPr>
          <w:rFonts w:eastAsia="Times New Roman"/>
          <w:vanish/>
        </w:rPr>
        <w:t>328us-gaap:RevolvingCreditFacilityMember2022-09-250000804328us-gaap:RevolvingCreditFacilityMember2021-09-272022-09-250000804328currency:KRWqcom:KFTCMember2017-03-302017-03-30iso4217:KRW0000804328qcom:KFTCMember2017-03-302017-03-300000804328currency:EURqcom</w:t>
      </w:r>
      <w:r>
        <w:rPr>
          <w:rFonts w:eastAsia="Times New Roman"/>
          <w:vanish/>
        </w:rPr>
        <w:t>:IceraComplainttoECMember2019-07-182019-07-18iso4217:EUR0000804328qcom:IceraComplainttoECMember2019-04-012019-06-300000804328qcom:IceraComplainttoECMember2022-09-250000804328currency:EURqcom:ECMember2018-01-242018-01-240000804328qcom:ECMember2018-10-012018</w:t>
      </w:r>
      <w:r>
        <w:rPr>
          <w:rFonts w:eastAsia="Times New Roman"/>
          <w:vanish/>
        </w:rPr>
        <w:t>-12-300000804328qcom:ECMember2022-09-250000804328us-gaap:OtherCurrentAssetsMember2022-09-250000804328us-gaap:OtherCurrentAssetsMember2021-09-260000804328us-gaap:OtherAssetsMember2022-09-250000804328us-gaap:OtherAssetsMember2021-09-260000804328qcom:QtlMembe</w:t>
      </w:r>
      <w:r>
        <w:rPr>
          <w:rFonts w:eastAsia="Times New Roman"/>
          <w:vanish/>
        </w:rPr>
        <w:t>r2019-09-302020-09-270000804328qcom:QsiMember2021-09-272022-09-250000804328qcom:QsiMember2020-09-282021-09-260000804328qcom:QsiMember2019-09-302020-09-270000804328us-gaap:MaterialReconcilingItemsMember2021-09-272022-09-250000804328us-gaap:MaterialReconcili</w:t>
      </w:r>
      <w:r>
        <w:rPr>
          <w:rFonts w:eastAsia="Times New Roman"/>
          <w:vanish/>
        </w:rPr>
        <w:t>ngItemsMember2020-09-282021-09-260000804328us-gaap:MaterialReconcilingItemsMember2019-09-302020-09-270000804328us-gaap:NonUsMember2022-09-250000804328us-gaap:NonUsMember2021-09-260000804328country:US2022-09-250000804328country:US2021-09-260000804328country</w:t>
      </w:r>
      <w:r>
        <w:rPr>
          <w:rFonts w:eastAsia="Times New Roman"/>
          <w:vanish/>
        </w:rPr>
        <w:t>:CN2021-09-272022-09-250000804328country:CN2020-09-282021-09-260000804328country:CN2019-09-302020-09-270000804328country:VN2021-09-272022-09-250000804328country:VN2020-09-282021-09-260000804328country:VN2019-09-302020-09-270000804328country:KR2021-09-27202</w:t>
      </w:r>
      <w:r>
        <w:rPr>
          <w:rFonts w:eastAsia="Times New Roman"/>
          <w:vanish/>
        </w:rPr>
        <w:t>2-09-250000804328country:KR2020-09-282021-09-260000804328country:KR2019-09-302020-09-270000804328country:US2021-09-272022-09-250000804328country:US2020-09-282021-09-260000804328country:US2019-09-302020-09-270000804328qcom:OtherForeignMember2021-09-272022-0</w:t>
      </w:r>
      <w:r>
        <w:rPr>
          <w:rFonts w:eastAsia="Times New Roman"/>
          <w:vanish/>
        </w:rPr>
        <w:t>9-250000804328qcom:OtherForeignMember2020-09-282021-09-260000804328qcom:OtherForeignMember2019-09-302020-09-270000804328us-gaap:AllOtherSegmentsMember2021-09-272022-09-250000804328us-gaap:AllOtherSegmentsMember2020-09-282021-09-260000804328us-gaap:AllOther</w:t>
      </w:r>
      <w:r>
        <w:rPr>
          <w:rFonts w:eastAsia="Times New Roman"/>
          <w:vanish/>
        </w:rPr>
        <w:t>SegmentsMember2019-09-302020-09-270000804328us-gaap:MaterialReconcilingItemsMemberus-gaap:LicensingAgreementsMember2021-09-272022-09-250000804328us-gaap:MaterialReconcilingItemsMemberus-gaap:LicensingAgreementsMember2020-09-282021-09-260000804328us-gaap:Ma</w:t>
      </w:r>
      <w:r>
        <w:rPr>
          <w:rFonts w:eastAsia="Times New Roman"/>
          <w:vanish/>
        </w:rPr>
        <w:t>terialReconcilingItemsMemberus-gaap:LicensingAgreementsMember2019-09-302020-09-270000804328qcom:NUVIAMember2021-03-162021-03-160000804328qcom:NUVIAMember2021-03-160000804328qcom:VeoneerMember2022-04-012022-04-010000804328qcom:RemainingPaymentMemberqcom:Veo</w:t>
      </w:r>
      <w:r>
        <w:rPr>
          <w:rFonts w:eastAsia="Times New Roman"/>
          <w:vanish/>
        </w:rPr>
        <w:t>neerMember2022-04-012022-04-010000804328qcom:VeoneerMember2021-10-042021-10-040000804328qcom:VeoneerMember2022-09-250000804328qcom:VeoneerMember2022-04-010000804328qcom:VeoneerMember2022-06-272022-09-250000804328qcom:A2022OtherBusinessAcquisitionsMember202</w:t>
      </w:r>
      <w:r>
        <w:rPr>
          <w:rFonts w:eastAsia="Times New Roman"/>
          <w:vanish/>
        </w:rPr>
        <w:t>1-09-272022-09-25qcom:numberOfBusinesses0000804328qcom:A2022OtherBusinessAcquisitionsMember2022-09-250000804328us-gaap:FairValueInputsLevel1Memberus-gaap:FairValueMeasurementsRecurringMember2022-09-250000804328us-gaap:FairValueInputsLevel2Memberus-gaap:Fai</w:t>
      </w:r>
      <w:r>
        <w:rPr>
          <w:rFonts w:eastAsia="Times New Roman"/>
          <w:vanish/>
        </w:rPr>
        <w:t>rValueMeasurementsRecurringMember2022-09-250000804328us-gaap:FairValueInputsLevel3Memberus-gaap:FairValueMeasurementsRecurringMember2022-09-250000804328us-gaap:FairValueMeasurementsRecurringMember2022-09-250000804328us-gaap:FairValueInputsLevel1Memberus-ga</w:t>
      </w:r>
      <w:r>
        <w:rPr>
          <w:rFonts w:eastAsia="Times New Roman"/>
          <w:vanish/>
        </w:rPr>
        <w:t>ap:CorporateDebtSecuritiesMemberus-gaap:FairValueMeasurementsRecurringMember2022-09-250000804328us-gaap:FairValueInputsLevel2Memberus-gaap:CorporateDebtSecuritiesMemberus-gaap:FairValueMeasurementsRecurringMember2022-09-250000804328us-gaap:CorporateDebtSec</w:t>
      </w:r>
      <w:r>
        <w:rPr>
          <w:rFonts w:eastAsia="Times New Roman"/>
          <w:vanish/>
        </w:rPr>
        <w:t>uritiesMemberus-gaap:FairValueInputsLevel3Memberus-gaap:FairValueMeasurementsRecurringMember2022-09-250000804328us-gaap:CorporateDebtSecuritiesMemberus-gaap:FairValueMeasurementsRecurringMember2022-09-250000804328us-gaap:EquitySecuritiesMemberus-gaap:FairV</w:t>
      </w:r>
      <w:r>
        <w:rPr>
          <w:rFonts w:eastAsia="Times New Roman"/>
          <w:vanish/>
        </w:rPr>
        <w:t>alueInputsLevel1Memberus-gaap:FairValueMeasurementsRecurringMember2022-09-250000804328us-gaap:EquitySecuritiesMemberus-gaap:FairValueInputsLevel2Memberus-gaap:FairValueMeasurementsRecurringMember2022-09-250000804328us-gaap:EquitySecuritiesMemberus-gaap:Fai</w:t>
      </w:r>
      <w:r>
        <w:rPr>
          <w:rFonts w:eastAsia="Times New Roman"/>
          <w:vanish/>
        </w:rPr>
        <w:t>rValueInputsLevel3Memberus-gaap:FairValueMeasurementsRecurringMember2022-09-250000804328us-gaap:EquitySecuritiesMemberus-gaap:FairValueMeasurementsRecurringMember2022-09-250000804328qcom:MortgageandassetbackedandauctionratesecuritiesMemberus-gaap:FairValue</w:t>
      </w:r>
      <w:r>
        <w:rPr>
          <w:rFonts w:eastAsia="Times New Roman"/>
          <w:vanish/>
        </w:rPr>
        <w:t>InputsLevel1Memberus-gaap:FairValueMeasurementsRecurringMember2022-09-250000804328qcom:MortgageandassetbackedandauctionratesecuritiesMemberus-gaap:FairValueInputsLevel2Memberus-gaap:FairValueMeasurementsRecurringMember2022-09-250000804328qcom:Mortgageandas</w:t>
      </w:r>
      <w:r>
        <w:rPr>
          <w:rFonts w:eastAsia="Times New Roman"/>
          <w:vanish/>
        </w:rPr>
        <w:t>setbackedandauctionratesecuritiesMemberus-gaap:FairValueInputsLevel3Memberus-gaap:FairValueMeasurementsRecurringMember2022-09-250000804328qcom:MortgageandassetbackedandauctionratesecuritiesMemberus-gaap:FairValueMeasurementsRecurringMember2022-09-250000804</w:t>
      </w:r>
      <w:r>
        <w:rPr>
          <w:rFonts w:eastAsia="Times New Roman"/>
          <w:vanish/>
        </w:rPr>
        <w:t>328us-gaap:USTreasuryAndGovernmentMemberus-gaap:FairValueInputsLevel1Memberus-gaap:FairValueMeasurementsRecurringMember2022-09-250000804328us-gaap:USTreasuryAndGovernmentMemberus-gaap:FairValueInputsLevel2Memberus-gaap:FairValueMeasurementsRecurringMember2</w:t>
      </w:r>
      <w:r>
        <w:rPr>
          <w:rFonts w:eastAsia="Times New Roman"/>
          <w:vanish/>
        </w:rPr>
        <w:t>022-09-250000804328us-gaap:USTreasuryAndGovernmentMemberus-gaap:FairValueInputsLevel3Memberus-gaap:FairValueMeasurementsRecurringMember2022-09-250000804328us-gaap:USTreasuryAndGovernmentMemberus-gaap:FairValueMeasurementsRecurringMember2022-09-250000804328</w:t>
      </w:r>
      <w:r>
        <w:rPr>
          <w:rFonts w:eastAsia="Times New Roman"/>
          <w:vanish/>
        </w:rPr>
        <w:t>us-gaap:CorporateDebtSecuritiesMember2022-09-250000804328us-gaap:CorporateDebtSecuritiesMember2021-09-260000804328qcom:MortgageandassetbackedandauctionratesecuritiesMember2022-09-250000804328qcom:MortgageandassetbackedandauctionratesecuritiesMember2021-09-</w:t>
      </w:r>
      <w:r>
        <w:rPr>
          <w:rFonts w:eastAsia="Times New Roman"/>
          <w:vanish/>
        </w:rPr>
        <w:t>260000804328us-gaap:USTreasuryAndGovernmentMember2022-09-250000804328us-gaap:USTreasuryAndGovernmentMember2021-09-260000804328us-gaap:EquitySecuritiesMember2022-09-250000804328us-gaap:EquitySecuritiesMember2021-09-260000804328us-gaap:ValuationAllowanceOfDe</w:t>
      </w:r>
      <w:r>
        <w:rPr>
          <w:rFonts w:eastAsia="Times New Roman"/>
          <w:vanish/>
        </w:rPr>
        <w:t>ferredTaxAssetsMember2021-09-260000804328us-gaap:ValuationAllowanceOfDeferredTaxAssetsMember2021-09-272022-09-250000804328us-gaap:ValuationAllowanceOfDeferredTaxAssetsMember2022-09-250000804328us-gaap:ValuationAllowanceOfDeferredTaxAssetsMember2020-09-2700</w:t>
      </w:r>
      <w:r>
        <w:rPr>
          <w:rFonts w:eastAsia="Times New Roman"/>
          <w:vanish/>
        </w:rPr>
        <w:t>00804328us-gaap:ValuationAllowanceOfDeferredTaxAssetsMember2020-09-282021-09-260000804328us-gaap:ValuationAllowanceOfDeferredTaxAssetsMember2019-09-290000804328us-gaap:ValuationAllowanceOfDeferredTaxAssetsMember2019-09-302020-09-27</w:t>
      </w:r>
    </w:p>
    <w:p w14:paraId="45A23A10" w14:textId="77777777" w:rsidR="00000000" w:rsidRDefault="009B6C69">
      <w:pPr>
        <w:divId w:val="1516459879"/>
        <w:rPr>
          <w:rFonts w:eastAsia="Times New Roman"/>
        </w:rPr>
      </w:pPr>
    </w:p>
    <w:tbl>
      <w:tblPr>
        <w:tblW w:w="4822" w:type="pct"/>
        <w:jc w:val="center"/>
        <w:tblCellMar>
          <w:top w:w="15" w:type="dxa"/>
          <w:left w:w="15" w:type="dxa"/>
          <w:bottom w:w="15" w:type="dxa"/>
          <w:right w:w="15" w:type="dxa"/>
        </w:tblCellMar>
        <w:tblLook w:val="04A0" w:firstRow="1" w:lastRow="0" w:firstColumn="1" w:lastColumn="0" w:noHBand="0" w:noVBand="1"/>
      </w:tblPr>
      <w:tblGrid>
        <w:gridCol w:w="66"/>
        <w:gridCol w:w="1500"/>
        <w:gridCol w:w="36"/>
        <w:gridCol w:w="66"/>
        <w:gridCol w:w="1500"/>
        <w:gridCol w:w="36"/>
        <w:gridCol w:w="66"/>
        <w:gridCol w:w="1500"/>
        <w:gridCol w:w="36"/>
        <w:gridCol w:w="66"/>
        <w:gridCol w:w="1500"/>
        <w:gridCol w:w="36"/>
        <w:gridCol w:w="66"/>
        <w:gridCol w:w="1500"/>
        <w:gridCol w:w="36"/>
      </w:tblGrid>
      <w:tr w:rsidR="00000000" w14:paraId="55A5D084" w14:textId="77777777">
        <w:trPr>
          <w:divId w:val="2110345259"/>
          <w:jc w:val="center"/>
        </w:trPr>
        <w:tc>
          <w:tcPr>
            <w:tcW w:w="50" w:type="pct"/>
            <w:vAlign w:val="center"/>
            <w:hideMark/>
          </w:tcPr>
          <w:p w14:paraId="7B9A4031" w14:textId="77777777" w:rsidR="00000000" w:rsidRDefault="009B6C69">
            <w:pPr>
              <w:rPr>
                <w:rFonts w:eastAsia="Times New Roman"/>
              </w:rPr>
            </w:pPr>
          </w:p>
        </w:tc>
        <w:tc>
          <w:tcPr>
            <w:tcW w:w="945" w:type="pct"/>
            <w:vAlign w:val="center"/>
            <w:hideMark/>
          </w:tcPr>
          <w:p w14:paraId="679D8378" w14:textId="77777777" w:rsidR="00000000" w:rsidRDefault="009B6C69">
            <w:pPr>
              <w:spacing w:after="100"/>
              <w:rPr>
                <w:rFonts w:eastAsia="Times New Roman"/>
                <w:sz w:val="20"/>
                <w:szCs w:val="20"/>
              </w:rPr>
            </w:pPr>
          </w:p>
        </w:tc>
        <w:tc>
          <w:tcPr>
            <w:tcW w:w="5" w:type="pct"/>
            <w:vAlign w:val="center"/>
            <w:hideMark/>
          </w:tcPr>
          <w:p w14:paraId="20C9938C" w14:textId="77777777" w:rsidR="00000000" w:rsidRDefault="009B6C69">
            <w:pPr>
              <w:spacing w:after="100"/>
              <w:rPr>
                <w:rFonts w:eastAsia="Times New Roman"/>
                <w:sz w:val="20"/>
                <w:szCs w:val="20"/>
              </w:rPr>
            </w:pPr>
          </w:p>
        </w:tc>
        <w:tc>
          <w:tcPr>
            <w:tcW w:w="50" w:type="pct"/>
            <w:vAlign w:val="center"/>
            <w:hideMark/>
          </w:tcPr>
          <w:p w14:paraId="702E2C7C" w14:textId="77777777" w:rsidR="00000000" w:rsidRDefault="009B6C69">
            <w:pPr>
              <w:spacing w:after="100"/>
              <w:rPr>
                <w:rFonts w:eastAsia="Times New Roman"/>
                <w:sz w:val="20"/>
                <w:szCs w:val="20"/>
              </w:rPr>
            </w:pPr>
          </w:p>
        </w:tc>
        <w:tc>
          <w:tcPr>
            <w:tcW w:w="945" w:type="pct"/>
            <w:vAlign w:val="center"/>
            <w:hideMark/>
          </w:tcPr>
          <w:p w14:paraId="366D8DF4" w14:textId="77777777" w:rsidR="00000000" w:rsidRDefault="009B6C69">
            <w:pPr>
              <w:spacing w:after="100"/>
              <w:rPr>
                <w:rFonts w:eastAsia="Times New Roman"/>
                <w:sz w:val="20"/>
                <w:szCs w:val="20"/>
              </w:rPr>
            </w:pPr>
          </w:p>
        </w:tc>
        <w:tc>
          <w:tcPr>
            <w:tcW w:w="5" w:type="pct"/>
            <w:vAlign w:val="center"/>
            <w:hideMark/>
          </w:tcPr>
          <w:p w14:paraId="23EB9BB0" w14:textId="77777777" w:rsidR="00000000" w:rsidRDefault="009B6C69">
            <w:pPr>
              <w:spacing w:after="100"/>
              <w:rPr>
                <w:rFonts w:eastAsia="Times New Roman"/>
                <w:sz w:val="20"/>
                <w:szCs w:val="20"/>
              </w:rPr>
            </w:pPr>
          </w:p>
        </w:tc>
        <w:tc>
          <w:tcPr>
            <w:tcW w:w="50" w:type="pct"/>
            <w:vAlign w:val="center"/>
            <w:hideMark/>
          </w:tcPr>
          <w:p w14:paraId="20C084CF" w14:textId="77777777" w:rsidR="00000000" w:rsidRDefault="009B6C69">
            <w:pPr>
              <w:spacing w:after="100"/>
              <w:rPr>
                <w:rFonts w:eastAsia="Times New Roman"/>
                <w:sz w:val="20"/>
                <w:szCs w:val="20"/>
              </w:rPr>
            </w:pPr>
          </w:p>
        </w:tc>
        <w:tc>
          <w:tcPr>
            <w:tcW w:w="945" w:type="pct"/>
            <w:vAlign w:val="center"/>
            <w:hideMark/>
          </w:tcPr>
          <w:p w14:paraId="14B3B2D2" w14:textId="77777777" w:rsidR="00000000" w:rsidRDefault="009B6C69">
            <w:pPr>
              <w:spacing w:after="100"/>
              <w:rPr>
                <w:rFonts w:eastAsia="Times New Roman"/>
                <w:sz w:val="20"/>
                <w:szCs w:val="20"/>
              </w:rPr>
            </w:pPr>
          </w:p>
        </w:tc>
        <w:tc>
          <w:tcPr>
            <w:tcW w:w="5" w:type="pct"/>
            <w:vAlign w:val="center"/>
            <w:hideMark/>
          </w:tcPr>
          <w:p w14:paraId="4CDFEFEA" w14:textId="77777777" w:rsidR="00000000" w:rsidRDefault="009B6C69">
            <w:pPr>
              <w:spacing w:after="100"/>
              <w:rPr>
                <w:rFonts w:eastAsia="Times New Roman"/>
                <w:sz w:val="20"/>
                <w:szCs w:val="20"/>
              </w:rPr>
            </w:pPr>
          </w:p>
        </w:tc>
        <w:tc>
          <w:tcPr>
            <w:tcW w:w="50" w:type="pct"/>
            <w:vAlign w:val="center"/>
            <w:hideMark/>
          </w:tcPr>
          <w:p w14:paraId="4603C4BD" w14:textId="77777777" w:rsidR="00000000" w:rsidRDefault="009B6C69">
            <w:pPr>
              <w:spacing w:after="100"/>
              <w:rPr>
                <w:rFonts w:eastAsia="Times New Roman"/>
                <w:sz w:val="20"/>
                <w:szCs w:val="20"/>
              </w:rPr>
            </w:pPr>
          </w:p>
        </w:tc>
        <w:tc>
          <w:tcPr>
            <w:tcW w:w="945" w:type="pct"/>
            <w:vAlign w:val="center"/>
            <w:hideMark/>
          </w:tcPr>
          <w:p w14:paraId="199F739C" w14:textId="77777777" w:rsidR="00000000" w:rsidRDefault="009B6C69">
            <w:pPr>
              <w:spacing w:after="100"/>
              <w:rPr>
                <w:rFonts w:eastAsia="Times New Roman"/>
                <w:sz w:val="20"/>
                <w:szCs w:val="20"/>
              </w:rPr>
            </w:pPr>
          </w:p>
        </w:tc>
        <w:tc>
          <w:tcPr>
            <w:tcW w:w="5" w:type="pct"/>
            <w:vAlign w:val="center"/>
            <w:hideMark/>
          </w:tcPr>
          <w:p w14:paraId="1522DF32" w14:textId="77777777" w:rsidR="00000000" w:rsidRDefault="009B6C69">
            <w:pPr>
              <w:spacing w:after="100"/>
              <w:rPr>
                <w:rFonts w:eastAsia="Times New Roman"/>
                <w:sz w:val="20"/>
                <w:szCs w:val="20"/>
              </w:rPr>
            </w:pPr>
          </w:p>
        </w:tc>
        <w:tc>
          <w:tcPr>
            <w:tcW w:w="50" w:type="pct"/>
            <w:vAlign w:val="center"/>
            <w:hideMark/>
          </w:tcPr>
          <w:p w14:paraId="75D94B7D" w14:textId="77777777" w:rsidR="00000000" w:rsidRDefault="009B6C69">
            <w:pPr>
              <w:spacing w:after="100"/>
              <w:rPr>
                <w:rFonts w:eastAsia="Times New Roman"/>
                <w:sz w:val="20"/>
                <w:szCs w:val="20"/>
              </w:rPr>
            </w:pPr>
          </w:p>
        </w:tc>
        <w:tc>
          <w:tcPr>
            <w:tcW w:w="945" w:type="pct"/>
            <w:vAlign w:val="center"/>
            <w:hideMark/>
          </w:tcPr>
          <w:p w14:paraId="2C3201CF" w14:textId="77777777" w:rsidR="00000000" w:rsidRDefault="009B6C69">
            <w:pPr>
              <w:spacing w:after="100"/>
              <w:rPr>
                <w:rFonts w:eastAsia="Times New Roman"/>
                <w:sz w:val="20"/>
                <w:szCs w:val="20"/>
              </w:rPr>
            </w:pPr>
          </w:p>
        </w:tc>
        <w:tc>
          <w:tcPr>
            <w:tcW w:w="5" w:type="pct"/>
            <w:vAlign w:val="center"/>
            <w:hideMark/>
          </w:tcPr>
          <w:p w14:paraId="157C1E5F" w14:textId="77777777" w:rsidR="00000000" w:rsidRDefault="009B6C69">
            <w:pPr>
              <w:spacing w:after="100"/>
              <w:rPr>
                <w:rFonts w:eastAsia="Times New Roman"/>
                <w:sz w:val="20"/>
                <w:szCs w:val="20"/>
              </w:rPr>
            </w:pPr>
          </w:p>
        </w:tc>
      </w:tr>
      <w:tr w:rsidR="00000000" w14:paraId="7668B2AD" w14:textId="77777777">
        <w:trPr>
          <w:divId w:val="2110345259"/>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14:paraId="553D4606" w14:textId="77777777" w:rsidR="00000000" w:rsidRDefault="009B6C69">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14:paraId="2AB42780" w14:textId="77777777" w:rsidR="00000000" w:rsidRDefault="009B6C69">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14:paraId="5C5C32BD" w14:textId="77777777" w:rsidR="00000000" w:rsidRDefault="009B6C69">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14:paraId="58136350" w14:textId="77777777" w:rsidR="00000000" w:rsidRDefault="009B6C69">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14:paraId="7AD5C80E" w14:textId="77777777" w:rsidR="00000000" w:rsidRDefault="009B6C69">
            <w:pPr>
              <w:spacing w:after="100"/>
              <w:rPr>
                <w:rFonts w:eastAsia="Times New Roman"/>
                <w:sz w:val="20"/>
                <w:szCs w:val="20"/>
              </w:rPr>
            </w:pPr>
          </w:p>
        </w:tc>
      </w:tr>
    </w:tbl>
    <w:p w14:paraId="299B7EC6" w14:textId="77777777" w:rsidR="00000000" w:rsidRDefault="009B6C69">
      <w:pPr>
        <w:jc w:val="center"/>
        <w:divId w:val="698511045"/>
        <w:rPr>
          <w:rFonts w:eastAsia="Times New Roman"/>
        </w:rPr>
      </w:pPr>
      <w:r>
        <w:rPr>
          <w:rFonts w:eastAsia="Times New Roman"/>
          <w:b/>
          <w:bCs/>
          <w:color w:val="000000"/>
          <w:sz w:val="28"/>
          <w:szCs w:val="28"/>
        </w:rPr>
        <w:t>UNITED STATES</w:t>
      </w:r>
    </w:p>
    <w:p w14:paraId="4D5B495F" w14:textId="77777777" w:rsidR="00000000" w:rsidRDefault="009B6C69">
      <w:pPr>
        <w:jc w:val="center"/>
        <w:rPr>
          <w:rFonts w:eastAsia="Times New Roman"/>
        </w:rPr>
      </w:pPr>
      <w:r>
        <w:rPr>
          <w:rFonts w:eastAsia="Times New Roman"/>
          <w:b/>
          <w:bCs/>
          <w:color w:val="000000"/>
          <w:sz w:val="28"/>
          <w:szCs w:val="28"/>
        </w:rPr>
        <w:t>SECURITIES AND EXCHANGE COMMISSION</w:t>
      </w:r>
    </w:p>
    <w:p w14:paraId="421A9A60" w14:textId="77777777" w:rsidR="00000000" w:rsidRDefault="009B6C69">
      <w:pPr>
        <w:jc w:val="center"/>
        <w:rPr>
          <w:rFonts w:eastAsia="Times New Roman"/>
        </w:rPr>
      </w:pPr>
      <w:r>
        <w:rPr>
          <w:rFonts w:eastAsia="Times New Roman"/>
          <w:b/>
          <w:bCs/>
          <w:color w:val="000000"/>
        </w:rPr>
        <w:t>WASHINGTON, D.C. 20549</w:t>
      </w:r>
    </w:p>
    <w:p w14:paraId="11A13F0D" w14:textId="77777777" w:rsidR="00000000" w:rsidRDefault="009B6C69">
      <w:pPr>
        <w:jc w:val="center"/>
        <w:divId w:val="679813540"/>
        <w:rPr>
          <w:rFonts w:eastAsia="Times New Roman"/>
        </w:rPr>
      </w:pPr>
      <w:r>
        <w:rPr>
          <w:rFonts w:eastAsia="Times New Roman"/>
          <w:b/>
          <w:bCs/>
          <w:color w:val="000000"/>
          <w:sz w:val="36"/>
          <w:szCs w:val="36"/>
        </w:rPr>
        <w:t xml:space="preserve">FORM 10-K </w:t>
      </w:r>
    </w:p>
    <w:p w14:paraId="71FC97F5" w14:textId="77777777" w:rsidR="00000000" w:rsidRDefault="009B6C69">
      <w:pPr>
        <w:divId w:val="1540436119"/>
        <w:rPr>
          <w:rFonts w:eastAsia="Times New Roman"/>
        </w:rPr>
      </w:pPr>
      <w:r>
        <w:rPr>
          <w:rFonts w:eastAsia="Times New Roman"/>
          <w:color w:val="000000"/>
          <w:sz w:val="20"/>
          <w:szCs w:val="20"/>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601"/>
        <w:gridCol w:w="36"/>
        <w:gridCol w:w="69"/>
        <w:gridCol w:w="270"/>
        <w:gridCol w:w="36"/>
        <w:gridCol w:w="69"/>
        <w:gridCol w:w="7120"/>
        <w:gridCol w:w="36"/>
      </w:tblGrid>
      <w:tr w:rsidR="00000000" w14:paraId="16928D56" w14:textId="77777777">
        <w:trPr>
          <w:divId w:val="1540436119"/>
        </w:trPr>
        <w:tc>
          <w:tcPr>
            <w:tcW w:w="50" w:type="pct"/>
            <w:vAlign w:val="center"/>
            <w:hideMark/>
          </w:tcPr>
          <w:p w14:paraId="025E81BA" w14:textId="77777777" w:rsidR="00000000" w:rsidRDefault="009B6C69">
            <w:pPr>
              <w:rPr>
                <w:rFonts w:eastAsia="Times New Roman"/>
              </w:rPr>
            </w:pPr>
          </w:p>
        </w:tc>
        <w:tc>
          <w:tcPr>
            <w:tcW w:w="370" w:type="pct"/>
            <w:vAlign w:val="center"/>
            <w:hideMark/>
          </w:tcPr>
          <w:p w14:paraId="7EA36973" w14:textId="77777777" w:rsidR="00000000" w:rsidRDefault="009B6C69">
            <w:pPr>
              <w:spacing w:after="100"/>
              <w:rPr>
                <w:rFonts w:eastAsia="Times New Roman"/>
                <w:sz w:val="20"/>
                <w:szCs w:val="20"/>
              </w:rPr>
            </w:pPr>
          </w:p>
        </w:tc>
        <w:tc>
          <w:tcPr>
            <w:tcW w:w="5" w:type="pct"/>
            <w:vAlign w:val="center"/>
            <w:hideMark/>
          </w:tcPr>
          <w:p w14:paraId="5E11596A" w14:textId="77777777" w:rsidR="00000000" w:rsidRDefault="009B6C69">
            <w:pPr>
              <w:spacing w:after="100"/>
              <w:rPr>
                <w:rFonts w:eastAsia="Times New Roman"/>
                <w:sz w:val="20"/>
                <w:szCs w:val="20"/>
              </w:rPr>
            </w:pPr>
          </w:p>
        </w:tc>
        <w:tc>
          <w:tcPr>
            <w:tcW w:w="50" w:type="pct"/>
            <w:vAlign w:val="center"/>
            <w:hideMark/>
          </w:tcPr>
          <w:p w14:paraId="5AA012FE" w14:textId="77777777" w:rsidR="00000000" w:rsidRDefault="009B6C69">
            <w:pPr>
              <w:spacing w:after="100"/>
              <w:rPr>
                <w:rFonts w:eastAsia="Times New Roman"/>
                <w:sz w:val="20"/>
                <w:szCs w:val="20"/>
              </w:rPr>
            </w:pPr>
          </w:p>
        </w:tc>
        <w:tc>
          <w:tcPr>
            <w:tcW w:w="171" w:type="pct"/>
            <w:vAlign w:val="center"/>
            <w:hideMark/>
          </w:tcPr>
          <w:p w14:paraId="4A059229" w14:textId="77777777" w:rsidR="00000000" w:rsidRDefault="009B6C69">
            <w:pPr>
              <w:spacing w:after="100"/>
              <w:rPr>
                <w:rFonts w:eastAsia="Times New Roman"/>
                <w:sz w:val="20"/>
                <w:szCs w:val="20"/>
              </w:rPr>
            </w:pPr>
          </w:p>
        </w:tc>
        <w:tc>
          <w:tcPr>
            <w:tcW w:w="5" w:type="pct"/>
            <w:vAlign w:val="center"/>
            <w:hideMark/>
          </w:tcPr>
          <w:p w14:paraId="52C4FA59" w14:textId="77777777" w:rsidR="00000000" w:rsidRDefault="009B6C69">
            <w:pPr>
              <w:spacing w:after="100"/>
              <w:rPr>
                <w:rFonts w:eastAsia="Times New Roman"/>
                <w:sz w:val="20"/>
                <w:szCs w:val="20"/>
              </w:rPr>
            </w:pPr>
          </w:p>
        </w:tc>
        <w:tc>
          <w:tcPr>
            <w:tcW w:w="50" w:type="pct"/>
            <w:vAlign w:val="center"/>
            <w:hideMark/>
          </w:tcPr>
          <w:p w14:paraId="69C4FECC" w14:textId="77777777" w:rsidR="00000000" w:rsidRDefault="009B6C69">
            <w:pPr>
              <w:spacing w:after="100"/>
              <w:rPr>
                <w:rFonts w:eastAsia="Times New Roman"/>
                <w:sz w:val="20"/>
                <w:szCs w:val="20"/>
              </w:rPr>
            </w:pPr>
          </w:p>
        </w:tc>
        <w:tc>
          <w:tcPr>
            <w:tcW w:w="4292" w:type="pct"/>
            <w:vAlign w:val="center"/>
            <w:hideMark/>
          </w:tcPr>
          <w:p w14:paraId="456FC97A" w14:textId="77777777" w:rsidR="00000000" w:rsidRDefault="009B6C69">
            <w:pPr>
              <w:spacing w:after="100"/>
              <w:rPr>
                <w:rFonts w:eastAsia="Times New Roman"/>
                <w:sz w:val="20"/>
                <w:szCs w:val="20"/>
              </w:rPr>
            </w:pPr>
          </w:p>
        </w:tc>
        <w:tc>
          <w:tcPr>
            <w:tcW w:w="5" w:type="pct"/>
            <w:vAlign w:val="center"/>
            <w:hideMark/>
          </w:tcPr>
          <w:p w14:paraId="6C912057" w14:textId="77777777" w:rsidR="00000000" w:rsidRDefault="009B6C69">
            <w:pPr>
              <w:spacing w:after="100"/>
              <w:rPr>
                <w:rFonts w:eastAsia="Times New Roman"/>
                <w:sz w:val="20"/>
                <w:szCs w:val="20"/>
              </w:rPr>
            </w:pPr>
          </w:p>
        </w:tc>
      </w:tr>
      <w:tr w:rsidR="00000000" w14:paraId="464FD9AE" w14:textId="77777777">
        <w:trPr>
          <w:divId w:val="1540436119"/>
        </w:trPr>
        <w:tc>
          <w:tcPr>
            <w:tcW w:w="0" w:type="auto"/>
            <w:gridSpan w:val="3"/>
            <w:tcMar>
              <w:top w:w="30" w:type="dxa"/>
              <w:left w:w="20" w:type="dxa"/>
              <w:bottom w:w="30" w:type="dxa"/>
              <w:right w:w="20" w:type="dxa"/>
            </w:tcMar>
            <w:vAlign w:val="bottom"/>
            <w:hideMark/>
          </w:tcPr>
          <w:p w14:paraId="0F44ED18" w14:textId="77777777" w:rsidR="00000000" w:rsidRDefault="009B6C69">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14:paraId="624864D1" w14:textId="77777777" w:rsidR="00000000" w:rsidRDefault="009B6C69">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14:paraId="0E50A17C" w14:textId="77777777" w:rsidR="00000000" w:rsidRDefault="009B6C69">
            <w:pPr>
              <w:spacing w:after="100"/>
              <w:rPr>
                <w:rFonts w:eastAsia="Times New Roman"/>
              </w:rPr>
            </w:pPr>
            <w:r>
              <w:rPr>
                <w:rFonts w:eastAsia="Times New Roman"/>
                <w:color w:val="000000"/>
                <w:sz w:val="12"/>
                <w:szCs w:val="12"/>
              </w:rPr>
              <w:t> </w:t>
            </w:r>
          </w:p>
        </w:tc>
      </w:tr>
      <w:tr w:rsidR="00000000" w14:paraId="1AAFD7BF" w14:textId="77777777">
        <w:trPr>
          <w:divId w:val="1540436119"/>
        </w:trPr>
        <w:tc>
          <w:tcPr>
            <w:tcW w:w="0" w:type="auto"/>
            <w:gridSpan w:val="3"/>
            <w:tcMar>
              <w:top w:w="30" w:type="dxa"/>
              <w:left w:w="20" w:type="dxa"/>
              <w:bottom w:w="30" w:type="dxa"/>
              <w:right w:w="20" w:type="dxa"/>
            </w:tcMar>
            <w:hideMark/>
          </w:tcPr>
          <w:p w14:paraId="005EB491" w14:textId="77777777" w:rsidR="00000000" w:rsidRDefault="009B6C69">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14:paraId="4C41D5AC" w14:textId="77777777" w:rsidR="00000000" w:rsidRDefault="009B6C6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14AF0DC4" w14:textId="77777777" w:rsidR="00000000" w:rsidRDefault="009B6C69">
            <w:pPr>
              <w:spacing w:after="100"/>
              <w:rPr>
                <w:rFonts w:eastAsia="Times New Roman"/>
              </w:rPr>
            </w:pPr>
            <w:r>
              <w:rPr>
                <w:rFonts w:eastAsia="Times New Roman"/>
                <w:b/>
                <w:bCs/>
                <w:color w:val="000000"/>
                <w:sz w:val="20"/>
                <w:szCs w:val="20"/>
              </w:rPr>
              <w:t>ANNUAL REPORT PURSUANT TO SECTION 13 OR 15(d) OF THE SECURITIES EXCHANGE ACT OF 1934</w:t>
            </w:r>
          </w:p>
        </w:tc>
      </w:tr>
    </w:tbl>
    <w:p w14:paraId="66F46F0F" w14:textId="77777777" w:rsidR="00000000" w:rsidRDefault="009B6C69">
      <w:pPr>
        <w:jc w:val="center"/>
        <w:divId w:val="441147722"/>
        <w:rPr>
          <w:rFonts w:eastAsia="Times New Roman"/>
        </w:rPr>
      </w:pPr>
      <w:r>
        <w:rPr>
          <w:rFonts w:eastAsia="Times New Roman"/>
          <w:b/>
          <w:bCs/>
          <w:color w:val="000000"/>
          <w:sz w:val="20"/>
          <w:szCs w:val="20"/>
        </w:rPr>
        <w:t xml:space="preserve">For the fiscal year ended September 25, 2022 </w:t>
      </w:r>
    </w:p>
    <w:p w14:paraId="4A5586E3" w14:textId="77777777" w:rsidR="00000000" w:rsidRDefault="009B6C69">
      <w:pPr>
        <w:jc w:val="center"/>
        <w:divId w:val="223637273"/>
        <w:rPr>
          <w:rFonts w:eastAsia="Times New Roman"/>
        </w:rPr>
      </w:pPr>
      <w:r>
        <w:rPr>
          <w:rFonts w:eastAsia="Times New Roman"/>
          <w:b/>
          <w:bCs/>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601"/>
        <w:gridCol w:w="36"/>
        <w:gridCol w:w="69"/>
        <w:gridCol w:w="270"/>
        <w:gridCol w:w="36"/>
        <w:gridCol w:w="69"/>
        <w:gridCol w:w="7120"/>
        <w:gridCol w:w="36"/>
      </w:tblGrid>
      <w:tr w:rsidR="00000000" w14:paraId="05F1CF44" w14:textId="77777777">
        <w:trPr>
          <w:divId w:val="223637273"/>
          <w:jc w:val="center"/>
        </w:trPr>
        <w:tc>
          <w:tcPr>
            <w:tcW w:w="50" w:type="pct"/>
            <w:vAlign w:val="center"/>
            <w:hideMark/>
          </w:tcPr>
          <w:p w14:paraId="4E2496A5" w14:textId="77777777" w:rsidR="00000000" w:rsidRDefault="009B6C69">
            <w:pPr>
              <w:jc w:val="center"/>
              <w:rPr>
                <w:rFonts w:eastAsia="Times New Roman"/>
              </w:rPr>
            </w:pPr>
          </w:p>
        </w:tc>
        <w:tc>
          <w:tcPr>
            <w:tcW w:w="370" w:type="pct"/>
            <w:vAlign w:val="center"/>
            <w:hideMark/>
          </w:tcPr>
          <w:p w14:paraId="6CB40C29" w14:textId="77777777" w:rsidR="00000000" w:rsidRDefault="009B6C69">
            <w:pPr>
              <w:spacing w:after="100"/>
              <w:rPr>
                <w:rFonts w:eastAsia="Times New Roman"/>
                <w:sz w:val="20"/>
                <w:szCs w:val="20"/>
              </w:rPr>
            </w:pPr>
          </w:p>
        </w:tc>
        <w:tc>
          <w:tcPr>
            <w:tcW w:w="5" w:type="pct"/>
            <w:vAlign w:val="center"/>
            <w:hideMark/>
          </w:tcPr>
          <w:p w14:paraId="52436107" w14:textId="77777777" w:rsidR="00000000" w:rsidRDefault="009B6C69">
            <w:pPr>
              <w:spacing w:after="100"/>
              <w:rPr>
                <w:rFonts w:eastAsia="Times New Roman"/>
                <w:sz w:val="20"/>
                <w:szCs w:val="20"/>
              </w:rPr>
            </w:pPr>
          </w:p>
        </w:tc>
        <w:tc>
          <w:tcPr>
            <w:tcW w:w="50" w:type="pct"/>
            <w:vAlign w:val="center"/>
            <w:hideMark/>
          </w:tcPr>
          <w:p w14:paraId="7DEE252D" w14:textId="77777777" w:rsidR="00000000" w:rsidRDefault="009B6C69">
            <w:pPr>
              <w:spacing w:after="100"/>
              <w:rPr>
                <w:rFonts w:eastAsia="Times New Roman"/>
                <w:sz w:val="20"/>
                <w:szCs w:val="20"/>
              </w:rPr>
            </w:pPr>
          </w:p>
        </w:tc>
        <w:tc>
          <w:tcPr>
            <w:tcW w:w="171" w:type="pct"/>
            <w:vAlign w:val="center"/>
            <w:hideMark/>
          </w:tcPr>
          <w:p w14:paraId="3415352C" w14:textId="77777777" w:rsidR="00000000" w:rsidRDefault="009B6C69">
            <w:pPr>
              <w:spacing w:after="100"/>
              <w:rPr>
                <w:rFonts w:eastAsia="Times New Roman"/>
                <w:sz w:val="20"/>
                <w:szCs w:val="20"/>
              </w:rPr>
            </w:pPr>
          </w:p>
        </w:tc>
        <w:tc>
          <w:tcPr>
            <w:tcW w:w="5" w:type="pct"/>
            <w:vAlign w:val="center"/>
            <w:hideMark/>
          </w:tcPr>
          <w:p w14:paraId="2CA59C59" w14:textId="77777777" w:rsidR="00000000" w:rsidRDefault="009B6C69">
            <w:pPr>
              <w:spacing w:after="100"/>
              <w:rPr>
                <w:rFonts w:eastAsia="Times New Roman"/>
                <w:sz w:val="20"/>
                <w:szCs w:val="20"/>
              </w:rPr>
            </w:pPr>
          </w:p>
        </w:tc>
        <w:tc>
          <w:tcPr>
            <w:tcW w:w="50" w:type="pct"/>
            <w:vAlign w:val="center"/>
            <w:hideMark/>
          </w:tcPr>
          <w:p w14:paraId="686BC11F" w14:textId="77777777" w:rsidR="00000000" w:rsidRDefault="009B6C69">
            <w:pPr>
              <w:spacing w:after="100"/>
              <w:rPr>
                <w:rFonts w:eastAsia="Times New Roman"/>
                <w:sz w:val="20"/>
                <w:szCs w:val="20"/>
              </w:rPr>
            </w:pPr>
          </w:p>
        </w:tc>
        <w:tc>
          <w:tcPr>
            <w:tcW w:w="4292" w:type="pct"/>
            <w:vAlign w:val="center"/>
            <w:hideMark/>
          </w:tcPr>
          <w:p w14:paraId="08DCA459" w14:textId="77777777" w:rsidR="00000000" w:rsidRDefault="009B6C69">
            <w:pPr>
              <w:spacing w:after="100"/>
              <w:rPr>
                <w:rFonts w:eastAsia="Times New Roman"/>
                <w:sz w:val="20"/>
                <w:szCs w:val="20"/>
              </w:rPr>
            </w:pPr>
          </w:p>
        </w:tc>
        <w:tc>
          <w:tcPr>
            <w:tcW w:w="5" w:type="pct"/>
            <w:vAlign w:val="center"/>
            <w:hideMark/>
          </w:tcPr>
          <w:p w14:paraId="139994E5" w14:textId="77777777" w:rsidR="00000000" w:rsidRDefault="009B6C69">
            <w:pPr>
              <w:spacing w:after="100"/>
              <w:rPr>
                <w:rFonts w:eastAsia="Times New Roman"/>
                <w:sz w:val="20"/>
                <w:szCs w:val="20"/>
              </w:rPr>
            </w:pPr>
          </w:p>
        </w:tc>
      </w:tr>
      <w:tr w:rsidR="00000000" w14:paraId="7C9FF7C6" w14:textId="77777777">
        <w:trPr>
          <w:divId w:val="223637273"/>
          <w:jc w:val="center"/>
        </w:trPr>
        <w:tc>
          <w:tcPr>
            <w:tcW w:w="0" w:type="auto"/>
            <w:gridSpan w:val="3"/>
            <w:tcMar>
              <w:top w:w="30" w:type="dxa"/>
              <w:left w:w="20" w:type="dxa"/>
              <w:bottom w:w="30" w:type="dxa"/>
              <w:right w:w="20" w:type="dxa"/>
            </w:tcMar>
            <w:vAlign w:val="bottom"/>
            <w:hideMark/>
          </w:tcPr>
          <w:p w14:paraId="28A90E6A" w14:textId="77777777" w:rsidR="00000000" w:rsidRDefault="009B6C69">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14:paraId="789AC083" w14:textId="77777777" w:rsidR="00000000" w:rsidRDefault="009B6C69">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14:paraId="63D850C8" w14:textId="77777777" w:rsidR="00000000" w:rsidRDefault="009B6C69">
            <w:pPr>
              <w:spacing w:after="100"/>
              <w:rPr>
                <w:rFonts w:eastAsia="Times New Roman"/>
              </w:rPr>
            </w:pPr>
            <w:r>
              <w:rPr>
                <w:rFonts w:eastAsia="Times New Roman"/>
                <w:color w:val="000000"/>
                <w:sz w:val="12"/>
                <w:szCs w:val="12"/>
              </w:rPr>
              <w:t> </w:t>
            </w:r>
          </w:p>
        </w:tc>
      </w:tr>
      <w:tr w:rsidR="00000000" w14:paraId="615911F5" w14:textId="77777777">
        <w:trPr>
          <w:divId w:val="223637273"/>
          <w:jc w:val="center"/>
        </w:trPr>
        <w:tc>
          <w:tcPr>
            <w:tcW w:w="0" w:type="auto"/>
            <w:gridSpan w:val="3"/>
            <w:tcMar>
              <w:top w:w="30" w:type="dxa"/>
              <w:left w:w="20" w:type="dxa"/>
              <w:bottom w:w="30" w:type="dxa"/>
              <w:right w:w="20" w:type="dxa"/>
            </w:tcMar>
            <w:hideMark/>
          </w:tcPr>
          <w:p w14:paraId="1FF14F15" w14:textId="77777777" w:rsidR="00000000" w:rsidRDefault="009B6C69">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14:paraId="07739EB1" w14:textId="77777777" w:rsidR="00000000" w:rsidRDefault="009B6C6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799B9968" w14:textId="77777777" w:rsidR="00000000" w:rsidRDefault="009B6C69">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14:paraId="3112C27D" w14:textId="77777777" w:rsidR="00000000" w:rsidRDefault="009B6C69">
      <w:pPr>
        <w:jc w:val="center"/>
        <w:divId w:val="1240211663"/>
        <w:rPr>
          <w:rFonts w:eastAsia="Times New Roman"/>
        </w:rPr>
      </w:pPr>
      <w:r>
        <w:rPr>
          <w:rFonts w:eastAsia="Times New Roman"/>
          <w:b/>
          <w:bCs/>
          <w:color w:val="000000"/>
          <w:sz w:val="20"/>
          <w:szCs w:val="20"/>
        </w:rPr>
        <w:t xml:space="preserve">For the transition period from </w:t>
      </w:r>
      <w:r>
        <w:rPr>
          <w:rFonts w:eastAsia="Times New Roman"/>
          <w:b/>
          <w:bCs/>
          <w:color w:val="000000"/>
          <w:sz w:val="20"/>
          <w:szCs w:val="20"/>
          <w:u w:val="single"/>
        </w:rPr>
        <w:t>                    </w:t>
      </w:r>
      <w:r>
        <w:rPr>
          <w:rFonts w:eastAsia="Times New Roman"/>
          <w:b/>
          <w:bCs/>
          <w:color w:val="000000"/>
          <w:sz w:val="20"/>
          <w:szCs w:val="20"/>
        </w:rPr>
        <w:t xml:space="preserve"> to </w:t>
      </w:r>
      <w:r>
        <w:rPr>
          <w:rFonts w:eastAsia="Times New Roman"/>
          <w:b/>
          <w:bCs/>
          <w:color w:val="000000"/>
          <w:sz w:val="20"/>
          <w:szCs w:val="20"/>
          <w:u w:val="single"/>
        </w:rPr>
        <w:t>                    </w:t>
      </w:r>
      <w:r>
        <w:rPr>
          <w:rFonts w:eastAsia="Times New Roman"/>
          <w:b/>
          <w:bCs/>
          <w:color w:val="000000"/>
          <w:sz w:val="20"/>
          <w:szCs w:val="20"/>
        </w:rPr>
        <w:t xml:space="preserve"> .</w:t>
      </w:r>
    </w:p>
    <w:p w14:paraId="37BC1120" w14:textId="77777777" w:rsidR="00000000" w:rsidRDefault="009B6C69">
      <w:pPr>
        <w:jc w:val="center"/>
        <w:divId w:val="966355274"/>
        <w:rPr>
          <w:rFonts w:eastAsia="Times New Roman"/>
        </w:rPr>
      </w:pPr>
      <w:r>
        <w:rPr>
          <w:rFonts w:eastAsia="Times New Roman"/>
          <w:b/>
          <w:bCs/>
          <w:color w:val="000000"/>
          <w:sz w:val="20"/>
          <w:szCs w:val="20"/>
        </w:rPr>
        <w:t xml:space="preserve">Commission File Number 0-19528 </w:t>
      </w:r>
    </w:p>
    <w:p w14:paraId="44E9B8B0" w14:textId="77777777" w:rsidR="00000000" w:rsidRDefault="009B6C69">
      <w:pPr>
        <w:jc w:val="center"/>
        <w:divId w:val="1550991015"/>
        <w:rPr>
          <w:rFonts w:eastAsia="Times New Roman"/>
        </w:rPr>
      </w:pPr>
      <w:r>
        <w:rPr>
          <w:rFonts w:eastAsia="Times New Roman"/>
          <w:b/>
          <w:bCs/>
          <w:color w:val="000000"/>
          <w:sz w:val="48"/>
          <w:szCs w:val="48"/>
        </w:rPr>
        <w:t>QUALCOMM Incorporated</w:t>
      </w:r>
    </w:p>
    <w:p w14:paraId="555F1D64" w14:textId="77777777" w:rsidR="00000000" w:rsidRDefault="009B6C69">
      <w:pPr>
        <w:jc w:val="center"/>
        <w:rPr>
          <w:rFonts w:eastAsia="Times New Roman"/>
        </w:rPr>
      </w:pPr>
      <w:r>
        <w:rPr>
          <w:rFonts w:eastAsia="Times New Roman"/>
          <w:b/>
          <w:bCs/>
          <w:color w:val="000000"/>
          <w:sz w:val="20"/>
          <w:szCs w:val="20"/>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3"/>
        <w:gridCol w:w="36"/>
        <w:gridCol w:w="69"/>
        <w:gridCol w:w="1119"/>
        <w:gridCol w:w="38"/>
        <w:gridCol w:w="69"/>
        <w:gridCol w:w="589"/>
        <w:gridCol w:w="36"/>
        <w:gridCol w:w="69"/>
        <w:gridCol w:w="554"/>
        <w:gridCol w:w="36"/>
        <w:gridCol w:w="69"/>
        <w:gridCol w:w="1873"/>
        <w:gridCol w:w="36"/>
        <w:gridCol w:w="70"/>
        <w:gridCol w:w="3255"/>
        <w:gridCol w:w="36"/>
      </w:tblGrid>
      <w:tr w:rsidR="00000000" w14:paraId="01020652" w14:textId="77777777">
        <w:trPr>
          <w:jc w:val="center"/>
        </w:trPr>
        <w:tc>
          <w:tcPr>
            <w:tcW w:w="50" w:type="pct"/>
            <w:vAlign w:val="center"/>
            <w:hideMark/>
          </w:tcPr>
          <w:p w14:paraId="3CF75CEB" w14:textId="77777777" w:rsidR="00000000" w:rsidRDefault="009B6C69">
            <w:pPr>
              <w:jc w:val="center"/>
              <w:rPr>
                <w:rFonts w:eastAsia="Times New Roman"/>
              </w:rPr>
            </w:pPr>
          </w:p>
        </w:tc>
        <w:tc>
          <w:tcPr>
            <w:tcW w:w="179" w:type="pct"/>
            <w:vAlign w:val="center"/>
            <w:hideMark/>
          </w:tcPr>
          <w:p w14:paraId="78B48A2B" w14:textId="77777777" w:rsidR="00000000" w:rsidRDefault="009B6C69">
            <w:pPr>
              <w:spacing w:after="100"/>
              <w:rPr>
                <w:rFonts w:eastAsia="Times New Roman"/>
                <w:sz w:val="20"/>
                <w:szCs w:val="20"/>
              </w:rPr>
            </w:pPr>
          </w:p>
        </w:tc>
        <w:tc>
          <w:tcPr>
            <w:tcW w:w="5" w:type="pct"/>
            <w:vAlign w:val="center"/>
            <w:hideMark/>
          </w:tcPr>
          <w:p w14:paraId="41259BEA" w14:textId="77777777" w:rsidR="00000000" w:rsidRDefault="009B6C69">
            <w:pPr>
              <w:spacing w:after="100"/>
              <w:rPr>
                <w:rFonts w:eastAsia="Times New Roman"/>
                <w:sz w:val="20"/>
                <w:szCs w:val="20"/>
              </w:rPr>
            </w:pPr>
          </w:p>
        </w:tc>
        <w:tc>
          <w:tcPr>
            <w:tcW w:w="50" w:type="pct"/>
            <w:vAlign w:val="center"/>
            <w:hideMark/>
          </w:tcPr>
          <w:p w14:paraId="5ADB496E" w14:textId="77777777" w:rsidR="00000000" w:rsidRDefault="009B6C69">
            <w:pPr>
              <w:spacing w:after="100"/>
              <w:rPr>
                <w:rFonts w:eastAsia="Times New Roman"/>
                <w:sz w:val="20"/>
                <w:szCs w:val="20"/>
              </w:rPr>
            </w:pPr>
          </w:p>
        </w:tc>
        <w:tc>
          <w:tcPr>
            <w:tcW w:w="682" w:type="pct"/>
            <w:vAlign w:val="center"/>
            <w:hideMark/>
          </w:tcPr>
          <w:p w14:paraId="299CF09B" w14:textId="77777777" w:rsidR="00000000" w:rsidRDefault="009B6C69">
            <w:pPr>
              <w:spacing w:after="100"/>
              <w:rPr>
                <w:rFonts w:eastAsia="Times New Roman"/>
                <w:sz w:val="20"/>
                <w:szCs w:val="20"/>
              </w:rPr>
            </w:pPr>
          </w:p>
        </w:tc>
        <w:tc>
          <w:tcPr>
            <w:tcW w:w="5" w:type="pct"/>
            <w:vAlign w:val="center"/>
            <w:hideMark/>
          </w:tcPr>
          <w:p w14:paraId="04C73684" w14:textId="77777777" w:rsidR="00000000" w:rsidRDefault="009B6C69">
            <w:pPr>
              <w:spacing w:after="100"/>
              <w:rPr>
                <w:rFonts w:eastAsia="Times New Roman"/>
                <w:sz w:val="20"/>
                <w:szCs w:val="20"/>
              </w:rPr>
            </w:pPr>
          </w:p>
        </w:tc>
        <w:tc>
          <w:tcPr>
            <w:tcW w:w="50" w:type="pct"/>
            <w:vAlign w:val="center"/>
            <w:hideMark/>
          </w:tcPr>
          <w:p w14:paraId="69830F03" w14:textId="77777777" w:rsidR="00000000" w:rsidRDefault="009B6C69">
            <w:pPr>
              <w:spacing w:after="100"/>
              <w:rPr>
                <w:rFonts w:eastAsia="Times New Roman"/>
                <w:sz w:val="20"/>
                <w:szCs w:val="20"/>
              </w:rPr>
            </w:pPr>
          </w:p>
        </w:tc>
        <w:tc>
          <w:tcPr>
            <w:tcW w:w="363" w:type="pct"/>
            <w:vAlign w:val="center"/>
            <w:hideMark/>
          </w:tcPr>
          <w:p w14:paraId="63E3D49B" w14:textId="77777777" w:rsidR="00000000" w:rsidRDefault="009B6C69">
            <w:pPr>
              <w:spacing w:after="100"/>
              <w:rPr>
                <w:rFonts w:eastAsia="Times New Roman"/>
                <w:sz w:val="20"/>
                <w:szCs w:val="20"/>
              </w:rPr>
            </w:pPr>
          </w:p>
        </w:tc>
        <w:tc>
          <w:tcPr>
            <w:tcW w:w="5" w:type="pct"/>
            <w:vAlign w:val="center"/>
            <w:hideMark/>
          </w:tcPr>
          <w:p w14:paraId="36603B71" w14:textId="77777777" w:rsidR="00000000" w:rsidRDefault="009B6C69">
            <w:pPr>
              <w:spacing w:after="100"/>
              <w:rPr>
                <w:rFonts w:eastAsia="Times New Roman"/>
                <w:sz w:val="20"/>
                <w:szCs w:val="20"/>
              </w:rPr>
            </w:pPr>
          </w:p>
        </w:tc>
        <w:tc>
          <w:tcPr>
            <w:tcW w:w="50" w:type="pct"/>
            <w:vAlign w:val="center"/>
            <w:hideMark/>
          </w:tcPr>
          <w:p w14:paraId="24D51E91" w14:textId="77777777" w:rsidR="00000000" w:rsidRDefault="009B6C69">
            <w:pPr>
              <w:spacing w:after="100"/>
              <w:rPr>
                <w:rFonts w:eastAsia="Times New Roman"/>
                <w:sz w:val="20"/>
                <w:szCs w:val="20"/>
              </w:rPr>
            </w:pPr>
          </w:p>
        </w:tc>
        <w:tc>
          <w:tcPr>
            <w:tcW w:w="342" w:type="pct"/>
            <w:vAlign w:val="center"/>
            <w:hideMark/>
          </w:tcPr>
          <w:p w14:paraId="1F026337" w14:textId="77777777" w:rsidR="00000000" w:rsidRDefault="009B6C69">
            <w:pPr>
              <w:spacing w:after="100"/>
              <w:rPr>
                <w:rFonts w:eastAsia="Times New Roman"/>
                <w:sz w:val="20"/>
                <w:szCs w:val="20"/>
              </w:rPr>
            </w:pPr>
          </w:p>
        </w:tc>
        <w:tc>
          <w:tcPr>
            <w:tcW w:w="5" w:type="pct"/>
            <w:vAlign w:val="center"/>
            <w:hideMark/>
          </w:tcPr>
          <w:p w14:paraId="39A4F3D9" w14:textId="77777777" w:rsidR="00000000" w:rsidRDefault="009B6C69">
            <w:pPr>
              <w:spacing w:after="100"/>
              <w:rPr>
                <w:rFonts w:eastAsia="Times New Roman"/>
                <w:sz w:val="20"/>
                <w:szCs w:val="20"/>
              </w:rPr>
            </w:pPr>
          </w:p>
        </w:tc>
        <w:tc>
          <w:tcPr>
            <w:tcW w:w="50" w:type="pct"/>
            <w:vAlign w:val="center"/>
            <w:hideMark/>
          </w:tcPr>
          <w:p w14:paraId="082B8E86" w14:textId="77777777" w:rsidR="00000000" w:rsidRDefault="009B6C69">
            <w:pPr>
              <w:spacing w:after="100"/>
              <w:rPr>
                <w:rFonts w:eastAsia="Times New Roman"/>
                <w:sz w:val="20"/>
                <w:szCs w:val="20"/>
              </w:rPr>
            </w:pPr>
          </w:p>
        </w:tc>
        <w:tc>
          <w:tcPr>
            <w:tcW w:w="1136" w:type="pct"/>
            <w:vAlign w:val="center"/>
            <w:hideMark/>
          </w:tcPr>
          <w:p w14:paraId="0A07511F" w14:textId="77777777" w:rsidR="00000000" w:rsidRDefault="009B6C69">
            <w:pPr>
              <w:spacing w:after="100"/>
              <w:rPr>
                <w:rFonts w:eastAsia="Times New Roman"/>
                <w:sz w:val="20"/>
                <w:szCs w:val="20"/>
              </w:rPr>
            </w:pPr>
          </w:p>
        </w:tc>
        <w:tc>
          <w:tcPr>
            <w:tcW w:w="5" w:type="pct"/>
            <w:vAlign w:val="center"/>
            <w:hideMark/>
          </w:tcPr>
          <w:p w14:paraId="55BFCCB4" w14:textId="77777777" w:rsidR="00000000" w:rsidRDefault="009B6C69">
            <w:pPr>
              <w:spacing w:after="100"/>
              <w:rPr>
                <w:rFonts w:eastAsia="Times New Roman"/>
                <w:sz w:val="20"/>
                <w:szCs w:val="20"/>
              </w:rPr>
            </w:pPr>
          </w:p>
        </w:tc>
        <w:tc>
          <w:tcPr>
            <w:tcW w:w="50" w:type="pct"/>
            <w:vAlign w:val="center"/>
            <w:hideMark/>
          </w:tcPr>
          <w:p w14:paraId="3A1D094E" w14:textId="77777777" w:rsidR="00000000" w:rsidRDefault="009B6C69">
            <w:pPr>
              <w:spacing w:after="100"/>
              <w:rPr>
                <w:rFonts w:eastAsia="Times New Roman"/>
                <w:sz w:val="20"/>
                <w:szCs w:val="20"/>
              </w:rPr>
            </w:pPr>
          </w:p>
        </w:tc>
        <w:tc>
          <w:tcPr>
            <w:tcW w:w="1966" w:type="pct"/>
            <w:vAlign w:val="center"/>
            <w:hideMark/>
          </w:tcPr>
          <w:p w14:paraId="06FACF1B" w14:textId="77777777" w:rsidR="00000000" w:rsidRDefault="009B6C69">
            <w:pPr>
              <w:spacing w:after="100"/>
              <w:rPr>
                <w:rFonts w:eastAsia="Times New Roman"/>
                <w:sz w:val="20"/>
                <w:szCs w:val="20"/>
              </w:rPr>
            </w:pPr>
          </w:p>
        </w:tc>
        <w:tc>
          <w:tcPr>
            <w:tcW w:w="5" w:type="pct"/>
            <w:vAlign w:val="center"/>
            <w:hideMark/>
          </w:tcPr>
          <w:p w14:paraId="5EE7E326" w14:textId="77777777" w:rsidR="00000000" w:rsidRDefault="009B6C69">
            <w:pPr>
              <w:spacing w:after="100"/>
              <w:rPr>
                <w:rFonts w:eastAsia="Times New Roman"/>
                <w:sz w:val="20"/>
                <w:szCs w:val="20"/>
              </w:rPr>
            </w:pPr>
          </w:p>
        </w:tc>
      </w:tr>
      <w:tr w:rsidR="00000000" w14:paraId="3AF7AB85" w14:textId="77777777">
        <w:trPr>
          <w:jc w:val="center"/>
        </w:trPr>
        <w:tc>
          <w:tcPr>
            <w:tcW w:w="0" w:type="auto"/>
            <w:gridSpan w:val="3"/>
            <w:tcMar>
              <w:top w:w="30" w:type="dxa"/>
              <w:left w:w="20" w:type="dxa"/>
              <w:bottom w:w="30" w:type="dxa"/>
              <w:right w:w="20" w:type="dxa"/>
            </w:tcMar>
            <w:vAlign w:val="bottom"/>
            <w:hideMark/>
          </w:tcPr>
          <w:p w14:paraId="45B91F47" w14:textId="77777777" w:rsidR="00000000" w:rsidRDefault="009B6C69">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center"/>
            <w:hideMark/>
          </w:tcPr>
          <w:p w14:paraId="69F1B611" w14:textId="77777777" w:rsidR="00000000" w:rsidRDefault="009B6C69">
            <w:pPr>
              <w:spacing w:after="100"/>
              <w:jc w:val="center"/>
              <w:rPr>
                <w:rFonts w:eastAsia="Times New Roman"/>
              </w:rPr>
            </w:pPr>
            <w:r>
              <w:rPr>
                <w:rFonts w:eastAsia="Times New Roman"/>
                <w:b/>
                <w:bCs/>
                <w:color w:val="000000"/>
                <w:sz w:val="16"/>
                <w:szCs w:val="16"/>
              </w:rPr>
              <w:t>Delaware</w:t>
            </w:r>
          </w:p>
        </w:tc>
        <w:tc>
          <w:tcPr>
            <w:tcW w:w="0" w:type="auto"/>
            <w:gridSpan w:val="3"/>
            <w:tcMar>
              <w:top w:w="0" w:type="dxa"/>
              <w:left w:w="20" w:type="dxa"/>
              <w:bottom w:w="0" w:type="dxa"/>
              <w:right w:w="20" w:type="dxa"/>
            </w:tcMar>
            <w:vAlign w:val="center"/>
            <w:hideMark/>
          </w:tcPr>
          <w:p w14:paraId="78E29638"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27A9DFB3" w14:textId="77777777" w:rsidR="00000000" w:rsidRDefault="009B6C69">
            <w:pPr>
              <w:spacing w:after="100"/>
              <w:jc w:val="center"/>
              <w:rPr>
                <w:rFonts w:eastAsia="Times New Roman"/>
              </w:rPr>
            </w:pPr>
            <w:r>
              <w:rPr>
                <w:rFonts w:eastAsia="Times New Roman"/>
                <w:b/>
                <w:bCs/>
                <w:color w:val="000000"/>
                <w:sz w:val="16"/>
                <w:szCs w:val="16"/>
              </w:rPr>
              <w:t>95-3685934</w:t>
            </w:r>
          </w:p>
        </w:tc>
      </w:tr>
      <w:tr w:rsidR="00000000" w14:paraId="5989A4F4" w14:textId="77777777">
        <w:trPr>
          <w:jc w:val="center"/>
        </w:trPr>
        <w:tc>
          <w:tcPr>
            <w:tcW w:w="0" w:type="auto"/>
            <w:gridSpan w:val="3"/>
            <w:tcMar>
              <w:top w:w="0" w:type="dxa"/>
              <w:left w:w="20" w:type="dxa"/>
              <w:bottom w:w="0" w:type="dxa"/>
              <w:right w:w="20" w:type="dxa"/>
            </w:tcMar>
            <w:vAlign w:val="center"/>
            <w:hideMark/>
          </w:tcPr>
          <w:p w14:paraId="4A7BF0D2" w14:textId="77777777" w:rsidR="00000000" w:rsidRDefault="009B6C69">
            <w:pPr>
              <w:spacing w:after="100"/>
              <w:jc w:val="center"/>
              <w:rPr>
                <w:rFonts w:eastAsia="Times New Roman"/>
              </w:rPr>
            </w:pPr>
          </w:p>
        </w:tc>
        <w:tc>
          <w:tcPr>
            <w:tcW w:w="0" w:type="auto"/>
            <w:gridSpan w:val="9"/>
            <w:tcMar>
              <w:top w:w="30" w:type="dxa"/>
              <w:left w:w="20" w:type="dxa"/>
              <w:bottom w:w="30" w:type="dxa"/>
              <w:right w:w="20" w:type="dxa"/>
            </w:tcMar>
            <w:vAlign w:val="center"/>
            <w:hideMark/>
          </w:tcPr>
          <w:p w14:paraId="0FD28A86" w14:textId="77777777" w:rsidR="00000000" w:rsidRDefault="009B6C69">
            <w:pPr>
              <w:spacing w:after="100"/>
              <w:jc w:val="center"/>
              <w:rPr>
                <w:rFonts w:eastAsia="Times New Roman"/>
              </w:rPr>
            </w:pPr>
            <w:r>
              <w:rPr>
                <w:rFonts w:eastAsia="Times New Roman"/>
                <w:b/>
                <w:bCs/>
                <w:color w:val="000000"/>
                <w:sz w:val="16"/>
                <w:szCs w:val="16"/>
              </w:rPr>
              <w:t>(State or Other Jurisdiction of Incorporation or Organization)</w:t>
            </w:r>
          </w:p>
        </w:tc>
        <w:tc>
          <w:tcPr>
            <w:tcW w:w="0" w:type="auto"/>
            <w:gridSpan w:val="3"/>
            <w:tcMar>
              <w:top w:w="0" w:type="dxa"/>
              <w:left w:w="20" w:type="dxa"/>
              <w:bottom w:w="0" w:type="dxa"/>
              <w:right w:w="20" w:type="dxa"/>
            </w:tcMar>
            <w:vAlign w:val="center"/>
            <w:hideMark/>
          </w:tcPr>
          <w:p w14:paraId="1B18EF2E"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269C698A" w14:textId="77777777" w:rsidR="00000000" w:rsidRDefault="009B6C69">
            <w:pPr>
              <w:spacing w:after="100"/>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p>
        </w:tc>
      </w:tr>
      <w:tr w:rsidR="00000000" w14:paraId="2E46BA46" w14:textId="77777777">
        <w:trPr>
          <w:jc w:val="center"/>
        </w:trPr>
        <w:tc>
          <w:tcPr>
            <w:tcW w:w="0" w:type="auto"/>
            <w:gridSpan w:val="3"/>
            <w:tcMar>
              <w:top w:w="0" w:type="dxa"/>
              <w:left w:w="20" w:type="dxa"/>
              <w:bottom w:w="0" w:type="dxa"/>
              <w:right w:w="20" w:type="dxa"/>
            </w:tcMar>
            <w:vAlign w:val="center"/>
            <w:hideMark/>
          </w:tcPr>
          <w:p w14:paraId="108A0BF8"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1AF9EF14" w14:textId="77777777" w:rsidR="00000000" w:rsidRDefault="009B6C69">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14:paraId="01559EC6" w14:textId="77777777" w:rsidR="00000000" w:rsidRDefault="009B6C69">
            <w:pPr>
              <w:spacing w:after="100"/>
              <w:rPr>
                <w:rFonts w:eastAsia="Times New Roman"/>
              </w:rPr>
            </w:pPr>
          </w:p>
        </w:tc>
        <w:tc>
          <w:tcPr>
            <w:tcW w:w="0" w:type="auto"/>
            <w:gridSpan w:val="3"/>
            <w:tcMar>
              <w:top w:w="0" w:type="dxa"/>
              <w:left w:w="20" w:type="dxa"/>
              <w:bottom w:w="0" w:type="dxa"/>
              <w:right w:w="20" w:type="dxa"/>
            </w:tcMar>
            <w:vAlign w:val="center"/>
            <w:hideMark/>
          </w:tcPr>
          <w:p w14:paraId="4CB8B080"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57FC89"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7FF780" w14:textId="77777777" w:rsidR="00000000" w:rsidRDefault="009B6C69">
            <w:pPr>
              <w:spacing w:after="100"/>
              <w:rPr>
                <w:rFonts w:eastAsia="Times New Roman"/>
                <w:sz w:val="20"/>
                <w:szCs w:val="20"/>
              </w:rPr>
            </w:pPr>
          </w:p>
        </w:tc>
      </w:tr>
      <w:tr w:rsidR="00000000" w14:paraId="501F10DE" w14:textId="77777777">
        <w:trPr>
          <w:jc w:val="center"/>
        </w:trPr>
        <w:tc>
          <w:tcPr>
            <w:tcW w:w="0" w:type="auto"/>
            <w:gridSpan w:val="3"/>
            <w:tcMar>
              <w:top w:w="30" w:type="dxa"/>
              <w:left w:w="20" w:type="dxa"/>
              <w:bottom w:w="30" w:type="dxa"/>
              <w:right w:w="20" w:type="dxa"/>
            </w:tcMar>
            <w:vAlign w:val="center"/>
            <w:hideMark/>
          </w:tcPr>
          <w:p w14:paraId="6A64E1EC" w14:textId="77777777" w:rsidR="00000000" w:rsidRDefault="009B6C69">
            <w:pPr>
              <w:spacing w:after="100"/>
              <w:jc w:val="cente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center"/>
            <w:hideMark/>
          </w:tcPr>
          <w:p w14:paraId="3B3C1A6A" w14:textId="77777777" w:rsidR="00000000" w:rsidRDefault="009B6C69">
            <w:pPr>
              <w:spacing w:after="100"/>
              <w:jc w:val="center"/>
              <w:rPr>
                <w:rFonts w:eastAsia="Times New Roman"/>
              </w:rPr>
            </w:pPr>
            <w:r>
              <w:rPr>
                <w:rFonts w:eastAsia="Times New Roman"/>
                <w:b/>
                <w:bCs/>
                <w:color w:val="000000"/>
                <w:sz w:val="16"/>
                <w:szCs w:val="16"/>
              </w:rPr>
              <w:t>5775 Morehouse Dr., San Diego, California</w:t>
            </w:r>
          </w:p>
        </w:tc>
        <w:tc>
          <w:tcPr>
            <w:tcW w:w="0" w:type="auto"/>
            <w:gridSpan w:val="3"/>
            <w:tcMar>
              <w:top w:w="0" w:type="dxa"/>
              <w:left w:w="20" w:type="dxa"/>
              <w:bottom w:w="0" w:type="dxa"/>
              <w:right w:w="20" w:type="dxa"/>
            </w:tcMar>
            <w:vAlign w:val="center"/>
            <w:hideMark/>
          </w:tcPr>
          <w:p w14:paraId="0BCE1BC5"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7D0BFE13" w14:textId="77777777" w:rsidR="00000000" w:rsidRDefault="009B6C69">
            <w:pPr>
              <w:spacing w:after="100"/>
              <w:jc w:val="center"/>
              <w:rPr>
                <w:rFonts w:eastAsia="Times New Roman"/>
              </w:rPr>
            </w:pPr>
            <w:r>
              <w:rPr>
                <w:rFonts w:eastAsia="Times New Roman"/>
                <w:b/>
                <w:bCs/>
                <w:color w:val="000000"/>
                <w:sz w:val="16"/>
                <w:szCs w:val="16"/>
              </w:rPr>
              <w:t>92121-1714</w:t>
            </w:r>
          </w:p>
        </w:tc>
      </w:tr>
      <w:tr w:rsidR="00000000" w14:paraId="2F18C426" w14:textId="77777777">
        <w:trPr>
          <w:jc w:val="center"/>
        </w:trPr>
        <w:tc>
          <w:tcPr>
            <w:tcW w:w="0" w:type="auto"/>
            <w:gridSpan w:val="3"/>
            <w:tcMar>
              <w:top w:w="0" w:type="dxa"/>
              <w:left w:w="20" w:type="dxa"/>
              <w:bottom w:w="0" w:type="dxa"/>
              <w:right w:w="20" w:type="dxa"/>
            </w:tcMar>
            <w:vAlign w:val="center"/>
            <w:hideMark/>
          </w:tcPr>
          <w:p w14:paraId="52D6F920" w14:textId="77777777" w:rsidR="00000000" w:rsidRDefault="009B6C69">
            <w:pPr>
              <w:spacing w:after="100"/>
              <w:jc w:val="center"/>
              <w:rPr>
                <w:rFonts w:eastAsia="Times New Roman"/>
              </w:rPr>
            </w:pPr>
          </w:p>
        </w:tc>
        <w:tc>
          <w:tcPr>
            <w:tcW w:w="0" w:type="auto"/>
            <w:gridSpan w:val="9"/>
            <w:tcMar>
              <w:top w:w="30" w:type="dxa"/>
              <w:left w:w="20" w:type="dxa"/>
              <w:bottom w:w="30" w:type="dxa"/>
              <w:right w:w="20" w:type="dxa"/>
            </w:tcMar>
            <w:vAlign w:val="center"/>
            <w:hideMark/>
          </w:tcPr>
          <w:p w14:paraId="1C2030B8" w14:textId="77777777" w:rsidR="00000000" w:rsidRDefault="009B6C69">
            <w:pPr>
              <w:spacing w:after="100"/>
              <w:jc w:val="center"/>
              <w:rPr>
                <w:rFonts w:eastAsia="Times New Roman"/>
              </w:rPr>
            </w:pPr>
            <w:r>
              <w:rPr>
                <w:rFonts w:eastAsia="Times New Roman"/>
                <w:b/>
                <w:bCs/>
                <w:color w:val="000000"/>
                <w:sz w:val="16"/>
                <w:szCs w:val="16"/>
              </w:rPr>
              <w:t>(Address of Principal Executive Offices) </w:t>
            </w:r>
          </w:p>
        </w:tc>
        <w:tc>
          <w:tcPr>
            <w:tcW w:w="0" w:type="auto"/>
            <w:gridSpan w:val="3"/>
            <w:tcMar>
              <w:top w:w="0" w:type="dxa"/>
              <w:left w:w="20" w:type="dxa"/>
              <w:bottom w:w="0" w:type="dxa"/>
              <w:right w:w="20" w:type="dxa"/>
            </w:tcMar>
            <w:vAlign w:val="center"/>
            <w:hideMark/>
          </w:tcPr>
          <w:p w14:paraId="19F9D27F"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200D08D6" w14:textId="77777777" w:rsidR="00000000" w:rsidRDefault="009B6C69">
            <w:pPr>
              <w:spacing w:after="100"/>
              <w:jc w:val="center"/>
              <w:rPr>
                <w:rFonts w:eastAsia="Times New Roman"/>
              </w:rPr>
            </w:pPr>
            <w:r>
              <w:rPr>
                <w:rFonts w:eastAsia="Times New Roman"/>
                <w:b/>
                <w:bCs/>
                <w:color w:val="000000"/>
                <w:sz w:val="16"/>
                <w:szCs w:val="16"/>
              </w:rPr>
              <w:t>(Zip Code)</w:t>
            </w:r>
          </w:p>
        </w:tc>
      </w:tr>
    </w:tbl>
    <w:p w14:paraId="6429A771" w14:textId="77777777" w:rsidR="00000000" w:rsidRDefault="009B6C69">
      <w:pPr>
        <w:jc w:val="center"/>
        <w:rPr>
          <w:rFonts w:eastAsia="Times New Roman"/>
        </w:rPr>
      </w:pPr>
    </w:p>
    <w:p w14:paraId="2D097863" w14:textId="77777777" w:rsidR="00000000" w:rsidRDefault="009B6C69">
      <w:pPr>
        <w:jc w:val="center"/>
        <w:rPr>
          <w:rFonts w:eastAsia="Times New Roman"/>
        </w:rPr>
      </w:pPr>
      <w:r>
        <w:rPr>
          <w:rFonts w:eastAsia="Times New Roman"/>
          <w:b/>
          <w:bCs/>
          <w:color w:val="000000"/>
          <w:sz w:val="20"/>
          <w:szCs w:val="20"/>
        </w:rPr>
        <w:t xml:space="preserve">(858) 587-1121 </w:t>
      </w:r>
    </w:p>
    <w:p w14:paraId="5F5C3BBD" w14:textId="77777777" w:rsidR="00000000" w:rsidRDefault="009B6C69">
      <w:pPr>
        <w:jc w:val="center"/>
        <w:rPr>
          <w:rFonts w:eastAsia="Times New Roman"/>
        </w:rPr>
      </w:pPr>
      <w:r>
        <w:rPr>
          <w:rFonts w:eastAsia="Times New Roman"/>
          <w:b/>
          <w:bCs/>
          <w:color w:val="000000"/>
          <w:sz w:val="20"/>
          <w:szCs w:val="20"/>
        </w:rPr>
        <w:t>(Registrant’s telephone number, including area code)</w:t>
      </w:r>
    </w:p>
    <w:p w14:paraId="706CB054" w14:textId="77777777" w:rsidR="00000000" w:rsidRDefault="009B6C69">
      <w:pPr>
        <w:jc w:val="center"/>
        <w:divId w:val="379138453"/>
        <w:rPr>
          <w:rFonts w:eastAsia="Times New Roman"/>
        </w:rPr>
      </w:pPr>
      <w:r>
        <w:rPr>
          <w:rFonts w:eastAsia="Times New Roman"/>
          <w:b/>
          <w:bCs/>
          <w:color w:val="000000"/>
          <w:sz w:val="20"/>
          <w:szCs w:val="20"/>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036"/>
        <w:gridCol w:w="37"/>
        <w:gridCol w:w="69"/>
        <w:gridCol w:w="1812"/>
        <w:gridCol w:w="36"/>
        <w:gridCol w:w="69"/>
        <w:gridCol w:w="3142"/>
        <w:gridCol w:w="36"/>
      </w:tblGrid>
      <w:tr w:rsidR="00000000" w14:paraId="768C3A0A" w14:textId="77777777">
        <w:trPr>
          <w:divId w:val="379138453"/>
          <w:jc w:val="center"/>
        </w:trPr>
        <w:tc>
          <w:tcPr>
            <w:tcW w:w="50" w:type="pct"/>
            <w:vAlign w:val="center"/>
            <w:hideMark/>
          </w:tcPr>
          <w:p w14:paraId="14B56B39" w14:textId="77777777" w:rsidR="00000000" w:rsidRDefault="009B6C69">
            <w:pPr>
              <w:jc w:val="center"/>
              <w:rPr>
                <w:rFonts w:eastAsia="Times New Roman"/>
              </w:rPr>
            </w:pPr>
          </w:p>
        </w:tc>
        <w:tc>
          <w:tcPr>
            <w:tcW w:w="1835" w:type="pct"/>
            <w:vAlign w:val="center"/>
            <w:hideMark/>
          </w:tcPr>
          <w:p w14:paraId="0EDF21FB" w14:textId="77777777" w:rsidR="00000000" w:rsidRDefault="009B6C69">
            <w:pPr>
              <w:spacing w:after="100"/>
              <w:rPr>
                <w:rFonts w:eastAsia="Times New Roman"/>
                <w:sz w:val="20"/>
                <w:szCs w:val="20"/>
              </w:rPr>
            </w:pPr>
          </w:p>
        </w:tc>
        <w:tc>
          <w:tcPr>
            <w:tcW w:w="5" w:type="pct"/>
            <w:vAlign w:val="center"/>
            <w:hideMark/>
          </w:tcPr>
          <w:p w14:paraId="21275D79" w14:textId="77777777" w:rsidR="00000000" w:rsidRDefault="009B6C69">
            <w:pPr>
              <w:spacing w:after="100"/>
              <w:rPr>
                <w:rFonts w:eastAsia="Times New Roman"/>
                <w:sz w:val="20"/>
                <w:szCs w:val="20"/>
              </w:rPr>
            </w:pPr>
          </w:p>
        </w:tc>
        <w:tc>
          <w:tcPr>
            <w:tcW w:w="50" w:type="pct"/>
            <w:vAlign w:val="center"/>
            <w:hideMark/>
          </w:tcPr>
          <w:p w14:paraId="7E39A2C6" w14:textId="77777777" w:rsidR="00000000" w:rsidRDefault="009B6C69">
            <w:pPr>
              <w:spacing w:after="100"/>
              <w:rPr>
                <w:rFonts w:eastAsia="Times New Roman"/>
                <w:sz w:val="20"/>
                <w:szCs w:val="20"/>
              </w:rPr>
            </w:pPr>
          </w:p>
        </w:tc>
        <w:tc>
          <w:tcPr>
            <w:tcW w:w="1099" w:type="pct"/>
            <w:vAlign w:val="center"/>
            <w:hideMark/>
          </w:tcPr>
          <w:p w14:paraId="04269280" w14:textId="77777777" w:rsidR="00000000" w:rsidRDefault="009B6C69">
            <w:pPr>
              <w:spacing w:after="100"/>
              <w:rPr>
                <w:rFonts w:eastAsia="Times New Roman"/>
                <w:sz w:val="20"/>
                <w:szCs w:val="20"/>
              </w:rPr>
            </w:pPr>
          </w:p>
        </w:tc>
        <w:tc>
          <w:tcPr>
            <w:tcW w:w="5" w:type="pct"/>
            <w:vAlign w:val="center"/>
            <w:hideMark/>
          </w:tcPr>
          <w:p w14:paraId="56CEE2AF" w14:textId="77777777" w:rsidR="00000000" w:rsidRDefault="009B6C69">
            <w:pPr>
              <w:spacing w:after="100"/>
              <w:rPr>
                <w:rFonts w:eastAsia="Times New Roman"/>
                <w:sz w:val="20"/>
                <w:szCs w:val="20"/>
              </w:rPr>
            </w:pPr>
          </w:p>
        </w:tc>
        <w:tc>
          <w:tcPr>
            <w:tcW w:w="50" w:type="pct"/>
            <w:vAlign w:val="center"/>
            <w:hideMark/>
          </w:tcPr>
          <w:p w14:paraId="59DB3787" w14:textId="77777777" w:rsidR="00000000" w:rsidRDefault="009B6C69">
            <w:pPr>
              <w:spacing w:after="100"/>
              <w:rPr>
                <w:rFonts w:eastAsia="Times New Roman"/>
                <w:sz w:val="20"/>
                <w:szCs w:val="20"/>
              </w:rPr>
            </w:pPr>
          </w:p>
        </w:tc>
        <w:tc>
          <w:tcPr>
            <w:tcW w:w="1899" w:type="pct"/>
            <w:vAlign w:val="center"/>
            <w:hideMark/>
          </w:tcPr>
          <w:p w14:paraId="49EE1BB8" w14:textId="77777777" w:rsidR="00000000" w:rsidRDefault="009B6C69">
            <w:pPr>
              <w:spacing w:after="100"/>
              <w:rPr>
                <w:rFonts w:eastAsia="Times New Roman"/>
                <w:sz w:val="20"/>
                <w:szCs w:val="20"/>
              </w:rPr>
            </w:pPr>
          </w:p>
        </w:tc>
        <w:tc>
          <w:tcPr>
            <w:tcW w:w="5" w:type="pct"/>
            <w:vAlign w:val="center"/>
            <w:hideMark/>
          </w:tcPr>
          <w:p w14:paraId="4EAA4E57" w14:textId="77777777" w:rsidR="00000000" w:rsidRDefault="009B6C69">
            <w:pPr>
              <w:spacing w:after="100"/>
              <w:rPr>
                <w:rFonts w:eastAsia="Times New Roman"/>
                <w:sz w:val="20"/>
                <w:szCs w:val="20"/>
              </w:rPr>
            </w:pPr>
          </w:p>
        </w:tc>
      </w:tr>
      <w:tr w:rsidR="00000000" w14:paraId="7CC28172" w14:textId="77777777">
        <w:trPr>
          <w:divId w:val="379138453"/>
          <w:jc w:val="center"/>
        </w:trPr>
        <w:tc>
          <w:tcPr>
            <w:tcW w:w="0" w:type="auto"/>
            <w:gridSpan w:val="3"/>
            <w:tcMar>
              <w:top w:w="30" w:type="dxa"/>
              <w:left w:w="20" w:type="dxa"/>
              <w:bottom w:w="30" w:type="dxa"/>
              <w:right w:w="20" w:type="dxa"/>
            </w:tcMar>
            <w:vAlign w:val="center"/>
            <w:hideMark/>
          </w:tcPr>
          <w:p w14:paraId="7C9B9B0C" w14:textId="77777777" w:rsidR="00000000" w:rsidRDefault="009B6C69">
            <w:pPr>
              <w:spacing w:after="100"/>
              <w:jc w:val="center"/>
              <w:rPr>
                <w:rFonts w:eastAsia="Times New Roman"/>
              </w:rPr>
            </w:pPr>
            <w:r>
              <w:rPr>
                <w:rFonts w:eastAsia="Times New Roman"/>
                <w:color w:val="000000"/>
                <w:sz w:val="16"/>
                <w:szCs w:val="16"/>
                <w:u w:val="single"/>
              </w:rPr>
              <w:t>Title of Each Class</w:t>
            </w:r>
          </w:p>
        </w:tc>
        <w:tc>
          <w:tcPr>
            <w:tcW w:w="0" w:type="auto"/>
            <w:gridSpan w:val="3"/>
            <w:tcMar>
              <w:top w:w="30" w:type="dxa"/>
              <w:left w:w="20" w:type="dxa"/>
              <w:bottom w:w="30" w:type="dxa"/>
              <w:right w:w="20" w:type="dxa"/>
            </w:tcMar>
            <w:vAlign w:val="center"/>
            <w:hideMark/>
          </w:tcPr>
          <w:p w14:paraId="789820A7" w14:textId="77777777" w:rsidR="00000000" w:rsidRDefault="009B6C69">
            <w:pPr>
              <w:spacing w:after="100"/>
              <w:jc w:val="center"/>
              <w:rPr>
                <w:rFonts w:eastAsia="Times New Roman"/>
              </w:rPr>
            </w:pPr>
            <w:r>
              <w:rPr>
                <w:rFonts w:eastAsia="Times New Roman"/>
                <w:color w:val="000000"/>
                <w:sz w:val="16"/>
                <w:szCs w:val="16"/>
              </w:rPr>
              <w:t> </w:t>
            </w:r>
            <w:r>
              <w:rPr>
                <w:rFonts w:eastAsia="Times New Roman"/>
                <w:color w:val="000000"/>
                <w:sz w:val="16"/>
                <w:szCs w:val="16"/>
                <w:u w:val="single"/>
              </w:rPr>
              <w:t>Trading Symbol(s)</w:t>
            </w:r>
            <w:r>
              <w:rPr>
                <w:rFonts w:eastAsia="Times New Roman"/>
                <w:color w:val="000000"/>
                <w:sz w:val="16"/>
                <w:szCs w:val="16"/>
              </w:rPr>
              <w:t> </w:t>
            </w:r>
          </w:p>
        </w:tc>
        <w:tc>
          <w:tcPr>
            <w:tcW w:w="0" w:type="auto"/>
            <w:gridSpan w:val="3"/>
            <w:tcMar>
              <w:top w:w="30" w:type="dxa"/>
              <w:left w:w="20" w:type="dxa"/>
              <w:bottom w:w="30" w:type="dxa"/>
              <w:right w:w="20" w:type="dxa"/>
            </w:tcMar>
            <w:vAlign w:val="center"/>
            <w:hideMark/>
          </w:tcPr>
          <w:p w14:paraId="7F29AC43" w14:textId="77777777" w:rsidR="00000000" w:rsidRDefault="009B6C69">
            <w:pPr>
              <w:spacing w:after="100"/>
              <w:jc w:val="center"/>
              <w:rPr>
                <w:rFonts w:eastAsia="Times New Roman"/>
              </w:rPr>
            </w:pPr>
            <w:r>
              <w:rPr>
                <w:rFonts w:eastAsia="Times New Roman"/>
                <w:color w:val="000000"/>
                <w:sz w:val="16"/>
                <w:szCs w:val="16"/>
                <w:u w:val="single"/>
              </w:rPr>
              <w:t>Name of Each Exchange on Which Registered</w:t>
            </w:r>
          </w:p>
        </w:tc>
      </w:tr>
      <w:tr w:rsidR="00000000" w14:paraId="0CFF982F" w14:textId="77777777">
        <w:trPr>
          <w:divId w:val="379138453"/>
          <w:jc w:val="center"/>
        </w:trPr>
        <w:tc>
          <w:tcPr>
            <w:tcW w:w="0" w:type="auto"/>
            <w:gridSpan w:val="3"/>
            <w:tcMar>
              <w:top w:w="30" w:type="dxa"/>
              <w:left w:w="20" w:type="dxa"/>
              <w:bottom w:w="30" w:type="dxa"/>
              <w:right w:w="20" w:type="dxa"/>
            </w:tcMar>
            <w:vAlign w:val="center"/>
            <w:hideMark/>
          </w:tcPr>
          <w:p w14:paraId="4CECDD09" w14:textId="77777777" w:rsidR="00000000" w:rsidRDefault="009B6C69">
            <w:pPr>
              <w:spacing w:after="100"/>
              <w:jc w:val="center"/>
              <w:rPr>
                <w:rFonts w:eastAsia="Times New Roman"/>
              </w:rPr>
            </w:pPr>
            <w:r>
              <w:rPr>
                <w:rFonts w:eastAsia="Times New Roman"/>
                <w:color w:val="000000"/>
                <w:sz w:val="20"/>
                <w:szCs w:val="20"/>
              </w:rPr>
              <w:t>Common stock, $0.0001 par value</w:t>
            </w:r>
          </w:p>
        </w:tc>
        <w:tc>
          <w:tcPr>
            <w:tcW w:w="0" w:type="auto"/>
            <w:gridSpan w:val="3"/>
            <w:tcMar>
              <w:top w:w="30" w:type="dxa"/>
              <w:left w:w="20" w:type="dxa"/>
              <w:bottom w:w="30" w:type="dxa"/>
              <w:right w:w="20" w:type="dxa"/>
            </w:tcMar>
            <w:vAlign w:val="center"/>
            <w:hideMark/>
          </w:tcPr>
          <w:p w14:paraId="35E88E64" w14:textId="77777777" w:rsidR="00000000" w:rsidRDefault="009B6C69">
            <w:pPr>
              <w:spacing w:after="100"/>
              <w:jc w:val="center"/>
              <w:rPr>
                <w:rFonts w:eastAsia="Times New Roman"/>
              </w:rPr>
            </w:pPr>
            <w:r>
              <w:rPr>
                <w:rFonts w:eastAsia="Times New Roman"/>
                <w:color w:val="000000"/>
                <w:sz w:val="20"/>
                <w:szCs w:val="20"/>
              </w:rPr>
              <w:t> QCOM </w:t>
            </w:r>
          </w:p>
        </w:tc>
        <w:tc>
          <w:tcPr>
            <w:tcW w:w="0" w:type="auto"/>
            <w:gridSpan w:val="3"/>
            <w:tcMar>
              <w:top w:w="30" w:type="dxa"/>
              <w:left w:w="20" w:type="dxa"/>
              <w:bottom w:w="30" w:type="dxa"/>
              <w:right w:w="20" w:type="dxa"/>
            </w:tcMar>
            <w:vAlign w:val="center"/>
            <w:hideMark/>
          </w:tcPr>
          <w:p w14:paraId="35AB704A" w14:textId="77777777" w:rsidR="00000000" w:rsidRDefault="009B6C69">
            <w:pPr>
              <w:spacing w:after="100"/>
              <w:jc w:val="center"/>
              <w:rPr>
                <w:rFonts w:eastAsia="Times New Roman"/>
              </w:rPr>
            </w:pPr>
            <w:r>
              <w:rPr>
                <w:rFonts w:eastAsia="Times New Roman"/>
                <w:color w:val="000000"/>
                <w:sz w:val="20"/>
                <w:szCs w:val="20"/>
              </w:rPr>
              <w:t>Nasdaq Stock Market</w:t>
            </w:r>
          </w:p>
        </w:tc>
      </w:tr>
    </w:tbl>
    <w:p w14:paraId="447DF99F" w14:textId="77777777" w:rsidR="00000000" w:rsidRDefault="009B6C69">
      <w:pPr>
        <w:jc w:val="center"/>
        <w:divId w:val="750547005"/>
        <w:rPr>
          <w:rFonts w:eastAsia="Times New Roman"/>
        </w:rPr>
      </w:pPr>
      <w:r>
        <w:rPr>
          <w:rFonts w:eastAsia="Times New Roman"/>
          <w:b/>
          <w:bCs/>
          <w:color w:val="000000"/>
          <w:sz w:val="20"/>
          <w:szCs w:val="20"/>
        </w:rPr>
        <w:t>Securities registered pursuant to Section 12(g) of the Act:</w:t>
      </w:r>
    </w:p>
    <w:p w14:paraId="2FDE2B98" w14:textId="77777777" w:rsidR="00000000" w:rsidRDefault="009B6C69">
      <w:pPr>
        <w:jc w:val="center"/>
        <w:divId w:val="175198833"/>
        <w:rPr>
          <w:rFonts w:eastAsia="Times New Roman"/>
        </w:rPr>
      </w:pPr>
      <w:r>
        <w:rPr>
          <w:rFonts w:eastAsia="Times New Roman"/>
          <w:color w:val="000000"/>
          <w:sz w:val="20"/>
          <w:szCs w:val="20"/>
        </w:rPr>
        <w:t>None</w:t>
      </w:r>
    </w:p>
    <w:p w14:paraId="793B3018" w14:textId="77777777" w:rsidR="00000000" w:rsidRDefault="009B6C69">
      <w:pPr>
        <w:ind w:firstLine="315"/>
        <w:divId w:val="1635939451"/>
        <w:rPr>
          <w:rFonts w:eastAsia="Times New Roman"/>
        </w:rPr>
      </w:pPr>
      <w:r>
        <w:rPr>
          <w:rFonts w:eastAsia="Times New Roman"/>
          <w:color w:val="000000"/>
          <w:sz w:val="20"/>
          <w:szCs w:val="20"/>
        </w:rPr>
        <w:t xml:space="preserve">Indicate by check mark if the registrant is a well-known seasoned issuer, as defined in Rule 405 of the Securities Act. </w:t>
      </w:r>
    </w:p>
    <w:p w14:paraId="6EB10CAA" w14:textId="77777777" w:rsidR="00000000" w:rsidRDefault="009B6C69">
      <w:pPr>
        <w:ind w:firstLine="270"/>
        <w:divId w:val="1171483165"/>
        <w:rPr>
          <w:rFonts w:eastAsia="Times New Roman"/>
        </w:rPr>
      </w:pPr>
      <w:r>
        <w:rPr>
          <w:rFonts w:eastAsia="Times New Roman"/>
          <w:color w:val="000000"/>
          <w:sz w:val="20"/>
          <w:szCs w:val="20"/>
        </w:rPr>
        <w:t xml:space="preserve">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14:paraId="193FD104" w14:textId="77777777" w:rsidR="00000000" w:rsidRDefault="009B6C69">
      <w:pPr>
        <w:ind w:firstLine="315"/>
        <w:divId w:val="1883665299"/>
        <w:rPr>
          <w:rFonts w:eastAsia="Times New Roman"/>
        </w:rPr>
      </w:pPr>
      <w:r>
        <w:rPr>
          <w:rFonts w:eastAsia="Times New Roman"/>
          <w:color w:val="000000"/>
          <w:sz w:val="20"/>
          <w:szCs w:val="20"/>
        </w:rPr>
        <w:lastRenderedPageBreak/>
        <w:t>Indicate by check mark if the registrant is not required to</w:t>
      </w:r>
      <w:r>
        <w:rPr>
          <w:rFonts w:eastAsia="Times New Roman"/>
          <w:color w:val="000000"/>
          <w:sz w:val="20"/>
          <w:szCs w:val="20"/>
        </w:rPr>
        <w:t xml:space="preserve"> file reports pursuant to Section 13 or Section 15(d) of the Act.</w:t>
      </w:r>
    </w:p>
    <w:p w14:paraId="404258A6" w14:textId="77777777" w:rsidR="00000000" w:rsidRDefault="009B6C69">
      <w:pPr>
        <w:ind w:firstLine="270"/>
        <w:divId w:val="41751201"/>
        <w:rPr>
          <w:rFonts w:eastAsia="Times New Roman"/>
        </w:rPr>
      </w:pPr>
      <w:r>
        <w:rPr>
          <w:rFonts w:eastAsia="Times New Roman"/>
          <w:color w:val="000000"/>
          <w:sz w:val="20"/>
          <w:szCs w:val="20"/>
        </w:rPr>
        <w:t xml:space="preserve">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14:paraId="4C4FBC1C" w14:textId="77777777" w:rsidR="00000000" w:rsidRDefault="009B6C69">
      <w:pPr>
        <w:ind w:firstLine="315"/>
        <w:divId w:val="1077627993"/>
        <w:rPr>
          <w:rFonts w:eastAsia="Times New Roman"/>
        </w:rPr>
      </w:pPr>
      <w:r>
        <w:rPr>
          <w:rFonts w:eastAsia="Times New Roman"/>
          <w:color w:val="000000"/>
          <w:sz w:val="20"/>
          <w:szCs w:val="20"/>
        </w:rPr>
        <w:t>Indicate by check mark whether the registrant (1) has filed all reports required to be filed by Section </w:t>
      </w:r>
      <w:r>
        <w:rPr>
          <w:rFonts w:eastAsia="Times New Roman"/>
          <w:color w:val="000000"/>
          <w:sz w:val="20"/>
          <w:szCs w:val="20"/>
        </w:rPr>
        <w:t xml:space="preserve">13 or 15(d) of the Securities Exchange Act of 1934 during the preceding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20"/>
          <w:szCs w:val="20"/>
        </w:rPr>
        <w:t>☒</w:t>
      </w:r>
      <w:r>
        <w:rPr>
          <w:rFonts w:ascii="Arial Unicode MS" w:eastAsia="Times New Roman" w:hAnsi="Arial Unicode MS"/>
          <w:color w:val="000000"/>
          <w:sz w:val="20"/>
          <w:szCs w:val="20"/>
        </w:rPr>
        <w:t xml:space="preserve"> </w:t>
      </w:r>
      <w:r>
        <w:rPr>
          <w:rFonts w:eastAsia="Times New Roman"/>
          <w:color w:val="000000"/>
          <w:sz w:val="20"/>
          <w:szCs w:val="20"/>
        </w:rPr>
        <w:t xml:space="preserve">No </w:t>
      </w:r>
      <w:r>
        <w:rPr>
          <w:rFonts w:ascii="Segoe UI Symbol" w:eastAsia="Times New Roman" w:hAnsi="Segoe UI Symbol" w:cs="Segoe UI Symbol"/>
          <w:color w:val="000000"/>
          <w:sz w:val="20"/>
          <w:szCs w:val="20"/>
        </w:rPr>
        <w:t>☐</w:t>
      </w:r>
    </w:p>
    <w:p w14:paraId="29F055EA" w14:textId="77777777" w:rsidR="00000000" w:rsidRDefault="009B6C69">
      <w:pPr>
        <w:ind w:firstLine="315"/>
        <w:divId w:val="573128665"/>
        <w:rPr>
          <w:rFonts w:eastAsia="Times New Roman"/>
        </w:rPr>
      </w:pPr>
      <w:r>
        <w:rPr>
          <w:rFonts w:eastAsia="Times New Roman"/>
          <w:color w:val="000000"/>
          <w:sz w:val="20"/>
          <w:szCs w:val="20"/>
        </w:rPr>
        <w:t>Indi</w:t>
      </w:r>
      <w:r>
        <w:rPr>
          <w:rFonts w:eastAsia="Times New Roman"/>
          <w:color w:val="000000"/>
          <w:sz w:val="20"/>
          <w:szCs w:val="20"/>
        </w:rPr>
        <w:t>cate by check mark whether the registrant has submitted electronically every Interactive Data File required to be submitted pursuant to Rule 405 of Regulation S-T (§232.405 of this chapter) during the preceding 12 months (or for such shorter period that th</w:t>
      </w:r>
      <w:r>
        <w:rPr>
          <w:rFonts w:eastAsia="Times New Roman"/>
          <w:color w:val="000000"/>
          <w:sz w:val="20"/>
          <w:szCs w:val="20"/>
        </w:rPr>
        <w:t xml:space="preserve">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14:paraId="041CC063" w14:textId="77777777" w:rsidR="00000000" w:rsidRDefault="009B6C69">
      <w:pPr>
        <w:ind w:firstLine="315"/>
        <w:divId w:val="2022203097"/>
        <w:rPr>
          <w:rFonts w:eastAsia="Times New Roman"/>
        </w:rPr>
      </w:pPr>
      <w:r>
        <w:rPr>
          <w:rFonts w:eastAsia="Times New Roman"/>
          <w:color w:val="000000"/>
          <w:sz w:val="20"/>
          <w:szCs w:val="20"/>
        </w:rPr>
        <w:t>Indicate by check mark whether the registrant is a large accelerated filer, an accelerated filer, a non-accelerated filer, smaller reporting company or an emerging growth company. See the definiti</w:t>
      </w:r>
      <w:r>
        <w:rPr>
          <w:rFonts w:eastAsia="Times New Roman"/>
          <w:color w:val="000000"/>
          <w:sz w:val="20"/>
          <w:szCs w:val="20"/>
        </w:rPr>
        <w:t xml:space="preserve">ons of “large accelerated filer,” “accelerated filer,” “smaller reporting company,” and “emerging growth company” in Rule 12b-2 of the Exchange Act. </w:t>
      </w:r>
    </w:p>
    <w:tbl>
      <w:tblPr>
        <w:tblW w:w="4808" w:type="pct"/>
        <w:tblCellMar>
          <w:top w:w="15" w:type="dxa"/>
          <w:left w:w="15" w:type="dxa"/>
          <w:bottom w:w="15" w:type="dxa"/>
          <w:right w:w="15" w:type="dxa"/>
        </w:tblCellMar>
        <w:tblLook w:val="04A0" w:firstRow="1" w:lastRow="0" w:firstColumn="1" w:lastColumn="0" w:noHBand="0" w:noVBand="1"/>
      </w:tblPr>
      <w:tblGrid>
        <w:gridCol w:w="60"/>
        <w:gridCol w:w="1074"/>
        <w:gridCol w:w="36"/>
        <w:gridCol w:w="70"/>
        <w:gridCol w:w="137"/>
        <w:gridCol w:w="36"/>
        <w:gridCol w:w="94"/>
        <w:gridCol w:w="892"/>
        <w:gridCol w:w="36"/>
        <w:gridCol w:w="37"/>
        <w:gridCol w:w="196"/>
        <w:gridCol w:w="36"/>
        <w:gridCol w:w="37"/>
        <w:gridCol w:w="2142"/>
        <w:gridCol w:w="36"/>
        <w:gridCol w:w="37"/>
        <w:gridCol w:w="196"/>
        <w:gridCol w:w="36"/>
        <w:gridCol w:w="49"/>
        <w:gridCol w:w="1098"/>
        <w:gridCol w:w="36"/>
        <w:gridCol w:w="37"/>
        <w:gridCol w:w="196"/>
        <w:gridCol w:w="36"/>
        <w:gridCol w:w="57"/>
        <w:gridCol w:w="985"/>
        <w:gridCol w:w="36"/>
        <w:gridCol w:w="37"/>
        <w:gridCol w:w="196"/>
        <w:gridCol w:w="36"/>
      </w:tblGrid>
      <w:tr w:rsidR="00000000" w14:paraId="1BB03169" w14:textId="77777777">
        <w:trPr>
          <w:divId w:val="2022203097"/>
        </w:trPr>
        <w:tc>
          <w:tcPr>
            <w:tcW w:w="50" w:type="pct"/>
            <w:vAlign w:val="center"/>
            <w:hideMark/>
          </w:tcPr>
          <w:p w14:paraId="5E0D494A" w14:textId="77777777" w:rsidR="00000000" w:rsidRDefault="009B6C69">
            <w:pPr>
              <w:ind w:firstLine="315"/>
              <w:rPr>
                <w:rFonts w:eastAsia="Times New Roman"/>
              </w:rPr>
            </w:pPr>
          </w:p>
        </w:tc>
        <w:tc>
          <w:tcPr>
            <w:tcW w:w="734" w:type="pct"/>
            <w:vAlign w:val="center"/>
            <w:hideMark/>
          </w:tcPr>
          <w:p w14:paraId="3EC185FB" w14:textId="77777777" w:rsidR="00000000" w:rsidRDefault="009B6C69">
            <w:pPr>
              <w:spacing w:after="100"/>
              <w:rPr>
                <w:rFonts w:eastAsia="Times New Roman"/>
                <w:sz w:val="20"/>
                <w:szCs w:val="20"/>
              </w:rPr>
            </w:pPr>
          </w:p>
        </w:tc>
        <w:tc>
          <w:tcPr>
            <w:tcW w:w="5" w:type="pct"/>
            <w:vAlign w:val="center"/>
            <w:hideMark/>
          </w:tcPr>
          <w:p w14:paraId="213DCFD1" w14:textId="77777777" w:rsidR="00000000" w:rsidRDefault="009B6C69">
            <w:pPr>
              <w:spacing w:after="100"/>
              <w:rPr>
                <w:rFonts w:eastAsia="Times New Roman"/>
                <w:sz w:val="20"/>
                <w:szCs w:val="20"/>
              </w:rPr>
            </w:pPr>
          </w:p>
        </w:tc>
        <w:tc>
          <w:tcPr>
            <w:tcW w:w="50" w:type="pct"/>
            <w:vAlign w:val="center"/>
            <w:hideMark/>
          </w:tcPr>
          <w:p w14:paraId="5B5A5266" w14:textId="77777777" w:rsidR="00000000" w:rsidRDefault="009B6C69">
            <w:pPr>
              <w:spacing w:after="100"/>
              <w:rPr>
                <w:rFonts w:eastAsia="Times New Roman"/>
                <w:sz w:val="20"/>
                <w:szCs w:val="20"/>
              </w:rPr>
            </w:pPr>
          </w:p>
        </w:tc>
        <w:tc>
          <w:tcPr>
            <w:tcW w:w="99" w:type="pct"/>
            <w:vAlign w:val="center"/>
            <w:hideMark/>
          </w:tcPr>
          <w:p w14:paraId="33180C37" w14:textId="77777777" w:rsidR="00000000" w:rsidRDefault="009B6C69">
            <w:pPr>
              <w:spacing w:after="100"/>
              <w:rPr>
                <w:rFonts w:eastAsia="Times New Roman"/>
                <w:sz w:val="20"/>
                <w:szCs w:val="20"/>
              </w:rPr>
            </w:pPr>
          </w:p>
        </w:tc>
        <w:tc>
          <w:tcPr>
            <w:tcW w:w="5" w:type="pct"/>
            <w:vAlign w:val="center"/>
            <w:hideMark/>
          </w:tcPr>
          <w:p w14:paraId="3C9968CE" w14:textId="77777777" w:rsidR="00000000" w:rsidRDefault="009B6C69">
            <w:pPr>
              <w:spacing w:after="100"/>
              <w:rPr>
                <w:rFonts w:eastAsia="Times New Roman"/>
                <w:sz w:val="20"/>
                <w:szCs w:val="20"/>
              </w:rPr>
            </w:pPr>
          </w:p>
        </w:tc>
        <w:tc>
          <w:tcPr>
            <w:tcW w:w="50" w:type="pct"/>
            <w:vAlign w:val="center"/>
            <w:hideMark/>
          </w:tcPr>
          <w:p w14:paraId="645683F8" w14:textId="77777777" w:rsidR="00000000" w:rsidRDefault="009B6C69">
            <w:pPr>
              <w:spacing w:after="100"/>
              <w:rPr>
                <w:rFonts w:eastAsia="Times New Roman"/>
                <w:sz w:val="20"/>
                <w:szCs w:val="20"/>
              </w:rPr>
            </w:pPr>
          </w:p>
        </w:tc>
        <w:tc>
          <w:tcPr>
            <w:tcW w:w="475" w:type="pct"/>
            <w:vAlign w:val="center"/>
            <w:hideMark/>
          </w:tcPr>
          <w:p w14:paraId="6611B8D4" w14:textId="77777777" w:rsidR="00000000" w:rsidRDefault="009B6C69">
            <w:pPr>
              <w:spacing w:after="100"/>
              <w:rPr>
                <w:rFonts w:eastAsia="Times New Roman"/>
                <w:sz w:val="20"/>
                <w:szCs w:val="20"/>
              </w:rPr>
            </w:pPr>
          </w:p>
        </w:tc>
        <w:tc>
          <w:tcPr>
            <w:tcW w:w="5" w:type="pct"/>
            <w:vAlign w:val="center"/>
            <w:hideMark/>
          </w:tcPr>
          <w:p w14:paraId="50EC80E5" w14:textId="77777777" w:rsidR="00000000" w:rsidRDefault="009B6C69">
            <w:pPr>
              <w:spacing w:after="100"/>
              <w:rPr>
                <w:rFonts w:eastAsia="Times New Roman"/>
                <w:sz w:val="20"/>
                <w:szCs w:val="20"/>
              </w:rPr>
            </w:pPr>
          </w:p>
        </w:tc>
        <w:tc>
          <w:tcPr>
            <w:tcW w:w="5" w:type="pct"/>
            <w:vAlign w:val="center"/>
            <w:hideMark/>
          </w:tcPr>
          <w:p w14:paraId="1C19AFE7" w14:textId="77777777" w:rsidR="00000000" w:rsidRDefault="009B6C69">
            <w:pPr>
              <w:spacing w:after="100"/>
              <w:rPr>
                <w:rFonts w:eastAsia="Times New Roman"/>
                <w:sz w:val="20"/>
                <w:szCs w:val="20"/>
              </w:rPr>
            </w:pPr>
          </w:p>
        </w:tc>
        <w:tc>
          <w:tcPr>
            <w:tcW w:w="115" w:type="pct"/>
            <w:vAlign w:val="center"/>
            <w:hideMark/>
          </w:tcPr>
          <w:p w14:paraId="207DFB2D" w14:textId="77777777" w:rsidR="00000000" w:rsidRDefault="009B6C69">
            <w:pPr>
              <w:spacing w:after="100"/>
              <w:rPr>
                <w:rFonts w:eastAsia="Times New Roman"/>
                <w:sz w:val="20"/>
                <w:szCs w:val="20"/>
              </w:rPr>
            </w:pPr>
          </w:p>
        </w:tc>
        <w:tc>
          <w:tcPr>
            <w:tcW w:w="5" w:type="pct"/>
            <w:vAlign w:val="center"/>
            <w:hideMark/>
          </w:tcPr>
          <w:p w14:paraId="1C19A10D" w14:textId="77777777" w:rsidR="00000000" w:rsidRDefault="009B6C69">
            <w:pPr>
              <w:spacing w:after="100"/>
              <w:rPr>
                <w:rFonts w:eastAsia="Times New Roman"/>
                <w:sz w:val="20"/>
                <w:szCs w:val="20"/>
              </w:rPr>
            </w:pPr>
          </w:p>
        </w:tc>
        <w:tc>
          <w:tcPr>
            <w:tcW w:w="50" w:type="pct"/>
            <w:vAlign w:val="center"/>
            <w:hideMark/>
          </w:tcPr>
          <w:p w14:paraId="1E442FF0" w14:textId="77777777" w:rsidR="00000000" w:rsidRDefault="009B6C69">
            <w:pPr>
              <w:spacing w:after="100"/>
              <w:rPr>
                <w:rFonts w:eastAsia="Times New Roman"/>
                <w:sz w:val="20"/>
                <w:szCs w:val="20"/>
              </w:rPr>
            </w:pPr>
          </w:p>
        </w:tc>
        <w:tc>
          <w:tcPr>
            <w:tcW w:w="1442" w:type="pct"/>
            <w:vAlign w:val="center"/>
            <w:hideMark/>
          </w:tcPr>
          <w:p w14:paraId="38EFD737" w14:textId="77777777" w:rsidR="00000000" w:rsidRDefault="009B6C69">
            <w:pPr>
              <w:spacing w:after="100"/>
              <w:rPr>
                <w:rFonts w:eastAsia="Times New Roman"/>
                <w:sz w:val="20"/>
                <w:szCs w:val="20"/>
              </w:rPr>
            </w:pPr>
          </w:p>
        </w:tc>
        <w:tc>
          <w:tcPr>
            <w:tcW w:w="5" w:type="pct"/>
            <w:vAlign w:val="center"/>
            <w:hideMark/>
          </w:tcPr>
          <w:p w14:paraId="64202854" w14:textId="77777777" w:rsidR="00000000" w:rsidRDefault="009B6C69">
            <w:pPr>
              <w:spacing w:after="100"/>
              <w:rPr>
                <w:rFonts w:eastAsia="Times New Roman"/>
                <w:sz w:val="20"/>
                <w:szCs w:val="20"/>
              </w:rPr>
            </w:pPr>
          </w:p>
        </w:tc>
        <w:tc>
          <w:tcPr>
            <w:tcW w:w="5" w:type="pct"/>
            <w:vAlign w:val="center"/>
            <w:hideMark/>
          </w:tcPr>
          <w:p w14:paraId="40B80611" w14:textId="77777777" w:rsidR="00000000" w:rsidRDefault="009B6C69">
            <w:pPr>
              <w:spacing w:after="100"/>
              <w:rPr>
                <w:rFonts w:eastAsia="Times New Roman"/>
                <w:sz w:val="20"/>
                <w:szCs w:val="20"/>
              </w:rPr>
            </w:pPr>
          </w:p>
        </w:tc>
        <w:tc>
          <w:tcPr>
            <w:tcW w:w="115" w:type="pct"/>
            <w:vAlign w:val="center"/>
            <w:hideMark/>
          </w:tcPr>
          <w:p w14:paraId="6ECD9510" w14:textId="77777777" w:rsidR="00000000" w:rsidRDefault="009B6C69">
            <w:pPr>
              <w:spacing w:after="100"/>
              <w:rPr>
                <w:rFonts w:eastAsia="Times New Roman"/>
                <w:sz w:val="20"/>
                <w:szCs w:val="20"/>
              </w:rPr>
            </w:pPr>
          </w:p>
        </w:tc>
        <w:tc>
          <w:tcPr>
            <w:tcW w:w="5" w:type="pct"/>
            <w:vAlign w:val="center"/>
            <w:hideMark/>
          </w:tcPr>
          <w:p w14:paraId="5FDC6D50" w14:textId="77777777" w:rsidR="00000000" w:rsidRDefault="009B6C69">
            <w:pPr>
              <w:spacing w:after="100"/>
              <w:rPr>
                <w:rFonts w:eastAsia="Times New Roman"/>
                <w:sz w:val="20"/>
                <w:szCs w:val="20"/>
              </w:rPr>
            </w:pPr>
          </w:p>
        </w:tc>
        <w:tc>
          <w:tcPr>
            <w:tcW w:w="50" w:type="pct"/>
            <w:vAlign w:val="center"/>
            <w:hideMark/>
          </w:tcPr>
          <w:p w14:paraId="265A827C" w14:textId="77777777" w:rsidR="00000000" w:rsidRDefault="009B6C69">
            <w:pPr>
              <w:spacing w:after="100"/>
              <w:rPr>
                <w:rFonts w:eastAsia="Times New Roman"/>
                <w:sz w:val="20"/>
                <w:szCs w:val="20"/>
              </w:rPr>
            </w:pPr>
          </w:p>
        </w:tc>
        <w:tc>
          <w:tcPr>
            <w:tcW w:w="741" w:type="pct"/>
            <w:vAlign w:val="center"/>
            <w:hideMark/>
          </w:tcPr>
          <w:p w14:paraId="794CA284" w14:textId="77777777" w:rsidR="00000000" w:rsidRDefault="009B6C69">
            <w:pPr>
              <w:spacing w:after="100"/>
              <w:rPr>
                <w:rFonts w:eastAsia="Times New Roman"/>
                <w:sz w:val="20"/>
                <w:szCs w:val="20"/>
              </w:rPr>
            </w:pPr>
          </w:p>
        </w:tc>
        <w:tc>
          <w:tcPr>
            <w:tcW w:w="5" w:type="pct"/>
            <w:vAlign w:val="center"/>
            <w:hideMark/>
          </w:tcPr>
          <w:p w14:paraId="0C038922" w14:textId="77777777" w:rsidR="00000000" w:rsidRDefault="009B6C69">
            <w:pPr>
              <w:spacing w:after="100"/>
              <w:rPr>
                <w:rFonts w:eastAsia="Times New Roman"/>
                <w:sz w:val="20"/>
                <w:szCs w:val="20"/>
              </w:rPr>
            </w:pPr>
          </w:p>
        </w:tc>
        <w:tc>
          <w:tcPr>
            <w:tcW w:w="5" w:type="pct"/>
            <w:vAlign w:val="center"/>
            <w:hideMark/>
          </w:tcPr>
          <w:p w14:paraId="7EB09578" w14:textId="77777777" w:rsidR="00000000" w:rsidRDefault="009B6C69">
            <w:pPr>
              <w:spacing w:after="100"/>
              <w:rPr>
                <w:rFonts w:eastAsia="Times New Roman"/>
                <w:sz w:val="20"/>
                <w:szCs w:val="20"/>
              </w:rPr>
            </w:pPr>
          </w:p>
        </w:tc>
        <w:tc>
          <w:tcPr>
            <w:tcW w:w="115" w:type="pct"/>
            <w:vAlign w:val="center"/>
            <w:hideMark/>
          </w:tcPr>
          <w:p w14:paraId="57631EAB" w14:textId="77777777" w:rsidR="00000000" w:rsidRDefault="009B6C69">
            <w:pPr>
              <w:spacing w:after="100"/>
              <w:rPr>
                <w:rFonts w:eastAsia="Times New Roman"/>
                <w:sz w:val="20"/>
                <w:szCs w:val="20"/>
              </w:rPr>
            </w:pPr>
          </w:p>
        </w:tc>
        <w:tc>
          <w:tcPr>
            <w:tcW w:w="5" w:type="pct"/>
            <w:vAlign w:val="center"/>
            <w:hideMark/>
          </w:tcPr>
          <w:p w14:paraId="109C6C8D" w14:textId="77777777" w:rsidR="00000000" w:rsidRDefault="009B6C69">
            <w:pPr>
              <w:spacing w:after="100"/>
              <w:rPr>
                <w:rFonts w:eastAsia="Times New Roman"/>
                <w:sz w:val="20"/>
                <w:szCs w:val="20"/>
              </w:rPr>
            </w:pPr>
          </w:p>
        </w:tc>
        <w:tc>
          <w:tcPr>
            <w:tcW w:w="50" w:type="pct"/>
            <w:vAlign w:val="center"/>
            <w:hideMark/>
          </w:tcPr>
          <w:p w14:paraId="5BFD1C50" w14:textId="77777777" w:rsidR="00000000" w:rsidRDefault="009B6C69">
            <w:pPr>
              <w:spacing w:after="100"/>
              <w:rPr>
                <w:rFonts w:eastAsia="Times New Roman"/>
                <w:sz w:val="20"/>
                <w:szCs w:val="20"/>
              </w:rPr>
            </w:pPr>
          </w:p>
        </w:tc>
        <w:tc>
          <w:tcPr>
            <w:tcW w:w="675" w:type="pct"/>
            <w:vAlign w:val="center"/>
            <w:hideMark/>
          </w:tcPr>
          <w:p w14:paraId="183400A8" w14:textId="77777777" w:rsidR="00000000" w:rsidRDefault="009B6C69">
            <w:pPr>
              <w:spacing w:after="100"/>
              <w:rPr>
                <w:rFonts w:eastAsia="Times New Roman"/>
                <w:sz w:val="20"/>
                <w:szCs w:val="20"/>
              </w:rPr>
            </w:pPr>
          </w:p>
        </w:tc>
        <w:tc>
          <w:tcPr>
            <w:tcW w:w="5" w:type="pct"/>
            <w:vAlign w:val="center"/>
            <w:hideMark/>
          </w:tcPr>
          <w:p w14:paraId="1E09ED79" w14:textId="77777777" w:rsidR="00000000" w:rsidRDefault="009B6C69">
            <w:pPr>
              <w:spacing w:after="100"/>
              <w:rPr>
                <w:rFonts w:eastAsia="Times New Roman"/>
                <w:sz w:val="20"/>
                <w:szCs w:val="20"/>
              </w:rPr>
            </w:pPr>
          </w:p>
        </w:tc>
        <w:tc>
          <w:tcPr>
            <w:tcW w:w="5" w:type="pct"/>
            <w:vAlign w:val="center"/>
            <w:hideMark/>
          </w:tcPr>
          <w:p w14:paraId="7DE7F686" w14:textId="77777777" w:rsidR="00000000" w:rsidRDefault="009B6C69">
            <w:pPr>
              <w:spacing w:after="100"/>
              <w:rPr>
                <w:rFonts w:eastAsia="Times New Roman"/>
                <w:sz w:val="20"/>
                <w:szCs w:val="20"/>
              </w:rPr>
            </w:pPr>
          </w:p>
        </w:tc>
        <w:tc>
          <w:tcPr>
            <w:tcW w:w="115" w:type="pct"/>
            <w:vAlign w:val="center"/>
            <w:hideMark/>
          </w:tcPr>
          <w:p w14:paraId="46E95C07" w14:textId="77777777" w:rsidR="00000000" w:rsidRDefault="009B6C69">
            <w:pPr>
              <w:spacing w:after="100"/>
              <w:rPr>
                <w:rFonts w:eastAsia="Times New Roman"/>
                <w:sz w:val="20"/>
                <w:szCs w:val="20"/>
              </w:rPr>
            </w:pPr>
          </w:p>
        </w:tc>
        <w:tc>
          <w:tcPr>
            <w:tcW w:w="5" w:type="pct"/>
            <w:vAlign w:val="center"/>
            <w:hideMark/>
          </w:tcPr>
          <w:p w14:paraId="017C615F" w14:textId="77777777" w:rsidR="00000000" w:rsidRDefault="009B6C69">
            <w:pPr>
              <w:spacing w:after="100"/>
              <w:rPr>
                <w:rFonts w:eastAsia="Times New Roman"/>
                <w:sz w:val="20"/>
                <w:szCs w:val="20"/>
              </w:rPr>
            </w:pPr>
          </w:p>
        </w:tc>
      </w:tr>
      <w:tr w:rsidR="00000000" w14:paraId="418F70B6" w14:textId="77777777">
        <w:trPr>
          <w:divId w:val="2022203097"/>
        </w:trPr>
        <w:tc>
          <w:tcPr>
            <w:tcW w:w="0" w:type="auto"/>
            <w:gridSpan w:val="3"/>
            <w:tcMar>
              <w:top w:w="30" w:type="dxa"/>
              <w:left w:w="20" w:type="dxa"/>
              <w:bottom w:w="30" w:type="dxa"/>
              <w:right w:w="20" w:type="dxa"/>
            </w:tcMar>
            <w:vAlign w:val="center"/>
            <w:hideMark/>
          </w:tcPr>
          <w:p w14:paraId="51644FF4" w14:textId="77777777" w:rsidR="00000000" w:rsidRDefault="009B6C69">
            <w:pPr>
              <w:spacing w:after="100"/>
              <w:jc w:val="center"/>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center"/>
            <w:hideMark/>
          </w:tcPr>
          <w:p w14:paraId="105C1B92" w14:textId="77777777" w:rsidR="00000000" w:rsidRDefault="009B6C69">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14:paraId="389A7C9E" w14:textId="77777777" w:rsidR="00000000" w:rsidRDefault="009B6C69">
            <w:pPr>
              <w:spacing w:after="100"/>
              <w:jc w:val="center"/>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center"/>
            <w:hideMark/>
          </w:tcPr>
          <w:p w14:paraId="19AB854E" w14:textId="77777777" w:rsidR="00000000" w:rsidRDefault="009B6C69">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14:paraId="6425B4E2" w14:textId="77777777" w:rsidR="00000000" w:rsidRDefault="009B6C69">
            <w:pPr>
              <w:spacing w:after="100"/>
              <w:jc w:val="center"/>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center"/>
            <w:hideMark/>
          </w:tcPr>
          <w:p w14:paraId="1599411C" w14:textId="77777777" w:rsidR="00000000" w:rsidRDefault="009B6C69">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14:paraId="33637E14" w14:textId="77777777" w:rsidR="00000000" w:rsidRDefault="009B6C69">
            <w:pPr>
              <w:spacing w:after="100"/>
              <w:jc w:val="center"/>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center"/>
            <w:hideMark/>
          </w:tcPr>
          <w:p w14:paraId="0AE893DE" w14:textId="77777777" w:rsidR="00000000" w:rsidRDefault="009B6C69">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14:paraId="177D73E2" w14:textId="77777777" w:rsidR="00000000" w:rsidRDefault="009B6C69">
            <w:pPr>
              <w:spacing w:after="100"/>
              <w:jc w:val="center"/>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center"/>
            <w:hideMark/>
          </w:tcPr>
          <w:p w14:paraId="42D35C79" w14:textId="77777777" w:rsidR="00000000" w:rsidRDefault="009B6C69">
            <w:pPr>
              <w:spacing w:after="100"/>
              <w:jc w:val="center"/>
              <w:rPr>
                <w:rFonts w:eastAsia="Times New Roman"/>
              </w:rPr>
            </w:pPr>
            <w:r>
              <w:rPr>
                <w:rFonts w:ascii="Segoe UI Symbol" w:eastAsia="Times New Roman" w:hAnsi="Segoe UI Symbol" w:cs="Segoe UI Symbol"/>
                <w:color w:val="000000"/>
                <w:sz w:val="20"/>
                <w:szCs w:val="20"/>
              </w:rPr>
              <w:t>☐</w:t>
            </w:r>
          </w:p>
        </w:tc>
      </w:tr>
    </w:tbl>
    <w:p w14:paraId="36E3DF64" w14:textId="77777777" w:rsidR="00000000" w:rsidRDefault="009B6C69">
      <w:pPr>
        <w:ind w:firstLine="315"/>
        <w:divId w:val="1330527018"/>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r>
        <w:rPr>
          <w:rFonts w:eastAsia="Times New Roman"/>
          <w:color w:val="000000"/>
          <w:sz w:val="20"/>
          <w:szCs w:val="20"/>
        </w:rPr>
        <w:t xml:space="preserve"> </w:t>
      </w:r>
    </w:p>
    <w:p w14:paraId="5EFDE108" w14:textId="77777777" w:rsidR="00000000" w:rsidRDefault="009B6C69">
      <w:pPr>
        <w:ind w:firstLine="270"/>
        <w:divId w:val="1127313872"/>
        <w:rPr>
          <w:rFonts w:eastAsia="Times New Roman"/>
        </w:rPr>
      </w:pPr>
      <w:r>
        <w:rPr>
          <w:rFonts w:eastAsia="Times New Roman"/>
          <w:color w:val="000000"/>
          <w:sz w:val="20"/>
          <w:szCs w:val="20"/>
        </w:rPr>
        <w:t>Indicate by check mark whether the registrant has filed a report on and attestation to its management’s assessment of the effectiveness of its internal control over financial reporting under Section 404(b) of the Sarbanes-Oxley Act (15 U.S.C.7262(b)) by th</w:t>
      </w:r>
      <w:r>
        <w:rPr>
          <w:rFonts w:eastAsia="Times New Roman"/>
          <w:color w:val="000000"/>
          <w:sz w:val="20"/>
          <w:szCs w:val="20"/>
        </w:rPr>
        <w:t xml:space="preserve">e registered public accounting firm that prepared or issued its audit report. </w:t>
      </w:r>
      <w:r>
        <w:rPr>
          <w:rFonts w:ascii="Segoe UI Symbol" w:eastAsia="Times New Roman" w:hAnsi="Segoe UI Symbol" w:cs="Segoe UI Symbol"/>
          <w:color w:val="000000"/>
          <w:sz w:val="20"/>
          <w:szCs w:val="20"/>
        </w:rPr>
        <w:t>☒</w:t>
      </w:r>
    </w:p>
    <w:p w14:paraId="4CAEEAB7" w14:textId="77777777" w:rsidR="00000000" w:rsidRDefault="009B6C69">
      <w:pPr>
        <w:ind w:firstLine="270"/>
        <w:divId w:val="655261125"/>
        <w:rPr>
          <w:rFonts w:eastAsia="Times New Roman"/>
        </w:rPr>
      </w:pPr>
      <w:r>
        <w:rPr>
          <w:rFonts w:eastAsia="Times New Roman"/>
          <w:color w:val="000000"/>
          <w:sz w:val="20"/>
          <w:szCs w:val="20"/>
        </w:rPr>
        <w:t xml:space="preserve">Indicate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8"/>
        <w:gridCol w:w="1791"/>
        <w:gridCol w:w="36"/>
        <w:gridCol w:w="68"/>
        <w:gridCol w:w="1498"/>
        <w:gridCol w:w="36"/>
        <w:gridCol w:w="69"/>
        <w:gridCol w:w="1498"/>
        <w:gridCol w:w="36"/>
        <w:gridCol w:w="69"/>
        <w:gridCol w:w="1498"/>
        <w:gridCol w:w="36"/>
        <w:gridCol w:w="69"/>
        <w:gridCol w:w="1498"/>
        <w:gridCol w:w="36"/>
      </w:tblGrid>
      <w:tr w:rsidR="00000000" w14:paraId="47B0A5BD" w14:textId="77777777">
        <w:trPr>
          <w:divId w:val="655261125"/>
        </w:trPr>
        <w:tc>
          <w:tcPr>
            <w:tcW w:w="50" w:type="pct"/>
            <w:vAlign w:val="center"/>
            <w:hideMark/>
          </w:tcPr>
          <w:p w14:paraId="6D6F3D27" w14:textId="77777777" w:rsidR="00000000" w:rsidRDefault="009B6C69">
            <w:pPr>
              <w:ind w:firstLine="270"/>
              <w:rPr>
                <w:rFonts w:eastAsia="Times New Roman"/>
              </w:rPr>
            </w:pPr>
          </w:p>
        </w:tc>
        <w:tc>
          <w:tcPr>
            <w:tcW w:w="1086" w:type="pct"/>
            <w:vAlign w:val="center"/>
            <w:hideMark/>
          </w:tcPr>
          <w:p w14:paraId="5F89F6BB" w14:textId="77777777" w:rsidR="00000000" w:rsidRDefault="009B6C69">
            <w:pPr>
              <w:spacing w:after="100"/>
              <w:rPr>
                <w:rFonts w:eastAsia="Times New Roman"/>
                <w:sz w:val="20"/>
                <w:szCs w:val="20"/>
              </w:rPr>
            </w:pPr>
          </w:p>
        </w:tc>
        <w:tc>
          <w:tcPr>
            <w:tcW w:w="5" w:type="pct"/>
            <w:vAlign w:val="center"/>
            <w:hideMark/>
          </w:tcPr>
          <w:p w14:paraId="4ACB3D9F" w14:textId="77777777" w:rsidR="00000000" w:rsidRDefault="009B6C69">
            <w:pPr>
              <w:spacing w:after="100"/>
              <w:rPr>
                <w:rFonts w:eastAsia="Times New Roman"/>
                <w:sz w:val="20"/>
                <w:szCs w:val="20"/>
              </w:rPr>
            </w:pPr>
          </w:p>
        </w:tc>
        <w:tc>
          <w:tcPr>
            <w:tcW w:w="50" w:type="pct"/>
            <w:vAlign w:val="center"/>
            <w:hideMark/>
          </w:tcPr>
          <w:p w14:paraId="7207E6DC" w14:textId="77777777" w:rsidR="00000000" w:rsidRDefault="009B6C69">
            <w:pPr>
              <w:spacing w:after="100"/>
              <w:rPr>
                <w:rFonts w:eastAsia="Times New Roman"/>
                <w:sz w:val="20"/>
                <w:szCs w:val="20"/>
              </w:rPr>
            </w:pPr>
          </w:p>
        </w:tc>
        <w:tc>
          <w:tcPr>
            <w:tcW w:w="909" w:type="pct"/>
            <w:vAlign w:val="center"/>
            <w:hideMark/>
          </w:tcPr>
          <w:p w14:paraId="3430678E" w14:textId="77777777" w:rsidR="00000000" w:rsidRDefault="009B6C69">
            <w:pPr>
              <w:spacing w:after="100"/>
              <w:rPr>
                <w:rFonts w:eastAsia="Times New Roman"/>
                <w:sz w:val="20"/>
                <w:szCs w:val="20"/>
              </w:rPr>
            </w:pPr>
          </w:p>
        </w:tc>
        <w:tc>
          <w:tcPr>
            <w:tcW w:w="5" w:type="pct"/>
            <w:vAlign w:val="center"/>
            <w:hideMark/>
          </w:tcPr>
          <w:p w14:paraId="40018023" w14:textId="77777777" w:rsidR="00000000" w:rsidRDefault="009B6C69">
            <w:pPr>
              <w:spacing w:after="100"/>
              <w:rPr>
                <w:rFonts w:eastAsia="Times New Roman"/>
                <w:sz w:val="20"/>
                <w:szCs w:val="20"/>
              </w:rPr>
            </w:pPr>
          </w:p>
        </w:tc>
        <w:tc>
          <w:tcPr>
            <w:tcW w:w="50" w:type="pct"/>
            <w:vAlign w:val="center"/>
            <w:hideMark/>
          </w:tcPr>
          <w:p w14:paraId="149D987B" w14:textId="77777777" w:rsidR="00000000" w:rsidRDefault="009B6C69">
            <w:pPr>
              <w:spacing w:after="100"/>
              <w:rPr>
                <w:rFonts w:eastAsia="Times New Roman"/>
                <w:sz w:val="20"/>
                <w:szCs w:val="20"/>
              </w:rPr>
            </w:pPr>
          </w:p>
        </w:tc>
        <w:tc>
          <w:tcPr>
            <w:tcW w:w="909" w:type="pct"/>
            <w:vAlign w:val="center"/>
            <w:hideMark/>
          </w:tcPr>
          <w:p w14:paraId="7CEF7162" w14:textId="77777777" w:rsidR="00000000" w:rsidRDefault="009B6C69">
            <w:pPr>
              <w:spacing w:after="100"/>
              <w:rPr>
                <w:rFonts w:eastAsia="Times New Roman"/>
                <w:sz w:val="20"/>
                <w:szCs w:val="20"/>
              </w:rPr>
            </w:pPr>
          </w:p>
        </w:tc>
        <w:tc>
          <w:tcPr>
            <w:tcW w:w="5" w:type="pct"/>
            <w:vAlign w:val="center"/>
            <w:hideMark/>
          </w:tcPr>
          <w:p w14:paraId="08DDC07B" w14:textId="77777777" w:rsidR="00000000" w:rsidRDefault="009B6C69">
            <w:pPr>
              <w:spacing w:after="100"/>
              <w:rPr>
                <w:rFonts w:eastAsia="Times New Roman"/>
                <w:sz w:val="20"/>
                <w:szCs w:val="20"/>
              </w:rPr>
            </w:pPr>
          </w:p>
        </w:tc>
        <w:tc>
          <w:tcPr>
            <w:tcW w:w="50" w:type="pct"/>
            <w:vAlign w:val="center"/>
            <w:hideMark/>
          </w:tcPr>
          <w:p w14:paraId="3E2DD62C" w14:textId="77777777" w:rsidR="00000000" w:rsidRDefault="009B6C69">
            <w:pPr>
              <w:spacing w:after="100"/>
              <w:rPr>
                <w:rFonts w:eastAsia="Times New Roman"/>
                <w:sz w:val="20"/>
                <w:szCs w:val="20"/>
              </w:rPr>
            </w:pPr>
          </w:p>
        </w:tc>
        <w:tc>
          <w:tcPr>
            <w:tcW w:w="909" w:type="pct"/>
            <w:vAlign w:val="center"/>
            <w:hideMark/>
          </w:tcPr>
          <w:p w14:paraId="7F7E2541" w14:textId="77777777" w:rsidR="00000000" w:rsidRDefault="009B6C69">
            <w:pPr>
              <w:spacing w:after="100"/>
              <w:rPr>
                <w:rFonts w:eastAsia="Times New Roman"/>
                <w:sz w:val="20"/>
                <w:szCs w:val="20"/>
              </w:rPr>
            </w:pPr>
          </w:p>
        </w:tc>
        <w:tc>
          <w:tcPr>
            <w:tcW w:w="5" w:type="pct"/>
            <w:vAlign w:val="center"/>
            <w:hideMark/>
          </w:tcPr>
          <w:p w14:paraId="25683590" w14:textId="77777777" w:rsidR="00000000" w:rsidRDefault="009B6C69">
            <w:pPr>
              <w:spacing w:after="100"/>
              <w:rPr>
                <w:rFonts w:eastAsia="Times New Roman"/>
                <w:sz w:val="20"/>
                <w:szCs w:val="20"/>
              </w:rPr>
            </w:pPr>
          </w:p>
        </w:tc>
        <w:tc>
          <w:tcPr>
            <w:tcW w:w="50" w:type="pct"/>
            <w:vAlign w:val="center"/>
            <w:hideMark/>
          </w:tcPr>
          <w:p w14:paraId="29DB8E09" w14:textId="77777777" w:rsidR="00000000" w:rsidRDefault="009B6C69">
            <w:pPr>
              <w:spacing w:after="100"/>
              <w:rPr>
                <w:rFonts w:eastAsia="Times New Roman"/>
                <w:sz w:val="20"/>
                <w:szCs w:val="20"/>
              </w:rPr>
            </w:pPr>
          </w:p>
        </w:tc>
        <w:tc>
          <w:tcPr>
            <w:tcW w:w="909" w:type="pct"/>
            <w:vAlign w:val="center"/>
            <w:hideMark/>
          </w:tcPr>
          <w:p w14:paraId="66E4B600" w14:textId="77777777" w:rsidR="00000000" w:rsidRDefault="009B6C69">
            <w:pPr>
              <w:spacing w:after="100"/>
              <w:rPr>
                <w:rFonts w:eastAsia="Times New Roman"/>
                <w:sz w:val="20"/>
                <w:szCs w:val="20"/>
              </w:rPr>
            </w:pPr>
          </w:p>
        </w:tc>
        <w:tc>
          <w:tcPr>
            <w:tcW w:w="5" w:type="pct"/>
            <w:vAlign w:val="center"/>
            <w:hideMark/>
          </w:tcPr>
          <w:p w14:paraId="6F2709D2" w14:textId="77777777" w:rsidR="00000000" w:rsidRDefault="009B6C69">
            <w:pPr>
              <w:spacing w:after="100"/>
              <w:rPr>
                <w:rFonts w:eastAsia="Times New Roman"/>
                <w:sz w:val="20"/>
                <w:szCs w:val="20"/>
              </w:rPr>
            </w:pPr>
          </w:p>
        </w:tc>
      </w:tr>
      <w:tr w:rsidR="00000000" w14:paraId="489C7E66" w14:textId="77777777">
        <w:trPr>
          <w:divId w:val="655261125"/>
          <w:trHeight w:val="60"/>
        </w:trPr>
        <w:tc>
          <w:tcPr>
            <w:tcW w:w="0" w:type="auto"/>
            <w:gridSpan w:val="3"/>
            <w:tcBorders>
              <w:bottom w:val="double" w:sz="6" w:space="0" w:color="000000"/>
            </w:tcBorders>
            <w:tcMar>
              <w:top w:w="0" w:type="dxa"/>
              <w:left w:w="20" w:type="dxa"/>
              <w:bottom w:w="0" w:type="dxa"/>
              <w:right w:w="20" w:type="dxa"/>
            </w:tcMar>
            <w:vAlign w:val="center"/>
            <w:hideMark/>
          </w:tcPr>
          <w:p w14:paraId="5ED32597" w14:textId="77777777" w:rsidR="00000000" w:rsidRDefault="009B6C69">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14:paraId="6555FB34" w14:textId="77777777" w:rsidR="00000000" w:rsidRDefault="009B6C69">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14:paraId="2E92E291" w14:textId="77777777" w:rsidR="00000000" w:rsidRDefault="009B6C69">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14:paraId="540AA4FF" w14:textId="77777777" w:rsidR="00000000" w:rsidRDefault="009B6C69">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14:paraId="3768C00D" w14:textId="77777777" w:rsidR="00000000" w:rsidRDefault="009B6C69">
            <w:pPr>
              <w:spacing w:after="100"/>
              <w:rPr>
                <w:rFonts w:eastAsia="Times New Roman"/>
                <w:sz w:val="20"/>
                <w:szCs w:val="20"/>
              </w:rPr>
            </w:pPr>
          </w:p>
        </w:tc>
      </w:tr>
    </w:tbl>
    <w:p w14:paraId="36A9FA6E" w14:textId="77777777" w:rsidR="00000000" w:rsidRDefault="009B6C69">
      <w:pPr>
        <w:ind w:firstLine="315"/>
        <w:divId w:val="185293845"/>
        <w:rPr>
          <w:rFonts w:eastAsia="Times New Roman"/>
        </w:rPr>
      </w:pPr>
      <w:r>
        <w:rPr>
          <w:rFonts w:eastAsia="Times New Roman"/>
          <w:color w:val="000000"/>
          <w:sz w:val="20"/>
          <w:szCs w:val="20"/>
        </w:rPr>
        <w:t>The aggregate market value of the voting and non-voting common equity held by non-affiliates of the registrant at March 27, 2022 (the last business day of the registrant’s most recently completed second fiscal quarter) was $177.1 billion, based upon the cl</w:t>
      </w:r>
      <w:r>
        <w:rPr>
          <w:rFonts w:eastAsia="Times New Roman"/>
          <w:color w:val="000000"/>
          <w:sz w:val="20"/>
          <w:szCs w:val="20"/>
        </w:rPr>
        <w:t>osing price of the registrant’s common stock on that date as reported on the NASDAQ Global Select Market.</w:t>
      </w:r>
    </w:p>
    <w:p w14:paraId="31F90C9A" w14:textId="77777777" w:rsidR="00000000" w:rsidRDefault="009B6C69">
      <w:pPr>
        <w:ind w:firstLine="315"/>
        <w:divId w:val="1184707991"/>
        <w:rPr>
          <w:rFonts w:eastAsia="Times New Roman"/>
        </w:rPr>
      </w:pPr>
      <w:r>
        <w:rPr>
          <w:rFonts w:eastAsia="Times New Roman"/>
          <w:color w:val="000000"/>
          <w:sz w:val="20"/>
          <w:szCs w:val="20"/>
        </w:rPr>
        <w:t>The number of shares outstanding of the registrant’s common stock was 1,121 million at October 31, 2022.</w:t>
      </w:r>
    </w:p>
    <w:p w14:paraId="3A654417" w14:textId="77777777" w:rsidR="00000000" w:rsidRDefault="009B6C69">
      <w:pPr>
        <w:jc w:val="center"/>
        <w:divId w:val="1881629369"/>
        <w:rPr>
          <w:rFonts w:eastAsia="Times New Roman"/>
        </w:rPr>
      </w:pPr>
      <w:r>
        <w:rPr>
          <w:rFonts w:eastAsia="Times New Roman"/>
          <w:b/>
          <w:bCs/>
          <w:color w:val="000000"/>
          <w:sz w:val="20"/>
          <w:szCs w:val="20"/>
        </w:rPr>
        <w:t>DOCUMENTS INCORPORATED BY REFERENCE</w:t>
      </w:r>
    </w:p>
    <w:p w14:paraId="59F1FF85" w14:textId="77777777" w:rsidR="00000000" w:rsidRDefault="009B6C69">
      <w:pPr>
        <w:ind w:firstLine="315"/>
        <w:divId w:val="27610672"/>
        <w:rPr>
          <w:rFonts w:eastAsia="Times New Roman"/>
        </w:rPr>
      </w:pPr>
      <w:r>
        <w:rPr>
          <w:rFonts w:eastAsia="Times New Roman"/>
          <w:color w:val="000000"/>
          <w:sz w:val="20"/>
          <w:szCs w:val="20"/>
        </w:rPr>
        <w:t xml:space="preserve">Portions </w:t>
      </w:r>
      <w:r>
        <w:rPr>
          <w:rFonts w:eastAsia="Times New Roman"/>
          <w:color w:val="000000"/>
          <w:sz w:val="20"/>
          <w:szCs w:val="20"/>
        </w:rPr>
        <w:t>of the registrant’s Definitive Proxy Statement for its 2023 Annual Meeting of Stockholders, to be filed with the Commission subsequent to the date hereof, are incorporated by reference into Part III of this Annual Report where indicated.</w:t>
      </w:r>
    </w:p>
    <w:p w14:paraId="33E47100" w14:textId="77777777" w:rsidR="00000000" w:rsidRDefault="009B6C69">
      <w:pPr>
        <w:jc w:val="center"/>
        <w:divId w:val="726339226"/>
        <w:rPr>
          <w:rFonts w:eastAsia="Times New Roman"/>
        </w:rPr>
      </w:pPr>
    </w:p>
    <w:p w14:paraId="5DCFE51D" w14:textId="77777777" w:rsidR="00000000" w:rsidRDefault="009B6C69">
      <w:pPr>
        <w:rPr>
          <w:rFonts w:eastAsia="Times New Roman"/>
        </w:rPr>
      </w:pPr>
      <w:r>
        <w:rPr>
          <w:rFonts w:eastAsia="Times New Roman"/>
        </w:rPr>
        <w:pict w14:anchorId="39543F1C">
          <v:rect id="_x0000_i1025" style="width:0;height:1.5pt" o:hralign="center" o:hrstd="t" o:hr="t" fillcolor="#a0a0a0" stroked="f"/>
        </w:pict>
      </w:r>
    </w:p>
    <w:p w14:paraId="0B957AC1" w14:textId="77777777" w:rsidR="00000000" w:rsidRDefault="009B6C69">
      <w:pPr>
        <w:divId w:val="2051030220"/>
        <w:rPr>
          <w:rFonts w:eastAsia="Times New Roman"/>
        </w:rPr>
      </w:pPr>
    </w:p>
    <w:tbl>
      <w:tblPr>
        <w:tblW w:w="4928" w:type="pct"/>
        <w:jc w:val="center"/>
        <w:tblCellMar>
          <w:top w:w="15" w:type="dxa"/>
          <w:left w:w="15" w:type="dxa"/>
          <w:bottom w:w="15" w:type="dxa"/>
          <w:right w:w="15" w:type="dxa"/>
        </w:tblCellMar>
        <w:tblLook w:val="04A0" w:firstRow="1" w:lastRow="0" w:firstColumn="1" w:lastColumn="0" w:noHBand="0" w:noVBand="1"/>
      </w:tblPr>
      <w:tblGrid>
        <w:gridCol w:w="67"/>
        <w:gridCol w:w="3989"/>
        <w:gridCol w:w="37"/>
        <w:gridCol w:w="68"/>
        <w:gridCol w:w="3989"/>
        <w:gridCol w:w="36"/>
      </w:tblGrid>
      <w:tr w:rsidR="00000000" w14:paraId="2C375BA1" w14:textId="77777777">
        <w:trPr>
          <w:jc w:val="center"/>
        </w:trPr>
        <w:tc>
          <w:tcPr>
            <w:tcW w:w="50" w:type="pct"/>
            <w:vAlign w:val="center"/>
            <w:hideMark/>
          </w:tcPr>
          <w:p w14:paraId="00930334" w14:textId="77777777" w:rsidR="00000000" w:rsidRDefault="009B6C69">
            <w:pPr>
              <w:rPr>
                <w:rFonts w:eastAsia="Times New Roman"/>
              </w:rPr>
            </w:pPr>
          </w:p>
        </w:tc>
        <w:tc>
          <w:tcPr>
            <w:tcW w:w="2445" w:type="pct"/>
            <w:vAlign w:val="center"/>
            <w:hideMark/>
          </w:tcPr>
          <w:p w14:paraId="22EE8123" w14:textId="77777777" w:rsidR="00000000" w:rsidRDefault="009B6C69">
            <w:pPr>
              <w:spacing w:after="100"/>
              <w:rPr>
                <w:rFonts w:eastAsia="Times New Roman"/>
                <w:sz w:val="20"/>
                <w:szCs w:val="20"/>
              </w:rPr>
            </w:pPr>
          </w:p>
        </w:tc>
        <w:tc>
          <w:tcPr>
            <w:tcW w:w="5" w:type="pct"/>
            <w:vAlign w:val="center"/>
            <w:hideMark/>
          </w:tcPr>
          <w:p w14:paraId="32DCEBBE" w14:textId="77777777" w:rsidR="00000000" w:rsidRDefault="009B6C69">
            <w:pPr>
              <w:spacing w:after="100"/>
              <w:rPr>
                <w:rFonts w:eastAsia="Times New Roman"/>
                <w:sz w:val="20"/>
                <w:szCs w:val="20"/>
              </w:rPr>
            </w:pPr>
          </w:p>
        </w:tc>
        <w:tc>
          <w:tcPr>
            <w:tcW w:w="50" w:type="pct"/>
            <w:vAlign w:val="center"/>
            <w:hideMark/>
          </w:tcPr>
          <w:p w14:paraId="604C96B3" w14:textId="77777777" w:rsidR="00000000" w:rsidRDefault="009B6C69">
            <w:pPr>
              <w:spacing w:after="100"/>
              <w:rPr>
                <w:rFonts w:eastAsia="Times New Roman"/>
                <w:sz w:val="20"/>
                <w:szCs w:val="20"/>
              </w:rPr>
            </w:pPr>
          </w:p>
        </w:tc>
        <w:tc>
          <w:tcPr>
            <w:tcW w:w="2445" w:type="pct"/>
            <w:vAlign w:val="center"/>
            <w:hideMark/>
          </w:tcPr>
          <w:p w14:paraId="753E3BD6" w14:textId="77777777" w:rsidR="00000000" w:rsidRDefault="009B6C69">
            <w:pPr>
              <w:spacing w:after="100"/>
              <w:rPr>
                <w:rFonts w:eastAsia="Times New Roman"/>
                <w:sz w:val="20"/>
                <w:szCs w:val="20"/>
              </w:rPr>
            </w:pPr>
          </w:p>
        </w:tc>
        <w:tc>
          <w:tcPr>
            <w:tcW w:w="5" w:type="pct"/>
            <w:vAlign w:val="center"/>
            <w:hideMark/>
          </w:tcPr>
          <w:p w14:paraId="6F8A6AFD" w14:textId="77777777" w:rsidR="00000000" w:rsidRDefault="009B6C69">
            <w:pPr>
              <w:spacing w:after="100"/>
              <w:rPr>
                <w:rFonts w:eastAsia="Times New Roman"/>
                <w:sz w:val="20"/>
                <w:szCs w:val="20"/>
              </w:rPr>
            </w:pPr>
          </w:p>
        </w:tc>
      </w:tr>
      <w:tr w:rsidR="00000000" w14:paraId="6E4CB891" w14:textId="77777777">
        <w:trPr>
          <w:jc w:val="center"/>
        </w:trPr>
        <w:tc>
          <w:tcPr>
            <w:tcW w:w="0" w:type="auto"/>
            <w:gridSpan w:val="6"/>
            <w:tcMar>
              <w:top w:w="30" w:type="dxa"/>
              <w:left w:w="20" w:type="dxa"/>
              <w:bottom w:w="30" w:type="dxa"/>
              <w:right w:w="20" w:type="dxa"/>
            </w:tcMar>
            <w:vAlign w:val="bottom"/>
            <w:hideMark/>
          </w:tcPr>
          <w:p w14:paraId="62C302BB" w14:textId="77777777" w:rsidR="00000000" w:rsidRDefault="009B6C69">
            <w:pPr>
              <w:spacing w:after="100"/>
              <w:jc w:val="center"/>
              <w:rPr>
                <w:rFonts w:eastAsia="Times New Roman"/>
              </w:rPr>
            </w:pPr>
            <w:r>
              <w:rPr>
                <w:rFonts w:eastAsia="Times New Roman"/>
                <w:b/>
                <w:bCs/>
                <w:color w:val="000000"/>
                <w:sz w:val="20"/>
                <w:szCs w:val="20"/>
              </w:rPr>
              <w:t>QUALCOMM Incorporated</w:t>
            </w:r>
          </w:p>
        </w:tc>
      </w:tr>
      <w:tr w:rsidR="00000000" w14:paraId="21467879" w14:textId="77777777">
        <w:trPr>
          <w:jc w:val="center"/>
        </w:trPr>
        <w:tc>
          <w:tcPr>
            <w:tcW w:w="0" w:type="auto"/>
            <w:gridSpan w:val="6"/>
            <w:tcMar>
              <w:top w:w="30" w:type="dxa"/>
              <w:left w:w="20" w:type="dxa"/>
              <w:bottom w:w="30" w:type="dxa"/>
              <w:right w:w="20" w:type="dxa"/>
            </w:tcMar>
            <w:vAlign w:val="bottom"/>
            <w:hideMark/>
          </w:tcPr>
          <w:p w14:paraId="10517D74" w14:textId="77777777" w:rsidR="00000000" w:rsidRDefault="009B6C69">
            <w:pPr>
              <w:spacing w:after="100"/>
              <w:jc w:val="center"/>
              <w:rPr>
                <w:rFonts w:eastAsia="Times New Roman"/>
              </w:rPr>
            </w:pPr>
            <w:r>
              <w:rPr>
                <w:rFonts w:eastAsia="Times New Roman"/>
                <w:b/>
                <w:bCs/>
                <w:color w:val="000000"/>
                <w:sz w:val="20"/>
                <w:szCs w:val="20"/>
              </w:rPr>
              <w:t>Form 10-K</w:t>
            </w:r>
          </w:p>
        </w:tc>
      </w:tr>
      <w:tr w:rsidR="00000000" w14:paraId="3CFCB1E5" w14:textId="77777777">
        <w:trPr>
          <w:jc w:val="center"/>
        </w:trPr>
        <w:tc>
          <w:tcPr>
            <w:tcW w:w="0" w:type="auto"/>
            <w:gridSpan w:val="6"/>
            <w:tcMar>
              <w:top w:w="30" w:type="dxa"/>
              <w:left w:w="20" w:type="dxa"/>
              <w:bottom w:w="30" w:type="dxa"/>
              <w:right w:w="20" w:type="dxa"/>
            </w:tcMar>
            <w:vAlign w:val="bottom"/>
            <w:hideMark/>
          </w:tcPr>
          <w:p w14:paraId="27888FAD" w14:textId="77777777" w:rsidR="00000000" w:rsidRDefault="009B6C69">
            <w:pPr>
              <w:spacing w:after="100"/>
              <w:jc w:val="center"/>
              <w:rPr>
                <w:rFonts w:eastAsia="Times New Roman"/>
              </w:rPr>
            </w:pPr>
            <w:r>
              <w:rPr>
                <w:rFonts w:eastAsia="Times New Roman"/>
                <w:b/>
                <w:bCs/>
                <w:color w:val="000000"/>
                <w:sz w:val="20"/>
                <w:szCs w:val="20"/>
              </w:rPr>
              <w:t>For the Fiscal Year Ended September 25, 2022</w:t>
            </w:r>
          </w:p>
        </w:tc>
      </w:tr>
      <w:tr w:rsidR="00000000" w14:paraId="7B0E436E" w14:textId="77777777">
        <w:trPr>
          <w:jc w:val="center"/>
        </w:trPr>
        <w:tc>
          <w:tcPr>
            <w:tcW w:w="0" w:type="auto"/>
            <w:gridSpan w:val="6"/>
            <w:tcMar>
              <w:top w:w="30" w:type="dxa"/>
              <w:left w:w="20" w:type="dxa"/>
              <w:bottom w:w="30" w:type="dxa"/>
              <w:right w:w="20" w:type="dxa"/>
            </w:tcMar>
            <w:hideMark/>
          </w:tcPr>
          <w:p w14:paraId="4541740F" w14:textId="77777777" w:rsidR="00000000" w:rsidRDefault="009B6C69">
            <w:pPr>
              <w:spacing w:after="100"/>
              <w:jc w:val="center"/>
              <w:rPr>
                <w:rFonts w:eastAsia="Times New Roman"/>
              </w:rPr>
            </w:pPr>
            <w:r>
              <w:rPr>
                <w:rFonts w:eastAsia="Times New Roman"/>
                <w:b/>
                <w:bCs/>
                <w:color w:val="000000"/>
                <w:sz w:val="20"/>
                <w:szCs w:val="20"/>
              </w:rPr>
              <w:t>Index</w:t>
            </w:r>
          </w:p>
        </w:tc>
      </w:tr>
    </w:tbl>
    <w:p w14:paraId="6D3DC6F3" w14:textId="77777777" w:rsidR="00000000" w:rsidRDefault="009B6C69">
      <w:pPr>
        <w:jc w:val="center"/>
        <w:rPr>
          <w:rFonts w:eastAsia="Times New Roman"/>
          <w:vanish/>
        </w:rPr>
      </w:pPr>
    </w:p>
    <w:tbl>
      <w:tblPr>
        <w:tblW w:w="4906" w:type="pct"/>
        <w:jc w:val="center"/>
        <w:tblCellMar>
          <w:top w:w="15" w:type="dxa"/>
          <w:left w:w="15" w:type="dxa"/>
          <w:bottom w:w="15" w:type="dxa"/>
          <w:right w:w="15" w:type="dxa"/>
        </w:tblCellMar>
        <w:tblLook w:val="04A0" w:firstRow="1" w:lastRow="0" w:firstColumn="1" w:lastColumn="0" w:noHBand="0" w:noVBand="1"/>
      </w:tblPr>
      <w:tblGrid>
        <w:gridCol w:w="67"/>
        <w:gridCol w:w="694"/>
        <w:gridCol w:w="36"/>
        <w:gridCol w:w="67"/>
        <w:gridCol w:w="6615"/>
        <w:gridCol w:w="38"/>
        <w:gridCol w:w="68"/>
        <w:gridCol w:w="529"/>
        <w:gridCol w:w="36"/>
      </w:tblGrid>
      <w:tr w:rsidR="00000000" w14:paraId="1D6115AD" w14:textId="77777777">
        <w:trPr>
          <w:jc w:val="center"/>
        </w:trPr>
        <w:tc>
          <w:tcPr>
            <w:tcW w:w="50" w:type="pct"/>
            <w:vAlign w:val="center"/>
            <w:hideMark/>
          </w:tcPr>
          <w:p w14:paraId="76063902" w14:textId="77777777" w:rsidR="00000000" w:rsidRDefault="009B6C69">
            <w:pPr>
              <w:jc w:val="center"/>
              <w:rPr>
                <w:rFonts w:eastAsia="Times New Roman"/>
              </w:rPr>
            </w:pPr>
          </w:p>
        </w:tc>
        <w:tc>
          <w:tcPr>
            <w:tcW w:w="435" w:type="pct"/>
            <w:vAlign w:val="center"/>
            <w:hideMark/>
          </w:tcPr>
          <w:p w14:paraId="67C5EEBF" w14:textId="77777777" w:rsidR="00000000" w:rsidRDefault="009B6C69">
            <w:pPr>
              <w:spacing w:after="100"/>
              <w:rPr>
                <w:rFonts w:eastAsia="Times New Roman"/>
                <w:sz w:val="20"/>
                <w:szCs w:val="20"/>
              </w:rPr>
            </w:pPr>
          </w:p>
        </w:tc>
        <w:tc>
          <w:tcPr>
            <w:tcW w:w="5" w:type="pct"/>
            <w:vAlign w:val="center"/>
            <w:hideMark/>
          </w:tcPr>
          <w:p w14:paraId="2F64FA51" w14:textId="77777777" w:rsidR="00000000" w:rsidRDefault="009B6C69">
            <w:pPr>
              <w:spacing w:after="100"/>
              <w:rPr>
                <w:rFonts w:eastAsia="Times New Roman"/>
                <w:sz w:val="20"/>
                <w:szCs w:val="20"/>
              </w:rPr>
            </w:pPr>
          </w:p>
        </w:tc>
        <w:tc>
          <w:tcPr>
            <w:tcW w:w="50" w:type="pct"/>
            <w:vAlign w:val="center"/>
            <w:hideMark/>
          </w:tcPr>
          <w:p w14:paraId="4FE3C29A" w14:textId="77777777" w:rsidR="00000000" w:rsidRDefault="009B6C69">
            <w:pPr>
              <w:spacing w:after="100"/>
              <w:rPr>
                <w:rFonts w:eastAsia="Times New Roman"/>
                <w:sz w:val="20"/>
                <w:szCs w:val="20"/>
              </w:rPr>
            </w:pPr>
          </w:p>
        </w:tc>
        <w:tc>
          <w:tcPr>
            <w:tcW w:w="4066" w:type="pct"/>
            <w:vAlign w:val="center"/>
            <w:hideMark/>
          </w:tcPr>
          <w:p w14:paraId="6FAD6B3A" w14:textId="77777777" w:rsidR="00000000" w:rsidRDefault="009B6C69">
            <w:pPr>
              <w:spacing w:after="100"/>
              <w:rPr>
                <w:rFonts w:eastAsia="Times New Roman"/>
                <w:sz w:val="20"/>
                <w:szCs w:val="20"/>
              </w:rPr>
            </w:pPr>
          </w:p>
        </w:tc>
        <w:tc>
          <w:tcPr>
            <w:tcW w:w="5" w:type="pct"/>
            <w:vAlign w:val="center"/>
            <w:hideMark/>
          </w:tcPr>
          <w:p w14:paraId="6AF795BD" w14:textId="77777777" w:rsidR="00000000" w:rsidRDefault="009B6C69">
            <w:pPr>
              <w:spacing w:after="100"/>
              <w:rPr>
                <w:rFonts w:eastAsia="Times New Roman"/>
                <w:sz w:val="20"/>
                <w:szCs w:val="20"/>
              </w:rPr>
            </w:pPr>
          </w:p>
        </w:tc>
        <w:tc>
          <w:tcPr>
            <w:tcW w:w="50" w:type="pct"/>
            <w:vAlign w:val="center"/>
            <w:hideMark/>
          </w:tcPr>
          <w:p w14:paraId="373875A9" w14:textId="77777777" w:rsidR="00000000" w:rsidRDefault="009B6C69">
            <w:pPr>
              <w:spacing w:after="100"/>
              <w:rPr>
                <w:rFonts w:eastAsia="Times New Roman"/>
                <w:sz w:val="20"/>
                <w:szCs w:val="20"/>
              </w:rPr>
            </w:pPr>
          </w:p>
        </w:tc>
        <w:tc>
          <w:tcPr>
            <w:tcW w:w="333" w:type="pct"/>
            <w:vAlign w:val="center"/>
            <w:hideMark/>
          </w:tcPr>
          <w:p w14:paraId="0C06B3EE" w14:textId="77777777" w:rsidR="00000000" w:rsidRDefault="009B6C69">
            <w:pPr>
              <w:spacing w:after="100"/>
              <w:rPr>
                <w:rFonts w:eastAsia="Times New Roman"/>
                <w:sz w:val="20"/>
                <w:szCs w:val="20"/>
              </w:rPr>
            </w:pPr>
          </w:p>
        </w:tc>
        <w:tc>
          <w:tcPr>
            <w:tcW w:w="5" w:type="pct"/>
            <w:vAlign w:val="center"/>
            <w:hideMark/>
          </w:tcPr>
          <w:p w14:paraId="78317BA3" w14:textId="77777777" w:rsidR="00000000" w:rsidRDefault="009B6C69">
            <w:pPr>
              <w:spacing w:after="100"/>
              <w:rPr>
                <w:rFonts w:eastAsia="Times New Roman"/>
                <w:sz w:val="20"/>
                <w:szCs w:val="20"/>
              </w:rPr>
            </w:pPr>
          </w:p>
        </w:tc>
      </w:tr>
      <w:tr w:rsidR="00000000" w14:paraId="28AC280C" w14:textId="77777777">
        <w:trPr>
          <w:jc w:val="center"/>
        </w:trPr>
        <w:tc>
          <w:tcPr>
            <w:tcW w:w="0" w:type="auto"/>
            <w:gridSpan w:val="3"/>
            <w:tcMar>
              <w:top w:w="0" w:type="dxa"/>
              <w:left w:w="20" w:type="dxa"/>
              <w:bottom w:w="0" w:type="dxa"/>
              <w:right w:w="20" w:type="dxa"/>
            </w:tcMar>
            <w:vAlign w:val="center"/>
            <w:hideMark/>
          </w:tcPr>
          <w:p w14:paraId="30895242"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258199"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CE99954" w14:textId="77777777" w:rsidR="00000000" w:rsidRDefault="009B6C69">
            <w:pPr>
              <w:spacing w:after="100"/>
              <w:jc w:val="center"/>
              <w:rPr>
                <w:rFonts w:eastAsia="Times New Roman"/>
              </w:rPr>
            </w:pPr>
            <w:r>
              <w:rPr>
                <w:rFonts w:eastAsia="Times New Roman"/>
                <w:b/>
                <w:bCs/>
                <w:color w:val="000000"/>
                <w:sz w:val="20"/>
                <w:szCs w:val="20"/>
              </w:rPr>
              <w:t>Page</w:t>
            </w:r>
          </w:p>
        </w:tc>
      </w:tr>
      <w:tr w:rsidR="00000000" w14:paraId="6F502F0E" w14:textId="77777777">
        <w:trPr>
          <w:jc w:val="center"/>
        </w:trPr>
        <w:tc>
          <w:tcPr>
            <w:tcW w:w="0" w:type="auto"/>
            <w:gridSpan w:val="3"/>
            <w:tcMar>
              <w:top w:w="0" w:type="dxa"/>
              <w:left w:w="20" w:type="dxa"/>
              <w:bottom w:w="0" w:type="dxa"/>
              <w:right w:w="20" w:type="dxa"/>
            </w:tcMar>
            <w:vAlign w:val="center"/>
            <w:hideMark/>
          </w:tcPr>
          <w:p w14:paraId="6F892A00" w14:textId="77777777" w:rsidR="00000000" w:rsidRDefault="009B6C6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C1D3370" w14:textId="77777777" w:rsidR="00000000" w:rsidRDefault="009B6C6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74B5031" w14:textId="77777777" w:rsidR="00000000" w:rsidRDefault="009B6C69">
            <w:pPr>
              <w:spacing w:after="100"/>
              <w:rPr>
                <w:rFonts w:eastAsia="Times New Roman"/>
              </w:rPr>
            </w:pPr>
            <w:r>
              <w:rPr>
                <w:rFonts w:eastAsia="Times New Roman"/>
                <w:color w:val="000000"/>
                <w:sz w:val="20"/>
                <w:szCs w:val="20"/>
              </w:rPr>
              <w:t> </w:t>
            </w:r>
          </w:p>
        </w:tc>
      </w:tr>
      <w:tr w:rsidR="00000000" w14:paraId="2281F1BB" w14:textId="77777777">
        <w:trPr>
          <w:jc w:val="center"/>
        </w:trPr>
        <w:tc>
          <w:tcPr>
            <w:tcW w:w="0" w:type="auto"/>
            <w:gridSpan w:val="3"/>
            <w:tcMar>
              <w:top w:w="0" w:type="dxa"/>
              <w:left w:w="20" w:type="dxa"/>
              <w:bottom w:w="0" w:type="dxa"/>
              <w:right w:w="20" w:type="dxa"/>
            </w:tcMar>
            <w:vAlign w:val="center"/>
            <w:hideMark/>
          </w:tcPr>
          <w:p w14:paraId="722A2252" w14:textId="77777777" w:rsidR="00000000" w:rsidRDefault="009B6C69">
            <w:pPr>
              <w:spacing w:after="100"/>
              <w:rPr>
                <w:rFonts w:eastAsia="Times New Roman"/>
              </w:rPr>
            </w:pPr>
          </w:p>
        </w:tc>
        <w:tc>
          <w:tcPr>
            <w:tcW w:w="0" w:type="auto"/>
            <w:gridSpan w:val="3"/>
            <w:tcMar>
              <w:top w:w="30" w:type="dxa"/>
              <w:left w:w="20" w:type="dxa"/>
              <w:bottom w:w="30" w:type="dxa"/>
              <w:right w:w="20" w:type="dxa"/>
            </w:tcMar>
            <w:vAlign w:val="bottom"/>
            <w:hideMark/>
          </w:tcPr>
          <w:p w14:paraId="557395E7" w14:textId="77777777" w:rsidR="00000000" w:rsidRDefault="009B6C69">
            <w:pPr>
              <w:spacing w:after="100"/>
              <w:divId w:val="1723169721"/>
              <w:rPr>
                <w:rFonts w:eastAsia="Times New Roman"/>
              </w:rPr>
            </w:pPr>
            <w:hyperlink w:anchor="i9ad6dd4fe99344baa66ed135956810b0_10" w:history="1">
              <w:r>
                <w:rPr>
                  <w:rStyle w:val="a3"/>
                  <w:rFonts w:eastAsia="Times New Roman"/>
                  <w:sz w:val="18"/>
                  <w:szCs w:val="18"/>
                </w:rPr>
                <w:t>Risk Factors Summary</w:t>
              </w:r>
            </w:hyperlink>
          </w:p>
        </w:tc>
        <w:tc>
          <w:tcPr>
            <w:tcW w:w="0" w:type="auto"/>
            <w:gridSpan w:val="3"/>
            <w:tcMar>
              <w:top w:w="30" w:type="dxa"/>
              <w:left w:w="20" w:type="dxa"/>
              <w:bottom w:w="30" w:type="dxa"/>
              <w:right w:w="20" w:type="dxa"/>
            </w:tcMar>
            <w:vAlign w:val="bottom"/>
            <w:hideMark/>
          </w:tcPr>
          <w:p w14:paraId="4E4AB155" w14:textId="77777777" w:rsidR="00000000" w:rsidRDefault="009B6C69">
            <w:pPr>
              <w:spacing w:after="100"/>
              <w:jc w:val="right"/>
              <w:rPr>
                <w:rFonts w:eastAsia="Times New Roman"/>
              </w:rPr>
            </w:pPr>
            <w:hyperlink w:anchor="i9ad6dd4fe99344baa66ed135956810b0_10" w:history="1">
              <w:r>
                <w:rPr>
                  <w:rStyle w:val="a3"/>
                  <w:rFonts w:eastAsia="Times New Roman"/>
                  <w:sz w:val="18"/>
                  <w:szCs w:val="18"/>
                </w:rPr>
                <w:t>4</w:t>
              </w:r>
            </w:hyperlink>
          </w:p>
        </w:tc>
      </w:tr>
      <w:tr w:rsidR="00000000" w14:paraId="797B91EA" w14:textId="77777777">
        <w:trPr>
          <w:trHeight w:val="280"/>
          <w:jc w:val="center"/>
        </w:trPr>
        <w:tc>
          <w:tcPr>
            <w:tcW w:w="0" w:type="auto"/>
            <w:gridSpan w:val="3"/>
            <w:tcMar>
              <w:top w:w="0" w:type="dxa"/>
              <w:left w:w="20" w:type="dxa"/>
              <w:bottom w:w="0" w:type="dxa"/>
              <w:right w:w="20" w:type="dxa"/>
            </w:tcMar>
            <w:vAlign w:val="center"/>
            <w:hideMark/>
          </w:tcPr>
          <w:p w14:paraId="6E236354" w14:textId="77777777" w:rsidR="00000000" w:rsidRDefault="009B6C6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EA689E5"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05041D" w14:textId="77777777" w:rsidR="00000000" w:rsidRDefault="009B6C69">
            <w:pPr>
              <w:spacing w:after="100"/>
              <w:rPr>
                <w:rFonts w:eastAsia="Times New Roman"/>
                <w:sz w:val="20"/>
                <w:szCs w:val="20"/>
              </w:rPr>
            </w:pPr>
          </w:p>
        </w:tc>
      </w:tr>
      <w:tr w:rsidR="00000000" w14:paraId="6A48222C" w14:textId="77777777">
        <w:trPr>
          <w:jc w:val="center"/>
        </w:trPr>
        <w:tc>
          <w:tcPr>
            <w:tcW w:w="0" w:type="auto"/>
            <w:gridSpan w:val="9"/>
            <w:tcMar>
              <w:top w:w="30" w:type="dxa"/>
              <w:left w:w="20" w:type="dxa"/>
              <w:bottom w:w="30" w:type="dxa"/>
              <w:right w:w="20" w:type="dxa"/>
            </w:tcMar>
            <w:vAlign w:val="bottom"/>
            <w:hideMark/>
          </w:tcPr>
          <w:p w14:paraId="1499C5DB" w14:textId="77777777" w:rsidR="00000000" w:rsidRDefault="009B6C69">
            <w:pPr>
              <w:spacing w:after="100"/>
              <w:jc w:val="center"/>
              <w:rPr>
                <w:rFonts w:eastAsia="Times New Roman"/>
              </w:rPr>
            </w:pPr>
            <w:hyperlink w:anchor="i9ad6dd4fe99344baa66ed135956810b0_16" w:history="1">
              <w:r>
                <w:rPr>
                  <w:rStyle w:val="a3"/>
                  <w:rFonts w:eastAsia="Times New Roman"/>
                  <w:b/>
                  <w:bCs/>
                  <w:sz w:val="18"/>
                  <w:szCs w:val="18"/>
                </w:rPr>
                <w:t>PART I</w:t>
              </w:r>
            </w:hyperlink>
          </w:p>
        </w:tc>
      </w:tr>
      <w:tr w:rsidR="00000000" w14:paraId="357714B2" w14:textId="77777777">
        <w:trPr>
          <w:jc w:val="center"/>
        </w:trPr>
        <w:tc>
          <w:tcPr>
            <w:tcW w:w="0" w:type="auto"/>
            <w:gridSpan w:val="3"/>
            <w:tcMar>
              <w:top w:w="0" w:type="dxa"/>
              <w:left w:w="20" w:type="dxa"/>
              <w:bottom w:w="0" w:type="dxa"/>
              <w:right w:w="20" w:type="dxa"/>
            </w:tcMar>
            <w:vAlign w:val="center"/>
            <w:hideMark/>
          </w:tcPr>
          <w:p w14:paraId="6C53D3FD"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6F8813A" w14:textId="77777777" w:rsidR="00000000" w:rsidRDefault="009B6C69">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668272B2" w14:textId="77777777" w:rsidR="00000000" w:rsidRDefault="009B6C69">
            <w:pPr>
              <w:spacing w:after="100"/>
              <w:rPr>
                <w:rFonts w:eastAsia="Times New Roman"/>
              </w:rPr>
            </w:pPr>
            <w:r>
              <w:rPr>
                <w:rFonts w:eastAsia="Times New Roman"/>
                <w:color w:val="000000"/>
                <w:sz w:val="18"/>
                <w:szCs w:val="18"/>
              </w:rPr>
              <w:t> </w:t>
            </w:r>
          </w:p>
        </w:tc>
      </w:tr>
      <w:tr w:rsidR="00000000" w14:paraId="0B48E63E" w14:textId="77777777">
        <w:trPr>
          <w:jc w:val="center"/>
        </w:trPr>
        <w:tc>
          <w:tcPr>
            <w:tcW w:w="0" w:type="auto"/>
            <w:gridSpan w:val="3"/>
            <w:tcMar>
              <w:top w:w="30" w:type="dxa"/>
              <w:left w:w="20" w:type="dxa"/>
              <w:bottom w:w="30" w:type="dxa"/>
              <w:right w:w="20" w:type="dxa"/>
            </w:tcMar>
            <w:vAlign w:val="bottom"/>
            <w:hideMark/>
          </w:tcPr>
          <w:p w14:paraId="3461B812" w14:textId="77777777" w:rsidR="00000000" w:rsidRDefault="009B6C69">
            <w:pPr>
              <w:spacing w:after="100"/>
              <w:divId w:val="611674183"/>
              <w:rPr>
                <w:rFonts w:eastAsia="Times New Roman"/>
              </w:rPr>
            </w:pPr>
            <w:hyperlink w:anchor="i9ad6dd4fe99344baa66ed135956810b0_19" w:history="1">
              <w:r>
                <w:rPr>
                  <w:rStyle w:val="a3"/>
                  <w:rFonts w:eastAsia="Times New Roman"/>
                  <w:sz w:val="18"/>
                  <w:szCs w:val="18"/>
                </w:rPr>
                <w:t>Item 1.</w:t>
              </w:r>
            </w:hyperlink>
          </w:p>
        </w:tc>
        <w:tc>
          <w:tcPr>
            <w:tcW w:w="0" w:type="auto"/>
            <w:gridSpan w:val="3"/>
            <w:tcMar>
              <w:top w:w="30" w:type="dxa"/>
              <w:left w:w="20" w:type="dxa"/>
              <w:bottom w:w="30" w:type="dxa"/>
              <w:right w:w="20" w:type="dxa"/>
            </w:tcMar>
            <w:vAlign w:val="bottom"/>
            <w:hideMark/>
          </w:tcPr>
          <w:p w14:paraId="23DF685A" w14:textId="77777777" w:rsidR="00000000" w:rsidRDefault="009B6C69">
            <w:pPr>
              <w:spacing w:after="100"/>
              <w:divId w:val="315691816"/>
              <w:rPr>
                <w:rFonts w:eastAsia="Times New Roman"/>
              </w:rPr>
            </w:pPr>
            <w:hyperlink w:anchor="i9ad6dd4fe99344baa66ed135956810b0_19" w:history="1">
              <w:r>
                <w:rPr>
                  <w:rStyle w:val="a3"/>
                  <w:rFonts w:eastAsia="Times New Roman"/>
                  <w:sz w:val="18"/>
                  <w:szCs w:val="18"/>
                </w:rPr>
                <w:t>Business</w:t>
              </w:r>
            </w:hyperlink>
          </w:p>
        </w:tc>
        <w:tc>
          <w:tcPr>
            <w:tcW w:w="0" w:type="auto"/>
            <w:gridSpan w:val="3"/>
            <w:tcMar>
              <w:top w:w="30" w:type="dxa"/>
              <w:left w:w="20" w:type="dxa"/>
              <w:bottom w:w="30" w:type="dxa"/>
              <w:right w:w="20" w:type="dxa"/>
            </w:tcMar>
            <w:vAlign w:val="bottom"/>
            <w:hideMark/>
          </w:tcPr>
          <w:p w14:paraId="4CB3080E" w14:textId="77777777" w:rsidR="00000000" w:rsidRDefault="009B6C69">
            <w:pPr>
              <w:spacing w:after="100"/>
              <w:jc w:val="right"/>
              <w:rPr>
                <w:rFonts w:eastAsia="Times New Roman"/>
              </w:rPr>
            </w:pPr>
            <w:hyperlink w:anchor="i9ad6dd4fe99344baa66ed135956810b0_19" w:history="1">
              <w:r>
                <w:rPr>
                  <w:rStyle w:val="a3"/>
                  <w:rFonts w:eastAsia="Times New Roman"/>
                  <w:sz w:val="18"/>
                  <w:szCs w:val="18"/>
                </w:rPr>
                <w:t>6</w:t>
              </w:r>
            </w:hyperlink>
          </w:p>
        </w:tc>
      </w:tr>
      <w:tr w:rsidR="00000000" w14:paraId="1BE36DFB" w14:textId="77777777">
        <w:trPr>
          <w:jc w:val="center"/>
        </w:trPr>
        <w:tc>
          <w:tcPr>
            <w:tcW w:w="0" w:type="auto"/>
            <w:gridSpan w:val="3"/>
            <w:tcMar>
              <w:top w:w="30" w:type="dxa"/>
              <w:left w:w="20" w:type="dxa"/>
              <w:bottom w:w="30" w:type="dxa"/>
              <w:right w:w="20" w:type="dxa"/>
            </w:tcMar>
            <w:vAlign w:val="bottom"/>
            <w:hideMark/>
          </w:tcPr>
          <w:p w14:paraId="06B5943F" w14:textId="77777777" w:rsidR="00000000" w:rsidRDefault="009B6C69">
            <w:pPr>
              <w:spacing w:after="100"/>
              <w:divId w:val="2024894100"/>
              <w:rPr>
                <w:rFonts w:eastAsia="Times New Roman"/>
              </w:rPr>
            </w:pPr>
            <w:hyperlink w:anchor="i9ad6dd4fe99344baa66ed135956810b0_67" w:history="1">
              <w:r>
                <w:rPr>
                  <w:rStyle w:val="a3"/>
                  <w:rFonts w:eastAsia="Times New Roman"/>
                  <w:sz w:val="18"/>
                  <w:szCs w:val="18"/>
                </w:rPr>
                <w:t>Item 1A.</w:t>
              </w:r>
            </w:hyperlink>
          </w:p>
        </w:tc>
        <w:tc>
          <w:tcPr>
            <w:tcW w:w="0" w:type="auto"/>
            <w:gridSpan w:val="3"/>
            <w:tcMar>
              <w:top w:w="30" w:type="dxa"/>
              <w:left w:w="20" w:type="dxa"/>
              <w:bottom w:w="30" w:type="dxa"/>
              <w:right w:w="20" w:type="dxa"/>
            </w:tcMar>
            <w:vAlign w:val="bottom"/>
            <w:hideMark/>
          </w:tcPr>
          <w:p w14:paraId="7F04DF71" w14:textId="77777777" w:rsidR="00000000" w:rsidRDefault="009B6C69">
            <w:pPr>
              <w:spacing w:after="100"/>
              <w:divId w:val="1120605395"/>
              <w:rPr>
                <w:rFonts w:eastAsia="Times New Roman"/>
              </w:rPr>
            </w:pPr>
            <w:hyperlink w:anchor="i9ad6dd4fe99344baa66ed135956810b0_67" w:history="1">
              <w:r>
                <w:rPr>
                  <w:rStyle w:val="a3"/>
                  <w:rFonts w:eastAsia="Times New Roman"/>
                  <w:sz w:val="18"/>
                  <w:szCs w:val="18"/>
                </w:rPr>
                <w:t>Risk Factors</w:t>
              </w:r>
            </w:hyperlink>
          </w:p>
        </w:tc>
        <w:tc>
          <w:tcPr>
            <w:tcW w:w="0" w:type="auto"/>
            <w:gridSpan w:val="3"/>
            <w:tcMar>
              <w:top w:w="30" w:type="dxa"/>
              <w:left w:w="20" w:type="dxa"/>
              <w:bottom w:w="30" w:type="dxa"/>
              <w:right w:w="20" w:type="dxa"/>
            </w:tcMar>
            <w:vAlign w:val="bottom"/>
            <w:hideMark/>
          </w:tcPr>
          <w:p w14:paraId="78FCF8D8" w14:textId="77777777" w:rsidR="00000000" w:rsidRDefault="009B6C69">
            <w:pPr>
              <w:spacing w:after="100"/>
              <w:jc w:val="right"/>
              <w:rPr>
                <w:rFonts w:eastAsia="Times New Roman"/>
              </w:rPr>
            </w:pPr>
            <w:hyperlink w:anchor="i9ad6dd4fe99344baa66ed135956810b0_67" w:history="1">
              <w:r>
                <w:rPr>
                  <w:rStyle w:val="a3"/>
                  <w:rFonts w:eastAsia="Times New Roman"/>
                  <w:sz w:val="18"/>
                  <w:szCs w:val="18"/>
                </w:rPr>
                <w:t>19</w:t>
              </w:r>
            </w:hyperlink>
          </w:p>
        </w:tc>
      </w:tr>
      <w:tr w:rsidR="00000000" w14:paraId="37B7DE43" w14:textId="77777777">
        <w:trPr>
          <w:jc w:val="center"/>
        </w:trPr>
        <w:tc>
          <w:tcPr>
            <w:tcW w:w="0" w:type="auto"/>
            <w:gridSpan w:val="3"/>
            <w:tcMar>
              <w:top w:w="30" w:type="dxa"/>
              <w:left w:w="20" w:type="dxa"/>
              <w:bottom w:w="30" w:type="dxa"/>
              <w:right w:w="20" w:type="dxa"/>
            </w:tcMar>
            <w:vAlign w:val="bottom"/>
            <w:hideMark/>
          </w:tcPr>
          <w:p w14:paraId="7EFF053B" w14:textId="77777777" w:rsidR="00000000" w:rsidRDefault="009B6C69">
            <w:pPr>
              <w:spacing w:after="100"/>
              <w:divId w:val="1882938776"/>
              <w:rPr>
                <w:rFonts w:eastAsia="Times New Roman"/>
              </w:rPr>
            </w:pPr>
            <w:hyperlink w:anchor="i9ad6dd4fe99344baa66ed135956810b0_70" w:history="1">
              <w:r>
                <w:rPr>
                  <w:rStyle w:val="a3"/>
                  <w:rFonts w:eastAsia="Times New Roman"/>
                  <w:sz w:val="18"/>
                  <w:szCs w:val="18"/>
                </w:rPr>
                <w:t>Item 1B.</w:t>
              </w:r>
            </w:hyperlink>
          </w:p>
        </w:tc>
        <w:tc>
          <w:tcPr>
            <w:tcW w:w="0" w:type="auto"/>
            <w:gridSpan w:val="3"/>
            <w:tcMar>
              <w:top w:w="30" w:type="dxa"/>
              <w:left w:w="20" w:type="dxa"/>
              <w:bottom w:w="30" w:type="dxa"/>
              <w:right w:w="20" w:type="dxa"/>
            </w:tcMar>
            <w:vAlign w:val="bottom"/>
            <w:hideMark/>
          </w:tcPr>
          <w:p w14:paraId="18789A7A" w14:textId="77777777" w:rsidR="00000000" w:rsidRDefault="009B6C69">
            <w:pPr>
              <w:spacing w:after="100"/>
              <w:divId w:val="749277777"/>
              <w:rPr>
                <w:rFonts w:eastAsia="Times New Roman"/>
              </w:rPr>
            </w:pPr>
            <w:hyperlink w:anchor="i9ad6dd4fe99344baa66ed135956810b0_70" w:history="1">
              <w:r>
                <w:rPr>
                  <w:rStyle w:val="a3"/>
                  <w:rFonts w:eastAsia="Times New Roman"/>
                  <w:sz w:val="18"/>
                  <w:szCs w:val="18"/>
                </w:rPr>
                <w:t>Unresolved Staff Comments</w:t>
              </w:r>
            </w:hyperlink>
          </w:p>
        </w:tc>
        <w:tc>
          <w:tcPr>
            <w:tcW w:w="0" w:type="auto"/>
            <w:gridSpan w:val="3"/>
            <w:tcMar>
              <w:top w:w="30" w:type="dxa"/>
              <w:left w:w="20" w:type="dxa"/>
              <w:bottom w:w="30" w:type="dxa"/>
              <w:right w:w="20" w:type="dxa"/>
            </w:tcMar>
            <w:vAlign w:val="bottom"/>
            <w:hideMark/>
          </w:tcPr>
          <w:p w14:paraId="65CAFF7A" w14:textId="77777777" w:rsidR="00000000" w:rsidRDefault="009B6C69">
            <w:pPr>
              <w:spacing w:after="100"/>
              <w:jc w:val="right"/>
              <w:rPr>
                <w:rFonts w:eastAsia="Times New Roman"/>
              </w:rPr>
            </w:pPr>
            <w:hyperlink w:anchor="i9ad6dd4fe99344baa66ed135956810b0_70" w:history="1">
              <w:r>
                <w:rPr>
                  <w:rStyle w:val="a3"/>
                  <w:rFonts w:eastAsia="Times New Roman"/>
                  <w:sz w:val="18"/>
                  <w:szCs w:val="18"/>
                </w:rPr>
                <w:t>37</w:t>
              </w:r>
            </w:hyperlink>
          </w:p>
        </w:tc>
      </w:tr>
      <w:tr w:rsidR="00000000" w14:paraId="4BC998DC" w14:textId="77777777">
        <w:trPr>
          <w:jc w:val="center"/>
        </w:trPr>
        <w:tc>
          <w:tcPr>
            <w:tcW w:w="0" w:type="auto"/>
            <w:gridSpan w:val="3"/>
            <w:tcMar>
              <w:top w:w="30" w:type="dxa"/>
              <w:left w:w="20" w:type="dxa"/>
              <w:bottom w:w="30" w:type="dxa"/>
              <w:right w:w="20" w:type="dxa"/>
            </w:tcMar>
            <w:vAlign w:val="bottom"/>
            <w:hideMark/>
          </w:tcPr>
          <w:p w14:paraId="23D67C3F" w14:textId="77777777" w:rsidR="00000000" w:rsidRDefault="009B6C69">
            <w:pPr>
              <w:spacing w:after="100"/>
              <w:divId w:val="1289706942"/>
              <w:rPr>
                <w:rFonts w:eastAsia="Times New Roman"/>
              </w:rPr>
            </w:pPr>
            <w:hyperlink w:anchor="i9ad6dd4fe99344baa66ed135956810b0_73" w:history="1">
              <w:r>
                <w:rPr>
                  <w:rStyle w:val="a3"/>
                  <w:rFonts w:eastAsia="Times New Roman"/>
                  <w:sz w:val="18"/>
                  <w:szCs w:val="18"/>
                </w:rPr>
                <w:t>Item 2.</w:t>
              </w:r>
            </w:hyperlink>
          </w:p>
        </w:tc>
        <w:tc>
          <w:tcPr>
            <w:tcW w:w="0" w:type="auto"/>
            <w:gridSpan w:val="3"/>
            <w:tcMar>
              <w:top w:w="30" w:type="dxa"/>
              <w:left w:w="20" w:type="dxa"/>
              <w:bottom w:w="30" w:type="dxa"/>
              <w:right w:w="20" w:type="dxa"/>
            </w:tcMar>
            <w:vAlign w:val="bottom"/>
            <w:hideMark/>
          </w:tcPr>
          <w:p w14:paraId="7669306F" w14:textId="77777777" w:rsidR="00000000" w:rsidRDefault="009B6C69">
            <w:pPr>
              <w:spacing w:after="100"/>
              <w:divId w:val="2001039941"/>
              <w:rPr>
                <w:rFonts w:eastAsia="Times New Roman"/>
              </w:rPr>
            </w:pPr>
            <w:hyperlink w:anchor="i9ad6dd4fe99344baa66ed135956810b0_73" w:history="1">
              <w:r>
                <w:rPr>
                  <w:rStyle w:val="a3"/>
                  <w:rFonts w:eastAsia="Times New Roman"/>
                  <w:sz w:val="18"/>
                  <w:szCs w:val="18"/>
                </w:rPr>
                <w:t>Properties</w:t>
              </w:r>
            </w:hyperlink>
          </w:p>
        </w:tc>
        <w:tc>
          <w:tcPr>
            <w:tcW w:w="0" w:type="auto"/>
            <w:gridSpan w:val="3"/>
            <w:tcMar>
              <w:top w:w="30" w:type="dxa"/>
              <w:left w:w="20" w:type="dxa"/>
              <w:bottom w:w="30" w:type="dxa"/>
              <w:right w:w="20" w:type="dxa"/>
            </w:tcMar>
            <w:vAlign w:val="bottom"/>
            <w:hideMark/>
          </w:tcPr>
          <w:p w14:paraId="3C741154" w14:textId="77777777" w:rsidR="00000000" w:rsidRDefault="009B6C69">
            <w:pPr>
              <w:spacing w:after="100"/>
              <w:jc w:val="right"/>
              <w:rPr>
                <w:rFonts w:eastAsia="Times New Roman"/>
              </w:rPr>
            </w:pPr>
            <w:hyperlink w:anchor="i9ad6dd4fe99344baa66ed135956810b0_73" w:history="1">
              <w:r>
                <w:rPr>
                  <w:rStyle w:val="a3"/>
                  <w:rFonts w:eastAsia="Times New Roman"/>
                  <w:sz w:val="18"/>
                  <w:szCs w:val="18"/>
                </w:rPr>
                <w:t>37</w:t>
              </w:r>
            </w:hyperlink>
          </w:p>
        </w:tc>
      </w:tr>
      <w:tr w:rsidR="00000000" w14:paraId="716AE8D9" w14:textId="77777777">
        <w:trPr>
          <w:jc w:val="center"/>
        </w:trPr>
        <w:tc>
          <w:tcPr>
            <w:tcW w:w="0" w:type="auto"/>
            <w:gridSpan w:val="3"/>
            <w:tcMar>
              <w:top w:w="30" w:type="dxa"/>
              <w:left w:w="20" w:type="dxa"/>
              <w:bottom w:w="30" w:type="dxa"/>
              <w:right w:w="20" w:type="dxa"/>
            </w:tcMar>
            <w:vAlign w:val="bottom"/>
            <w:hideMark/>
          </w:tcPr>
          <w:p w14:paraId="0FFA057E" w14:textId="77777777" w:rsidR="00000000" w:rsidRDefault="009B6C69">
            <w:pPr>
              <w:spacing w:after="100"/>
              <w:divId w:val="1691561070"/>
              <w:rPr>
                <w:rFonts w:eastAsia="Times New Roman"/>
              </w:rPr>
            </w:pPr>
            <w:hyperlink w:anchor="i9ad6dd4fe99344baa66ed135956810b0_76" w:history="1">
              <w:r>
                <w:rPr>
                  <w:rStyle w:val="a3"/>
                  <w:rFonts w:eastAsia="Times New Roman"/>
                  <w:sz w:val="18"/>
                  <w:szCs w:val="18"/>
                </w:rPr>
                <w:t>Item 3.</w:t>
              </w:r>
            </w:hyperlink>
          </w:p>
        </w:tc>
        <w:tc>
          <w:tcPr>
            <w:tcW w:w="0" w:type="auto"/>
            <w:gridSpan w:val="3"/>
            <w:tcMar>
              <w:top w:w="30" w:type="dxa"/>
              <w:left w:w="20" w:type="dxa"/>
              <w:bottom w:w="30" w:type="dxa"/>
              <w:right w:w="20" w:type="dxa"/>
            </w:tcMar>
            <w:vAlign w:val="bottom"/>
            <w:hideMark/>
          </w:tcPr>
          <w:p w14:paraId="05B176E3" w14:textId="77777777" w:rsidR="00000000" w:rsidRDefault="009B6C69">
            <w:pPr>
              <w:spacing w:after="100"/>
              <w:divId w:val="310715611"/>
              <w:rPr>
                <w:rFonts w:eastAsia="Times New Roman"/>
              </w:rPr>
            </w:pPr>
            <w:hyperlink w:anchor="i9ad6dd4fe99344baa66ed135956810b0_76" w:history="1">
              <w:r>
                <w:rPr>
                  <w:rStyle w:val="a3"/>
                  <w:rFonts w:eastAsia="Times New Roman"/>
                  <w:sz w:val="18"/>
                  <w:szCs w:val="18"/>
                </w:rPr>
                <w:t>Legal and Regulatory Proceedings</w:t>
              </w:r>
            </w:hyperlink>
          </w:p>
        </w:tc>
        <w:tc>
          <w:tcPr>
            <w:tcW w:w="0" w:type="auto"/>
            <w:gridSpan w:val="3"/>
            <w:tcMar>
              <w:top w:w="30" w:type="dxa"/>
              <w:left w:w="20" w:type="dxa"/>
              <w:bottom w:w="30" w:type="dxa"/>
              <w:right w:w="20" w:type="dxa"/>
            </w:tcMar>
            <w:vAlign w:val="bottom"/>
            <w:hideMark/>
          </w:tcPr>
          <w:p w14:paraId="042A9A37" w14:textId="77777777" w:rsidR="00000000" w:rsidRDefault="009B6C69">
            <w:pPr>
              <w:spacing w:after="100"/>
              <w:jc w:val="right"/>
              <w:rPr>
                <w:rFonts w:eastAsia="Times New Roman"/>
              </w:rPr>
            </w:pPr>
            <w:hyperlink w:anchor="i9ad6dd4fe99344baa66ed135956810b0_76" w:history="1">
              <w:r>
                <w:rPr>
                  <w:rStyle w:val="a3"/>
                  <w:rFonts w:eastAsia="Times New Roman"/>
                  <w:sz w:val="18"/>
                  <w:szCs w:val="18"/>
                </w:rPr>
                <w:t>37</w:t>
              </w:r>
            </w:hyperlink>
          </w:p>
        </w:tc>
      </w:tr>
      <w:tr w:rsidR="00000000" w14:paraId="15057A92" w14:textId="77777777">
        <w:trPr>
          <w:jc w:val="center"/>
        </w:trPr>
        <w:tc>
          <w:tcPr>
            <w:tcW w:w="0" w:type="auto"/>
            <w:gridSpan w:val="3"/>
            <w:tcMar>
              <w:top w:w="30" w:type="dxa"/>
              <w:left w:w="20" w:type="dxa"/>
              <w:bottom w:w="30" w:type="dxa"/>
              <w:right w:w="20" w:type="dxa"/>
            </w:tcMar>
            <w:vAlign w:val="bottom"/>
            <w:hideMark/>
          </w:tcPr>
          <w:p w14:paraId="2D73C7DE" w14:textId="77777777" w:rsidR="00000000" w:rsidRDefault="009B6C69">
            <w:pPr>
              <w:spacing w:after="100"/>
              <w:divId w:val="1788548007"/>
              <w:rPr>
                <w:rFonts w:eastAsia="Times New Roman"/>
              </w:rPr>
            </w:pPr>
            <w:hyperlink w:anchor="i9ad6dd4fe99344baa66ed135956810b0_79" w:history="1">
              <w:r>
                <w:rPr>
                  <w:rStyle w:val="a3"/>
                  <w:rFonts w:eastAsia="Times New Roman"/>
                  <w:sz w:val="18"/>
                  <w:szCs w:val="18"/>
                </w:rPr>
                <w:t>Item 4.</w:t>
              </w:r>
            </w:hyperlink>
          </w:p>
        </w:tc>
        <w:tc>
          <w:tcPr>
            <w:tcW w:w="0" w:type="auto"/>
            <w:gridSpan w:val="3"/>
            <w:tcMar>
              <w:top w:w="30" w:type="dxa"/>
              <w:left w:w="20" w:type="dxa"/>
              <w:bottom w:w="30" w:type="dxa"/>
              <w:right w:w="20" w:type="dxa"/>
            </w:tcMar>
            <w:vAlign w:val="bottom"/>
            <w:hideMark/>
          </w:tcPr>
          <w:p w14:paraId="4DC74D04" w14:textId="77777777" w:rsidR="00000000" w:rsidRDefault="009B6C69">
            <w:pPr>
              <w:spacing w:after="100"/>
              <w:divId w:val="1847667747"/>
              <w:rPr>
                <w:rFonts w:eastAsia="Times New Roman"/>
              </w:rPr>
            </w:pPr>
            <w:hyperlink w:anchor="i9ad6dd4fe99344baa66ed135956810b0_79" w:history="1">
              <w:r>
                <w:rPr>
                  <w:rStyle w:val="a3"/>
                  <w:rFonts w:eastAsia="Times New Roman"/>
                  <w:sz w:val="18"/>
                  <w:szCs w:val="18"/>
                </w:rPr>
                <w:t>Mine Safety Disclosures</w:t>
              </w:r>
            </w:hyperlink>
          </w:p>
        </w:tc>
        <w:tc>
          <w:tcPr>
            <w:tcW w:w="0" w:type="auto"/>
            <w:gridSpan w:val="3"/>
            <w:tcMar>
              <w:top w:w="30" w:type="dxa"/>
              <w:left w:w="20" w:type="dxa"/>
              <w:bottom w:w="30" w:type="dxa"/>
              <w:right w:w="20" w:type="dxa"/>
            </w:tcMar>
            <w:vAlign w:val="bottom"/>
            <w:hideMark/>
          </w:tcPr>
          <w:p w14:paraId="71E26339" w14:textId="77777777" w:rsidR="00000000" w:rsidRDefault="009B6C69">
            <w:pPr>
              <w:spacing w:after="100"/>
              <w:jc w:val="right"/>
              <w:rPr>
                <w:rFonts w:eastAsia="Times New Roman"/>
              </w:rPr>
            </w:pPr>
            <w:hyperlink w:anchor="i9ad6dd4fe99344baa66ed135956810b0_79" w:history="1">
              <w:r>
                <w:rPr>
                  <w:rStyle w:val="a3"/>
                  <w:rFonts w:eastAsia="Times New Roman"/>
                  <w:sz w:val="18"/>
                  <w:szCs w:val="18"/>
                </w:rPr>
                <w:t>37</w:t>
              </w:r>
            </w:hyperlink>
          </w:p>
        </w:tc>
      </w:tr>
      <w:tr w:rsidR="00000000" w14:paraId="0471FAF7" w14:textId="77777777">
        <w:trPr>
          <w:jc w:val="center"/>
        </w:trPr>
        <w:tc>
          <w:tcPr>
            <w:tcW w:w="0" w:type="auto"/>
            <w:gridSpan w:val="3"/>
            <w:tcMar>
              <w:top w:w="0" w:type="dxa"/>
              <w:left w:w="20" w:type="dxa"/>
              <w:bottom w:w="0" w:type="dxa"/>
              <w:right w:w="20" w:type="dxa"/>
            </w:tcMar>
            <w:vAlign w:val="center"/>
            <w:hideMark/>
          </w:tcPr>
          <w:p w14:paraId="0E3BE612" w14:textId="77777777" w:rsidR="00000000" w:rsidRDefault="009B6C69">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2AF5E867" w14:textId="77777777" w:rsidR="00000000" w:rsidRDefault="009B6C6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36E1832C" w14:textId="77777777" w:rsidR="00000000" w:rsidRDefault="009B6C69">
            <w:pPr>
              <w:spacing w:after="100"/>
              <w:rPr>
                <w:rFonts w:eastAsia="Times New Roman"/>
              </w:rPr>
            </w:pPr>
          </w:p>
        </w:tc>
      </w:tr>
      <w:tr w:rsidR="00000000" w14:paraId="076BBBC6" w14:textId="77777777">
        <w:trPr>
          <w:jc w:val="center"/>
        </w:trPr>
        <w:tc>
          <w:tcPr>
            <w:tcW w:w="0" w:type="auto"/>
            <w:gridSpan w:val="9"/>
            <w:tcMar>
              <w:top w:w="30" w:type="dxa"/>
              <w:left w:w="20" w:type="dxa"/>
              <w:bottom w:w="30" w:type="dxa"/>
              <w:right w:w="20" w:type="dxa"/>
            </w:tcMar>
            <w:vAlign w:val="bottom"/>
            <w:hideMark/>
          </w:tcPr>
          <w:p w14:paraId="23B59040" w14:textId="77777777" w:rsidR="00000000" w:rsidRDefault="009B6C69">
            <w:pPr>
              <w:spacing w:after="100"/>
              <w:jc w:val="center"/>
              <w:rPr>
                <w:rFonts w:eastAsia="Times New Roman"/>
              </w:rPr>
            </w:pPr>
            <w:hyperlink w:anchor="i9ad6dd4fe99344baa66ed135956810b0_82" w:history="1">
              <w:r>
                <w:rPr>
                  <w:rStyle w:val="a3"/>
                  <w:rFonts w:eastAsia="Times New Roman"/>
                  <w:b/>
                  <w:bCs/>
                  <w:sz w:val="18"/>
                  <w:szCs w:val="18"/>
                </w:rPr>
                <w:t>PART II</w:t>
              </w:r>
            </w:hyperlink>
          </w:p>
        </w:tc>
      </w:tr>
      <w:tr w:rsidR="00000000" w14:paraId="09C17848" w14:textId="77777777">
        <w:trPr>
          <w:jc w:val="center"/>
        </w:trPr>
        <w:tc>
          <w:tcPr>
            <w:tcW w:w="0" w:type="auto"/>
            <w:gridSpan w:val="3"/>
            <w:tcMar>
              <w:top w:w="0" w:type="dxa"/>
              <w:left w:w="20" w:type="dxa"/>
              <w:bottom w:w="0" w:type="dxa"/>
              <w:right w:w="20" w:type="dxa"/>
            </w:tcMar>
            <w:vAlign w:val="center"/>
            <w:hideMark/>
          </w:tcPr>
          <w:p w14:paraId="4B0F4A36"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49EC4B3" w14:textId="77777777" w:rsidR="00000000" w:rsidRDefault="009B6C69">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79ECBAA6" w14:textId="77777777" w:rsidR="00000000" w:rsidRDefault="009B6C69">
            <w:pPr>
              <w:spacing w:after="100"/>
              <w:rPr>
                <w:rFonts w:eastAsia="Times New Roman"/>
              </w:rPr>
            </w:pPr>
            <w:r>
              <w:rPr>
                <w:rFonts w:eastAsia="Times New Roman"/>
                <w:color w:val="000000"/>
                <w:sz w:val="18"/>
                <w:szCs w:val="18"/>
              </w:rPr>
              <w:t> </w:t>
            </w:r>
          </w:p>
        </w:tc>
      </w:tr>
      <w:tr w:rsidR="00000000" w14:paraId="2BF5E052" w14:textId="77777777">
        <w:trPr>
          <w:jc w:val="center"/>
        </w:trPr>
        <w:tc>
          <w:tcPr>
            <w:tcW w:w="0" w:type="auto"/>
            <w:gridSpan w:val="3"/>
            <w:tcMar>
              <w:top w:w="30" w:type="dxa"/>
              <w:left w:w="20" w:type="dxa"/>
              <w:bottom w:w="30" w:type="dxa"/>
              <w:right w:w="20" w:type="dxa"/>
            </w:tcMar>
            <w:vAlign w:val="bottom"/>
            <w:hideMark/>
          </w:tcPr>
          <w:p w14:paraId="5E300CF0" w14:textId="77777777" w:rsidR="00000000" w:rsidRDefault="009B6C69">
            <w:pPr>
              <w:spacing w:after="100"/>
              <w:divId w:val="1592658033"/>
              <w:rPr>
                <w:rFonts w:eastAsia="Times New Roman"/>
              </w:rPr>
            </w:pPr>
            <w:hyperlink w:anchor="i9ad6dd4fe99344baa66ed135956810b0_85" w:history="1">
              <w:r>
                <w:rPr>
                  <w:rStyle w:val="a3"/>
                  <w:rFonts w:eastAsia="Times New Roman"/>
                  <w:sz w:val="18"/>
                  <w:szCs w:val="18"/>
                </w:rPr>
                <w:t>Item 5.</w:t>
              </w:r>
            </w:hyperlink>
          </w:p>
        </w:tc>
        <w:tc>
          <w:tcPr>
            <w:tcW w:w="0" w:type="auto"/>
            <w:gridSpan w:val="3"/>
            <w:tcMar>
              <w:top w:w="30" w:type="dxa"/>
              <w:left w:w="20" w:type="dxa"/>
              <w:bottom w:w="30" w:type="dxa"/>
              <w:right w:w="20" w:type="dxa"/>
            </w:tcMar>
            <w:vAlign w:val="bottom"/>
            <w:hideMark/>
          </w:tcPr>
          <w:p w14:paraId="746D4886" w14:textId="77777777" w:rsidR="00000000" w:rsidRDefault="009B6C69">
            <w:pPr>
              <w:spacing w:after="100"/>
              <w:divId w:val="1512909756"/>
              <w:rPr>
                <w:rFonts w:eastAsia="Times New Roman"/>
              </w:rPr>
            </w:pPr>
            <w:hyperlink w:anchor="i9ad6dd4fe99344baa66ed135956810b0_85" w:history="1">
              <w:r>
                <w:rPr>
                  <w:rStyle w:val="a3"/>
                  <w:rFonts w:eastAsia="Times New Roman"/>
                  <w:sz w:val="18"/>
                  <w:szCs w:val="18"/>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14:paraId="1F8427C1" w14:textId="77777777" w:rsidR="00000000" w:rsidRDefault="009B6C69">
            <w:pPr>
              <w:spacing w:after="100"/>
              <w:jc w:val="right"/>
              <w:rPr>
                <w:rFonts w:eastAsia="Times New Roman"/>
              </w:rPr>
            </w:pPr>
            <w:hyperlink w:anchor="i9ad6dd4fe99344baa66ed135956810b0_85" w:history="1">
              <w:r>
                <w:rPr>
                  <w:rStyle w:val="a3"/>
                  <w:rFonts w:eastAsia="Times New Roman"/>
                  <w:sz w:val="18"/>
                  <w:szCs w:val="18"/>
                </w:rPr>
                <w:t>38</w:t>
              </w:r>
            </w:hyperlink>
          </w:p>
        </w:tc>
      </w:tr>
      <w:tr w:rsidR="00000000" w14:paraId="31156DFC" w14:textId="77777777">
        <w:trPr>
          <w:jc w:val="center"/>
        </w:trPr>
        <w:tc>
          <w:tcPr>
            <w:tcW w:w="0" w:type="auto"/>
            <w:gridSpan w:val="3"/>
            <w:tcMar>
              <w:top w:w="30" w:type="dxa"/>
              <w:left w:w="20" w:type="dxa"/>
              <w:bottom w:w="30" w:type="dxa"/>
              <w:right w:w="20" w:type="dxa"/>
            </w:tcMar>
            <w:vAlign w:val="bottom"/>
            <w:hideMark/>
          </w:tcPr>
          <w:p w14:paraId="12AB6F07" w14:textId="77777777" w:rsidR="00000000" w:rsidRDefault="009B6C69">
            <w:pPr>
              <w:spacing w:after="100"/>
              <w:divId w:val="1639384088"/>
              <w:rPr>
                <w:rFonts w:eastAsia="Times New Roman"/>
              </w:rPr>
            </w:pPr>
            <w:hyperlink w:anchor="i9ad6dd4fe99344baa66ed135956810b0_91" w:history="1">
              <w:r>
                <w:rPr>
                  <w:rStyle w:val="a3"/>
                  <w:rFonts w:eastAsia="Times New Roman"/>
                  <w:sz w:val="18"/>
                  <w:szCs w:val="18"/>
                </w:rPr>
                <w:t>Item 6.</w:t>
              </w:r>
            </w:hyperlink>
          </w:p>
        </w:tc>
        <w:tc>
          <w:tcPr>
            <w:tcW w:w="0" w:type="auto"/>
            <w:gridSpan w:val="3"/>
            <w:tcMar>
              <w:top w:w="30" w:type="dxa"/>
              <w:left w:w="20" w:type="dxa"/>
              <w:bottom w:w="30" w:type="dxa"/>
              <w:right w:w="20" w:type="dxa"/>
            </w:tcMar>
            <w:vAlign w:val="bottom"/>
            <w:hideMark/>
          </w:tcPr>
          <w:p w14:paraId="55CF0CB9" w14:textId="77777777" w:rsidR="00000000" w:rsidRDefault="009B6C69">
            <w:pPr>
              <w:spacing w:after="100"/>
              <w:divId w:val="367067909"/>
              <w:rPr>
                <w:rFonts w:eastAsia="Times New Roman"/>
              </w:rPr>
            </w:pPr>
            <w:hyperlink w:anchor="i9ad6dd4fe99344baa66ed135956810b0_91" w:history="1">
              <w:r>
                <w:rPr>
                  <w:rStyle w:val="a3"/>
                  <w:rFonts w:eastAsia="Times New Roman"/>
                  <w:sz w:val="18"/>
                  <w:szCs w:val="18"/>
                </w:rPr>
                <w:t>(Reserved)</w:t>
              </w:r>
            </w:hyperlink>
          </w:p>
        </w:tc>
        <w:tc>
          <w:tcPr>
            <w:tcW w:w="0" w:type="auto"/>
            <w:gridSpan w:val="3"/>
            <w:tcMar>
              <w:top w:w="30" w:type="dxa"/>
              <w:left w:w="20" w:type="dxa"/>
              <w:bottom w:w="30" w:type="dxa"/>
              <w:right w:w="20" w:type="dxa"/>
            </w:tcMar>
            <w:vAlign w:val="bottom"/>
            <w:hideMark/>
          </w:tcPr>
          <w:p w14:paraId="0328035B" w14:textId="77777777" w:rsidR="00000000" w:rsidRDefault="009B6C69">
            <w:pPr>
              <w:spacing w:after="100"/>
              <w:jc w:val="right"/>
              <w:rPr>
                <w:rFonts w:eastAsia="Times New Roman"/>
              </w:rPr>
            </w:pPr>
            <w:hyperlink w:anchor="i9ad6dd4fe99344baa66ed135956810b0_91" w:history="1">
              <w:r>
                <w:rPr>
                  <w:rStyle w:val="a3"/>
                  <w:rFonts w:eastAsia="Times New Roman"/>
                  <w:sz w:val="18"/>
                  <w:szCs w:val="18"/>
                </w:rPr>
                <w:t>39</w:t>
              </w:r>
            </w:hyperlink>
          </w:p>
        </w:tc>
      </w:tr>
      <w:tr w:rsidR="00000000" w14:paraId="05BAE332" w14:textId="77777777">
        <w:trPr>
          <w:jc w:val="center"/>
        </w:trPr>
        <w:tc>
          <w:tcPr>
            <w:tcW w:w="0" w:type="auto"/>
            <w:gridSpan w:val="3"/>
            <w:tcMar>
              <w:top w:w="30" w:type="dxa"/>
              <w:left w:w="20" w:type="dxa"/>
              <w:bottom w:w="30" w:type="dxa"/>
              <w:right w:w="20" w:type="dxa"/>
            </w:tcMar>
            <w:vAlign w:val="bottom"/>
            <w:hideMark/>
          </w:tcPr>
          <w:p w14:paraId="1E2931AC" w14:textId="77777777" w:rsidR="00000000" w:rsidRDefault="009B6C69">
            <w:pPr>
              <w:spacing w:after="100"/>
              <w:divId w:val="1579705535"/>
              <w:rPr>
                <w:rFonts w:eastAsia="Times New Roman"/>
              </w:rPr>
            </w:pPr>
            <w:hyperlink w:anchor="i9ad6dd4fe99344baa66ed135956810b0_94" w:history="1">
              <w:r>
                <w:rPr>
                  <w:rStyle w:val="a3"/>
                  <w:rFonts w:eastAsia="Times New Roman"/>
                  <w:sz w:val="18"/>
                  <w:szCs w:val="18"/>
                </w:rPr>
                <w:t>Item 7.</w:t>
              </w:r>
            </w:hyperlink>
          </w:p>
        </w:tc>
        <w:tc>
          <w:tcPr>
            <w:tcW w:w="0" w:type="auto"/>
            <w:gridSpan w:val="3"/>
            <w:tcMar>
              <w:top w:w="30" w:type="dxa"/>
              <w:left w:w="20" w:type="dxa"/>
              <w:bottom w:w="30" w:type="dxa"/>
              <w:right w:w="20" w:type="dxa"/>
            </w:tcMar>
            <w:vAlign w:val="bottom"/>
            <w:hideMark/>
          </w:tcPr>
          <w:p w14:paraId="2D6344CA" w14:textId="77777777" w:rsidR="00000000" w:rsidRDefault="009B6C69">
            <w:pPr>
              <w:spacing w:after="100"/>
              <w:divId w:val="604651864"/>
              <w:rPr>
                <w:rFonts w:eastAsia="Times New Roman"/>
              </w:rPr>
            </w:pPr>
            <w:hyperlink w:anchor="i9ad6dd4fe99344baa66ed135956810b0_94" w:history="1">
              <w:r>
                <w:rPr>
                  <w:rStyle w:val="a3"/>
                  <w:rFonts w:eastAsia="Times New Roman"/>
                  <w:sz w:val="18"/>
                  <w:szCs w:val="18"/>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14:paraId="5452C0CA" w14:textId="77777777" w:rsidR="00000000" w:rsidRDefault="009B6C69">
            <w:pPr>
              <w:spacing w:after="100"/>
              <w:jc w:val="right"/>
              <w:rPr>
                <w:rFonts w:eastAsia="Times New Roman"/>
              </w:rPr>
            </w:pPr>
            <w:hyperlink w:anchor="i9ad6dd4fe99344baa66ed135956810b0_94" w:history="1">
              <w:r>
                <w:rPr>
                  <w:rStyle w:val="a3"/>
                  <w:rFonts w:eastAsia="Times New Roman"/>
                  <w:sz w:val="18"/>
                  <w:szCs w:val="18"/>
                </w:rPr>
                <w:t>39</w:t>
              </w:r>
            </w:hyperlink>
          </w:p>
        </w:tc>
      </w:tr>
      <w:tr w:rsidR="00000000" w14:paraId="38A6D188" w14:textId="77777777">
        <w:trPr>
          <w:jc w:val="center"/>
        </w:trPr>
        <w:tc>
          <w:tcPr>
            <w:tcW w:w="0" w:type="auto"/>
            <w:gridSpan w:val="3"/>
            <w:tcMar>
              <w:top w:w="30" w:type="dxa"/>
              <w:left w:w="20" w:type="dxa"/>
              <w:bottom w:w="30" w:type="dxa"/>
              <w:right w:w="20" w:type="dxa"/>
            </w:tcMar>
            <w:vAlign w:val="bottom"/>
            <w:hideMark/>
          </w:tcPr>
          <w:p w14:paraId="6DAAB886" w14:textId="77777777" w:rsidR="00000000" w:rsidRDefault="009B6C69">
            <w:pPr>
              <w:spacing w:after="100"/>
              <w:divId w:val="1516186619"/>
              <w:rPr>
                <w:rFonts w:eastAsia="Times New Roman"/>
              </w:rPr>
            </w:pPr>
            <w:hyperlink w:anchor="i9ad6dd4fe99344baa66ed135956810b0_130" w:history="1">
              <w:r>
                <w:rPr>
                  <w:rStyle w:val="a3"/>
                  <w:rFonts w:eastAsia="Times New Roman"/>
                  <w:sz w:val="18"/>
                  <w:szCs w:val="18"/>
                </w:rPr>
                <w:t>Item 7A.</w:t>
              </w:r>
            </w:hyperlink>
          </w:p>
        </w:tc>
        <w:tc>
          <w:tcPr>
            <w:tcW w:w="0" w:type="auto"/>
            <w:gridSpan w:val="3"/>
            <w:tcMar>
              <w:top w:w="30" w:type="dxa"/>
              <w:left w:w="20" w:type="dxa"/>
              <w:bottom w:w="30" w:type="dxa"/>
              <w:right w:w="20" w:type="dxa"/>
            </w:tcMar>
            <w:vAlign w:val="bottom"/>
            <w:hideMark/>
          </w:tcPr>
          <w:p w14:paraId="4975D1D5" w14:textId="77777777" w:rsidR="00000000" w:rsidRDefault="009B6C69">
            <w:pPr>
              <w:spacing w:after="100"/>
              <w:divId w:val="1506629778"/>
              <w:rPr>
                <w:rFonts w:eastAsia="Times New Roman"/>
              </w:rPr>
            </w:pPr>
            <w:hyperlink w:anchor="i9ad6dd4fe99344baa66ed135956810b0_130" w:history="1">
              <w:r>
                <w:rPr>
                  <w:rStyle w:val="a3"/>
                  <w:rFonts w:eastAsia="Times New Roman"/>
                  <w:sz w:val="18"/>
                  <w:szCs w:val="18"/>
                </w:rPr>
                <w:t>Quantitative and Qualitative Disclosures about Market Risk</w:t>
              </w:r>
            </w:hyperlink>
          </w:p>
        </w:tc>
        <w:tc>
          <w:tcPr>
            <w:tcW w:w="0" w:type="auto"/>
            <w:gridSpan w:val="3"/>
            <w:tcMar>
              <w:top w:w="30" w:type="dxa"/>
              <w:left w:w="20" w:type="dxa"/>
              <w:bottom w:w="30" w:type="dxa"/>
              <w:right w:w="20" w:type="dxa"/>
            </w:tcMar>
            <w:vAlign w:val="bottom"/>
            <w:hideMark/>
          </w:tcPr>
          <w:p w14:paraId="47FFBA9C" w14:textId="77777777" w:rsidR="00000000" w:rsidRDefault="009B6C69">
            <w:pPr>
              <w:spacing w:after="100"/>
              <w:jc w:val="right"/>
              <w:rPr>
                <w:rFonts w:eastAsia="Times New Roman"/>
              </w:rPr>
            </w:pPr>
            <w:hyperlink w:anchor="i9ad6dd4fe99344baa66ed135956810b0_130" w:history="1">
              <w:r>
                <w:rPr>
                  <w:rStyle w:val="a3"/>
                  <w:rFonts w:eastAsia="Times New Roman"/>
                  <w:sz w:val="18"/>
                  <w:szCs w:val="18"/>
                </w:rPr>
                <w:t>47</w:t>
              </w:r>
            </w:hyperlink>
          </w:p>
        </w:tc>
      </w:tr>
      <w:tr w:rsidR="00000000" w14:paraId="52C25872" w14:textId="77777777">
        <w:trPr>
          <w:jc w:val="center"/>
        </w:trPr>
        <w:tc>
          <w:tcPr>
            <w:tcW w:w="0" w:type="auto"/>
            <w:gridSpan w:val="3"/>
            <w:tcMar>
              <w:top w:w="30" w:type="dxa"/>
              <w:left w:w="20" w:type="dxa"/>
              <w:bottom w:w="30" w:type="dxa"/>
              <w:right w:w="20" w:type="dxa"/>
            </w:tcMar>
            <w:vAlign w:val="bottom"/>
            <w:hideMark/>
          </w:tcPr>
          <w:p w14:paraId="72C12698" w14:textId="77777777" w:rsidR="00000000" w:rsidRDefault="009B6C69">
            <w:pPr>
              <w:spacing w:after="100"/>
              <w:divId w:val="184556927"/>
              <w:rPr>
                <w:rFonts w:eastAsia="Times New Roman"/>
              </w:rPr>
            </w:pPr>
            <w:hyperlink w:anchor="i9ad6dd4fe99344baa66ed135956810b0_133" w:history="1">
              <w:r>
                <w:rPr>
                  <w:rStyle w:val="a3"/>
                  <w:rFonts w:eastAsia="Times New Roman"/>
                  <w:sz w:val="18"/>
                  <w:szCs w:val="18"/>
                </w:rPr>
                <w:t>Item 8.</w:t>
              </w:r>
            </w:hyperlink>
          </w:p>
        </w:tc>
        <w:tc>
          <w:tcPr>
            <w:tcW w:w="0" w:type="auto"/>
            <w:gridSpan w:val="3"/>
            <w:tcMar>
              <w:top w:w="30" w:type="dxa"/>
              <w:left w:w="20" w:type="dxa"/>
              <w:bottom w:w="30" w:type="dxa"/>
              <w:right w:w="20" w:type="dxa"/>
            </w:tcMar>
            <w:vAlign w:val="bottom"/>
            <w:hideMark/>
          </w:tcPr>
          <w:p w14:paraId="76F28D67" w14:textId="77777777" w:rsidR="00000000" w:rsidRDefault="009B6C69">
            <w:pPr>
              <w:spacing w:after="100"/>
              <w:divId w:val="336152211"/>
              <w:rPr>
                <w:rFonts w:eastAsia="Times New Roman"/>
              </w:rPr>
            </w:pPr>
            <w:hyperlink w:anchor="i9ad6dd4fe99344baa66ed135956810b0_133" w:history="1">
              <w:r>
                <w:rPr>
                  <w:rStyle w:val="a3"/>
                  <w:rFonts w:eastAsia="Times New Roman"/>
                  <w:sz w:val="18"/>
                  <w:szCs w:val="18"/>
                </w:rPr>
                <w:t>Financial Statements and Supplementary Data</w:t>
              </w:r>
            </w:hyperlink>
          </w:p>
        </w:tc>
        <w:tc>
          <w:tcPr>
            <w:tcW w:w="0" w:type="auto"/>
            <w:gridSpan w:val="3"/>
            <w:tcMar>
              <w:top w:w="30" w:type="dxa"/>
              <w:left w:w="20" w:type="dxa"/>
              <w:bottom w:w="30" w:type="dxa"/>
              <w:right w:w="20" w:type="dxa"/>
            </w:tcMar>
            <w:vAlign w:val="bottom"/>
            <w:hideMark/>
          </w:tcPr>
          <w:p w14:paraId="52278FBE" w14:textId="77777777" w:rsidR="00000000" w:rsidRDefault="009B6C69">
            <w:pPr>
              <w:spacing w:after="100"/>
              <w:jc w:val="right"/>
              <w:rPr>
                <w:rFonts w:eastAsia="Times New Roman"/>
              </w:rPr>
            </w:pPr>
            <w:hyperlink w:anchor="i9ad6dd4fe99344baa66ed135956810b0_133" w:history="1">
              <w:r>
                <w:rPr>
                  <w:rStyle w:val="a3"/>
                  <w:rFonts w:eastAsia="Times New Roman"/>
                  <w:sz w:val="18"/>
                  <w:szCs w:val="18"/>
                </w:rPr>
                <w:t>49</w:t>
              </w:r>
            </w:hyperlink>
          </w:p>
        </w:tc>
      </w:tr>
      <w:tr w:rsidR="00000000" w14:paraId="28FBE6A3" w14:textId="77777777">
        <w:trPr>
          <w:jc w:val="center"/>
        </w:trPr>
        <w:tc>
          <w:tcPr>
            <w:tcW w:w="0" w:type="auto"/>
            <w:gridSpan w:val="3"/>
            <w:tcMar>
              <w:top w:w="30" w:type="dxa"/>
              <w:left w:w="20" w:type="dxa"/>
              <w:bottom w:w="30" w:type="dxa"/>
              <w:right w:w="20" w:type="dxa"/>
            </w:tcMar>
            <w:vAlign w:val="bottom"/>
            <w:hideMark/>
          </w:tcPr>
          <w:p w14:paraId="04C7E0E3" w14:textId="77777777" w:rsidR="00000000" w:rsidRDefault="009B6C69">
            <w:pPr>
              <w:spacing w:after="100"/>
              <w:divId w:val="549920622"/>
              <w:rPr>
                <w:rFonts w:eastAsia="Times New Roman"/>
              </w:rPr>
            </w:pPr>
            <w:hyperlink w:anchor="i9ad6dd4fe99344baa66ed135956810b0_136" w:history="1">
              <w:r>
                <w:rPr>
                  <w:rStyle w:val="a3"/>
                  <w:rFonts w:eastAsia="Times New Roman"/>
                  <w:sz w:val="18"/>
                  <w:szCs w:val="18"/>
                </w:rPr>
                <w:t>Item 9.</w:t>
              </w:r>
            </w:hyperlink>
          </w:p>
        </w:tc>
        <w:tc>
          <w:tcPr>
            <w:tcW w:w="0" w:type="auto"/>
            <w:gridSpan w:val="3"/>
            <w:tcMar>
              <w:top w:w="30" w:type="dxa"/>
              <w:left w:w="20" w:type="dxa"/>
              <w:bottom w:w="30" w:type="dxa"/>
              <w:right w:w="20" w:type="dxa"/>
            </w:tcMar>
            <w:vAlign w:val="bottom"/>
            <w:hideMark/>
          </w:tcPr>
          <w:p w14:paraId="030B2548" w14:textId="77777777" w:rsidR="00000000" w:rsidRDefault="009B6C69">
            <w:pPr>
              <w:spacing w:after="100"/>
              <w:divId w:val="1664356450"/>
              <w:rPr>
                <w:rFonts w:eastAsia="Times New Roman"/>
              </w:rPr>
            </w:pPr>
            <w:hyperlink w:anchor="i9ad6dd4fe99344baa66ed135956810b0_136" w:history="1">
              <w:r>
                <w:rPr>
                  <w:rStyle w:val="a3"/>
                  <w:rFonts w:eastAsia="Times New Roman"/>
                  <w:sz w:val="18"/>
                  <w:szCs w:val="18"/>
                </w:rPr>
                <w:t>Changes in an</w:t>
              </w:r>
              <w:r>
                <w:rPr>
                  <w:rStyle w:val="a3"/>
                  <w:rFonts w:eastAsia="Times New Roman"/>
                  <w:sz w:val="18"/>
                  <w:szCs w:val="18"/>
                </w:rPr>
                <w:t>d Disagreements with Accountants on Accounting and Financial Disclosure</w:t>
              </w:r>
            </w:hyperlink>
          </w:p>
        </w:tc>
        <w:tc>
          <w:tcPr>
            <w:tcW w:w="0" w:type="auto"/>
            <w:gridSpan w:val="3"/>
            <w:tcMar>
              <w:top w:w="30" w:type="dxa"/>
              <w:left w:w="20" w:type="dxa"/>
              <w:bottom w:w="30" w:type="dxa"/>
              <w:right w:w="20" w:type="dxa"/>
            </w:tcMar>
            <w:vAlign w:val="bottom"/>
            <w:hideMark/>
          </w:tcPr>
          <w:p w14:paraId="5DA1F333" w14:textId="77777777" w:rsidR="00000000" w:rsidRDefault="009B6C69">
            <w:pPr>
              <w:spacing w:after="100"/>
              <w:jc w:val="right"/>
              <w:rPr>
                <w:rFonts w:eastAsia="Times New Roman"/>
              </w:rPr>
            </w:pPr>
            <w:hyperlink w:anchor="i9ad6dd4fe99344baa66ed135956810b0_136" w:history="1">
              <w:r>
                <w:rPr>
                  <w:rStyle w:val="a3"/>
                  <w:rFonts w:eastAsia="Times New Roman"/>
                  <w:sz w:val="18"/>
                  <w:szCs w:val="18"/>
                </w:rPr>
                <w:t>49</w:t>
              </w:r>
            </w:hyperlink>
          </w:p>
        </w:tc>
      </w:tr>
      <w:tr w:rsidR="00000000" w14:paraId="0082F887" w14:textId="77777777">
        <w:trPr>
          <w:jc w:val="center"/>
        </w:trPr>
        <w:tc>
          <w:tcPr>
            <w:tcW w:w="0" w:type="auto"/>
            <w:gridSpan w:val="3"/>
            <w:tcMar>
              <w:top w:w="30" w:type="dxa"/>
              <w:left w:w="20" w:type="dxa"/>
              <w:bottom w:w="30" w:type="dxa"/>
              <w:right w:w="20" w:type="dxa"/>
            </w:tcMar>
            <w:vAlign w:val="bottom"/>
            <w:hideMark/>
          </w:tcPr>
          <w:p w14:paraId="62CBD667" w14:textId="77777777" w:rsidR="00000000" w:rsidRDefault="009B6C69">
            <w:pPr>
              <w:spacing w:after="100"/>
              <w:divId w:val="2051762939"/>
              <w:rPr>
                <w:rFonts w:eastAsia="Times New Roman"/>
              </w:rPr>
            </w:pPr>
            <w:hyperlink w:anchor="i9ad6dd4fe99344baa66ed135956810b0_139" w:history="1">
              <w:r>
                <w:rPr>
                  <w:rStyle w:val="a3"/>
                  <w:rFonts w:eastAsia="Times New Roman"/>
                  <w:sz w:val="18"/>
                  <w:szCs w:val="18"/>
                </w:rPr>
                <w:t>Item 9A.</w:t>
              </w:r>
            </w:hyperlink>
          </w:p>
        </w:tc>
        <w:tc>
          <w:tcPr>
            <w:tcW w:w="0" w:type="auto"/>
            <w:gridSpan w:val="3"/>
            <w:tcMar>
              <w:top w:w="30" w:type="dxa"/>
              <w:left w:w="20" w:type="dxa"/>
              <w:bottom w:w="30" w:type="dxa"/>
              <w:right w:w="20" w:type="dxa"/>
            </w:tcMar>
            <w:vAlign w:val="bottom"/>
            <w:hideMark/>
          </w:tcPr>
          <w:p w14:paraId="40ED096E" w14:textId="77777777" w:rsidR="00000000" w:rsidRDefault="009B6C69">
            <w:pPr>
              <w:spacing w:after="100"/>
              <w:divId w:val="1442148554"/>
              <w:rPr>
                <w:rFonts w:eastAsia="Times New Roman"/>
              </w:rPr>
            </w:pPr>
            <w:hyperlink w:anchor="i9ad6dd4fe99344baa66ed135956810b0_139" w:history="1">
              <w:r>
                <w:rPr>
                  <w:rStyle w:val="a3"/>
                  <w:rFonts w:eastAsia="Times New Roman"/>
                  <w:sz w:val="18"/>
                  <w:szCs w:val="18"/>
                </w:rPr>
                <w:t>Controls and Procedures</w:t>
              </w:r>
            </w:hyperlink>
          </w:p>
        </w:tc>
        <w:tc>
          <w:tcPr>
            <w:tcW w:w="0" w:type="auto"/>
            <w:gridSpan w:val="3"/>
            <w:tcMar>
              <w:top w:w="30" w:type="dxa"/>
              <w:left w:w="20" w:type="dxa"/>
              <w:bottom w:w="30" w:type="dxa"/>
              <w:right w:w="20" w:type="dxa"/>
            </w:tcMar>
            <w:vAlign w:val="bottom"/>
            <w:hideMark/>
          </w:tcPr>
          <w:p w14:paraId="608F9CE5" w14:textId="77777777" w:rsidR="00000000" w:rsidRDefault="009B6C69">
            <w:pPr>
              <w:spacing w:after="100"/>
              <w:jc w:val="right"/>
              <w:rPr>
                <w:rFonts w:eastAsia="Times New Roman"/>
              </w:rPr>
            </w:pPr>
            <w:hyperlink w:anchor="i9ad6dd4fe99344baa66ed135956810b0_139" w:history="1">
              <w:r>
                <w:rPr>
                  <w:rStyle w:val="a3"/>
                  <w:rFonts w:eastAsia="Times New Roman"/>
                  <w:sz w:val="18"/>
                  <w:szCs w:val="18"/>
                </w:rPr>
                <w:t>49</w:t>
              </w:r>
            </w:hyperlink>
          </w:p>
        </w:tc>
      </w:tr>
      <w:tr w:rsidR="00000000" w14:paraId="6939EE62" w14:textId="77777777">
        <w:trPr>
          <w:jc w:val="center"/>
        </w:trPr>
        <w:tc>
          <w:tcPr>
            <w:tcW w:w="0" w:type="auto"/>
            <w:gridSpan w:val="3"/>
            <w:tcMar>
              <w:top w:w="30" w:type="dxa"/>
              <w:left w:w="20" w:type="dxa"/>
              <w:bottom w:w="30" w:type="dxa"/>
              <w:right w:w="20" w:type="dxa"/>
            </w:tcMar>
            <w:vAlign w:val="bottom"/>
            <w:hideMark/>
          </w:tcPr>
          <w:p w14:paraId="3B8505C5" w14:textId="77777777" w:rsidR="00000000" w:rsidRDefault="009B6C69">
            <w:pPr>
              <w:spacing w:after="100"/>
              <w:divId w:val="241532150"/>
              <w:rPr>
                <w:rFonts w:eastAsia="Times New Roman"/>
              </w:rPr>
            </w:pPr>
            <w:hyperlink w:anchor="i9ad6dd4fe99344baa66ed135956810b0_142" w:history="1">
              <w:r>
                <w:rPr>
                  <w:rStyle w:val="a3"/>
                  <w:rFonts w:eastAsia="Times New Roman"/>
                  <w:sz w:val="18"/>
                  <w:szCs w:val="18"/>
                </w:rPr>
                <w:t>Item 9B.</w:t>
              </w:r>
            </w:hyperlink>
          </w:p>
        </w:tc>
        <w:tc>
          <w:tcPr>
            <w:tcW w:w="0" w:type="auto"/>
            <w:gridSpan w:val="3"/>
            <w:tcMar>
              <w:top w:w="30" w:type="dxa"/>
              <w:left w:w="20" w:type="dxa"/>
              <w:bottom w:w="30" w:type="dxa"/>
              <w:right w:w="20" w:type="dxa"/>
            </w:tcMar>
            <w:vAlign w:val="bottom"/>
            <w:hideMark/>
          </w:tcPr>
          <w:p w14:paraId="793B2F48" w14:textId="77777777" w:rsidR="00000000" w:rsidRDefault="009B6C69">
            <w:pPr>
              <w:spacing w:after="100"/>
              <w:divId w:val="301620625"/>
              <w:rPr>
                <w:rFonts w:eastAsia="Times New Roman"/>
              </w:rPr>
            </w:pPr>
            <w:hyperlink w:anchor="i9ad6dd4fe99344baa66ed135956810b0_142" w:history="1">
              <w:r>
                <w:rPr>
                  <w:rStyle w:val="a3"/>
                  <w:rFonts w:eastAsia="Times New Roman"/>
                  <w:sz w:val="18"/>
                  <w:szCs w:val="18"/>
                </w:rPr>
                <w:t>Other Information</w:t>
              </w:r>
            </w:hyperlink>
          </w:p>
        </w:tc>
        <w:tc>
          <w:tcPr>
            <w:tcW w:w="0" w:type="auto"/>
            <w:gridSpan w:val="3"/>
            <w:tcMar>
              <w:top w:w="30" w:type="dxa"/>
              <w:left w:w="20" w:type="dxa"/>
              <w:bottom w:w="30" w:type="dxa"/>
              <w:right w:w="20" w:type="dxa"/>
            </w:tcMar>
            <w:vAlign w:val="bottom"/>
            <w:hideMark/>
          </w:tcPr>
          <w:p w14:paraId="6E91C4DB" w14:textId="77777777" w:rsidR="00000000" w:rsidRDefault="009B6C69">
            <w:pPr>
              <w:spacing w:after="100"/>
              <w:jc w:val="right"/>
              <w:rPr>
                <w:rFonts w:eastAsia="Times New Roman"/>
              </w:rPr>
            </w:pPr>
            <w:hyperlink w:anchor="i9ad6dd4fe99344baa66ed135956810b0_142" w:history="1">
              <w:r>
                <w:rPr>
                  <w:rStyle w:val="a3"/>
                  <w:rFonts w:eastAsia="Times New Roman"/>
                  <w:sz w:val="18"/>
                  <w:szCs w:val="18"/>
                </w:rPr>
                <w:t>50</w:t>
              </w:r>
            </w:hyperlink>
          </w:p>
        </w:tc>
      </w:tr>
      <w:tr w:rsidR="00000000" w14:paraId="32300CB8" w14:textId="77777777">
        <w:trPr>
          <w:jc w:val="center"/>
        </w:trPr>
        <w:tc>
          <w:tcPr>
            <w:tcW w:w="0" w:type="auto"/>
            <w:gridSpan w:val="3"/>
            <w:tcMar>
              <w:top w:w="30" w:type="dxa"/>
              <w:left w:w="20" w:type="dxa"/>
              <w:bottom w:w="30" w:type="dxa"/>
              <w:right w:w="20" w:type="dxa"/>
            </w:tcMar>
            <w:vAlign w:val="bottom"/>
            <w:hideMark/>
          </w:tcPr>
          <w:p w14:paraId="6E7B03EF" w14:textId="77777777" w:rsidR="00000000" w:rsidRDefault="009B6C69">
            <w:pPr>
              <w:spacing w:after="100"/>
              <w:divId w:val="790709898"/>
              <w:rPr>
                <w:rFonts w:eastAsia="Times New Roman"/>
              </w:rPr>
            </w:pPr>
            <w:hyperlink w:anchor="i9ad6dd4fe99344baa66ed135956810b0_2453" w:history="1">
              <w:r>
                <w:rPr>
                  <w:rStyle w:val="a3"/>
                  <w:rFonts w:eastAsia="Times New Roman"/>
                  <w:sz w:val="18"/>
                  <w:szCs w:val="18"/>
                </w:rPr>
                <w:t>Item 9</w:t>
              </w:r>
            </w:hyperlink>
            <w:hyperlink w:anchor="i9ad6dd4fe99344baa66ed135956810b0_2453" w:history="1">
              <w:r>
                <w:rPr>
                  <w:rStyle w:val="a3"/>
                  <w:rFonts w:eastAsia="Times New Roman"/>
                  <w:sz w:val="18"/>
                  <w:szCs w:val="18"/>
                </w:rPr>
                <w:t>C</w:t>
              </w:r>
            </w:hyperlink>
            <w:hyperlink w:anchor="i9ad6dd4fe99344baa66ed135956810b0_2453" w:history="1">
              <w:r>
                <w:rPr>
                  <w:rStyle w:val="a3"/>
                  <w:rFonts w:eastAsia="Times New Roman"/>
                  <w:sz w:val="18"/>
                  <w:szCs w:val="18"/>
                </w:rPr>
                <w:t>.</w:t>
              </w:r>
            </w:hyperlink>
          </w:p>
        </w:tc>
        <w:tc>
          <w:tcPr>
            <w:tcW w:w="0" w:type="auto"/>
            <w:gridSpan w:val="3"/>
            <w:tcMar>
              <w:top w:w="30" w:type="dxa"/>
              <w:left w:w="20" w:type="dxa"/>
              <w:bottom w:w="30" w:type="dxa"/>
              <w:right w:w="20" w:type="dxa"/>
            </w:tcMar>
            <w:vAlign w:val="bottom"/>
            <w:hideMark/>
          </w:tcPr>
          <w:p w14:paraId="0052DBF8" w14:textId="77777777" w:rsidR="00000000" w:rsidRDefault="009B6C69">
            <w:pPr>
              <w:spacing w:after="100"/>
              <w:divId w:val="958876001"/>
              <w:rPr>
                <w:rFonts w:eastAsia="Times New Roman"/>
              </w:rPr>
            </w:pPr>
            <w:hyperlink w:anchor="i9ad6dd4fe99344baa66ed135956810b0_2453" w:history="1">
              <w:r>
                <w:rPr>
                  <w:rStyle w:val="a3"/>
                  <w:rFonts w:eastAsia="Times New Roman"/>
                  <w:sz w:val="18"/>
                  <w:szCs w:val="18"/>
                </w:rPr>
                <w:t>Disclosure Regarding Foreign Jurisdictions that Prevent Inspections</w:t>
              </w:r>
            </w:hyperlink>
          </w:p>
        </w:tc>
        <w:tc>
          <w:tcPr>
            <w:tcW w:w="0" w:type="auto"/>
            <w:gridSpan w:val="3"/>
            <w:tcMar>
              <w:top w:w="30" w:type="dxa"/>
              <w:left w:w="20" w:type="dxa"/>
              <w:bottom w:w="30" w:type="dxa"/>
              <w:right w:w="20" w:type="dxa"/>
            </w:tcMar>
            <w:vAlign w:val="bottom"/>
            <w:hideMark/>
          </w:tcPr>
          <w:p w14:paraId="05CD5B31" w14:textId="77777777" w:rsidR="00000000" w:rsidRDefault="009B6C69">
            <w:pPr>
              <w:spacing w:after="100"/>
              <w:jc w:val="right"/>
              <w:rPr>
                <w:rFonts w:eastAsia="Times New Roman"/>
              </w:rPr>
            </w:pPr>
            <w:hyperlink w:anchor="i9ad6dd4fe99344baa66ed135956810b0_2453" w:history="1">
              <w:r>
                <w:rPr>
                  <w:rStyle w:val="a3"/>
                  <w:rFonts w:eastAsia="Times New Roman"/>
                  <w:sz w:val="18"/>
                  <w:szCs w:val="18"/>
                </w:rPr>
                <w:t>50</w:t>
              </w:r>
            </w:hyperlink>
          </w:p>
        </w:tc>
      </w:tr>
      <w:tr w:rsidR="00000000" w14:paraId="1291CEF5" w14:textId="77777777">
        <w:trPr>
          <w:jc w:val="center"/>
        </w:trPr>
        <w:tc>
          <w:tcPr>
            <w:tcW w:w="0" w:type="auto"/>
            <w:gridSpan w:val="3"/>
            <w:tcMar>
              <w:top w:w="0" w:type="dxa"/>
              <w:left w:w="20" w:type="dxa"/>
              <w:bottom w:w="0" w:type="dxa"/>
              <w:right w:w="20" w:type="dxa"/>
            </w:tcMar>
            <w:vAlign w:val="center"/>
            <w:hideMark/>
          </w:tcPr>
          <w:p w14:paraId="7864AD3E" w14:textId="77777777" w:rsidR="00000000" w:rsidRDefault="009B6C69">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49571899" w14:textId="77777777" w:rsidR="00000000" w:rsidRDefault="009B6C6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2D578B90" w14:textId="77777777" w:rsidR="00000000" w:rsidRDefault="009B6C69">
            <w:pPr>
              <w:spacing w:after="100"/>
              <w:rPr>
                <w:rFonts w:eastAsia="Times New Roman"/>
              </w:rPr>
            </w:pPr>
          </w:p>
        </w:tc>
      </w:tr>
      <w:tr w:rsidR="00000000" w14:paraId="40BDD98F" w14:textId="77777777">
        <w:trPr>
          <w:jc w:val="center"/>
        </w:trPr>
        <w:tc>
          <w:tcPr>
            <w:tcW w:w="0" w:type="auto"/>
            <w:gridSpan w:val="9"/>
            <w:tcMar>
              <w:top w:w="30" w:type="dxa"/>
              <w:left w:w="20" w:type="dxa"/>
              <w:bottom w:w="30" w:type="dxa"/>
              <w:right w:w="20" w:type="dxa"/>
            </w:tcMar>
            <w:vAlign w:val="bottom"/>
            <w:hideMark/>
          </w:tcPr>
          <w:p w14:paraId="7EBD56F4" w14:textId="77777777" w:rsidR="00000000" w:rsidRDefault="009B6C69">
            <w:pPr>
              <w:spacing w:after="100"/>
              <w:jc w:val="center"/>
              <w:rPr>
                <w:rFonts w:eastAsia="Times New Roman"/>
              </w:rPr>
            </w:pPr>
            <w:hyperlink w:anchor="i9ad6dd4fe99344baa66ed135956810b0_145" w:history="1">
              <w:r>
                <w:rPr>
                  <w:rStyle w:val="a3"/>
                  <w:rFonts w:eastAsia="Times New Roman"/>
                  <w:b/>
                  <w:bCs/>
                  <w:sz w:val="18"/>
                  <w:szCs w:val="18"/>
                </w:rPr>
                <w:t>PART III</w:t>
              </w:r>
            </w:hyperlink>
          </w:p>
        </w:tc>
      </w:tr>
      <w:tr w:rsidR="00000000" w14:paraId="1AF4034A" w14:textId="77777777">
        <w:trPr>
          <w:jc w:val="center"/>
        </w:trPr>
        <w:tc>
          <w:tcPr>
            <w:tcW w:w="0" w:type="auto"/>
            <w:gridSpan w:val="3"/>
            <w:tcMar>
              <w:top w:w="0" w:type="dxa"/>
              <w:left w:w="20" w:type="dxa"/>
              <w:bottom w:w="0" w:type="dxa"/>
              <w:right w:w="20" w:type="dxa"/>
            </w:tcMar>
            <w:vAlign w:val="center"/>
            <w:hideMark/>
          </w:tcPr>
          <w:p w14:paraId="4E5013CC"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1145292" w14:textId="77777777" w:rsidR="00000000" w:rsidRDefault="009B6C6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33B0A699" w14:textId="77777777" w:rsidR="00000000" w:rsidRDefault="009B6C69">
            <w:pPr>
              <w:spacing w:after="100"/>
              <w:rPr>
                <w:rFonts w:eastAsia="Times New Roman"/>
              </w:rPr>
            </w:pPr>
          </w:p>
        </w:tc>
      </w:tr>
      <w:tr w:rsidR="00000000" w14:paraId="15ACA893" w14:textId="77777777">
        <w:trPr>
          <w:jc w:val="center"/>
        </w:trPr>
        <w:tc>
          <w:tcPr>
            <w:tcW w:w="0" w:type="auto"/>
            <w:gridSpan w:val="3"/>
            <w:tcMar>
              <w:top w:w="30" w:type="dxa"/>
              <w:left w:w="20" w:type="dxa"/>
              <w:bottom w:w="30" w:type="dxa"/>
              <w:right w:w="20" w:type="dxa"/>
            </w:tcMar>
            <w:vAlign w:val="bottom"/>
            <w:hideMark/>
          </w:tcPr>
          <w:p w14:paraId="1E2F0135" w14:textId="77777777" w:rsidR="00000000" w:rsidRDefault="009B6C69">
            <w:pPr>
              <w:spacing w:after="100"/>
              <w:divId w:val="431632332"/>
              <w:rPr>
                <w:rFonts w:eastAsia="Times New Roman"/>
              </w:rPr>
            </w:pPr>
            <w:hyperlink w:anchor="i9ad6dd4fe99344baa66ed135956810b0_148" w:history="1">
              <w:r>
                <w:rPr>
                  <w:rStyle w:val="a3"/>
                  <w:rFonts w:eastAsia="Times New Roman"/>
                  <w:sz w:val="18"/>
                  <w:szCs w:val="18"/>
                </w:rPr>
                <w:t>Item 10.</w:t>
              </w:r>
            </w:hyperlink>
          </w:p>
        </w:tc>
        <w:tc>
          <w:tcPr>
            <w:tcW w:w="0" w:type="auto"/>
            <w:gridSpan w:val="3"/>
            <w:tcMar>
              <w:top w:w="30" w:type="dxa"/>
              <w:left w:w="20" w:type="dxa"/>
              <w:bottom w:w="30" w:type="dxa"/>
              <w:right w:w="20" w:type="dxa"/>
            </w:tcMar>
            <w:vAlign w:val="bottom"/>
            <w:hideMark/>
          </w:tcPr>
          <w:p w14:paraId="0C4E0122" w14:textId="77777777" w:rsidR="00000000" w:rsidRDefault="009B6C69">
            <w:pPr>
              <w:spacing w:after="100"/>
              <w:divId w:val="854802424"/>
              <w:rPr>
                <w:rFonts w:eastAsia="Times New Roman"/>
              </w:rPr>
            </w:pPr>
            <w:hyperlink w:anchor="i9ad6dd4fe99344baa66ed135956810b0_148" w:history="1">
              <w:r>
                <w:rPr>
                  <w:rStyle w:val="a3"/>
                  <w:rFonts w:eastAsia="Times New Roman"/>
                  <w:sz w:val="18"/>
                  <w:szCs w:val="18"/>
                </w:rPr>
                <w:t>Directors, Executive Officers and Corporate Governance</w:t>
              </w:r>
            </w:hyperlink>
          </w:p>
        </w:tc>
        <w:tc>
          <w:tcPr>
            <w:tcW w:w="0" w:type="auto"/>
            <w:gridSpan w:val="3"/>
            <w:tcMar>
              <w:top w:w="30" w:type="dxa"/>
              <w:left w:w="20" w:type="dxa"/>
              <w:bottom w:w="30" w:type="dxa"/>
              <w:right w:w="20" w:type="dxa"/>
            </w:tcMar>
            <w:vAlign w:val="bottom"/>
            <w:hideMark/>
          </w:tcPr>
          <w:p w14:paraId="278E35A4" w14:textId="77777777" w:rsidR="00000000" w:rsidRDefault="009B6C69">
            <w:pPr>
              <w:spacing w:after="100"/>
              <w:jc w:val="right"/>
              <w:rPr>
                <w:rFonts w:eastAsia="Times New Roman"/>
              </w:rPr>
            </w:pPr>
            <w:hyperlink w:anchor="i9ad6dd4fe99344baa66ed135956810b0_148" w:history="1">
              <w:r>
                <w:rPr>
                  <w:rStyle w:val="a3"/>
                  <w:rFonts w:eastAsia="Times New Roman"/>
                  <w:sz w:val="18"/>
                  <w:szCs w:val="18"/>
                </w:rPr>
                <w:t>51</w:t>
              </w:r>
            </w:hyperlink>
          </w:p>
        </w:tc>
      </w:tr>
      <w:tr w:rsidR="00000000" w14:paraId="525A226C" w14:textId="77777777">
        <w:trPr>
          <w:jc w:val="center"/>
        </w:trPr>
        <w:tc>
          <w:tcPr>
            <w:tcW w:w="0" w:type="auto"/>
            <w:gridSpan w:val="3"/>
            <w:tcMar>
              <w:top w:w="30" w:type="dxa"/>
              <w:left w:w="20" w:type="dxa"/>
              <w:bottom w:w="30" w:type="dxa"/>
              <w:right w:w="20" w:type="dxa"/>
            </w:tcMar>
            <w:vAlign w:val="bottom"/>
            <w:hideMark/>
          </w:tcPr>
          <w:p w14:paraId="1BCBDAA2" w14:textId="77777777" w:rsidR="00000000" w:rsidRDefault="009B6C69">
            <w:pPr>
              <w:spacing w:after="100"/>
              <w:divId w:val="709110675"/>
              <w:rPr>
                <w:rFonts w:eastAsia="Times New Roman"/>
              </w:rPr>
            </w:pPr>
            <w:hyperlink w:anchor="i9ad6dd4fe99344baa66ed135956810b0_151" w:history="1">
              <w:r>
                <w:rPr>
                  <w:rStyle w:val="a3"/>
                  <w:rFonts w:eastAsia="Times New Roman"/>
                  <w:sz w:val="18"/>
                  <w:szCs w:val="18"/>
                </w:rPr>
                <w:t>Item 11.</w:t>
              </w:r>
            </w:hyperlink>
          </w:p>
        </w:tc>
        <w:tc>
          <w:tcPr>
            <w:tcW w:w="0" w:type="auto"/>
            <w:gridSpan w:val="3"/>
            <w:tcMar>
              <w:top w:w="30" w:type="dxa"/>
              <w:left w:w="20" w:type="dxa"/>
              <w:bottom w:w="30" w:type="dxa"/>
              <w:right w:w="20" w:type="dxa"/>
            </w:tcMar>
            <w:vAlign w:val="bottom"/>
            <w:hideMark/>
          </w:tcPr>
          <w:p w14:paraId="768F3A69" w14:textId="77777777" w:rsidR="00000000" w:rsidRDefault="009B6C69">
            <w:pPr>
              <w:spacing w:after="100"/>
              <w:divId w:val="892692182"/>
              <w:rPr>
                <w:rFonts w:eastAsia="Times New Roman"/>
              </w:rPr>
            </w:pPr>
            <w:hyperlink w:anchor="i9ad6dd4fe99344baa66ed135956810b0_151" w:history="1">
              <w:r>
                <w:rPr>
                  <w:rStyle w:val="a3"/>
                  <w:rFonts w:eastAsia="Times New Roman"/>
                  <w:sz w:val="18"/>
                  <w:szCs w:val="18"/>
                </w:rPr>
                <w:t>Executive Compensation</w:t>
              </w:r>
            </w:hyperlink>
          </w:p>
        </w:tc>
        <w:tc>
          <w:tcPr>
            <w:tcW w:w="0" w:type="auto"/>
            <w:gridSpan w:val="3"/>
            <w:tcMar>
              <w:top w:w="30" w:type="dxa"/>
              <w:left w:w="20" w:type="dxa"/>
              <w:bottom w:w="30" w:type="dxa"/>
              <w:right w:w="20" w:type="dxa"/>
            </w:tcMar>
            <w:vAlign w:val="bottom"/>
            <w:hideMark/>
          </w:tcPr>
          <w:p w14:paraId="6FC0CBDF" w14:textId="77777777" w:rsidR="00000000" w:rsidRDefault="009B6C69">
            <w:pPr>
              <w:spacing w:after="100"/>
              <w:jc w:val="right"/>
              <w:rPr>
                <w:rFonts w:eastAsia="Times New Roman"/>
              </w:rPr>
            </w:pPr>
            <w:hyperlink w:anchor="i9ad6dd4fe99344baa66ed135956810b0_151" w:history="1">
              <w:r>
                <w:rPr>
                  <w:rStyle w:val="a3"/>
                  <w:rFonts w:eastAsia="Times New Roman"/>
                  <w:sz w:val="18"/>
                  <w:szCs w:val="18"/>
                </w:rPr>
                <w:t>51</w:t>
              </w:r>
            </w:hyperlink>
          </w:p>
        </w:tc>
      </w:tr>
      <w:tr w:rsidR="00000000" w14:paraId="7F41B86D" w14:textId="77777777">
        <w:trPr>
          <w:jc w:val="center"/>
        </w:trPr>
        <w:tc>
          <w:tcPr>
            <w:tcW w:w="0" w:type="auto"/>
            <w:gridSpan w:val="3"/>
            <w:tcMar>
              <w:top w:w="30" w:type="dxa"/>
              <w:left w:w="20" w:type="dxa"/>
              <w:bottom w:w="30" w:type="dxa"/>
              <w:right w:w="20" w:type="dxa"/>
            </w:tcMar>
            <w:vAlign w:val="bottom"/>
            <w:hideMark/>
          </w:tcPr>
          <w:p w14:paraId="66E75F2D" w14:textId="77777777" w:rsidR="00000000" w:rsidRDefault="009B6C69">
            <w:pPr>
              <w:spacing w:after="100"/>
              <w:divId w:val="879828917"/>
              <w:rPr>
                <w:rFonts w:eastAsia="Times New Roman"/>
              </w:rPr>
            </w:pPr>
            <w:hyperlink w:anchor="i9ad6dd4fe99344baa66ed135956810b0_154" w:history="1">
              <w:r>
                <w:rPr>
                  <w:rStyle w:val="a3"/>
                  <w:rFonts w:eastAsia="Times New Roman"/>
                  <w:sz w:val="18"/>
                  <w:szCs w:val="18"/>
                </w:rPr>
                <w:t>Item 12.</w:t>
              </w:r>
            </w:hyperlink>
          </w:p>
        </w:tc>
        <w:tc>
          <w:tcPr>
            <w:tcW w:w="0" w:type="auto"/>
            <w:gridSpan w:val="3"/>
            <w:tcMar>
              <w:top w:w="30" w:type="dxa"/>
              <w:left w:w="20" w:type="dxa"/>
              <w:bottom w:w="30" w:type="dxa"/>
              <w:right w:w="20" w:type="dxa"/>
            </w:tcMar>
            <w:vAlign w:val="bottom"/>
            <w:hideMark/>
          </w:tcPr>
          <w:p w14:paraId="553B284C" w14:textId="77777777" w:rsidR="00000000" w:rsidRDefault="009B6C69">
            <w:pPr>
              <w:spacing w:after="100"/>
              <w:divId w:val="2094160024"/>
              <w:rPr>
                <w:rFonts w:eastAsia="Times New Roman"/>
              </w:rPr>
            </w:pPr>
            <w:hyperlink w:anchor="i9ad6dd4fe99344baa66ed135956810b0_154" w:history="1">
              <w:r>
                <w:rPr>
                  <w:rStyle w:val="a3"/>
                  <w:rFonts w:eastAsia="Times New Roman"/>
                  <w:sz w:val="18"/>
                  <w:szCs w:val="18"/>
                </w:rPr>
                <w:t>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14:paraId="5985DB7A" w14:textId="77777777" w:rsidR="00000000" w:rsidRDefault="009B6C69">
            <w:pPr>
              <w:spacing w:after="100"/>
              <w:jc w:val="right"/>
              <w:rPr>
                <w:rFonts w:eastAsia="Times New Roman"/>
              </w:rPr>
            </w:pPr>
            <w:hyperlink w:anchor="i9ad6dd4fe99344baa66ed135956810b0_154" w:history="1">
              <w:r>
                <w:rPr>
                  <w:rStyle w:val="a3"/>
                  <w:rFonts w:eastAsia="Times New Roman"/>
                  <w:sz w:val="18"/>
                  <w:szCs w:val="18"/>
                </w:rPr>
                <w:t>51</w:t>
              </w:r>
            </w:hyperlink>
          </w:p>
        </w:tc>
      </w:tr>
      <w:tr w:rsidR="00000000" w14:paraId="761574DA" w14:textId="77777777">
        <w:trPr>
          <w:jc w:val="center"/>
        </w:trPr>
        <w:tc>
          <w:tcPr>
            <w:tcW w:w="0" w:type="auto"/>
            <w:gridSpan w:val="3"/>
            <w:tcMar>
              <w:top w:w="30" w:type="dxa"/>
              <w:left w:w="20" w:type="dxa"/>
              <w:bottom w:w="30" w:type="dxa"/>
              <w:right w:w="20" w:type="dxa"/>
            </w:tcMar>
            <w:vAlign w:val="bottom"/>
            <w:hideMark/>
          </w:tcPr>
          <w:p w14:paraId="174D1706" w14:textId="77777777" w:rsidR="00000000" w:rsidRDefault="009B6C69">
            <w:pPr>
              <w:spacing w:after="100"/>
              <w:divId w:val="1426146904"/>
              <w:rPr>
                <w:rFonts w:eastAsia="Times New Roman"/>
              </w:rPr>
            </w:pPr>
            <w:hyperlink w:anchor="i9ad6dd4fe99344baa66ed135956810b0_157" w:history="1">
              <w:r>
                <w:rPr>
                  <w:rStyle w:val="a3"/>
                  <w:rFonts w:eastAsia="Times New Roman"/>
                  <w:sz w:val="18"/>
                  <w:szCs w:val="18"/>
                </w:rPr>
                <w:t>Item 13.</w:t>
              </w:r>
            </w:hyperlink>
          </w:p>
        </w:tc>
        <w:tc>
          <w:tcPr>
            <w:tcW w:w="0" w:type="auto"/>
            <w:gridSpan w:val="3"/>
            <w:tcMar>
              <w:top w:w="30" w:type="dxa"/>
              <w:left w:w="20" w:type="dxa"/>
              <w:bottom w:w="30" w:type="dxa"/>
              <w:right w:w="20" w:type="dxa"/>
            </w:tcMar>
            <w:vAlign w:val="bottom"/>
            <w:hideMark/>
          </w:tcPr>
          <w:p w14:paraId="03790A8A" w14:textId="77777777" w:rsidR="00000000" w:rsidRDefault="009B6C69">
            <w:pPr>
              <w:spacing w:after="100"/>
              <w:divId w:val="1045445786"/>
              <w:rPr>
                <w:rFonts w:eastAsia="Times New Roman"/>
              </w:rPr>
            </w:pPr>
            <w:hyperlink w:anchor="i9ad6dd4fe99344baa66ed135956810b0_157" w:history="1">
              <w:r>
                <w:rPr>
                  <w:rStyle w:val="a3"/>
                  <w:rFonts w:eastAsia="Times New Roman"/>
                  <w:sz w:val="18"/>
                  <w:szCs w:val="18"/>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14:paraId="5595FCF0" w14:textId="77777777" w:rsidR="00000000" w:rsidRDefault="009B6C69">
            <w:pPr>
              <w:spacing w:after="100"/>
              <w:jc w:val="right"/>
              <w:rPr>
                <w:rFonts w:eastAsia="Times New Roman"/>
              </w:rPr>
            </w:pPr>
            <w:hyperlink w:anchor="i9ad6dd4fe99344baa66ed135956810b0_157" w:history="1">
              <w:r>
                <w:rPr>
                  <w:rStyle w:val="a3"/>
                  <w:rFonts w:eastAsia="Times New Roman"/>
                  <w:sz w:val="18"/>
                  <w:szCs w:val="18"/>
                </w:rPr>
                <w:t>51</w:t>
              </w:r>
            </w:hyperlink>
          </w:p>
        </w:tc>
      </w:tr>
      <w:tr w:rsidR="00000000" w14:paraId="285E99C1" w14:textId="77777777">
        <w:trPr>
          <w:jc w:val="center"/>
        </w:trPr>
        <w:tc>
          <w:tcPr>
            <w:tcW w:w="0" w:type="auto"/>
            <w:gridSpan w:val="3"/>
            <w:tcMar>
              <w:top w:w="30" w:type="dxa"/>
              <w:left w:w="20" w:type="dxa"/>
              <w:bottom w:w="30" w:type="dxa"/>
              <w:right w:w="20" w:type="dxa"/>
            </w:tcMar>
            <w:vAlign w:val="bottom"/>
            <w:hideMark/>
          </w:tcPr>
          <w:p w14:paraId="3030BE17" w14:textId="77777777" w:rsidR="00000000" w:rsidRDefault="009B6C69">
            <w:pPr>
              <w:spacing w:after="100"/>
              <w:divId w:val="1913853781"/>
              <w:rPr>
                <w:rFonts w:eastAsia="Times New Roman"/>
              </w:rPr>
            </w:pPr>
            <w:hyperlink w:anchor="i9ad6dd4fe99344baa66ed135956810b0_160" w:history="1">
              <w:r>
                <w:rPr>
                  <w:rStyle w:val="a3"/>
                  <w:rFonts w:eastAsia="Times New Roman"/>
                  <w:sz w:val="18"/>
                  <w:szCs w:val="18"/>
                </w:rPr>
                <w:t>Item 14.</w:t>
              </w:r>
            </w:hyperlink>
          </w:p>
        </w:tc>
        <w:tc>
          <w:tcPr>
            <w:tcW w:w="0" w:type="auto"/>
            <w:gridSpan w:val="3"/>
            <w:tcMar>
              <w:top w:w="30" w:type="dxa"/>
              <w:left w:w="20" w:type="dxa"/>
              <w:bottom w:w="30" w:type="dxa"/>
              <w:right w:w="20" w:type="dxa"/>
            </w:tcMar>
            <w:vAlign w:val="bottom"/>
            <w:hideMark/>
          </w:tcPr>
          <w:p w14:paraId="58F94B99" w14:textId="77777777" w:rsidR="00000000" w:rsidRDefault="009B6C69">
            <w:pPr>
              <w:spacing w:after="100"/>
              <w:divId w:val="342630440"/>
              <w:rPr>
                <w:rFonts w:eastAsia="Times New Roman"/>
              </w:rPr>
            </w:pPr>
            <w:hyperlink w:anchor="i9ad6dd4fe99344baa66ed135956810b0_160" w:history="1">
              <w:r>
                <w:rPr>
                  <w:rStyle w:val="a3"/>
                  <w:rFonts w:eastAsia="Times New Roman"/>
                  <w:sz w:val="18"/>
                  <w:szCs w:val="18"/>
                </w:rPr>
                <w:t>Principal Accounting Fees and Services</w:t>
              </w:r>
            </w:hyperlink>
          </w:p>
        </w:tc>
        <w:tc>
          <w:tcPr>
            <w:tcW w:w="0" w:type="auto"/>
            <w:gridSpan w:val="3"/>
            <w:tcMar>
              <w:top w:w="30" w:type="dxa"/>
              <w:left w:w="20" w:type="dxa"/>
              <w:bottom w:w="30" w:type="dxa"/>
              <w:right w:w="20" w:type="dxa"/>
            </w:tcMar>
            <w:vAlign w:val="bottom"/>
            <w:hideMark/>
          </w:tcPr>
          <w:p w14:paraId="6ED62537" w14:textId="77777777" w:rsidR="00000000" w:rsidRDefault="009B6C69">
            <w:pPr>
              <w:spacing w:after="100"/>
              <w:jc w:val="right"/>
              <w:rPr>
                <w:rFonts w:eastAsia="Times New Roman"/>
              </w:rPr>
            </w:pPr>
            <w:hyperlink w:anchor="i9ad6dd4fe99344baa66ed135956810b0_160" w:history="1">
              <w:r>
                <w:rPr>
                  <w:rStyle w:val="a3"/>
                  <w:rFonts w:eastAsia="Times New Roman"/>
                  <w:sz w:val="18"/>
                  <w:szCs w:val="18"/>
                </w:rPr>
                <w:t>51</w:t>
              </w:r>
            </w:hyperlink>
          </w:p>
        </w:tc>
      </w:tr>
      <w:tr w:rsidR="00000000" w14:paraId="2F18F1BE" w14:textId="77777777">
        <w:trPr>
          <w:jc w:val="center"/>
        </w:trPr>
        <w:tc>
          <w:tcPr>
            <w:tcW w:w="0" w:type="auto"/>
            <w:gridSpan w:val="3"/>
            <w:tcMar>
              <w:top w:w="0" w:type="dxa"/>
              <w:left w:w="20" w:type="dxa"/>
              <w:bottom w:w="0" w:type="dxa"/>
              <w:right w:w="20" w:type="dxa"/>
            </w:tcMar>
            <w:vAlign w:val="center"/>
            <w:hideMark/>
          </w:tcPr>
          <w:p w14:paraId="503D54CF" w14:textId="77777777" w:rsidR="00000000" w:rsidRDefault="009B6C69">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BEB5EEA" w14:textId="77777777" w:rsidR="00000000" w:rsidRDefault="009B6C6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6FA52F6A" w14:textId="77777777" w:rsidR="00000000" w:rsidRDefault="009B6C69">
            <w:pPr>
              <w:spacing w:after="100"/>
              <w:rPr>
                <w:rFonts w:eastAsia="Times New Roman"/>
              </w:rPr>
            </w:pPr>
          </w:p>
        </w:tc>
      </w:tr>
      <w:tr w:rsidR="00000000" w14:paraId="4A10AA4F" w14:textId="77777777">
        <w:trPr>
          <w:jc w:val="center"/>
        </w:trPr>
        <w:tc>
          <w:tcPr>
            <w:tcW w:w="0" w:type="auto"/>
            <w:gridSpan w:val="9"/>
            <w:tcMar>
              <w:top w:w="30" w:type="dxa"/>
              <w:left w:w="20" w:type="dxa"/>
              <w:bottom w:w="30" w:type="dxa"/>
              <w:right w:w="20" w:type="dxa"/>
            </w:tcMar>
            <w:vAlign w:val="bottom"/>
            <w:hideMark/>
          </w:tcPr>
          <w:p w14:paraId="6AFEBFCA" w14:textId="77777777" w:rsidR="00000000" w:rsidRDefault="009B6C69">
            <w:pPr>
              <w:spacing w:after="100"/>
              <w:jc w:val="center"/>
              <w:rPr>
                <w:rFonts w:eastAsia="Times New Roman"/>
              </w:rPr>
            </w:pPr>
            <w:hyperlink w:anchor="i9ad6dd4fe99344baa66ed135956810b0_163" w:history="1">
              <w:r>
                <w:rPr>
                  <w:rStyle w:val="a3"/>
                  <w:rFonts w:eastAsia="Times New Roman"/>
                  <w:b/>
                  <w:bCs/>
                  <w:sz w:val="18"/>
                  <w:szCs w:val="18"/>
                </w:rPr>
                <w:t>PART IV</w:t>
              </w:r>
            </w:hyperlink>
          </w:p>
        </w:tc>
      </w:tr>
      <w:tr w:rsidR="00000000" w14:paraId="589404CB" w14:textId="77777777">
        <w:trPr>
          <w:jc w:val="center"/>
        </w:trPr>
        <w:tc>
          <w:tcPr>
            <w:tcW w:w="0" w:type="auto"/>
            <w:gridSpan w:val="3"/>
            <w:tcMar>
              <w:top w:w="0" w:type="dxa"/>
              <w:left w:w="20" w:type="dxa"/>
              <w:bottom w:w="0" w:type="dxa"/>
              <w:right w:w="20" w:type="dxa"/>
            </w:tcMar>
            <w:vAlign w:val="center"/>
            <w:hideMark/>
          </w:tcPr>
          <w:p w14:paraId="7C627156"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7A2EBDF" w14:textId="77777777" w:rsidR="00000000" w:rsidRDefault="009B6C6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703FBF1F" w14:textId="77777777" w:rsidR="00000000" w:rsidRDefault="009B6C69">
            <w:pPr>
              <w:spacing w:after="100"/>
              <w:rPr>
                <w:rFonts w:eastAsia="Times New Roman"/>
              </w:rPr>
            </w:pPr>
          </w:p>
        </w:tc>
      </w:tr>
      <w:tr w:rsidR="00000000" w14:paraId="34C6802D" w14:textId="77777777">
        <w:trPr>
          <w:jc w:val="center"/>
        </w:trPr>
        <w:tc>
          <w:tcPr>
            <w:tcW w:w="0" w:type="auto"/>
            <w:gridSpan w:val="3"/>
            <w:tcMar>
              <w:top w:w="30" w:type="dxa"/>
              <w:left w:w="20" w:type="dxa"/>
              <w:bottom w:w="30" w:type="dxa"/>
              <w:right w:w="20" w:type="dxa"/>
            </w:tcMar>
            <w:vAlign w:val="bottom"/>
            <w:hideMark/>
          </w:tcPr>
          <w:p w14:paraId="4188B564" w14:textId="77777777" w:rsidR="00000000" w:rsidRDefault="009B6C69">
            <w:pPr>
              <w:spacing w:after="100"/>
              <w:divId w:val="536353243"/>
              <w:rPr>
                <w:rFonts w:eastAsia="Times New Roman"/>
              </w:rPr>
            </w:pPr>
            <w:hyperlink w:anchor="i9ad6dd4fe99344baa66ed135956810b0_166" w:history="1">
              <w:r>
                <w:rPr>
                  <w:rStyle w:val="a3"/>
                  <w:rFonts w:eastAsia="Times New Roman"/>
                  <w:sz w:val="18"/>
                  <w:szCs w:val="18"/>
                </w:rPr>
                <w:t>Item 15.</w:t>
              </w:r>
            </w:hyperlink>
          </w:p>
        </w:tc>
        <w:tc>
          <w:tcPr>
            <w:tcW w:w="0" w:type="auto"/>
            <w:gridSpan w:val="3"/>
            <w:tcMar>
              <w:top w:w="30" w:type="dxa"/>
              <w:left w:w="20" w:type="dxa"/>
              <w:bottom w:w="30" w:type="dxa"/>
              <w:right w:w="20" w:type="dxa"/>
            </w:tcMar>
            <w:vAlign w:val="bottom"/>
            <w:hideMark/>
          </w:tcPr>
          <w:p w14:paraId="34A38868" w14:textId="77777777" w:rsidR="00000000" w:rsidRDefault="009B6C69">
            <w:pPr>
              <w:spacing w:after="100"/>
              <w:divId w:val="1799454180"/>
              <w:rPr>
                <w:rFonts w:eastAsia="Times New Roman"/>
              </w:rPr>
            </w:pPr>
            <w:hyperlink w:anchor="i9ad6dd4fe99344baa66ed135956810b0_166" w:history="1">
              <w:r>
                <w:rPr>
                  <w:rStyle w:val="a3"/>
                  <w:rFonts w:eastAsia="Times New Roman"/>
                  <w:sz w:val="18"/>
                  <w:szCs w:val="18"/>
                </w:rPr>
                <w:t>Exhibits and Financial Statement Schedules</w:t>
              </w:r>
            </w:hyperlink>
          </w:p>
        </w:tc>
        <w:tc>
          <w:tcPr>
            <w:tcW w:w="0" w:type="auto"/>
            <w:gridSpan w:val="3"/>
            <w:tcMar>
              <w:top w:w="30" w:type="dxa"/>
              <w:left w:w="20" w:type="dxa"/>
              <w:bottom w:w="30" w:type="dxa"/>
              <w:right w:w="20" w:type="dxa"/>
            </w:tcMar>
            <w:vAlign w:val="bottom"/>
            <w:hideMark/>
          </w:tcPr>
          <w:p w14:paraId="00B4D7C6" w14:textId="77777777" w:rsidR="00000000" w:rsidRDefault="009B6C69">
            <w:pPr>
              <w:spacing w:after="100"/>
              <w:jc w:val="right"/>
              <w:rPr>
                <w:rFonts w:eastAsia="Times New Roman"/>
              </w:rPr>
            </w:pPr>
            <w:hyperlink w:anchor="i9ad6dd4fe99344baa66ed135956810b0_166" w:history="1">
              <w:r>
                <w:rPr>
                  <w:rStyle w:val="a3"/>
                  <w:rFonts w:eastAsia="Times New Roman"/>
                  <w:sz w:val="18"/>
                  <w:szCs w:val="18"/>
                </w:rPr>
                <w:t>51</w:t>
              </w:r>
            </w:hyperlink>
          </w:p>
        </w:tc>
      </w:tr>
      <w:tr w:rsidR="00000000" w14:paraId="7035EB4C" w14:textId="77777777">
        <w:trPr>
          <w:jc w:val="center"/>
        </w:trPr>
        <w:tc>
          <w:tcPr>
            <w:tcW w:w="0" w:type="auto"/>
            <w:gridSpan w:val="3"/>
            <w:tcMar>
              <w:top w:w="30" w:type="dxa"/>
              <w:left w:w="20" w:type="dxa"/>
              <w:bottom w:w="30" w:type="dxa"/>
              <w:right w:w="20" w:type="dxa"/>
            </w:tcMar>
            <w:vAlign w:val="bottom"/>
            <w:hideMark/>
          </w:tcPr>
          <w:p w14:paraId="3E300F7F" w14:textId="77777777" w:rsidR="00000000" w:rsidRDefault="009B6C69">
            <w:pPr>
              <w:spacing w:after="100"/>
              <w:divId w:val="995300963"/>
              <w:rPr>
                <w:rFonts w:eastAsia="Times New Roman"/>
              </w:rPr>
            </w:pPr>
            <w:hyperlink w:anchor="i9ad6dd4fe99344baa66ed135956810b0_172" w:history="1">
              <w:r>
                <w:rPr>
                  <w:rStyle w:val="a3"/>
                  <w:rFonts w:eastAsia="Times New Roman"/>
                  <w:sz w:val="18"/>
                  <w:szCs w:val="18"/>
                </w:rPr>
                <w:t>Item 16.</w:t>
              </w:r>
            </w:hyperlink>
          </w:p>
        </w:tc>
        <w:tc>
          <w:tcPr>
            <w:tcW w:w="0" w:type="auto"/>
            <w:gridSpan w:val="3"/>
            <w:tcMar>
              <w:top w:w="30" w:type="dxa"/>
              <w:left w:w="20" w:type="dxa"/>
              <w:bottom w:w="30" w:type="dxa"/>
              <w:right w:w="20" w:type="dxa"/>
            </w:tcMar>
            <w:vAlign w:val="bottom"/>
            <w:hideMark/>
          </w:tcPr>
          <w:p w14:paraId="54CF559D" w14:textId="77777777" w:rsidR="00000000" w:rsidRDefault="009B6C69">
            <w:pPr>
              <w:spacing w:after="100"/>
              <w:divId w:val="1749300417"/>
              <w:rPr>
                <w:rFonts w:eastAsia="Times New Roman"/>
              </w:rPr>
            </w:pPr>
            <w:hyperlink w:anchor="i9ad6dd4fe99344baa66ed135956810b0_172" w:history="1">
              <w:r>
                <w:rPr>
                  <w:rStyle w:val="a3"/>
                  <w:rFonts w:eastAsia="Times New Roman"/>
                  <w:sz w:val="18"/>
                  <w:szCs w:val="18"/>
                </w:rPr>
                <w:t>Form 10-K Summary</w:t>
              </w:r>
            </w:hyperlink>
          </w:p>
        </w:tc>
        <w:tc>
          <w:tcPr>
            <w:tcW w:w="0" w:type="auto"/>
            <w:gridSpan w:val="3"/>
            <w:tcMar>
              <w:top w:w="30" w:type="dxa"/>
              <w:left w:w="20" w:type="dxa"/>
              <w:bottom w:w="30" w:type="dxa"/>
              <w:right w:w="20" w:type="dxa"/>
            </w:tcMar>
            <w:vAlign w:val="bottom"/>
            <w:hideMark/>
          </w:tcPr>
          <w:p w14:paraId="31143B5B" w14:textId="77777777" w:rsidR="00000000" w:rsidRDefault="009B6C69">
            <w:pPr>
              <w:spacing w:after="100"/>
              <w:jc w:val="right"/>
              <w:rPr>
                <w:rFonts w:eastAsia="Times New Roman"/>
              </w:rPr>
            </w:pPr>
            <w:hyperlink w:anchor="i9ad6dd4fe99344baa66ed135956810b0_172" w:history="1">
              <w:r>
                <w:rPr>
                  <w:rStyle w:val="a3"/>
                  <w:rFonts w:eastAsia="Times New Roman"/>
                  <w:sz w:val="18"/>
                  <w:szCs w:val="18"/>
                </w:rPr>
                <w:t>54</w:t>
              </w:r>
            </w:hyperlink>
          </w:p>
        </w:tc>
      </w:tr>
    </w:tbl>
    <w:p w14:paraId="5F90A942" w14:textId="77777777" w:rsidR="00000000" w:rsidRDefault="009B6C69">
      <w:pPr>
        <w:divId w:val="698429832"/>
        <w:rPr>
          <w:rFonts w:eastAsia="Times New Roman"/>
        </w:rPr>
      </w:pPr>
    </w:p>
    <w:p w14:paraId="4BBA437C" w14:textId="77777777" w:rsidR="00000000" w:rsidRDefault="009B6C69">
      <w:pPr>
        <w:jc w:val="center"/>
        <w:divId w:val="1450511034"/>
        <w:rPr>
          <w:rFonts w:eastAsia="Times New Roman"/>
        </w:rPr>
      </w:pPr>
      <w:r>
        <w:rPr>
          <w:rFonts w:eastAsia="Times New Roman"/>
          <w:color w:val="000000"/>
          <w:sz w:val="20"/>
          <w:szCs w:val="20"/>
        </w:rPr>
        <w:t>3</w:t>
      </w:r>
    </w:p>
    <w:p w14:paraId="43BBC536" w14:textId="77777777" w:rsidR="00000000" w:rsidRDefault="009B6C69">
      <w:pPr>
        <w:rPr>
          <w:rFonts w:eastAsia="Times New Roman"/>
        </w:rPr>
      </w:pPr>
      <w:r>
        <w:rPr>
          <w:rFonts w:eastAsia="Times New Roman"/>
        </w:rPr>
        <w:pict w14:anchorId="7005D89B">
          <v:rect id="_x0000_i1026" style="width:0;height:1.5pt" o:hralign="center" o:hrstd="t" o:hr="t" fillcolor="#a0a0a0" stroked="f"/>
        </w:pict>
      </w:r>
    </w:p>
    <w:p w14:paraId="1589884E" w14:textId="77777777" w:rsidR="00000000" w:rsidRDefault="009B6C69">
      <w:pPr>
        <w:divId w:val="898829845"/>
        <w:rPr>
          <w:rFonts w:eastAsia="Times New Roman"/>
        </w:rPr>
      </w:pPr>
    </w:p>
    <w:p w14:paraId="583ECA16" w14:textId="77777777" w:rsidR="00000000" w:rsidRDefault="009B6C69">
      <w:pPr>
        <w:divId w:val="1681854215"/>
        <w:rPr>
          <w:rFonts w:eastAsia="Times New Roman"/>
        </w:rPr>
      </w:pPr>
      <w:r>
        <w:rPr>
          <w:rFonts w:eastAsia="Times New Roman"/>
          <w:b/>
          <w:bCs/>
          <w:color w:val="000000"/>
          <w:sz w:val="20"/>
          <w:szCs w:val="20"/>
        </w:rPr>
        <w:t xml:space="preserve">Risk Factors Summary: </w:t>
      </w:r>
    </w:p>
    <w:p w14:paraId="7BDB9F35" w14:textId="77777777" w:rsidR="00000000" w:rsidRDefault="009B6C69">
      <w:pPr>
        <w:ind w:firstLine="360"/>
        <w:divId w:val="287593730"/>
        <w:rPr>
          <w:rFonts w:eastAsia="Times New Roman"/>
        </w:rPr>
      </w:pPr>
      <w:r>
        <w:rPr>
          <w:rFonts w:eastAsia="Times New Roman"/>
          <w:color w:val="000000"/>
          <w:sz w:val="20"/>
          <w:szCs w:val="20"/>
        </w:rPr>
        <w:t xml:space="preserve">Our business is subject to numerous risks and uncertainties, including those described in “Part I, Item 1A, Risk Factors” </w:t>
      </w:r>
      <w:r>
        <w:rPr>
          <w:rFonts w:eastAsia="Times New Roman"/>
          <w:color w:val="000000"/>
          <w:sz w:val="20"/>
          <w:szCs w:val="20"/>
        </w:rPr>
        <w:t xml:space="preserve">of this Annual Report. These risks include, but are not limited to, the following: </w:t>
      </w:r>
    </w:p>
    <w:p w14:paraId="33779FB4" w14:textId="77777777" w:rsidR="00000000" w:rsidRDefault="009B6C69">
      <w:pPr>
        <w:divId w:val="1045523376"/>
        <w:rPr>
          <w:rFonts w:eastAsia="Times New Roman"/>
        </w:rPr>
      </w:pPr>
      <w:r>
        <w:rPr>
          <w:rFonts w:eastAsia="Times New Roman"/>
          <w:b/>
          <w:bCs/>
          <w:color w:val="000000"/>
          <w:sz w:val="20"/>
          <w:szCs w:val="20"/>
        </w:rPr>
        <w:t>RISKS RELATED TO OUR OPERATING BUSINESSES</w:t>
      </w:r>
    </w:p>
    <w:p w14:paraId="0F368227" w14:textId="77777777" w:rsidR="00000000" w:rsidRDefault="009B6C69">
      <w:pPr>
        <w:ind w:hanging="360"/>
        <w:divId w:val="2033677823"/>
        <w:rPr>
          <w:rFonts w:eastAsia="Times New Roman"/>
        </w:rPr>
      </w:pPr>
      <w:r>
        <w:rPr>
          <w:rFonts w:eastAsia="Times New Roman"/>
          <w:i/>
          <w:iCs/>
          <w:color w:val="000000"/>
          <w:sz w:val="20"/>
          <w:szCs w:val="20"/>
        </w:rPr>
        <w:t xml:space="preserve">•We derive a significant portion of our revenues from a small number of customers and licensees, and particularly from their sale </w:t>
      </w:r>
      <w:r>
        <w:rPr>
          <w:rFonts w:eastAsia="Times New Roman"/>
          <w:i/>
          <w:iCs/>
          <w:color w:val="000000"/>
          <w:sz w:val="20"/>
          <w:szCs w:val="20"/>
        </w:rPr>
        <w:t>of premium tier devices. If revenues derived from these customers or licensees decrease or the timing of such revenues fluctuates, our business and results of operations could be negatively affected.</w:t>
      </w:r>
    </w:p>
    <w:p w14:paraId="392BC9C4" w14:textId="77777777" w:rsidR="00000000" w:rsidRDefault="009B6C69">
      <w:pPr>
        <w:ind w:hanging="360"/>
        <w:divId w:val="1843162734"/>
        <w:rPr>
          <w:rFonts w:eastAsia="Times New Roman"/>
        </w:rPr>
      </w:pPr>
      <w:r>
        <w:rPr>
          <w:rFonts w:eastAsia="Times New Roman"/>
          <w:i/>
          <w:iCs/>
          <w:color w:val="000000"/>
          <w:sz w:val="20"/>
          <w:szCs w:val="20"/>
        </w:rPr>
        <w:t xml:space="preserve">•Our business, particularly our semiconductor business, </w:t>
      </w:r>
      <w:r>
        <w:rPr>
          <w:rFonts w:eastAsia="Times New Roman"/>
          <w:i/>
          <w:iCs/>
          <w:color w:val="000000"/>
          <w:sz w:val="20"/>
          <w:szCs w:val="20"/>
        </w:rPr>
        <w:t>may suffer as a result of our customers vertically integrating (i.e., developing their own integrated circuit products).</w:t>
      </w:r>
    </w:p>
    <w:p w14:paraId="5FE83580" w14:textId="77777777" w:rsidR="00000000" w:rsidRDefault="009B6C69">
      <w:pPr>
        <w:ind w:hanging="360"/>
        <w:divId w:val="282469972"/>
        <w:rPr>
          <w:rFonts w:eastAsia="Times New Roman"/>
        </w:rPr>
      </w:pPr>
      <w:r>
        <w:rPr>
          <w:rFonts w:eastAsia="Times New Roman"/>
          <w:i/>
          <w:iCs/>
          <w:color w:val="000000"/>
          <w:sz w:val="20"/>
          <w:szCs w:val="20"/>
        </w:rPr>
        <w:t>•A significant portion of our business is concentrated in China, and the risks of such concentration are exacerbated by U.S./China trad</w:t>
      </w:r>
      <w:r>
        <w:rPr>
          <w:rFonts w:eastAsia="Times New Roman"/>
          <w:i/>
          <w:iCs/>
          <w:color w:val="000000"/>
          <w:sz w:val="20"/>
          <w:szCs w:val="20"/>
        </w:rPr>
        <w:t>e and national security tensions.</w:t>
      </w:r>
    </w:p>
    <w:p w14:paraId="6A594C69" w14:textId="77777777" w:rsidR="00000000" w:rsidRDefault="009B6C69">
      <w:pPr>
        <w:divId w:val="1815247528"/>
        <w:rPr>
          <w:rFonts w:eastAsia="Times New Roman"/>
        </w:rPr>
      </w:pPr>
      <w:r>
        <w:rPr>
          <w:rFonts w:eastAsia="Times New Roman"/>
          <w:b/>
          <w:bCs/>
          <w:color w:val="000000"/>
          <w:sz w:val="20"/>
          <w:szCs w:val="20"/>
        </w:rPr>
        <w:t>RISKS RELATED TO NEW INITIATIVES</w:t>
      </w:r>
    </w:p>
    <w:p w14:paraId="7ED53AF9" w14:textId="77777777" w:rsidR="00000000" w:rsidRDefault="009B6C69">
      <w:pPr>
        <w:ind w:hanging="360"/>
        <w:divId w:val="929243375"/>
        <w:rPr>
          <w:rFonts w:eastAsia="Times New Roman"/>
        </w:rPr>
      </w:pPr>
      <w:r>
        <w:rPr>
          <w:rFonts w:eastAsia="Times New Roman"/>
          <w:i/>
          <w:iCs/>
          <w:color w:val="000000"/>
          <w:sz w:val="20"/>
          <w:szCs w:val="20"/>
        </w:rPr>
        <w:t>•Our growth depends in part on our ability to extend our technologies and products into new and expanded product areas, and industries and applications beyond mobile handsets. Our research,</w:t>
      </w:r>
      <w:r>
        <w:rPr>
          <w:rFonts w:eastAsia="Times New Roman"/>
          <w:i/>
          <w:iCs/>
          <w:color w:val="000000"/>
          <w:sz w:val="20"/>
          <w:szCs w:val="20"/>
        </w:rPr>
        <w:t xml:space="preserve"> development and other investments in these new and expanded product areas, industries and applications, and related technologies and products, as well as in our existing technologies and products, and new technologies, may not generate operating income or</w:t>
      </w:r>
      <w:r>
        <w:rPr>
          <w:rFonts w:eastAsia="Times New Roman"/>
          <w:i/>
          <w:iCs/>
          <w:color w:val="000000"/>
          <w:sz w:val="20"/>
          <w:szCs w:val="20"/>
        </w:rPr>
        <w:t xml:space="preserve"> contribute to future results of operations that meet our expectations.</w:t>
      </w:r>
    </w:p>
    <w:p w14:paraId="554452B3" w14:textId="77777777" w:rsidR="00000000" w:rsidRDefault="009B6C69">
      <w:pPr>
        <w:ind w:hanging="360"/>
        <w:divId w:val="241372763"/>
        <w:rPr>
          <w:rFonts w:eastAsia="Times New Roman"/>
        </w:rPr>
      </w:pPr>
      <w:r>
        <w:rPr>
          <w:rFonts w:eastAsia="Times New Roman"/>
          <w:i/>
          <w:iCs/>
          <w:color w:val="000000"/>
          <w:sz w:val="20"/>
          <w:szCs w:val="20"/>
        </w:rPr>
        <w:t>•We may engage in acquisitions and other strategic transactions or make investments, or be unable to consummate planned strategic acquisitions, which could adversely affect our results</w:t>
      </w:r>
      <w:r>
        <w:rPr>
          <w:rFonts w:eastAsia="Times New Roman"/>
          <w:i/>
          <w:iCs/>
          <w:color w:val="000000"/>
          <w:sz w:val="20"/>
          <w:szCs w:val="20"/>
        </w:rPr>
        <w:t xml:space="preserve"> of operations or fail to enhance stockholder value.</w:t>
      </w:r>
    </w:p>
    <w:p w14:paraId="39257AC3" w14:textId="77777777" w:rsidR="00000000" w:rsidRDefault="009B6C69">
      <w:pPr>
        <w:divId w:val="1309823777"/>
        <w:rPr>
          <w:rFonts w:eastAsia="Times New Roman"/>
        </w:rPr>
      </w:pPr>
      <w:r>
        <w:rPr>
          <w:rFonts w:eastAsia="Times New Roman"/>
          <w:b/>
          <w:bCs/>
          <w:color w:val="000000"/>
          <w:sz w:val="20"/>
          <w:szCs w:val="20"/>
        </w:rPr>
        <w:t xml:space="preserve">RISKS RELATED TO SUPPLY AND MANUFACTURING </w:t>
      </w:r>
    </w:p>
    <w:p w14:paraId="6DE36D98" w14:textId="77777777" w:rsidR="00000000" w:rsidRDefault="009B6C69">
      <w:pPr>
        <w:ind w:hanging="360"/>
        <w:divId w:val="865212179"/>
        <w:rPr>
          <w:rFonts w:eastAsia="Times New Roman"/>
        </w:rPr>
      </w:pPr>
      <w:r>
        <w:rPr>
          <w:rFonts w:eastAsia="Times New Roman"/>
          <w:i/>
          <w:iCs/>
          <w:color w:val="000000"/>
          <w:sz w:val="20"/>
          <w:szCs w:val="20"/>
        </w:rPr>
        <w:t>•We depend on a limited number of third-party suppliers for the procurement, manufacture, assembly and testing of our products manufactured in a fabless product</w:t>
      </w:r>
      <w:r>
        <w:rPr>
          <w:rFonts w:eastAsia="Times New Roman"/>
          <w:i/>
          <w:iCs/>
          <w:color w:val="000000"/>
          <w:sz w:val="20"/>
          <w:szCs w:val="20"/>
        </w:rPr>
        <w:t>ion model. If we fail to execute supply strategies that provide supply assurance, technology leadership and reasonable margins, our business and results of operations may be harmed. We are also subject to order and shipment uncertainties that could negativ</w:t>
      </w:r>
      <w:r>
        <w:rPr>
          <w:rFonts w:eastAsia="Times New Roman"/>
          <w:i/>
          <w:iCs/>
          <w:color w:val="000000"/>
          <w:sz w:val="20"/>
          <w:szCs w:val="20"/>
        </w:rPr>
        <w:t>ely impact our results of operations.</w:t>
      </w:r>
    </w:p>
    <w:p w14:paraId="48F0497E" w14:textId="77777777" w:rsidR="00000000" w:rsidRDefault="009B6C69">
      <w:pPr>
        <w:ind w:hanging="360"/>
        <w:divId w:val="1136797694"/>
        <w:rPr>
          <w:rFonts w:eastAsia="Times New Roman"/>
        </w:rPr>
      </w:pPr>
      <w:r>
        <w:rPr>
          <w:rFonts w:eastAsia="Times New Roman"/>
          <w:i/>
          <w:iCs/>
          <w:color w:val="000000"/>
          <w:sz w:val="20"/>
          <w:szCs w:val="20"/>
        </w:rPr>
        <w:t>•There are numerous risks associated with the operation and control of our manufacturing facilities, including a higher portion of fixed costs relative to a fabless model; environmental compliance and liability; impact</w:t>
      </w:r>
      <w:r>
        <w:rPr>
          <w:rFonts w:eastAsia="Times New Roman"/>
          <w:i/>
          <w:iCs/>
          <w:color w:val="000000"/>
          <w:sz w:val="20"/>
          <w:szCs w:val="20"/>
        </w:rPr>
        <w:t>s related to climate change; exposure to natural disasters, health crises, geopolitical conflicts and cyber-attacks; timely supply of equipment and materials; and various manufacturing issues.</w:t>
      </w:r>
    </w:p>
    <w:p w14:paraId="4540488E" w14:textId="77777777" w:rsidR="00000000" w:rsidRDefault="009B6C69">
      <w:pPr>
        <w:divId w:val="1026640178"/>
        <w:rPr>
          <w:rFonts w:eastAsia="Times New Roman"/>
        </w:rPr>
      </w:pPr>
      <w:r>
        <w:rPr>
          <w:rFonts w:eastAsia="Times New Roman"/>
          <w:b/>
          <w:bCs/>
          <w:color w:val="000000"/>
          <w:sz w:val="20"/>
          <w:szCs w:val="20"/>
        </w:rPr>
        <w:t>RISKS RELATED TO CYBERSECURITY OR MISAPPROPRIATION OF OUR CRITI</w:t>
      </w:r>
      <w:r>
        <w:rPr>
          <w:rFonts w:eastAsia="Times New Roman"/>
          <w:b/>
          <w:bCs/>
          <w:color w:val="000000"/>
          <w:sz w:val="20"/>
          <w:szCs w:val="20"/>
        </w:rPr>
        <w:t>CAL INFORMATION</w:t>
      </w:r>
    </w:p>
    <w:p w14:paraId="4E2C4AFF" w14:textId="77777777" w:rsidR="00000000" w:rsidRDefault="009B6C69">
      <w:pPr>
        <w:ind w:hanging="360"/>
        <w:divId w:val="507986396"/>
        <w:rPr>
          <w:rFonts w:eastAsia="Times New Roman"/>
        </w:rPr>
      </w:pPr>
      <w:r>
        <w:rPr>
          <w:rFonts w:eastAsia="Times New Roman"/>
          <w:i/>
          <w:iCs/>
          <w:color w:val="000000"/>
          <w:sz w:val="20"/>
          <w:szCs w:val="20"/>
        </w:rPr>
        <w:t>•Our business and operations could suffer in the event of security breaches of our IT systems, or other misappropriation of our technology, intellectual property or other proprietary or confidential information.</w:t>
      </w:r>
    </w:p>
    <w:p w14:paraId="1446098F" w14:textId="77777777" w:rsidR="00000000" w:rsidRDefault="009B6C69">
      <w:pPr>
        <w:divId w:val="686753416"/>
        <w:rPr>
          <w:rFonts w:eastAsia="Times New Roman"/>
        </w:rPr>
      </w:pPr>
      <w:r>
        <w:rPr>
          <w:rFonts w:eastAsia="Times New Roman"/>
          <w:b/>
          <w:bCs/>
          <w:color w:val="000000"/>
          <w:sz w:val="20"/>
          <w:szCs w:val="20"/>
        </w:rPr>
        <w:t>RISKS RELATED TO HUMAN CAPIT</w:t>
      </w:r>
      <w:r>
        <w:rPr>
          <w:rFonts w:eastAsia="Times New Roman"/>
          <w:b/>
          <w:bCs/>
          <w:color w:val="000000"/>
          <w:sz w:val="20"/>
          <w:szCs w:val="20"/>
        </w:rPr>
        <w:t>AL MANAGEMENT</w:t>
      </w:r>
    </w:p>
    <w:p w14:paraId="5DE95C29" w14:textId="77777777" w:rsidR="00000000" w:rsidRDefault="009B6C69">
      <w:pPr>
        <w:ind w:hanging="360"/>
        <w:divId w:val="642850193"/>
        <w:rPr>
          <w:rFonts w:eastAsia="Times New Roman"/>
        </w:rPr>
      </w:pPr>
      <w:r>
        <w:rPr>
          <w:rFonts w:eastAsia="Times New Roman"/>
          <w:i/>
          <w:iCs/>
          <w:color w:val="000000"/>
          <w:sz w:val="20"/>
          <w:szCs w:val="20"/>
        </w:rPr>
        <w:t>•We may not be able to attract and retain qualified employees, and our attempts to operate under a hybrid work model may not be successful.</w:t>
      </w:r>
    </w:p>
    <w:p w14:paraId="5C8166FC" w14:textId="77777777" w:rsidR="00000000" w:rsidRDefault="009B6C69">
      <w:pPr>
        <w:divId w:val="1604649442"/>
        <w:rPr>
          <w:rFonts w:eastAsia="Times New Roman"/>
        </w:rPr>
      </w:pPr>
      <w:r>
        <w:rPr>
          <w:rFonts w:eastAsia="Times New Roman"/>
          <w:b/>
          <w:bCs/>
          <w:color w:val="000000"/>
          <w:sz w:val="20"/>
          <w:szCs w:val="20"/>
        </w:rPr>
        <w:t xml:space="preserve">RISKS SPECIFIC TO OUR LICENSING BUSINESS </w:t>
      </w:r>
    </w:p>
    <w:p w14:paraId="6B58C66F" w14:textId="77777777" w:rsidR="00000000" w:rsidRDefault="009B6C69">
      <w:pPr>
        <w:ind w:hanging="360"/>
        <w:divId w:val="1119883511"/>
        <w:rPr>
          <w:rFonts w:eastAsia="Times New Roman"/>
        </w:rPr>
      </w:pPr>
      <w:r>
        <w:rPr>
          <w:rFonts w:eastAsia="Times New Roman"/>
          <w:i/>
          <w:iCs/>
          <w:color w:val="000000"/>
          <w:sz w:val="20"/>
          <w:szCs w:val="20"/>
        </w:rPr>
        <w:t xml:space="preserve">•The continued and future success of our licensing programs </w:t>
      </w:r>
      <w:r>
        <w:rPr>
          <w:rFonts w:eastAsia="Times New Roman"/>
          <w:i/>
          <w:iCs/>
          <w:color w:val="000000"/>
          <w:sz w:val="20"/>
          <w:szCs w:val="20"/>
        </w:rPr>
        <w:t>requires us to continue to evolve our patent portfolio and to renew or renegotiate license agreements that are expiring.</w:t>
      </w:r>
    </w:p>
    <w:p w14:paraId="47C177F3" w14:textId="77777777" w:rsidR="00000000" w:rsidRDefault="009B6C69">
      <w:pPr>
        <w:ind w:hanging="360"/>
        <w:divId w:val="1420759356"/>
        <w:rPr>
          <w:rFonts w:eastAsia="Times New Roman"/>
        </w:rPr>
      </w:pPr>
      <w:r>
        <w:rPr>
          <w:rFonts w:eastAsia="Times New Roman"/>
          <w:i/>
          <w:iCs/>
          <w:color w:val="000000"/>
          <w:sz w:val="20"/>
          <w:szCs w:val="20"/>
        </w:rPr>
        <w:t xml:space="preserve">•Efforts by some original equipment manufacturers (OEMs) to avoid paying fair and reasonable royalties for the use of our intellectual </w:t>
      </w:r>
      <w:r>
        <w:rPr>
          <w:rFonts w:eastAsia="Times New Roman"/>
          <w:i/>
          <w:iCs/>
          <w:color w:val="000000"/>
          <w:sz w:val="20"/>
          <w:szCs w:val="20"/>
        </w:rPr>
        <w:t>property may require the investment of substantial management time and financial resources and may result in legal decisions or actions by governments, courts, regulators or agencies, Standards Development Organizations (SDOs) or other industry organizatio</w:t>
      </w:r>
      <w:r>
        <w:rPr>
          <w:rFonts w:eastAsia="Times New Roman"/>
          <w:i/>
          <w:iCs/>
          <w:color w:val="000000"/>
          <w:sz w:val="20"/>
          <w:szCs w:val="20"/>
        </w:rPr>
        <w:t xml:space="preserve">ns that harm our business. </w:t>
      </w:r>
    </w:p>
    <w:p w14:paraId="64238735" w14:textId="77777777" w:rsidR="00000000" w:rsidRDefault="009B6C69">
      <w:pPr>
        <w:ind w:hanging="360"/>
        <w:divId w:val="1133670032"/>
        <w:rPr>
          <w:rFonts w:eastAsia="Times New Roman"/>
        </w:rPr>
      </w:pPr>
      <w:r>
        <w:rPr>
          <w:rFonts w:eastAsia="Times New Roman"/>
          <w:i/>
          <w:iCs/>
          <w:color w:val="000000"/>
          <w:sz w:val="20"/>
          <w:szCs w:val="20"/>
        </w:rPr>
        <w:lastRenderedPageBreak/>
        <w:t>•Changes in our patent licensing practices, whether due to governmental investigations, legal challenges or otherwise, could adversely impact our business and results of operations.</w:t>
      </w:r>
    </w:p>
    <w:p w14:paraId="4206E59A" w14:textId="77777777" w:rsidR="00000000" w:rsidRDefault="009B6C69">
      <w:pPr>
        <w:divId w:val="550965389"/>
        <w:rPr>
          <w:rFonts w:eastAsia="Times New Roman"/>
        </w:rPr>
      </w:pPr>
      <w:r>
        <w:rPr>
          <w:rFonts w:eastAsia="Times New Roman"/>
          <w:b/>
          <w:bCs/>
          <w:color w:val="000000"/>
          <w:sz w:val="20"/>
          <w:szCs w:val="20"/>
        </w:rPr>
        <w:t>RISKS RELATED TO REGULATORY AND LEGAL CHALLENG</w:t>
      </w:r>
      <w:r>
        <w:rPr>
          <w:rFonts w:eastAsia="Times New Roman"/>
          <w:b/>
          <w:bCs/>
          <w:color w:val="000000"/>
          <w:sz w:val="20"/>
          <w:szCs w:val="20"/>
        </w:rPr>
        <w:t xml:space="preserve">ES </w:t>
      </w:r>
    </w:p>
    <w:p w14:paraId="1DA32D9F" w14:textId="77777777" w:rsidR="00000000" w:rsidRDefault="009B6C69">
      <w:pPr>
        <w:ind w:hanging="360"/>
        <w:divId w:val="201527521"/>
        <w:rPr>
          <w:rFonts w:eastAsia="Times New Roman"/>
        </w:rPr>
      </w:pPr>
      <w:r>
        <w:rPr>
          <w:rFonts w:eastAsia="Times New Roman"/>
          <w:i/>
          <w:iCs/>
          <w:color w:val="000000"/>
          <w:sz w:val="20"/>
          <w:szCs w:val="20"/>
        </w:rPr>
        <w:t>•Our business may suffer as a result of adverse rulings in governmental investigations or proceedings or other legal proceedings.</w:t>
      </w:r>
    </w:p>
    <w:p w14:paraId="1819FD16" w14:textId="77777777" w:rsidR="00000000" w:rsidRDefault="009B6C69">
      <w:pPr>
        <w:jc w:val="center"/>
        <w:divId w:val="349841592"/>
        <w:rPr>
          <w:rFonts w:eastAsia="Times New Roman"/>
        </w:rPr>
      </w:pPr>
      <w:r>
        <w:rPr>
          <w:rFonts w:eastAsia="Times New Roman"/>
          <w:color w:val="000000"/>
          <w:sz w:val="20"/>
          <w:szCs w:val="20"/>
        </w:rPr>
        <w:t>4</w:t>
      </w:r>
    </w:p>
    <w:p w14:paraId="380F040B" w14:textId="77777777" w:rsidR="00000000" w:rsidRDefault="009B6C69">
      <w:pPr>
        <w:rPr>
          <w:rFonts w:eastAsia="Times New Roman"/>
        </w:rPr>
      </w:pPr>
      <w:r>
        <w:rPr>
          <w:rFonts w:eastAsia="Times New Roman"/>
        </w:rPr>
        <w:pict w14:anchorId="2B539E6F">
          <v:rect id="_x0000_i1027" style="width:0;height:1.5pt" o:hralign="center" o:hrstd="t" o:hr="t" fillcolor="#a0a0a0" stroked="f"/>
        </w:pict>
      </w:r>
    </w:p>
    <w:p w14:paraId="331AE5AD" w14:textId="77777777" w:rsidR="00000000" w:rsidRDefault="009B6C69">
      <w:pPr>
        <w:divId w:val="55591678"/>
        <w:rPr>
          <w:rFonts w:eastAsia="Times New Roman"/>
        </w:rPr>
      </w:pPr>
    </w:p>
    <w:p w14:paraId="29E9E2DC" w14:textId="77777777" w:rsidR="00000000" w:rsidRDefault="009B6C69">
      <w:pPr>
        <w:divId w:val="1338733197"/>
        <w:rPr>
          <w:rFonts w:eastAsia="Times New Roman"/>
        </w:rPr>
      </w:pPr>
      <w:r>
        <w:rPr>
          <w:rFonts w:eastAsia="Times New Roman"/>
          <w:b/>
          <w:bCs/>
          <w:color w:val="000000"/>
          <w:sz w:val="20"/>
          <w:szCs w:val="20"/>
        </w:rPr>
        <w:t>RISKS RELATED TO INDUSTRY DYNAMICS AND COMPETITION</w:t>
      </w:r>
    </w:p>
    <w:p w14:paraId="0CB0D091" w14:textId="77777777" w:rsidR="00000000" w:rsidRDefault="009B6C69">
      <w:pPr>
        <w:ind w:hanging="360"/>
        <w:divId w:val="796412804"/>
        <w:rPr>
          <w:rFonts w:eastAsia="Times New Roman"/>
        </w:rPr>
      </w:pPr>
      <w:r>
        <w:rPr>
          <w:rFonts w:eastAsia="Times New Roman"/>
          <w:i/>
          <w:iCs/>
          <w:color w:val="000000"/>
          <w:sz w:val="20"/>
          <w:szCs w:val="20"/>
        </w:rPr>
        <w:t xml:space="preserve">•Our revenues depend on our customers’ and licensees’ sales of products and services based on CDMA, OFDMA and other communications technologies, including 5G, and customer demand for our products based on </w:t>
      </w:r>
      <w:r>
        <w:rPr>
          <w:rFonts w:eastAsia="Times New Roman"/>
          <w:i/>
          <w:iCs/>
          <w:color w:val="000000"/>
          <w:sz w:val="20"/>
          <w:szCs w:val="20"/>
        </w:rPr>
        <w:t>these technologies.</w:t>
      </w:r>
    </w:p>
    <w:p w14:paraId="763DF874" w14:textId="77777777" w:rsidR="00000000" w:rsidRDefault="009B6C69">
      <w:pPr>
        <w:ind w:hanging="360"/>
        <w:divId w:val="391346411"/>
        <w:rPr>
          <w:rFonts w:eastAsia="Times New Roman"/>
        </w:rPr>
      </w:pPr>
      <w:r>
        <w:rPr>
          <w:rFonts w:eastAsia="Times New Roman"/>
          <w:i/>
          <w:iCs/>
          <w:color w:val="000000"/>
          <w:sz w:val="20"/>
          <w:szCs w:val="20"/>
        </w:rPr>
        <w:t>•Our industry is subject to intense competition in an environment of rapid technological change. Our success depends in part on our ability to adapt to such change and compete effectively; and such change and competition could result in</w:t>
      </w:r>
      <w:r>
        <w:rPr>
          <w:rFonts w:eastAsia="Times New Roman"/>
          <w:i/>
          <w:iCs/>
          <w:color w:val="000000"/>
          <w:sz w:val="20"/>
          <w:szCs w:val="20"/>
        </w:rPr>
        <w:t xml:space="preserve"> decreased demand for our products and technologies or declining average selling prices for our products or those of our customers or licensees.</w:t>
      </w:r>
    </w:p>
    <w:p w14:paraId="427179AB" w14:textId="77777777" w:rsidR="00000000" w:rsidRDefault="009B6C69">
      <w:pPr>
        <w:divId w:val="131600348"/>
        <w:rPr>
          <w:rFonts w:eastAsia="Times New Roman"/>
        </w:rPr>
      </w:pPr>
      <w:r>
        <w:rPr>
          <w:rFonts w:eastAsia="Times New Roman"/>
          <w:b/>
          <w:bCs/>
          <w:color w:val="000000"/>
          <w:sz w:val="20"/>
          <w:szCs w:val="20"/>
        </w:rPr>
        <w:t xml:space="preserve">RISKS RELATED TO PRODUCT DEFECTS OR SECURITY VULNERABILITIES </w:t>
      </w:r>
    </w:p>
    <w:p w14:paraId="165574F5" w14:textId="77777777" w:rsidR="00000000" w:rsidRDefault="009B6C69">
      <w:pPr>
        <w:ind w:hanging="360"/>
        <w:divId w:val="2106684787"/>
        <w:rPr>
          <w:rFonts w:eastAsia="Times New Roman"/>
        </w:rPr>
      </w:pPr>
      <w:r>
        <w:rPr>
          <w:rFonts w:eastAsia="Times New Roman"/>
          <w:i/>
          <w:iCs/>
          <w:color w:val="000000"/>
          <w:sz w:val="20"/>
          <w:szCs w:val="20"/>
        </w:rPr>
        <w:t xml:space="preserve">•Failures in our products, or in the products of </w:t>
      </w:r>
      <w:r>
        <w:rPr>
          <w:rFonts w:eastAsia="Times New Roman"/>
          <w:i/>
          <w:iCs/>
          <w:color w:val="000000"/>
          <w:sz w:val="20"/>
          <w:szCs w:val="20"/>
        </w:rPr>
        <w:t>our customers or licensees, including those resulting from security vulnerabilities, defects or errors, could harm our business.</w:t>
      </w:r>
    </w:p>
    <w:p w14:paraId="67749AB1" w14:textId="77777777" w:rsidR="00000000" w:rsidRDefault="009B6C69">
      <w:pPr>
        <w:divId w:val="1549226380"/>
        <w:rPr>
          <w:rFonts w:eastAsia="Times New Roman"/>
        </w:rPr>
      </w:pPr>
      <w:r>
        <w:rPr>
          <w:rFonts w:eastAsia="Times New Roman"/>
          <w:b/>
          <w:bCs/>
          <w:color w:val="000000"/>
          <w:sz w:val="20"/>
          <w:szCs w:val="20"/>
        </w:rPr>
        <w:t>RISKS RELATED TO INTELLECTUAL PROPERTY</w:t>
      </w:r>
    </w:p>
    <w:p w14:paraId="7F5F6146" w14:textId="77777777" w:rsidR="00000000" w:rsidRDefault="009B6C69">
      <w:pPr>
        <w:ind w:hanging="360"/>
        <w:divId w:val="318535718"/>
        <w:rPr>
          <w:rFonts w:eastAsia="Times New Roman"/>
        </w:rPr>
      </w:pPr>
      <w:r>
        <w:rPr>
          <w:rFonts w:eastAsia="Times New Roman"/>
          <w:b/>
          <w:bCs/>
          <w:i/>
          <w:iCs/>
          <w:color w:val="000000"/>
          <w:sz w:val="20"/>
          <w:szCs w:val="20"/>
        </w:rPr>
        <w:t>•</w:t>
      </w:r>
      <w:r>
        <w:rPr>
          <w:rFonts w:eastAsia="Times New Roman"/>
          <w:i/>
          <w:iCs/>
          <w:color w:val="000000"/>
          <w:sz w:val="20"/>
          <w:szCs w:val="20"/>
        </w:rPr>
        <w:t>The enforcement and protection of our intellectual property may be expensive, could fai</w:t>
      </w:r>
      <w:r>
        <w:rPr>
          <w:rFonts w:eastAsia="Times New Roman"/>
          <w:i/>
          <w:iCs/>
          <w:color w:val="000000"/>
          <w:sz w:val="20"/>
          <w:szCs w:val="20"/>
        </w:rPr>
        <w:t>l to prevent misappropriation or unauthorized use of our intellectual property, could result in the loss of our ability to enforce one or more patents, and could be adversely affected by changes in patent laws, by laws in certain foreign jurisdictions that</w:t>
      </w:r>
      <w:r>
        <w:rPr>
          <w:rFonts w:eastAsia="Times New Roman"/>
          <w:i/>
          <w:iCs/>
          <w:color w:val="000000"/>
          <w:sz w:val="20"/>
          <w:szCs w:val="20"/>
        </w:rPr>
        <w:t xml:space="preserve"> may not effectively protect our intellectual property and by ineffective enforcement of laws in such jurisdictions.</w:t>
      </w:r>
    </w:p>
    <w:p w14:paraId="0923A6A1" w14:textId="77777777" w:rsidR="00000000" w:rsidRDefault="009B6C69">
      <w:pPr>
        <w:ind w:hanging="360"/>
        <w:divId w:val="70662762"/>
        <w:rPr>
          <w:rFonts w:eastAsia="Times New Roman"/>
        </w:rPr>
      </w:pPr>
      <w:r>
        <w:rPr>
          <w:rFonts w:eastAsia="Times New Roman"/>
          <w:i/>
          <w:iCs/>
          <w:color w:val="000000"/>
          <w:sz w:val="20"/>
          <w:szCs w:val="20"/>
        </w:rPr>
        <w:t>•Claims by other companies that we infringe their intellectual property could adversely affect our business.</w:t>
      </w:r>
    </w:p>
    <w:p w14:paraId="37BC2D0E" w14:textId="77777777" w:rsidR="00000000" w:rsidRDefault="009B6C69">
      <w:pPr>
        <w:ind w:hanging="360"/>
        <w:divId w:val="444882226"/>
        <w:rPr>
          <w:rFonts w:eastAsia="Times New Roman"/>
        </w:rPr>
      </w:pPr>
      <w:r>
        <w:rPr>
          <w:rFonts w:eastAsia="Times New Roman"/>
          <w:i/>
          <w:iCs/>
          <w:color w:val="000000"/>
          <w:sz w:val="20"/>
          <w:szCs w:val="20"/>
        </w:rPr>
        <w:t>•Our use of open source softwa</w:t>
      </w:r>
      <w:r>
        <w:rPr>
          <w:rFonts w:eastAsia="Times New Roman"/>
          <w:i/>
          <w:iCs/>
          <w:color w:val="000000"/>
          <w:sz w:val="20"/>
          <w:szCs w:val="20"/>
        </w:rPr>
        <w:t>re may harm our business.</w:t>
      </w:r>
    </w:p>
    <w:p w14:paraId="49193F43" w14:textId="77777777" w:rsidR="00000000" w:rsidRDefault="009B6C69">
      <w:pPr>
        <w:divId w:val="1938901403"/>
        <w:rPr>
          <w:rFonts w:eastAsia="Times New Roman"/>
        </w:rPr>
      </w:pPr>
      <w:r>
        <w:rPr>
          <w:rFonts w:eastAsia="Times New Roman"/>
          <w:b/>
          <w:bCs/>
          <w:color w:val="000000"/>
          <w:sz w:val="20"/>
          <w:szCs w:val="20"/>
        </w:rPr>
        <w:t>GENERAL RISK FACTORS</w:t>
      </w:r>
    </w:p>
    <w:p w14:paraId="689CCAA0" w14:textId="77777777" w:rsidR="00000000" w:rsidRDefault="009B6C69">
      <w:pPr>
        <w:ind w:hanging="360"/>
        <w:divId w:val="1578706408"/>
        <w:rPr>
          <w:rFonts w:eastAsia="Times New Roman"/>
        </w:rPr>
      </w:pPr>
      <w:r>
        <w:rPr>
          <w:rFonts w:eastAsia="Times New Roman"/>
          <w:i/>
          <w:iCs/>
          <w:color w:val="000000"/>
          <w:sz w:val="20"/>
          <w:szCs w:val="20"/>
        </w:rPr>
        <w:t>•The COVID-19 pandemic, or a similar health crisis, may impact our business or results of operations in the future.</w:t>
      </w:r>
    </w:p>
    <w:p w14:paraId="62163B6F" w14:textId="77777777" w:rsidR="00000000" w:rsidRDefault="009B6C69">
      <w:pPr>
        <w:ind w:hanging="360"/>
        <w:divId w:val="1435134121"/>
        <w:rPr>
          <w:rFonts w:eastAsia="Times New Roman"/>
        </w:rPr>
      </w:pPr>
      <w:r>
        <w:rPr>
          <w:rFonts w:eastAsia="Times New Roman"/>
          <w:i/>
          <w:iCs/>
          <w:color w:val="000000"/>
          <w:sz w:val="20"/>
          <w:szCs w:val="20"/>
        </w:rPr>
        <w:t>•</w:t>
      </w:r>
      <w:r>
        <w:rPr>
          <w:rFonts w:eastAsia="Times New Roman"/>
          <w:i/>
          <w:iCs/>
          <w:color w:val="000000"/>
          <w:sz w:val="20"/>
          <w:szCs w:val="20"/>
        </w:rPr>
        <w:t>We operate in the highly cyclical semiconductor industry, which is subject to significant downturns. We are also susceptible to declines in global, regional and local economic conditions generally. Our stock price and financial results are subject to subst</w:t>
      </w:r>
      <w:r>
        <w:rPr>
          <w:rFonts w:eastAsia="Times New Roman"/>
          <w:i/>
          <w:iCs/>
          <w:color w:val="000000"/>
          <w:sz w:val="20"/>
          <w:szCs w:val="20"/>
        </w:rPr>
        <w:t>antial quarterly and annual fluctuations due to these dynamics, among others.</w:t>
      </w:r>
    </w:p>
    <w:p w14:paraId="09F2ECF7" w14:textId="77777777" w:rsidR="00000000" w:rsidRDefault="009B6C69">
      <w:pPr>
        <w:ind w:hanging="360"/>
        <w:divId w:val="1428382356"/>
        <w:rPr>
          <w:rFonts w:eastAsia="Times New Roman"/>
        </w:rPr>
      </w:pPr>
      <w:r>
        <w:rPr>
          <w:rFonts w:eastAsia="Times New Roman"/>
          <w:i/>
          <w:iCs/>
          <w:color w:val="000000"/>
          <w:sz w:val="20"/>
          <w:szCs w:val="20"/>
        </w:rPr>
        <w:t>•Our business may suffer due to the impact of, or our failure to comply with, the various existing, new or amended laws, regulations, policies or standards to which we are subjec</w:t>
      </w:r>
      <w:r>
        <w:rPr>
          <w:rFonts w:eastAsia="Times New Roman"/>
          <w:i/>
          <w:iCs/>
          <w:color w:val="000000"/>
          <w:sz w:val="20"/>
          <w:szCs w:val="20"/>
        </w:rPr>
        <w:t>t.</w:t>
      </w:r>
    </w:p>
    <w:p w14:paraId="477978D3" w14:textId="77777777" w:rsidR="00000000" w:rsidRDefault="009B6C69">
      <w:pPr>
        <w:ind w:hanging="360"/>
        <w:divId w:val="1771388406"/>
        <w:rPr>
          <w:rFonts w:eastAsia="Times New Roman"/>
        </w:rPr>
      </w:pPr>
      <w:r>
        <w:rPr>
          <w:rFonts w:eastAsia="Times New Roman"/>
          <w:i/>
          <w:iCs/>
          <w:color w:val="000000"/>
          <w:sz w:val="20"/>
          <w:szCs w:val="20"/>
        </w:rPr>
        <w:t>•There are risks associated with our debt.</w:t>
      </w:r>
    </w:p>
    <w:p w14:paraId="1A1D203B" w14:textId="77777777" w:rsidR="00000000" w:rsidRDefault="009B6C69">
      <w:pPr>
        <w:ind w:hanging="360"/>
        <w:divId w:val="276958398"/>
        <w:rPr>
          <w:rFonts w:eastAsia="Times New Roman"/>
        </w:rPr>
      </w:pPr>
      <w:r>
        <w:rPr>
          <w:rFonts w:eastAsia="Times New Roman"/>
          <w:i/>
          <w:iCs/>
          <w:color w:val="000000"/>
          <w:sz w:val="20"/>
          <w:szCs w:val="20"/>
        </w:rPr>
        <w:t>•Tax liabilities could adversely affect our results of operations.</w:t>
      </w:r>
    </w:p>
    <w:p w14:paraId="6A6A2849" w14:textId="77777777" w:rsidR="00000000" w:rsidRDefault="009B6C69">
      <w:pPr>
        <w:jc w:val="center"/>
        <w:divId w:val="1697534323"/>
        <w:rPr>
          <w:rFonts w:eastAsia="Times New Roman"/>
        </w:rPr>
      </w:pPr>
      <w:r>
        <w:rPr>
          <w:rFonts w:eastAsia="Times New Roman"/>
          <w:color w:val="000000"/>
          <w:sz w:val="20"/>
          <w:szCs w:val="20"/>
        </w:rPr>
        <w:t>5</w:t>
      </w:r>
    </w:p>
    <w:p w14:paraId="059862D9" w14:textId="77777777" w:rsidR="00000000" w:rsidRDefault="009B6C69">
      <w:pPr>
        <w:rPr>
          <w:rFonts w:eastAsia="Times New Roman"/>
        </w:rPr>
      </w:pPr>
      <w:r>
        <w:rPr>
          <w:rFonts w:eastAsia="Times New Roman"/>
        </w:rPr>
        <w:pict w14:anchorId="41F1BFFF">
          <v:rect id="_x0000_i1028" style="width:0;height:1.5pt" o:hralign="center" o:hrstd="t" o:hr="t" fillcolor="#a0a0a0" stroked="f"/>
        </w:pict>
      </w:r>
    </w:p>
    <w:p w14:paraId="4214C8A4" w14:textId="77777777" w:rsidR="00000000" w:rsidRDefault="009B6C69">
      <w:pPr>
        <w:divId w:val="1219626397"/>
        <w:rPr>
          <w:rFonts w:eastAsia="Times New Roman"/>
        </w:rPr>
      </w:pPr>
    </w:p>
    <w:p w14:paraId="3262230E" w14:textId="77777777" w:rsidR="00000000" w:rsidRDefault="009B6C69">
      <w:pPr>
        <w:ind w:firstLine="360"/>
        <w:divId w:val="458038901"/>
        <w:rPr>
          <w:rFonts w:eastAsia="Times New Roman"/>
        </w:rPr>
      </w:pPr>
      <w:r>
        <w:rPr>
          <w:rFonts w:eastAsia="Times New Roman"/>
          <w:color w:val="000000"/>
          <w:sz w:val="20"/>
          <w:szCs w:val="20"/>
        </w:rPr>
        <w:t>In this Annual Report, the words “Qualcomm,” “we,” “our,” “ours” and “us” refer only to QUALCOMM Incor</w:t>
      </w:r>
      <w:r>
        <w:rPr>
          <w:rFonts w:eastAsia="Times New Roman"/>
          <w:color w:val="000000"/>
          <w:sz w:val="20"/>
          <w:szCs w:val="20"/>
        </w:rPr>
        <w:t>porated and its subsidiaries and not any other person or entity. This Annual Report (including but not limited to the section titled “Management’s Discussion and Analysis of Financial Condition and Results of Operations”) contains forward-looking statement</w:t>
      </w:r>
      <w:r>
        <w:rPr>
          <w:rFonts w:eastAsia="Times New Roman"/>
          <w:color w:val="000000"/>
          <w:sz w:val="20"/>
          <w:szCs w:val="20"/>
        </w:rPr>
        <w:t>s. Words such as “expects,” “anticipates,” “intends,” “plans,” “believes,” “seeks,” “estimates,” “may,” “will,” “would” and similar expressions or variations of such words are intended to identify forward-looking statements, but are not the exclusive means</w:t>
      </w:r>
      <w:r>
        <w:rPr>
          <w:rFonts w:eastAsia="Times New Roman"/>
          <w:color w:val="000000"/>
          <w:sz w:val="20"/>
          <w:szCs w:val="20"/>
        </w:rPr>
        <w:t xml:space="preserve"> of identifying forward-looking statements in this Annual Report. Additionally, statements concerning future matters such as our future business, prospects, results of operations, financial condition or research and development or technology investments; n</w:t>
      </w:r>
      <w:r>
        <w:rPr>
          <w:rFonts w:eastAsia="Times New Roman"/>
          <w:color w:val="000000"/>
          <w:sz w:val="20"/>
          <w:szCs w:val="20"/>
        </w:rPr>
        <w:t xml:space="preserve">ew or enhanced products, </w:t>
      </w:r>
      <w:r>
        <w:rPr>
          <w:rFonts w:eastAsia="Times New Roman"/>
          <w:color w:val="000000"/>
          <w:sz w:val="20"/>
          <w:szCs w:val="20"/>
        </w:rPr>
        <w:lastRenderedPageBreak/>
        <w:t>services or technologies; emerging industries or business models; design wins or product launches; industry, market or technology trends, dynamics or transitions; our expectations regarding future demand or supply conditions or mac</w:t>
      </w:r>
      <w:r>
        <w:rPr>
          <w:rFonts w:eastAsia="Times New Roman"/>
          <w:color w:val="000000"/>
          <w:sz w:val="20"/>
          <w:szCs w:val="20"/>
        </w:rPr>
        <w:t>roeconomic factors; strategic investments or acquisitions, and the anticipated timing or benefits thereof; legal or regulatory matters; U.S./China trade or national security tensions; vertical integration by our customers; competition; and other statements</w:t>
      </w:r>
      <w:r>
        <w:rPr>
          <w:rFonts w:eastAsia="Times New Roman"/>
          <w:color w:val="000000"/>
          <w:sz w:val="20"/>
          <w:szCs w:val="20"/>
        </w:rPr>
        <w:t xml:space="preserve"> regarding matters that are not historical are also forward-looking statements.</w:t>
      </w:r>
    </w:p>
    <w:p w14:paraId="79E7A401" w14:textId="77777777" w:rsidR="00000000" w:rsidRDefault="009B6C69">
      <w:pPr>
        <w:ind w:firstLine="360"/>
        <w:divId w:val="2033259137"/>
        <w:rPr>
          <w:rFonts w:eastAsia="Times New Roman"/>
        </w:rPr>
      </w:pPr>
      <w:r>
        <w:rPr>
          <w:rFonts w:eastAsia="Times New Roman"/>
          <w:color w:val="000000"/>
          <w:sz w:val="20"/>
          <w:szCs w:val="20"/>
        </w:rPr>
        <w:t>Although forward-looking statements in this Annual Report reflect our good faith judgment, such statements can only be based on facts and factors currently known by us. Consequ</w:t>
      </w:r>
      <w:r>
        <w:rPr>
          <w:rFonts w:eastAsia="Times New Roman"/>
          <w:color w:val="000000"/>
          <w:sz w:val="20"/>
          <w:szCs w:val="20"/>
        </w:rPr>
        <w:t xml:space="preserve">ently, forward-looking statements are inherently subject to risks and uncertainties and actual results and outcomes may differ materially from the results and outcomes discussed in or anticipated by the forward-looking statements. Factors that could cause </w:t>
      </w:r>
      <w:r>
        <w:rPr>
          <w:rFonts w:eastAsia="Times New Roman"/>
          <w:color w:val="000000"/>
          <w:sz w:val="20"/>
          <w:szCs w:val="20"/>
        </w:rPr>
        <w:t>or contribute to such differences in results and outcomes include without limitation those discussed under “Part I, Item 1A. Risk Factors” below, as well as those discussed elsewhere in this Annual Report. Readers are urged not to place undue reliance on t</w:t>
      </w:r>
      <w:r>
        <w:rPr>
          <w:rFonts w:eastAsia="Times New Roman"/>
          <w:color w:val="000000"/>
          <w:sz w:val="20"/>
          <w:szCs w:val="20"/>
        </w:rPr>
        <w:t>hese forward-looking statements, which speak only as of the date of this Annual Report. We undertake no obligation to revise or update any forward-looking statements in order to reflect any event or circumstance that may arise after the date of this Annual</w:t>
      </w:r>
      <w:r>
        <w:rPr>
          <w:rFonts w:eastAsia="Times New Roman"/>
          <w:color w:val="000000"/>
          <w:sz w:val="20"/>
          <w:szCs w:val="20"/>
        </w:rPr>
        <w:t xml:space="preserve"> Report. Readers are urged to carefully review and consider the various disclosures made in this Annual Report, which attempt to advise interested parties of the risks and factors that may affect our business, financial condition, results of operations and</w:t>
      </w:r>
      <w:r>
        <w:rPr>
          <w:rFonts w:eastAsia="Times New Roman"/>
          <w:color w:val="000000"/>
          <w:sz w:val="20"/>
          <w:szCs w:val="20"/>
        </w:rPr>
        <w:t xml:space="preserve"> prospects.</w:t>
      </w:r>
    </w:p>
    <w:p w14:paraId="468BA4FC" w14:textId="77777777" w:rsidR="00000000" w:rsidRDefault="009B6C69">
      <w:pPr>
        <w:jc w:val="center"/>
        <w:divId w:val="1892964388"/>
        <w:rPr>
          <w:rFonts w:eastAsia="Times New Roman"/>
        </w:rPr>
      </w:pPr>
      <w:r>
        <w:rPr>
          <w:rFonts w:eastAsia="Times New Roman"/>
          <w:b/>
          <w:bCs/>
          <w:color w:val="000000"/>
          <w:sz w:val="20"/>
          <w:szCs w:val="20"/>
        </w:rPr>
        <w:t>PART I</w:t>
      </w:r>
    </w:p>
    <w:p w14:paraId="764543AA" w14:textId="77777777" w:rsidR="00000000" w:rsidRDefault="009B6C69">
      <w:pPr>
        <w:divId w:val="212425900"/>
        <w:rPr>
          <w:rFonts w:eastAsia="Times New Roman"/>
        </w:rPr>
      </w:pPr>
      <w:r>
        <w:rPr>
          <w:rFonts w:eastAsia="Times New Roman"/>
          <w:b/>
          <w:bCs/>
          <w:color w:val="000000"/>
          <w:sz w:val="20"/>
          <w:szCs w:val="20"/>
        </w:rPr>
        <w:t>Item 1. Business</w:t>
      </w:r>
    </w:p>
    <w:p w14:paraId="5A41D514" w14:textId="77777777" w:rsidR="00000000" w:rsidRDefault="009B6C69">
      <w:pPr>
        <w:ind w:firstLine="360"/>
        <w:divId w:val="1276014392"/>
        <w:rPr>
          <w:rFonts w:eastAsia="Times New Roman"/>
        </w:rPr>
      </w:pPr>
      <w:r>
        <w:rPr>
          <w:rFonts w:eastAsia="Times New Roman"/>
          <w:color w:val="000000"/>
          <w:sz w:val="20"/>
          <w:szCs w:val="20"/>
        </w:rPr>
        <w:t>We incorporated in California in 1985 and reincorporated in Delaware in 1991. We operate and report using a 52-53 week fiscal year ending on the last Sunday in September. Our 52-week fiscal years consist of four equal fi</w:t>
      </w:r>
      <w:r>
        <w:rPr>
          <w:rFonts w:eastAsia="Times New Roman"/>
          <w:color w:val="000000"/>
          <w:sz w:val="20"/>
          <w:szCs w:val="20"/>
        </w:rPr>
        <w:t>scal quarters of 13 weeks each, and our 53-week fiscal years consist of three 13-week fiscal quarters and one 14-week fiscal quarter. The financial results for our 53-week fiscal years and our 14-week fiscal quarters will not be exactly comparable to our 5</w:t>
      </w:r>
      <w:r>
        <w:rPr>
          <w:rFonts w:eastAsia="Times New Roman"/>
          <w:color w:val="000000"/>
          <w:sz w:val="20"/>
          <w:szCs w:val="20"/>
        </w:rPr>
        <w:t xml:space="preserve">2-week fiscal years and our 13-week fiscal quarters. Our fiscal years for 2022, 2021 and 2020 included 52 weeks. </w:t>
      </w:r>
    </w:p>
    <w:p w14:paraId="2A985814" w14:textId="77777777" w:rsidR="00000000" w:rsidRDefault="009B6C69">
      <w:pPr>
        <w:divId w:val="1457407402"/>
        <w:rPr>
          <w:rFonts w:eastAsia="Times New Roman"/>
        </w:rPr>
      </w:pPr>
      <w:r>
        <w:rPr>
          <w:rFonts w:eastAsia="Times New Roman"/>
          <w:b/>
          <w:bCs/>
          <w:color w:val="000000"/>
          <w:sz w:val="20"/>
          <w:szCs w:val="20"/>
        </w:rPr>
        <w:t>Overview</w:t>
      </w:r>
    </w:p>
    <w:p w14:paraId="3177BBC0" w14:textId="77777777" w:rsidR="00000000" w:rsidRDefault="009B6C69">
      <w:pPr>
        <w:ind w:firstLine="360"/>
        <w:divId w:val="666787932"/>
        <w:rPr>
          <w:rFonts w:eastAsia="Times New Roman"/>
        </w:rPr>
      </w:pPr>
      <w:r>
        <w:rPr>
          <w:rFonts w:eastAsia="Times New Roman"/>
          <w:color w:val="000000"/>
          <w:sz w:val="20"/>
          <w:szCs w:val="20"/>
        </w:rPr>
        <w:t xml:space="preserve">We are a global leader in the development and commercialization of foundational technologies for the wireless industry, including 3G </w:t>
      </w:r>
      <w:r>
        <w:rPr>
          <w:rFonts w:eastAsia="Times New Roman"/>
          <w:color w:val="000000"/>
          <w:sz w:val="20"/>
          <w:szCs w:val="20"/>
        </w:rPr>
        <w:t>(third generation), 4G (fourth generation) and 5G (fifth generation) wireless technologies and processor technologies including high-performance, low-power computing and on-device artificial intelligence (AI) technologies. Our technologies and products are</w:t>
      </w:r>
      <w:r>
        <w:rPr>
          <w:rFonts w:eastAsia="Times New Roman"/>
          <w:color w:val="000000"/>
          <w:sz w:val="20"/>
          <w:szCs w:val="20"/>
        </w:rPr>
        <w:t xml:space="preserve"> used in mobile devices and other wireless products. Our inventions have helped power the growth in smartphones and other cellular enabled devices. As a connected processor company, we are scaling our innovations using our one technology roadmap to enable </w:t>
      </w:r>
      <w:r>
        <w:rPr>
          <w:rFonts w:eastAsia="Times New Roman"/>
          <w:color w:val="000000"/>
          <w:sz w:val="20"/>
          <w:szCs w:val="20"/>
        </w:rPr>
        <w:t xml:space="preserve">the connected intelligent edge (the next generation of smart devices) across industries and applications beyond handsets, including automotive and the internet of things (IoT). In IoT, our inventions have helped power growth in industries and applications </w:t>
      </w:r>
      <w:r>
        <w:rPr>
          <w:rFonts w:eastAsia="Times New Roman"/>
          <w:color w:val="000000"/>
          <w:sz w:val="20"/>
          <w:szCs w:val="20"/>
        </w:rPr>
        <w:t>such as consumer (including computing, voice and music and XR), edge networking (including mobile broadband and wireless access points) and industrial (including handhelds, retail, transportation and logistics and utilities). In automotive, our connectivit</w:t>
      </w:r>
      <w:r>
        <w:rPr>
          <w:rFonts w:eastAsia="Times New Roman"/>
          <w:color w:val="000000"/>
          <w:sz w:val="20"/>
          <w:szCs w:val="20"/>
        </w:rPr>
        <w:t>y, digital cockpit and advanced driver assistance and automated driving (ADAS/AD) platforms are helping to connect the car to its environment and the cloud, create unique in-cabin experiences and enable a comprehensive assisted and automated driving soluti</w:t>
      </w:r>
      <w:r>
        <w:rPr>
          <w:rFonts w:eastAsia="Times New Roman"/>
          <w:color w:val="000000"/>
          <w:sz w:val="20"/>
          <w:szCs w:val="20"/>
        </w:rPr>
        <w:t>on. We derive revenues principally from sales of integrated circuit products, including our Snapdragon® family of highly-integrated, system-based solutions, and licensing of our intellectual property, including patents and other rights.</w:t>
      </w:r>
    </w:p>
    <w:p w14:paraId="596A8F56" w14:textId="77777777" w:rsidR="00000000" w:rsidRDefault="009B6C69">
      <w:pPr>
        <w:ind w:firstLine="360"/>
        <w:divId w:val="1388533749"/>
        <w:rPr>
          <w:rFonts w:eastAsia="Times New Roman"/>
        </w:rPr>
      </w:pPr>
      <w:r>
        <w:rPr>
          <w:rFonts w:eastAsia="Times New Roman"/>
          <w:color w:val="000000"/>
          <w:sz w:val="20"/>
          <w:szCs w:val="20"/>
        </w:rPr>
        <w:t>The foundational te</w:t>
      </w:r>
      <w:r>
        <w:rPr>
          <w:rFonts w:eastAsia="Times New Roman"/>
          <w:color w:val="000000"/>
          <w:sz w:val="20"/>
          <w:szCs w:val="20"/>
        </w:rPr>
        <w:t>chnologies we invent help power the modern mobile experience, impacting how the world connects, computes and communicates. We share these inventions broadly through our licensing programs enabling wide ecosystem access to technologies at the core of mobile</w:t>
      </w:r>
      <w:r>
        <w:rPr>
          <w:rFonts w:eastAsia="Times New Roman"/>
          <w:color w:val="000000"/>
          <w:sz w:val="20"/>
          <w:szCs w:val="20"/>
        </w:rPr>
        <w:t xml:space="preserve"> innovation, and through the sale of our wireless integrated circuit platforms (also known as integrated circuit products, chips, chipsets or modules) and other products. We collaborate across the ecosystem, including with manufacturers, operators, develop</w:t>
      </w:r>
      <w:r>
        <w:rPr>
          <w:rFonts w:eastAsia="Times New Roman"/>
          <w:color w:val="000000"/>
          <w:sz w:val="20"/>
          <w:szCs w:val="20"/>
        </w:rPr>
        <w:t>ers, system integrators, cloud providers, test tool vendors, service providers, governments and industry standards organizations, to enable a global environment of continued progress and growth.</w:t>
      </w:r>
    </w:p>
    <w:p w14:paraId="6809C73B" w14:textId="77777777" w:rsidR="00000000" w:rsidRDefault="009B6C69">
      <w:pPr>
        <w:ind w:firstLine="360"/>
        <w:divId w:val="122626955"/>
        <w:rPr>
          <w:rFonts w:eastAsia="Times New Roman"/>
        </w:rPr>
      </w:pPr>
      <w:r>
        <w:rPr>
          <w:rFonts w:eastAsia="Times New Roman"/>
          <w:color w:val="000000"/>
          <w:sz w:val="20"/>
          <w:szCs w:val="20"/>
        </w:rPr>
        <w:t xml:space="preserve">We have a long history of driving innovation. We have played </w:t>
      </w:r>
      <w:r>
        <w:rPr>
          <w:rFonts w:eastAsia="Times New Roman"/>
          <w:color w:val="000000"/>
          <w:sz w:val="20"/>
          <w:szCs w:val="20"/>
        </w:rPr>
        <w:t>and continue to play a leading role in developing system level inventions that serve as the foundation for 3G, 4G and 5G wireless technologies. This includes technologies such as CDMA (Code Division Multiple Access) and OFDMA (Orthogonal Frequency Division</w:t>
      </w:r>
      <w:r>
        <w:rPr>
          <w:rFonts w:eastAsia="Times New Roman"/>
          <w:color w:val="000000"/>
          <w:sz w:val="20"/>
          <w:szCs w:val="20"/>
        </w:rPr>
        <w:t xml:space="preserve"> Multiple Access) families of technologies, with the latter encompassing LTE (Long Term Evolution) and 5G NR (New Radio), which are the primary digital technologies currently used to transmit voice or data over radio waves using a public or private cellula</w:t>
      </w:r>
      <w:r>
        <w:rPr>
          <w:rFonts w:eastAsia="Times New Roman"/>
          <w:color w:val="000000"/>
          <w:sz w:val="20"/>
          <w:szCs w:val="20"/>
        </w:rPr>
        <w:t>r wireless network.</w:t>
      </w:r>
    </w:p>
    <w:p w14:paraId="5A2D1F56" w14:textId="77777777" w:rsidR="00000000" w:rsidRDefault="009B6C69">
      <w:pPr>
        <w:ind w:firstLine="360"/>
        <w:divId w:val="375160457"/>
        <w:rPr>
          <w:rFonts w:eastAsia="Times New Roman"/>
        </w:rPr>
      </w:pPr>
      <w:r>
        <w:rPr>
          <w:rFonts w:eastAsia="Times New Roman"/>
          <w:color w:val="000000"/>
          <w:sz w:val="20"/>
          <w:szCs w:val="20"/>
        </w:rPr>
        <w:t xml:space="preserve">We own significant intellectual property, including patents, patent applications and trade secrets, applicable to products that implement any version of CDMA and/or OFDMA technologies. The mobile industry generally recognizes that any </w:t>
      </w:r>
    </w:p>
    <w:p w14:paraId="10181E95" w14:textId="77777777" w:rsidR="00000000" w:rsidRDefault="009B6C69">
      <w:pPr>
        <w:jc w:val="center"/>
        <w:divId w:val="93674920"/>
        <w:rPr>
          <w:rFonts w:eastAsia="Times New Roman"/>
        </w:rPr>
      </w:pPr>
      <w:r>
        <w:rPr>
          <w:rFonts w:eastAsia="Times New Roman"/>
          <w:color w:val="000000"/>
          <w:sz w:val="20"/>
          <w:szCs w:val="20"/>
        </w:rPr>
        <w:t>6</w:t>
      </w:r>
    </w:p>
    <w:p w14:paraId="0859E2AB" w14:textId="77777777" w:rsidR="00000000" w:rsidRDefault="009B6C69">
      <w:pPr>
        <w:rPr>
          <w:rFonts w:eastAsia="Times New Roman"/>
        </w:rPr>
      </w:pPr>
      <w:r>
        <w:rPr>
          <w:rFonts w:eastAsia="Times New Roman"/>
        </w:rPr>
        <w:pict w14:anchorId="725F71E6">
          <v:rect id="_x0000_i1029" style="width:0;height:1.5pt" o:hralign="center" o:hrstd="t" o:hr="t" fillcolor="#a0a0a0" stroked="f"/>
        </w:pict>
      </w:r>
    </w:p>
    <w:p w14:paraId="7B5977DC" w14:textId="77777777" w:rsidR="00000000" w:rsidRDefault="009B6C69">
      <w:pPr>
        <w:divId w:val="1765959440"/>
        <w:rPr>
          <w:rFonts w:eastAsia="Times New Roman"/>
        </w:rPr>
      </w:pPr>
    </w:p>
    <w:p w14:paraId="3258268A" w14:textId="77777777" w:rsidR="00000000" w:rsidRDefault="009B6C69">
      <w:pPr>
        <w:divId w:val="520977171"/>
        <w:rPr>
          <w:rFonts w:eastAsia="Times New Roman"/>
        </w:rPr>
      </w:pPr>
      <w:r>
        <w:rPr>
          <w:rFonts w:eastAsia="Times New Roman"/>
          <w:color w:val="000000"/>
          <w:sz w:val="20"/>
          <w:szCs w:val="20"/>
        </w:rPr>
        <w:t>company seeking to develop, manufacture and/or sell devices or infrastructure equipment that use CDMA-based and/or OFDMA-based technologies requires a license or other rights to use our patents. We also develop and commercialize numerou</w:t>
      </w:r>
      <w:r>
        <w:rPr>
          <w:rFonts w:eastAsia="Times New Roman"/>
          <w:color w:val="000000"/>
          <w:sz w:val="20"/>
          <w:szCs w:val="20"/>
        </w:rPr>
        <w:t xml:space="preserve">s other key technologies used in mobile and other wireless devices, and we own substantial intellectual property related to these technologies. Some of these inventions are contributed to and commercialized as industry standards, such as for certain video </w:t>
      </w:r>
      <w:r>
        <w:rPr>
          <w:rFonts w:eastAsia="Times New Roman"/>
          <w:color w:val="000000"/>
          <w:sz w:val="20"/>
          <w:szCs w:val="20"/>
        </w:rPr>
        <w:t>and audio codecs, Wi-Fi, GPS (Global Positioning System), UWB (ultra-wideband) and Bluetoot</w:t>
      </w:r>
      <w:r>
        <w:rPr>
          <w:rFonts w:eastAsia="Times New Roman"/>
          <w:color w:val="000000"/>
          <w:sz w:val="20"/>
          <w:szCs w:val="20"/>
        </w:rPr>
        <w:t>h</w:t>
      </w:r>
      <w:r>
        <w:rPr>
          <w:rFonts w:eastAsia="Times New Roman"/>
          <w:color w:val="000000"/>
          <w:sz w:val="13"/>
          <w:szCs w:val="13"/>
        </w:rPr>
        <w:t>®</w:t>
      </w:r>
      <w:r>
        <w:rPr>
          <w:rFonts w:eastAsia="Times New Roman"/>
          <w:color w:val="000000"/>
          <w:sz w:val="20"/>
          <w:szCs w:val="20"/>
        </w:rPr>
        <w:t>. We have also developed other technologies that are used by wireless devices that are not related to industry standards, such as operating systems, user interface</w:t>
      </w:r>
      <w:r>
        <w:rPr>
          <w:rFonts w:eastAsia="Times New Roman"/>
          <w:color w:val="000000"/>
          <w:sz w:val="20"/>
          <w:szCs w:val="20"/>
        </w:rPr>
        <w:t>s, graphics and camera processing functionality, RF (radio frequency), RFFE (radio frequency front-end) and antenna designs, AI and machine learning techniques and application processor architectures. Our patents cover a wide range of technologies across t</w:t>
      </w:r>
      <w:r>
        <w:rPr>
          <w:rFonts w:eastAsia="Times New Roman"/>
          <w:color w:val="000000"/>
          <w:sz w:val="20"/>
          <w:szCs w:val="20"/>
        </w:rPr>
        <w:t>he entire wireless system (including wireless devices and network infrastructure equipment), not just the portion of such patented technologies incorporated into chipsets.</w:t>
      </w:r>
    </w:p>
    <w:p w14:paraId="7ACB3A18" w14:textId="77777777" w:rsidR="00000000" w:rsidRDefault="009B6C69">
      <w:pPr>
        <w:ind w:firstLine="360"/>
        <w:divId w:val="610750003"/>
        <w:rPr>
          <w:rFonts w:eastAsia="Times New Roman"/>
        </w:rPr>
      </w:pPr>
      <w:r>
        <w:rPr>
          <w:rFonts w:eastAsia="Times New Roman"/>
          <w:color w:val="000000"/>
          <w:sz w:val="20"/>
          <w:szCs w:val="20"/>
        </w:rPr>
        <w:t>We are organized on the basis of products and services and have three reportable seg</w:t>
      </w:r>
      <w:r>
        <w:rPr>
          <w:rFonts w:eastAsia="Times New Roman"/>
          <w:color w:val="000000"/>
          <w:sz w:val="20"/>
          <w:szCs w:val="20"/>
        </w:rPr>
        <w:t>ments. We conduct business primarily through our QCT (Qualcomm CDMA Technologies) semiconductor business and our QTL (Qualcomm Technology Licensing) licensing business. QCT develops and supplies integrated circuits and system software based on 3G/4G/5G and</w:t>
      </w:r>
      <w:r>
        <w:rPr>
          <w:rFonts w:eastAsia="Times New Roman"/>
          <w:color w:val="000000"/>
          <w:sz w:val="20"/>
          <w:szCs w:val="20"/>
        </w:rPr>
        <w:t xml:space="preserve"> other technologies, including RFFE, for use in mobile devices; automotive systems for connectivity, digital cockpit and ADAS/AD; and IoT including consumer electronic devices; industrial devices; and edge networking products. QTL grants licenses or otherw</w:t>
      </w:r>
      <w:r>
        <w:rPr>
          <w:rFonts w:eastAsia="Times New Roman"/>
          <w:color w:val="000000"/>
          <w:sz w:val="20"/>
          <w:szCs w:val="20"/>
        </w:rPr>
        <w:t>ise provides rights to use portions of our intellectual property portfolio, which includes certain patent rights essential to and/or useful in the manufacture and sale of certain wireless products. Our QSI (Qualcomm Strategic Initiatives) reportable segmen</w:t>
      </w:r>
      <w:r>
        <w:rPr>
          <w:rFonts w:eastAsia="Times New Roman"/>
          <w:color w:val="000000"/>
          <w:sz w:val="20"/>
          <w:szCs w:val="20"/>
        </w:rPr>
        <w:t>t makes strategic investments. We also have nonreportable segments, including QGOV (Qualcomm Government Technologies) and our cloud AI inference processing initiative.</w:t>
      </w:r>
    </w:p>
    <w:p w14:paraId="6180B33D" w14:textId="77777777" w:rsidR="00000000" w:rsidRDefault="009B6C69">
      <w:pPr>
        <w:divId w:val="520818086"/>
        <w:rPr>
          <w:rFonts w:eastAsia="Times New Roman"/>
        </w:rPr>
      </w:pPr>
      <w:r>
        <w:rPr>
          <w:rFonts w:eastAsia="Times New Roman"/>
          <w:b/>
          <w:bCs/>
          <w:color w:val="000000"/>
          <w:sz w:val="20"/>
          <w:szCs w:val="20"/>
        </w:rPr>
        <w:t>Industry Trends</w:t>
      </w:r>
    </w:p>
    <w:p w14:paraId="21690334" w14:textId="77777777" w:rsidR="00000000" w:rsidRDefault="009B6C69">
      <w:pPr>
        <w:ind w:firstLine="360"/>
        <w:divId w:val="697698305"/>
        <w:rPr>
          <w:rFonts w:eastAsia="Times New Roman"/>
        </w:rPr>
      </w:pPr>
      <w:r>
        <w:rPr>
          <w:rFonts w:eastAsia="Times New Roman"/>
          <w:color w:val="000000"/>
          <w:sz w:val="20"/>
          <w:szCs w:val="20"/>
        </w:rPr>
        <w:t xml:space="preserve">As the largest technology platform in the world, mobile has transformed </w:t>
      </w:r>
      <w:r>
        <w:rPr>
          <w:rFonts w:eastAsia="Times New Roman"/>
          <w:color w:val="000000"/>
          <w:sz w:val="20"/>
          <w:szCs w:val="20"/>
        </w:rPr>
        <w:t>the way we connect, compute and communicate. Advanced connectivity and high-performance, low-power computing technologies from mobile are also impacting industries beyond wireless, empowering new services, new business models and new ways to engage and int</w:t>
      </w:r>
      <w:r>
        <w:rPr>
          <w:rFonts w:eastAsia="Times New Roman"/>
          <w:color w:val="000000"/>
          <w:sz w:val="20"/>
          <w:szCs w:val="20"/>
        </w:rPr>
        <w:t>eract with customers. Our breakthrough inventions, along with our licensing programs, have been integral to the growth and evolution of the mobile industry.</w:t>
      </w:r>
    </w:p>
    <w:p w14:paraId="54ACA5C6" w14:textId="77777777" w:rsidR="00000000" w:rsidRDefault="009B6C69">
      <w:pPr>
        <w:ind w:firstLine="360"/>
        <w:divId w:val="663507176"/>
        <w:rPr>
          <w:rFonts w:eastAsia="Times New Roman"/>
        </w:rPr>
      </w:pPr>
      <w:r>
        <w:rPr>
          <w:rFonts w:eastAsia="Times New Roman"/>
          <w:b/>
          <w:bCs/>
          <w:i/>
          <w:iCs/>
          <w:color w:val="000000"/>
          <w:sz w:val="20"/>
          <w:szCs w:val="20"/>
        </w:rPr>
        <w:t>Connected Intelligent Edge.</w:t>
      </w:r>
      <w:r>
        <w:rPr>
          <w:rFonts w:eastAsia="Times New Roman"/>
          <w:color w:val="000000"/>
          <w:sz w:val="20"/>
          <w:szCs w:val="20"/>
        </w:rPr>
        <w:t xml:space="preserve"> Advancements in processor technologies have allowed for new levels of o</w:t>
      </w:r>
      <w:r>
        <w:rPr>
          <w:rFonts w:eastAsia="Times New Roman"/>
          <w:color w:val="000000"/>
          <w:sz w:val="20"/>
          <w:szCs w:val="20"/>
        </w:rPr>
        <w:t>n-device processing (also known as edge computing). Edge computing brings processing closer to where data is generated, helping to reduce response time, improve security and enable greater personalization. As 5G and other forms of wireless connectivity con</w:t>
      </w:r>
      <w:r>
        <w:rPr>
          <w:rFonts w:eastAsia="Times New Roman"/>
          <w:color w:val="000000"/>
          <w:sz w:val="20"/>
          <w:szCs w:val="20"/>
        </w:rPr>
        <w:t>verge with high-performance, low-power processing and on-device intelligence, devices at the edge are able to share data with cloud-based applications and each other. This is enabling expanded functionality and use cases, which we believe will have signifi</w:t>
      </w:r>
      <w:r>
        <w:rPr>
          <w:rFonts w:eastAsia="Times New Roman"/>
          <w:color w:val="000000"/>
          <w:sz w:val="20"/>
          <w:szCs w:val="20"/>
        </w:rPr>
        <w:t>cant impact across industries. It is leading to the creation of the connected intelligent edge, where we expect billions of smart devices to be deployed.</w:t>
      </w:r>
    </w:p>
    <w:p w14:paraId="7E608C7F" w14:textId="77777777" w:rsidR="00000000" w:rsidRDefault="009B6C69">
      <w:pPr>
        <w:ind w:firstLine="360"/>
        <w:divId w:val="1896046997"/>
        <w:rPr>
          <w:rFonts w:eastAsia="Times New Roman"/>
        </w:rPr>
      </w:pPr>
      <w:r>
        <w:rPr>
          <w:rFonts w:eastAsia="Times New Roman"/>
          <w:b/>
          <w:bCs/>
          <w:i/>
          <w:iCs/>
          <w:color w:val="000000"/>
          <w:sz w:val="20"/>
          <w:szCs w:val="20"/>
        </w:rPr>
        <w:t>Advancing Connectivity.</w:t>
      </w:r>
      <w:r>
        <w:rPr>
          <w:rFonts w:eastAsia="Times New Roman"/>
          <w:color w:val="000000"/>
          <w:sz w:val="20"/>
          <w:szCs w:val="20"/>
        </w:rPr>
        <w:t xml:space="preserve"> 3G technology introduced the world to the potential of the mobile internet, an</w:t>
      </w:r>
      <w:r>
        <w:rPr>
          <w:rFonts w:eastAsia="Times New Roman"/>
          <w:color w:val="000000"/>
          <w:sz w:val="20"/>
          <w:szCs w:val="20"/>
        </w:rPr>
        <w:t>d the ability to access the internet virtually anytime and anywhere. 4G brought mobile broadband speeds that helped fuel the smartphone era, forever changing the way we work, live and connect with others. 4G has become the foundational technology to many o</w:t>
      </w:r>
      <w:r>
        <w:rPr>
          <w:rFonts w:eastAsia="Times New Roman"/>
          <w:color w:val="000000"/>
          <w:sz w:val="20"/>
          <w:szCs w:val="20"/>
        </w:rPr>
        <w:t xml:space="preserve">f the applications and services used today, including e-commerce, video streaming, video calling, social media and gaming. </w:t>
      </w:r>
    </w:p>
    <w:p w14:paraId="58FACFBC" w14:textId="77777777" w:rsidR="00000000" w:rsidRDefault="009B6C69">
      <w:pPr>
        <w:ind w:firstLine="360"/>
        <w:divId w:val="831718020"/>
        <w:rPr>
          <w:rFonts w:eastAsia="Times New Roman"/>
        </w:rPr>
      </w:pPr>
      <w:r>
        <w:rPr>
          <w:rFonts w:eastAsia="Times New Roman"/>
          <w:color w:val="000000"/>
          <w:sz w:val="20"/>
          <w:szCs w:val="20"/>
        </w:rPr>
        <w:t>Building on foundational innovations developed for 3G and 4G, the mobile industry continues to quickly move to 5G technology. Beginn</w:t>
      </w:r>
      <w:r>
        <w:rPr>
          <w:rFonts w:eastAsia="Times New Roman"/>
          <w:color w:val="000000"/>
          <w:sz w:val="20"/>
          <w:szCs w:val="20"/>
        </w:rPr>
        <w:t>ing with the Release 15 specification issued by 3GPP (3rd Generation Partnership Project), an organization that develops technical specifications, 5G is designed to support multi-gigabit data rates, low latency and greater capacity than previous generation</w:t>
      </w:r>
      <w:r>
        <w:rPr>
          <w:rFonts w:eastAsia="Times New Roman"/>
          <w:color w:val="000000"/>
          <w:sz w:val="20"/>
          <w:szCs w:val="20"/>
        </w:rPr>
        <w:t>s of mobile technology to enable enhanced mobile broadband experiences, including ultra-high definition (4K) video streaming and sharing, near-instantaneous access to cloud services, immersive cloud gaming and extended reality (XR), which includes augmente</w:t>
      </w:r>
      <w:r>
        <w:rPr>
          <w:rFonts w:eastAsia="Times New Roman"/>
          <w:color w:val="000000"/>
          <w:sz w:val="20"/>
          <w:szCs w:val="20"/>
        </w:rPr>
        <w:t>d reality (AR), virtual reality (VR) and mixed reality (MR). 5G’s performance and capacity improvements are also enabling operators to offer new consumer and enterprise services while also reducing their operating costs.</w:t>
      </w:r>
    </w:p>
    <w:p w14:paraId="290032D8" w14:textId="77777777" w:rsidR="00000000" w:rsidRDefault="009B6C69">
      <w:pPr>
        <w:ind w:firstLine="360"/>
        <w:divId w:val="265040481"/>
        <w:rPr>
          <w:rFonts w:eastAsia="Times New Roman"/>
        </w:rPr>
      </w:pPr>
      <w:r>
        <w:rPr>
          <w:rFonts w:eastAsia="Times New Roman"/>
          <w:color w:val="000000"/>
          <w:sz w:val="20"/>
          <w:szCs w:val="20"/>
        </w:rPr>
        <w:t>Although 5G networks are being depl</w:t>
      </w:r>
      <w:r>
        <w:rPr>
          <w:rFonts w:eastAsia="Times New Roman"/>
          <w:color w:val="000000"/>
          <w:sz w:val="20"/>
          <w:szCs w:val="20"/>
        </w:rPr>
        <w:t>oyed at a faster pace as compared to the transition from 3G to 4G networks, as with previous generations of mobile networks, it will take time. Since the first commercial 5G networks were launched in April 2019, 226 operators in more than 90 countries have</w:t>
      </w:r>
      <w:r>
        <w:rPr>
          <w:rFonts w:eastAsia="Times New Roman"/>
          <w:color w:val="000000"/>
          <w:sz w:val="20"/>
          <w:szCs w:val="20"/>
        </w:rPr>
        <w:t xml:space="preserve"> commercially launched 5G, with more than 500 operators investing to deploy the technology as of September 30, 2022 (GSA, October 2022). Many 5G devices include multimode support for 3G, 4G and Wi-Fi technologies, enabling service continuity where 5G has y</w:t>
      </w:r>
      <w:r>
        <w:rPr>
          <w:rFonts w:eastAsia="Times New Roman"/>
          <w:color w:val="000000"/>
          <w:sz w:val="20"/>
          <w:szCs w:val="20"/>
        </w:rPr>
        <w:t>et to be deployed. This allows mobile operators to utilize existing 3G and/or 4G network infrastructure, enabling operators to roll out 5G services over time, while also helping to maximize previous generation equipment investments. As of September 30, 202</w:t>
      </w:r>
      <w:r>
        <w:rPr>
          <w:rFonts w:eastAsia="Times New Roman"/>
          <w:color w:val="000000"/>
          <w:sz w:val="20"/>
          <w:szCs w:val="20"/>
        </w:rPr>
        <w:t xml:space="preserve">2, there were approximately 7.5 billion 3G/4G/5G connections globally, representing 88% of total mobile connections (GSMA Intelligence, October 2022). By 2026, global 3G/4G/5G connections are projected to reach 8.7 billion, with approximately 86% of these </w:t>
      </w:r>
      <w:r>
        <w:rPr>
          <w:rFonts w:eastAsia="Times New Roman"/>
          <w:color w:val="000000"/>
          <w:sz w:val="20"/>
          <w:szCs w:val="20"/>
        </w:rPr>
        <w:t>connections in emerging regions and China (GSMA Intelligence, October 2022</w:t>
      </w:r>
      <w:r>
        <w:rPr>
          <w:rFonts w:eastAsia="Times New Roman"/>
          <w:color w:val="000000"/>
        </w:rPr>
        <w:t>).</w:t>
      </w:r>
    </w:p>
    <w:p w14:paraId="07AB5041" w14:textId="77777777" w:rsidR="00000000" w:rsidRDefault="009B6C69">
      <w:pPr>
        <w:ind w:firstLine="360"/>
        <w:divId w:val="1077482132"/>
        <w:rPr>
          <w:rFonts w:eastAsia="Times New Roman"/>
        </w:rPr>
      </w:pPr>
      <w:r>
        <w:rPr>
          <w:rFonts w:eastAsia="Times New Roman"/>
          <w:b/>
          <w:bCs/>
          <w:i/>
          <w:iCs/>
          <w:color w:val="000000"/>
          <w:sz w:val="20"/>
          <w:szCs w:val="20"/>
        </w:rPr>
        <w:t>Consumer Demand in Smartphones.</w:t>
      </w:r>
      <w:r>
        <w:rPr>
          <w:rFonts w:eastAsia="Times New Roman"/>
          <w:color w:val="000000"/>
          <w:sz w:val="20"/>
          <w:szCs w:val="20"/>
        </w:rPr>
        <w:t xml:space="preserve"> For calendar year 2022, we estimate that 3G, 4G, and 5G handset volumes will decrease by low-double digits year-over-year, with 5G smartphone shipm</w:t>
      </w:r>
      <w:r>
        <w:rPr>
          <w:rFonts w:eastAsia="Times New Roman"/>
          <w:color w:val="000000"/>
          <w:sz w:val="20"/>
          <w:szCs w:val="20"/>
        </w:rPr>
        <w:t xml:space="preserve">ents estimated between 600 and 650 million. Such expected decline in demand is primarily driven by the negative effects of the macroeconomic environment and the impact of coronavirus (COVID-19) pandemic measures in China. </w:t>
      </w:r>
    </w:p>
    <w:p w14:paraId="5232818A" w14:textId="77777777" w:rsidR="00000000" w:rsidRDefault="009B6C69">
      <w:pPr>
        <w:jc w:val="center"/>
        <w:divId w:val="1087267889"/>
        <w:rPr>
          <w:rFonts w:eastAsia="Times New Roman"/>
        </w:rPr>
      </w:pPr>
      <w:r>
        <w:rPr>
          <w:rFonts w:eastAsia="Times New Roman"/>
          <w:color w:val="000000"/>
          <w:sz w:val="20"/>
          <w:szCs w:val="20"/>
        </w:rPr>
        <w:t>7</w:t>
      </w:r>
    </w:p>
    <w:p w14:paraId="76A06040" w14:textId="77777777" w:rsidR="00000000" w:rsidRDefault="009B6C69">
      <w:pPr>
        <w:rPr>
          <w:rFonts w:eastAsia="Times New Roman"/>
        </w:rPr>
      </w:pPr>
      <w:r>
        <w:rPr>
          <w:rFonts w:eastAsia="Times New Roman"/>
        </w:rPr>
        <w:pict w14:anchorId="52A183B5">
          <v:rect id="_x0000_i1030" style="width:0;height:1.5pt" o:hralign="center" o:hrstd="t" o:hr="t" fillcolor="#a0a0a0" stroked="f"/>
        </w:pict>
      </w:r>
    </w:p>
    <w:p w14:paraId="01995E48" w14:textId="77777777" w:rsidR="00000000" w:rsidRDefault="009B6C69">
      <w:pPr>
        <w:divId w:val="1028796124"/>
        <w:rPr>
          <w:rFonts w:eastAsia="Times New Roman"/>
        </w:rPr>
      </w:pPr>
    </w:p>
    <w:p w14:paraId="73C29A57" w14:textId="77777777" w:rsidR="00000000" w:rsidRDefault="009B6C69">
      <w:pPr>
        <w:ind w:firstLine="360"/>
        <w:divId w:val="2049260360"/>
        <w:rPr>
          <w:rFonts w:eastAsia="Times New Roman"/>
        </w:rPr>
      </w:pPr>
      <w:r>
        <w:rPr>
          <w:rFonts w:eastAsia="Times New Roman"/>
          <w:color w:val="000000"/>
          <w:sz w:val="20"/>
          <w:szCs w:val="20"/>
        </w:rPr>
        <w:t>Consumer demand for new experiences, combined with the needs of mobile operators and device manufacturers to provide differentiated features and services, is driving continued innovation within the smartphone across connectivity, processing, AI, multimedia</w:t>
      </w:r>
      <w:r>
        <w:rPr>
          <w:rFonts w:eastAsia="Times New Roman"/>
          <w:color w:val="000000"/>
          <w:sz w:val="20"/>
          <w:szCs w:val="20"/>
        </w:rPr>
        <w:t>, imaging, audio and more. As a result, the smartphone continues to be the go-to device for social networking, music and video streaming, photography and video capture, e-commerce, gaming, email, web browsing and more. 5G enables these experiences to be mo</w:t>
      </w:r>
      <w:r>
        <w:rPr>
          <w:rFonts w:eastAsia="Times New Roman"/>
          <w:color w:val="000000"/>
          <w:sz w:val="20"/>
          <w:szCs w:val="20"/>
        </w:rPr>
        <w:t xml:space="preserve">re immersive, intuitive and interactive. </w:t>
      </w:r>
    </w:p>
    <w:p w14:paraId="0BA7DF91" w14:textId="77777777" w:rsidR="00000000" w:rsidRDefault="009B6C69">
      <w:pPr>
        <w:ind w:firstLine="360"/>
        <w:divId w:val="1538860221"/>
        <w:rPr>
          <w:rFonts w:eastAsia="Times New Roman"/>
        </w:rPr>
      </w:pPr>
      <w:r>
        <w:rPr>
          <w:rFonts w:eastAsia="Times New Roman"/>
          <w:b/>
          <w:bCs/>
          <w:i/>
          <w:iCs/>
          <w:color w:val="000000"/>
          <w:sz w:val="20"/>
          <w:szCs w:val="20"/>
        </w:rPr>
        <w:t>Transforming Other Industries: Automotive.</w:t>
      </w:r>
      <w:r>
        <w:rPr>
          <w:rFonts w:eastAsia="Times New Roman"/>
          <w:color w:val="000000"/>
          <w:sz w:val="20"/>
          <w:szCs w:val="20"/>
        </w:rPr>
        <w:t xml:space="preserve"> According to analyst data, more than 70% of new vehicles produced in 2028 are projected to have embedded cellular connectivity, with 60% of cellular connected vehicles fea</w:t>
      </w:r>
      <w:r>
        <w:rPr>
          <w:rFonts w:eastAsia="Times New Roman"/>
          <w:color w:val="000000"/>
          <w:sz w:val="20"/>
          <w:szCs w:val="20"/>
        </w:rPr>
        <w:t>turing 5G connectivity. By comparison, 60% of vehicles produced in 2021 had embedded cellular connectivity, with 5G connectivity expected to ramp in 2023 (Strategy Analytics, October 2022).</w:t>
      </w:r>
    </w:p>
    <w:p w14:paraId="4238622B" w14:textId="77777777" w:rsidR="00000000" w:rsidRDefault="009B6C69">
      <w:pPr>
        <w:ind w:firstLine="360"/>
        <w:divId w:val="2080787434"/>
        <w:rPr>
          <w:rFonts w:eastAsia="Times New Roman"/>
        </w:rPr>
      </w:pPr>
      <w:r>
        <w:rPr>
          <w:rFonts w:eastAsia="Times New Roman"/>
          <w:color w:val="000000"/>
          <w:sz w:val="20"/>
          <w:szCs w:val="20"/>
        </w:rPr>
        <w:t>Digitalization of the automotive cockpit continues to transform th</w:t>
      </w:r>
      <w:r>
        <w:rPr>
          <w:rFonts w:eastAsia="Times New Roman"/>
          <w:color w:val="000000"/>
          <w:sz w:val="20"/>
          <w:szCs w:val="20"/>
        </w:rPr>
        <w:t>e in-vehicle experience, enabling greater personalization of content and settings for both drivers and passengers as automakers respond to growing interest from consumers to bring their digital lifestyles into the vehicle. Car-to-cloud platforms are helpin</w:t>
      </w:r>
      <w:r>
        <w:rPr>
          <w:rFonts w:eastAsia="Times New Roman"/>
          <w:color w:val="000000"/>
          <w:sz w:val="20"/>
          <w:szCs w:val="20"/>
        </w:rPr>
        <w:t>g automakers improve cost efficiencies, create new service opportunities throughout the lifecycle of a vehicle with over-the-air (OTA) update capabilities and valuable vehicle and usage analytics. This is driving the development of a new architecture for t</w:t>
      </w:r>
      <w:r>
        <w:rPr>
          <w:rFonts w:eastAsia="Times New Roman"/>
          <w:color w:val="000000"/>
          <w:sz w:val="20"/>
          <w:szCs w:val="20"/>
        </w:rPr>
        <w:t>he software-defined vehicle. High-performance, low-power computing technologies from mobile are being used to improve vehicles with advanced driver assistance and automated driving features that we expect to scale across vehicle tiers and continue the prog</w:t>
      </w:r>
      <w:r>
        <w:rPr>
          <w:rFonts w:eastAsia="Times New Roman"/>
          <w:color w:val="000000"/>
          <w:sz w:val="20"/>
          <w:szCs w:val="20"/>
        </w:rPr>
        <w:t>ression toward higher levels of autonomy, safety and convenience. Analysts estimate that 19% of new vehicles sold globally in 2025 will have Level 2 (i.e., partial driving automation) or higher autonomy, compared to an estimated 9% of new vehicles sold glo</w:t>
      </w:r>
      <w:r>
        <w:rPr>
          <w:rFonts w:eastAsia="Times New Roman"/>
          <w:color w:val="000000"/>
          <w:sz w:val="20"/>
          <w:szCs w:val="20"/>
        </w:rPr>
        <w:t>bally in 2022 (Strategy Analytics, October 2022).</w:t>
      </w:r>
    </w:p>
    <w:p w14:paraId="081AD0B5" w14:textId="77777777" w:rsidR="00000000" w:rsidRDefault="009B6C69">
      <w:pPr>
        <w:ind w:firstLine="360"/>
        <w:divId w:val="29502927"/>
        <w:rPr>
          <w:rFonts w:eastAsia="Times New Roman"/>
        </w:rPr>
      </w:pPr>
      <w:r>
        <w:rPr>
          <w:rFonts w:eastAsia="Times New Roman"/>
          <w:b/>
          <w:bCs/>
          <w:i/>
          <w:iCs/>
          <w:color w:val="000000"/>
          <w:sz w:val="20"/>
          <w:szCs w:val="20"/>
        </w:rPr>
        <w:t>Transforming Other Industries: IoT.</w:t>
      </w:r>
      <w:r>
        <w:rPr>
          <w:rFonts w:eastAsia="Times New Roman"/>
          <w:color w:val="000000"/>
          <w:sz w:val="20"/>
          <w:szCs w:val="20"/>
        </w:rPr>
        <w:t xml:space="preserve"> Demand for connected devices beyond smartphones continued to grow across consumer, edge networking and industrial applications in fiscal 2022, in part due to the expanded</w:t>
      </w:r>
      <w:r>
        <w:rPr>
          <w:rFonts w:eastAsia="Times New Roman"/>
          <w:color w:val="000000"/>
          <w:sz w:val="20"/>
          <w:szCs w:val="20"/>
        </w:rPr>
        <w:t xml:space="preserve"> use cases enabled by 5G technologies. The installed base of IoT devices, which includes everything from wearables to industrial handhelds to gateways, is projected to more than double between 2022 and 2026 to over 27 billion (IoT Analytics, October 2022).</w:t>
      </w:r>
      <w:r>
        <w:rPr>
          <w:rFonts w:eastAsia="Times New Roman"/>
          <w:color w:val="000000"/>
          <w:sz w:val="20"/>
          <w:szCs w:val="20"/>
        </w:rPr>
        <w:t xml:space="preserve"> The growth in IoT devices is an important catalyst in driving digital transformation across industries.</w:t>
      </w:r>
    </w:p>
    <w:p w14:paraId="07C5755E" w14:textId="77777777" w:rsidR="00000000" w:rsidRDefault="009B6C69">
      <w:pPr>
        <w:ind w:firstLine="360"/>
        <w:divId w:val="1884125566"/>
        <w:rPr>
          <w:rFonts w:eastAsia="Times New Roman"/>
        </w:rPr>
      </w:pPr>
      <w:r>
        <w:rPr>
          <w:rFonts w:eastAsia="Times New Roman"/>
          <w:i/>
          <w:iCs/>
          <w:color w:val="000000"/>
          <w:sz w:val="20"/>
          <w:szCs w:val="20"/>
        </w:rPr>
        <w:t xml:space="preserve">Consumer. </w:t>
      </w:r>
      <w:r>
        <w:rPr>
          <w:rFonts w:eastAsia="Times New Roman"/>
          <w:color w:val="000000"/>
          <w:sz w:val="20"/>
          <w:szCs w:val="20"/>
        </w:rPr>
        <w:t>Consumer IoT products continue to adopt the latest mobile connectivity, processing and intelligence technologies, including personal computin</w:t>
      </w:r>
      <w:r>
        <w:rPr>
          <w:rFonts w:eastAsia="Times New Roman"/>
          <w:color w:val="000000"/>
          <w:sz w:val="20"/>
          <w:szCs w:val="20"/>
        </w:rPr>
        <w:t xml:space="preserve">g (e.g., tablets and personal computers), connected audio (e.g., wireless earbuds, speakers and soundbars), wearables (e.g., smart watches), XR devices (e.g., VR headsets and AR glasses) and others (e.g., camera and video collaboration, exercise equipment </w:t>
      </w:r>
      <w:r>
        <w:rPr>
          <w:rFonts w:eastAsia="Times New Roman"/>
          <w:color w:val="000000"/>
          <w:sz w:val="20"/>
          <w:szCs w:val="20"/>
        </w:rPr>
        <w:t xml:space="preserve">and home appliances). This is enabling new services, applications and experiences. </w:t>
      </w:r>
    </w:p>
    <w:p w14:paraId="3D3440CF" w14:textId="77777777" w:rsidR="00000000" w:rsidRDefault="009B6C69">
      <w:pPr>
        <w:ind w:firstLine="360"/>
        <w:divId w:val="127206263"/>
        <w:rPr>
          <w:rFonts w:eastAsia="Times New Roman"/>
        </w:rPr>
      </w:pPr>
      <w:r>
        <w:rPr>
          <w:rFonts w:eastAsia="Times New Roman"/>
          <w:i/>
          <w:iCs/>
          <w:color w:val="000000"/>
          <w:sz w:val="20"/>
          <w:szCs w:val="20"/>
        </w:rPr>
        <w:t>Edge Networking.</w:t>
      </w:r>
      <w:r>
        <w:rPr>
          <w:rFonts w:eastAsia="Times New Roman"/>
          <w:color w:val="000000"/>
          <w:sz w:val="20"/>
          <w:szCs w:val="20"/>
        </w:rPr>
        <w:t xml:space="preserve"> Growth in demand for connected devices, the transition to hybrid work environments and advances in wireless technology are driving increased demand for edg</w:t>
      </w:r>
      <w:r>
        <w:rPr>
          <w:rFonts w:eastAsia="Times New Roman"/>
          <w:color w:val="000000"/>
          <w:sz w:val="20"/>
          <w:szCs w:val="20"/>
        </w:rPr>
        <w:t>e networking products (including mobile broadband and wireless access points). 5G provides the flexibility to support both mobile and fixed wireless users with the delivery of high-speed, low-latency connections, enabling operators to replace traditional “</w:t>
      </w:r>
      <w:r>
        <w:rPr>
          <w:rFonts w:eastAsia="Times New Roman"/>
          <w:color w:val="000000"/>
          <w:sz w:val="20"/>
          <w:szCs w:val="20"/>
        </w:rPr>
        <w:t>last-mile” wired broadband connections. Additionally, advancements in Wi-Fi are driving consumer and enterprise demand for the latest Wi-Fi 6 and 6E access point technologies that leverage increased network speed, capacity and efficiency to support the inc</w:t>
      </w:r>
      <w:r>
        <w:rPr>
          <w:rFonts w:eastAsia="Times New Roman"/>
          <w:color w:val="000000"/>
          <w:sz w:val="20"/>
          <w:szCs w:val="20"/>
        </w:rPr>
        <w:t xml:space="preserve">reased number of connected devices at home and at work. </w:t>
      </w:r>
    </w:p>
    <w:p w14:paraId="18A71EBE" w14:textId="77777777" w:rsidR="00000000" w:rsidRDefault="009B6C69">
      <w:pPr>
        <w:ind w:firstLine="360"/>
        <w:divId w:val="1884441767"/>
        <w:rPr>
          <w:rFonts w:eastAsia="Times New Roman"/>
        </w:rPr>
      </w:pPr>
      <w:r>
        <w:rPr>
          <w:rFonts w:eastAsia="Times New Roman"/>
          <w:i/>
          <w:iCs/>
          <w:color w:val="000000"/>
          <w:sz w:val="20"/>
          <w:szCs w:val="20"/>
        </w:rPr>
        <w:t>Industrial.</w:t>
      </w:r>
      <w:r>
        <w:rPr>
          <w:rFonts w:eastAsia="Times New Roman"/>
          <w:color w:val="000000"/>
          <w:sz w:val="20"/>
          <w:szCs w:val="20"/>
        </w:rPr>
        <w:t xml:space="preserve"> The combination of IoT devices with connectivity, computing and on-device AI along with the cloud are helping to bring near real-time data and insights in industries such as retail, trans</w:t>
      </w:r>
      <w:r>
        <w:rPr>
          <w:rFonts w:eastAsia="Times New Roman"/>
          <w:color w:val="000000"/>
          <w:sz w:val="20"/>
          <w:szCs w:val="20"/>
        </w:rPr>
        <w:t>portation, logistics, mining and energy. This allows companies to gain new knowledge and insights about their products and services, manufacturing processes and more, which should help to transform, optimize and innovate their business.</w:t>
      </w:r>
    </w:p>
    <w:p w14:paraId="5E5314D2" w14:textId="77777777" w:rsidR="00000000" w:rsidRDefault="009B6C69">
      <w:pPr>
        <w:divId w:val="795635686"/>
        <w:rPr>
          <w:rFonts w:eastAsia="Times New Roman"/>
        </w:rPr>
      </w:pPr>
      <w:r>
        <w:rPr>
          <w:rFonts w:eastAsia="Times New Roman"/>
          <w:b/>
          <w:bCs/>
          <w:color w:val="000000"/>
          <w:sz w:val="20"/>
          <w:szCs w:val="20"/>
        </w:rPr>
        <w:t>Technology Overview</w:t>
      </w:r>
    </w:p>
    <w:p w14:paraId="3452A62A" w14:textId="77777777" w:rsidR="00000000" w:rsidRDefault="009B6C69">
      <w:pPr>
        <w:ind w:firstLine="360"/>
        <w:divId w:val="2134668319"/>
        <w:rPr>
          <w:rFonts w:eastAsia="Times New Roman"/>
        </w:rPr>
      </w:pPr>
      <w:r>
        <w:rPr>
          <w:rFonts w:eastAsia="Times New Roman"/>
          <w:color w:val="000000"/>
          <w:sz w:val="20"/>
          <w:szCs w:val="20"/>
        </w:rPr>
        <w:t>The worldwide demand for wireless devices, data services and applications requires continuous innovation to improve the user experiences, support new services, increase network capacity, make use of different frequency bands and allow for dense network de</w:t>
      </w:r>
      <w:r>
        <w:rPr>
          <w:rFonts w:eastAsia="Times New Roman"/>
          <w:color w:val="000000"/>
          <w:sz w:val="20"/>
          <w:szCs w:val="20"/>
        </w:rPr>
        <w:t>ployments. To meet these requirements, different wireless communications technologies continue to evolve. We have a long history of investing heavily in research and development and have developed foundational technologies, including CDMA and OFDMA, that h</w:t>
      </w:r>
      <w:r>
        <w:rPr>
          <w:rFonts w:eastAsia="Times New Roman"/>
          <w:color w:val="000000"/>
          <w:sz w:val="20"/>
          <w:szCs w:val="20"/>
        </w:rPr>
        <w:t>elp drive the continued evolution of the wireless industry. As a result, we have developed and acquired (and continue to develop and acquire) significant related intellectual property. This intellectual property has been incorporated into the most widely a</w:t>
      </w:r>
      <w:r>
        <w:rPr>
          <w:rFonts w:eastAsia="Times New Roman"/>
          <w:color w:val="000000"/>
          <w:sz w:val="20"/>
          <w:szCs w:val="20"/>
        </w:rPr>
        <w:t xml:space="preserve">ccepted and deployed cellular wireless communications technology standards, and we have licensed it to several hundred licensees, including all of the leading handset manufacturers. </w:t>
      </w:r>
    </w:p>
    <w:p w14:paraId="61BD65FC" w14:textId="77777777" w:rsidR="00000000" w:rsidRDefault="009B6C69">
      <w:pPr>
        <w:ind w:firstLine="360"/>
        <w:divId w:val="1892766009"/>
        <w:rPr>
          <w:rFonts w:eastAsia="Times New Roman"/>
        </w:rPr>
      </w:pPr>
      <w:r>
        <w:rPr>
          <w:rFonts w:eastAsia="Times New Roman"/>
          <w:b/>
          <w:bCs/>
          <w:i/>
          <w:iCs/>
          <w:color w:val="000000"/>
          <w:sz w:val="20"/>
          <w:szCs w:val="20"/>
        </w:rPr>
        <w:t>Cellular Wireless Technologies.</w:t>
      </w:r>
      <w:r>
        <w:rPr>
          <w:rFonts w:eastAsia="Times New Roman"/>
          <w:b/>
          <w:bCs/>
          <w:color w:val="000000"/>
          <w:sz w:val="20"/>
          <w:szCs w:val="20"/>
        </w:rPr>
        <w:t xml:space="preserve"> </w:t>
      </w:r>
      <w:r>
        <w:rPr>
          <w:rFonts w:eastAsia="Times New Roman"/>
          <w:color w:val="000000"/>
          <w:sz w:val="20"/>
          <w:szCs w:val="20"/>
        </w:rPr>
        <w:t>Relevant cellular wireless technologies c</w:t>
      </w:r>
      <w:r>
        <w:rPr>
          <w:rFonts w:eastAsia="Times New Roman"/>
          <w:color w:val="000000"/>
          <w:sz w:val="20"/>
          <w:szCs w:val="20"/>
        </w:rPr>
        <w:t>an be grouped into the following categories.</w:t>
      </w:r>
    </w:p>
    <w:p w14:paraId="39FE4E63" w14:textId="77777777" w:rsidR="00000000" w:rsidRDefault="009B6C69">
      <w:pPr>
        <w:ind w:firstLine="360"/>
        <w:divId w:val="219173894"/>
        <w:rPr>
          <w:rFonts w:eastAsia="Times New Roman"/>
        </w:rPr>
      </w:pPr>
      <w:r>
        <w:rPr>
          <w:rFonts w:eastAsia="Times New Roman"/>
          <w:i/>
          <w:iCs/>
          <w:color w:val="000000"/>
          <w:sz w:val="20"/>
          <w:szCs w:val="20"/>
        </w:rPr>
        <w:t>CDMA-based.</w:t>
      </w:r>
      <w:r>
        <w:rPr>
          <w:rFonts w:eastAsia="Times New Roman"/>
          <w:color w:val="000000"/>
          <w:sz w:val="20"/>
          <w:szCs w:val="20"/>
        </w:rPr>
        <w:t xml:space="preserve"> CDMA-based technologies are characterized by their access method allowing several users to share the same frequency and time by allocating different orthogonal codes to individual users. Most of the </w:t>
      </w:r>
      <w:r>
        <w:rPr>
          <w:rFonts w:eastAsia="Times New Roman"/>
          <w:color w:val="000000"/>
          <w:sz w:val="20"/>
          <w:szCs w:val="20"/>
        </w:rPr>
        <w:t>CDMA-based technologies are classified as 3G technology and provide vastly improved capacity for voice and low-rate data services as compared to analog technologies and significant improvements over earlier technologies (e.g., 2G technology). CDMA-based co</w:t>
      </w:r>
      <w:r>
        <w:rPr>
          <w:rFonts w:eastAsia="Times New Roman"/>
          <w:color w:val="000000"/>
          <w:sz w:val="20"/>
          <w:szCs w:val="20"/>
        </w:rPr>
        <w:t>nnections worldwide continue to decline as consumers migrate to OFDMA-based technologies, which comprise the majority of total cellular connections today.</w:t>
      </w:r>
    </w:p>
    <w:p w14:paraId="6C11FDA2" w14:textId="77777777" w:rsidR="00000000" w:rsidRDefault="009B6C69">
      <w:pPr>
        <w:jc w:val="center"/>
        <w:divId w:val="368996971"/>
        <w:rPr>
          <w:rFonts w:eastAsia="Times New Roman"/>
        </w:rPr>
      </w:pPr>
      <w:r>
        <w:rPr>
          <w:rFonts w:eastAsia="Times New Roman"/>
          <w:color w:val="000000"/>
          <w:sz w:val="20"/>
          <w:szCs w:val="20"/>
        </w:rPr>
        <w:t>8</w:t>
      </w:r>
    </w:p>
    <w:p w14:paraId="093C2F9C" w14:textId="77777777" w:rsidR="00000000" w:rsidRDefault="009B6C69">
      <w:pPr>
        <w:rPr>
          <w:rFonts w:eastAsia="Times New Roman"/>
        </w:rPr>
      </w:pPr>
      <w:r>
        <w:rPr>
          <w:rFonts w:eastAsia="Times New Roman"/>
        </w:rPr>
        <w:pict w14:anchorId="19469A09">
          <v:rect id="_x0000_i1031" style="width:0;height:1.5pt" o:hralign="center" o:hrstd="t" o:hr="t" fillcolor="#a0a0a0" stroked="f"/>
        </w:pict>
      </w:r>
    </w:p>
    <w:p w14:paraId="64FB1B9B" w14:textId="77777777" w:rsidR="00000000" w:rsidRDefault="009B6C69">
      <w:pPr>
        <w:divId w:val="986055087"/>
        <w:rPr>
          <w:rFonts w:eastAsia="Times New Roman"/>
        </w:rPr>
      </w:pPr>
    </w:p>
    <w:p w14:paraId="105F0265" w14:textId="77777777" w:rsidR="00000000" w:rsidRDefault="009B6C69">
      <w:pPr>
        <w:ind w:firstLine="360"/>
        <w:divId w:val="204103378"/>
        <w:rPr>
          <w:rFonts w:eastAsia="Times New Roman"/>
        </w:rPr>
      </w:pPr>
      <w:r>
        <w:rPr>
          <w:rFonts w:eastAsia="Times New Roman"/>
          <w:i/>
          <w:iCs/>
          <w:color w:val="000000"/>
          <w:sz w:val="20"/>
          <w:szCs w:val="20"/>
        </w:rPr>
        <w:t>OFDMA-based.</w:t>
      </w:r>
      <w:r>
        <w:rPr>
          <w:rFonts w:eastAsia="Times New Roman"/>
          <w:color w:val="000000"/>
          <w:sz w:val="20"/>
          <w:szCs w:val="20"/>
        </w:rPr>
        <w:t xml:space="preserve"> OFDMA-based technologies are characterized by their access method allowing several users to share the same frequency band and time by allocating different subcarriers to individual users. Most of the OFDMA</w:t>
      </w:r>
      <w:r>
        <w:rPr>
          <w:rFonts w:eastAsia="Times New Roman"/>
          <w:color w:val="000000"/>
          <w:sz w:val="20"/>
          <w:szCs w:val="20"/>
        </w:rPr>
        <w:t>-based technologies deployed prior to 2020 are classified as 4G technology. 3GPP developed the 4G system through the specification of the radio component (LTE) and the core network component (Enhanced Packet Core or EPC). The principal benefit of LTE is it</w:t>
      </w:r>
      <w:r>
        <w:rPr>
          <w:rFonts w:eastAsia="Times New Roman"/>
          <w:color w:val="000000"/>
          <w:sz w:val="20"/>
          <w:szCs w:val="20"/>
        </w:rPr>
        <w:t>s ability to leverage a wide range of spectrum (bandwidths of up to 20 MHz or more through aggregation). LTE is designed to seamlessly interwork with 3G technologies through multimode devices. LTE Advanced brings many more enhancements, including carrier a</w:t>
      </w:r>
      <w:r>
        <w:rPr>
          <w:rFonts w:eastAsia="Times New Roman"/>
          <w:color w:val="000000"/>
          <w:sz w:val="20"/>
          <w:szCs w:val="20"/>
        </w:rPr>
        <w:t>ggregation, advanced multi-antenna techniques and optimizations for small cells. 5G heavily leverages OFDMA-based technologies; 3GPP has developed the 5G system through the specification of the radio component (NR) and the core network component (5G Core o</w:t>
      </w:r>
      <w:r>
        <w:rPr>
          <w:rFonts w:eastAsia="Times New Roman"/>
          <w:color w:val="000000"/>
          <w:sz w:val="20"/>
          <w:szCs w:val="20"/>
        </w:rPr>
        <w:t>r 5GC). Unlike 4G that has fixed Orthogonal Frequency Division Multiplexing (OFDM) parameterization, 5G has multiple OFDM parameterizations to address a wide range of spectrum and use cases. We continue to play a significant role in the further development</w:t>
      </w:r>
      <w:r>
        <w:rPr>
          <w:rFonts w:eastAsia="Times New Roman"/>
          <w:color w:val="000000"/>
          <w:sz w:val="20"/>
          <w:szCs w:val="20"/>
        </w:rPr>
        <w:t xml:space="preserve"> and commercialization of LTE-based technologies.</w:t>
      </w:r>
    </w:p>
    <w:p w14:paraId="27EBA48D" w14:textId="77777777" w:rsidR="00000000" w:rsidRDefault="009B6C69">
      <w:pPr>
        <w:ind w:firstLine="360"/>
        <w:divId w:val="1092627913"/>
        <w:rPr>
          <w:rFonts w:eastAsia="Times New Roman"/>
        </w:rPr>
      </w:pPr>
      <w:r>
        <w:rPr>
          <w:rFonts w:eastAsia="Times New Roman"/>
          <w:color w:val="000000"/>
          <w:sz w:val="20"/>
          <w:szCs w:val="20"/>
        </w:rPr>
        <w:t>Beginning with Release 14, 3GPP specifications provide enhancements specifically for C-V2X (cellular vehicle-to-everything), which includes both direct communication (vehicle-to-vehicle, vehicle-to-infrastr</w:t>
      </w:r>
      <w:r>
        <w:rPr>
          <w:rFonts w:eastAsia="Times New Roman"/>
          <w:color w:val="000000"/>
          <w:sz w:val="20"/>
          <w:szCs w:val="20"/>
        </w:rPr>
        <w:t>ucture and vehicle-to-pedestrian) in dedicated spectrum that is independent of a cellular network and cellular communications with networks in traditional mobile broadband licensed spectrum.</w:t>
      </w:r>
    </w:p>
    <w:p w14:paraId="1614701F" w14:textId="77777777" w:rsidR="00000000" w:rsidRDefault="009B6C69">
      <w:pPr>
        <w:ind w:firstLine="360"/>
        <w:divId w:val="197471370"/>
        <w:rPr>
          <w:rFonts w:eastAsia="Times New Roman"/>
        </w:rPr>
      </w:pPr>
      <w:r>
        <w:rPr>
          <w:rFonts w:eastAsia="Times New Roman"/>
          <w:color w:val="000000"/>
          <w:sz w:val="20"/>
          <w:szCs w:val="20"/>
        </w:rPr>
        <w:t xml:space="preserve">The wireless industry is actively developing and commercializing </w:t>
      </w:r>
      <w:r>
        <w:rPr>
          <w:rFonts w:eastAsia="Times New Roman"/>
          <w:color w:val="000000"/>
          <w:sz w:val="20"/>
          <w:szCs w:val="20"/>
        </w:rPr>
        <w:t>5G technologies. The first 5G standard was initially completed in 2018. 5G is designed to transform the role of wireless technologies and incorporates advancements on 3G/4G features, including device-to-device capabilities and the use of all different type</w:t>
      </w:r>
      <w:r>
        <w:rPr>
          <w:rFonts w:eastAsia="Times New Roman"/>
          <w:color w:val="000000"/>
          <w:sz w:val="20"/>
          <w:szCs w:val="20"/>
        </w:rPr>
        <w:t>s of spectrum (including licensed, unlicensed and shared spectrum). Many of our inventions at the core of 3G and 4G serve as the foundational technologies for 5G, and we continue to play a significant role in driving advancements in 5G, including contribut</w:t>
      </w:r>
      <w:r>
        <w:rPr>
          <w:rFonts w:eastAsia="Times New Roman"/>
          <w:color w:val="000000"/>
          <w:sz w:val="20"/>
          <w:szCs w:val="20"/>
        </w:rPr>
        <w:t xml:space="preserve">ing to 3GPP standardization activities that are defining the continued evolution of 5G NR and 5GC standards. </w:t>
      </w:r>
    </w:p>
    <w:p w14:paraId="291DFFE6" w14:textId="77777777" w:rsidR="00000000" w:rsidRDefault="009B6C69">
      <w:pPr>
        <w:ind w:firstLine="360"/>
        <w:divId w:val="946233685"/>
        <w:rPr>
          <w:rFonts w:eastAsia="Times New Roman"/>
        </w:rPr>
      </w:pPr>
      <w:r>
        <w:rPr>
          <w:rFonts w:eastAsia="Times New Roman"/>
          <w:color w:val="000000"/>
          <w:sz w:val="20"/>
          <w:szCs w:val="20"/>
        </w:rPr>
        <w:t>5G has the ability to target diverse services with very different technical requirements (from enhanced mobile broadband to massive IoT to mission</w:t>
      </w:r>
      <w:r>
        <w:rPr>
          <w:rFonts w:eastAsia="Times New Roman"/>
          <w:color w:val="000000"/>
          <w:sz w:val="20"/>
          <w:szCs w:val="20"/>
        </w:rPr>
        <w:t xml:space="preserve"> critical services), utilize diverse types of spectrum (from low bands to millimeter wave (mmWave) bands) and support diverse types of deployment scenarios. Predominant technological components of 5G include ultra-reliable, low-latency communication, very </w:t>
      </w:r>
      <w:r>
        <w:rPr>
          <w:rFonts w:eastAsia="Times New Roman"/>
          <w:color w:val="000000"/>
          <w:sz w:val="20"/>
          <w:szCs w:val="20"/>
        </w:rPr>
        <w:t xml:space="preserve">wide channel bandwidth and new channel coding schemes to efficiently support large data blocks, MIMO (multiple input, multiple output) to increase coverage and network capacity and mobile mmWave to increase the data rate offered to users. As with previous </w:t>
      </w:r>
      <w:r>
        <w:rPr>
          <w:rFonts w:eastAsia="Times New Roman"/>
          <w:color w:val="000000"/>
          <w:sz w:val="20"/>
          <w:szCs w:val="20"/>
        </w:rPr>
        <w:t xml:space="preserve">cellular generations, 5G is designed to support seamless compatibility with 3G/4G technologies through multimode devices. </w:t>
      </w:r>
    </w:p>
    <w:p w14:paraId="7EEEDB97" w14:textId="77777777" w:rsidR="00000000" w:rsidRDefault="009B6C69">
      <w:pPr>
        <w:ind w:firstLine="360"/>
        <w:divId w:val="750544660"/>
        <w:rPr>
          <w:rFonts w:eastAsia="Times New Roman"/>
        </w:rPr>
      </w:pPr>
      <w:r>
        <w:rPr>
          <w:rFonts w:eastAsia="Times New Roman"/>
          <w:color w:val="000000"/>
          <w:sz w:val="20"/>
          <w:szCs w:val="20"/>
        </w:rPr>
        <w:t>Subsequent to the initial specification of 5G in 3GPP Release 15, the 3GPP has completed two additional releases. Release 16 introduc</w:t>
      </w:r>
      <w:r>
        <w:rPr>
          <w:rFonts w:eastAsia="Times New Roman"/>
          <w:color w:val="000000"/>
          <w:sz w:val="20"/>
          <w:szCs w:val="20"/>
        </w:rPr>
        <w:t xml:space="preserve">ed enhancements to 5G mobile broadband experiences (e.g., more capacity, improved coverage, mobility and better device power efficiency), expanded 5G technologies into new use cases and industries and began supporting different spectrum types by expanding </w:t>
      </w:r>
      <w:r>
        <w:rPr>
          <w:rFonts w:eastAsia="Times New Roman"/>
          <w:color w:val="000000"/>
          <w:sz w:val="20"/>
          <w:szCs w:val="20"/>
        </w:rPr>
        <w:t>5G into unlicensed spectrum with 5G NR Unlicensed (NR-U). Release 17 became the third major release of the global 5G NR standard expanding the 5G technology foundations for coverage, mobility, power and reliability, which is designed to provide efficient s</w:t>
      </w:r>
      <w:r>
        <w:rPr>
          <w:rFonts w:eastAsia="Times New Roman"/>
          <w:color w:val="000000"/>
          <w:sz w:val="20"/>
          <w:szCs w:val="20"/>
        </w:rPr>
        <w:t>upport for lower complexity 5G devices including wearables, industrial sensors, and new deployments, including non-terrestrial networks and mmWave private networks on unlicensed 60 GHz spectrum band. Release 18, which is now under development, marks the st</w:t>
      </w:r>
      <w:r>
        <w:rPr>
          <w:rFonts w:eastAsia="Times New Roman"/>
          <w:color w:val="000000"/>
          <w:sz w:val="20"/>
          <w:szCs w:val="20"/>
        </w:rPr>
        <w:t>art of 5G Advanced, with projects designed to strengthen the end-to-end 5G system foundation (such as advanced downlink and uplink MIMO, enhanced mobility, mobile integrated access and backhaul, smart repeater, evolved duplexing, AI and machine learning da</w:t>
      </w:r>
      <w:r>
        <w:rPr>
          <w:rFonts w:eastAsia="Times New Roman"/>
          <w:color w:val="000000"/>
          <w:sz w:val="20"/>
          <w:szCs w:val="20"/>
        </w:rPr>
        <w:t>ta-driven designs and green networks) and to proliferate 5G to virtually all devices and use cases (such as boundless extended reality, NR-light evolution, expanded sidelink, expanded positioning, drones and expanded satellite communication and multicast).</w:t>
      </w:r>
    </w:p>
    <w:p w14:paraId="2C6B232C" w14:textId="77777777" w:rsidR="00000000" w:rsidRDefault="009B6C69">
      <w:pPr>
        <w:ind w:firstLine="360"/>
        <w:divId w:val="114836455"/>
        <w:rPr>
          <w:rFonts w:eastAsia="Times New Roman"/>
        </w:rPr>
      </w:pPr>
      <w:r>
        <w:rPr>
          <w:rFonts w:eastAsia="Times New Roman"/>
          <w:b/>
          <w:bCs/>
          <w:i/>
          <w:iCs/>
          <w:color w:val="000000"/>
          <w:sz w:val="20"/>
          <w:szCs w:val="20"/>
        </w:rPr>
        <w:t>Other (Non-Cellular) Wireless Technologies.</w:t>
      </w:r>
      <w:r>
        <w:rPr>
          <w:rFonts w:eastAsia="Times New Roman"/>
          <w:color w:val="000000"/>
          <w:sz w:val="20"/>
          <w:szCs w:val="20"/>
        </w:rPr>
        <w:t xml:space="preserve"> There are other, non-cellular wireless technologies that have also been widely adopted.</w:t>
      </w:r>
    </w:p>
    <w:p w14:paraId="25311771" w14:textId="77777777" w:rsidR="00000000" w:rsidRDefault="009B6C69">
      <w:pPr>
        <w:ind w:firstLine="360"/>
        <w:divId w:val="571500538"/>
        <w:rPr>
          <w:rFonts w:eastAsia="Times New Roman"/>
        </w:rPr>
      </w:pPr>
      <w:r>
        <w:rPr>
          <w:rFonts w:eastAsia="Times New Roman"/>
          <w:i/>
          <w:iCs/>
          <w:color w:val="000000"/>
          <w:sz w:val="20"/>
          <w:szCs w:val="20"/>
        </w:rPr>
        <w:t>Wireless Local Area Networks.</w:t>
      </w:r>
      <w:r>
        <w:rPr>
          <w:rFonts w:eastAsia="Times New Roman"/>
          <w:color w:val="000000"/>
          <w:sz w:val="20"/>
          <w:szCs w:val="20"/>
        </w:rPr>
        <w:t xml:space="preserve"> Wireless Local Area Networks (WLAN), such as Wi-Fi, link two or more nearby devices wirelessl</w:t>
      </w:r>
      <w:r>
        <w:rPr>
          <w:rFonts w:eastAsia="Times New Roman"/>
          <w:color w:val="000000"/>
          <w:sz w:val="20"/>
          <w:szCs w:val="20"/>
        </w:rPr>
        <w:t>y and usually provide connectivity through an access point. We are actively involved in innovative programs developed in the context of the Wi-Fi Alliance, a non-profit organization that drives global Wi-Fi adoption and evolution. Wi-Fi systems are based p</w:t>
      </w:r>
      <w:r>
        <w:rPr>
          <w:rFonts w:eastAsia="Times New Roman"/>
          <w:color w:val="000000"/>
          <w:sz w:val="20"/>
          <w:szCs w:val="20"/>
        </w:rPr>
        <w:t>rimarily on standards developed by the Institute of Electrical and Electronics Engineers 802.11 Working Group. Amendments of the 802.11 standard are commonly referred to by the names made popular by the Wi-Fi Alliance (for example, 802.11ax is known as Wi-</w:t>
      </w:r>
      <w:r>
        <w:rPr>
          <w:rFonts w:eastAsia="Times New Roman"/>
          <w:color w:val="000000"/>
          <w:sz w:val="20"/>
          <w:szCs w:val="20"/>
        </w:rPr>
        <w:t>Fi 6). Wi-Fi 6 adds advanced features such as downlink and uplink OFDMA and uplink multiple-user MIMO. This technology primarily targets connectivity for mobile devices, tablets, laptops and other consumer electronic devices using the 2.4GHz and 5GHz spect</w:t>
      </w:r>
      <w:r>
        <w:rPr>
          <w:rFonts w:eastAsia="Times New Roman"/>
          <w:color w:val="000000"/>
          <w:sz w:val="20"/>
          <w:szCs w:val="20"/>
        </w:rPr>
        <w:t>rum bands. We continue to play a leading role in the evolution of the 802.11 family of standards with the development of the new 802.11be standard, which is expected to be known as Wi-Fi 7.</w:t>
      </w:r>
    </w:p>
    <w:p w14:paraId="675D1653" w14:textId="77777777" w:rsidR="00000000" w:rsidRDefault="009B6C69">
      <w:pPr>
        <w:ind w:firstLine="360"/>
        <w:divId w:val="2070810207"/>
        <w:rPr>
          <w:rFonts w:eastAsia="Times New Roman"/>
        </w:rPr>
      </w:pPr>
      <w:r>
        <w:rPr>
          <w:rFonts w:eastAsia="Times New Roman"/>
          <w:i/>
          <w:iCs/>
          <w:color w:val="000000"/>
          <w:sz w:val="20"/>
          <w:szCs w:val="20"/>
        </w:rPr>
        <w:t xml:space="preserve">Bluetooth. </w:t>
      </w:r>
      <w:r>
        <w:rPr>
          <w:rFonts w:eastAsia="Times New Roman"/>
          <w:color w:val="000000"/>
          <w:sz w:val="20"/>
          <w:szCs w:val="20"/>
        </w:rPr>
        <w:t>Bluetooth is a wireless personal area network that prov</w:t>
      </w:r>
      <w:r>
        <w:rPr>
          <w:rFonts w:eastAsia="Times New Roman"/>
          <w:color w:val="000000"/>
          <w:sz w:val="20"/>
          <w:szCs w:val="20"/>
        </w:rPr>
        <w:t>ides wireless connectivity between devices over short distances ranging from a few centimeters to approximately one hundred meters using the 2.4GHz industrial, scientific and medical spectrum band. Bluetooth technology provides wireless connectivity to a w</w:t>
      </w:r>
      <w:r>
        <w:rPr>
          <w:rFonts w:eastAsia="Times New Roman"/>
          <w:color w:val="000000"/>
          <w:sz w:val="20"/>
          <w:szCs w:val="20"/>
        </w:rPr>
        <w:t>ide range of fixed or mobile consumer electronic devices. Bluetooth functionalities are standardized by the Bluetooth Special Interest Group in various versions of the specification (Bluetooth Core specification versions range from 1.0 to 5.3), which inclu</w:t>
      </w:r>
      <w:r>
        <w:rPr>
          <w:rFonts w:eastAsia="Times New Roman"/>
          <w:color w:val="000000"/>
          <w:sz w:val="20"/>
          <w:szCs w:val="20"/>
        </w:rPr>
        <w:t xml:space="preserve">de different functionalities, such as enhanced data rate, low energy, mesh, audio, telephony, automotive, human interface device and location technologies. We are a leading contributor to Bluetooth technologies in the areas of mobile devices and audio and </w:t>
      </w:r>
      <w:r>
        <w:rPr>
          <w:rFonts w:eastAsia="Times New Roman"/>
          <w:color w:val="000000"/>
          <w:sz w:val="20"/>
          <w:szCs w:val="20"/>
        </w:rPr>
        <w:t>mesh technologies.</w:t>
      </w:r>
    </w:p>
    <w:p w14:paraId="792E6AE8" w14:textId="77777777" w:rsidR="00000000" w:rsidRDefault="009B6C69">
      <w:pPr>
        <w:jc w:val="center"/>
        <w:divId w:val="1677027589"/>
        <w:rPr>
          <w:rFonts w:eastAsia="Times New Roman"/>
        </w:rPr>
      </w:pPr>
      <w:r>
        <w:rPr>
          <w:rFonts w:eastAsia="Times New Roman"/>
          <w:color w:val="000000"/>
          <w:sz w:val="20"/>
          <w:szCs w:val="20"/>
        </w:rPr>
        <w:t>9</w:t>
      </w:r>
    </w:p>
    <w:p w14:paraId="04C830AF" w14:textId="77777777" w:rsidR="00000000" w:rsidRDefault="009B6C69">
      <w:pPr>
        <w:rPr>
          <w:rFonts w:eastAsia="Times New Roman"/>
        </w:rPr>
      </w:pPr>
      <w:r>
        <w:rPr>
          <w:rFonts w:eastAsia="Times New Roman"/>
        </w:rPr>
        <w:pict w14:anchorId="44901898">
          <v:rect id="_x0000_i1032" style="width:0;height:1.5pt" o:hralign="center" o:hrstd="t" o:hr="t" fillcolor="#a0a0a0" stroked="f"/>
        </w:pict>
      </w:r>
    </w:p>
    <w:p w14:paraId="0F005A5B" w14:textId="77777777" w:rsidR="00000000" w:rsidRDefault="009B6C69">
      <w:pPr>
        <w:divId w:val="1031496023"/>
        <w:rPr>
          <w:rFonts w:eastAsia="Times New Roman"/>
        </w:rPr>
      </w:pPr>
    </w:p>
    <w:p w14:paraId="1B97120E" w14:textId="77777777" w:rsidR="00000000" w:rsidRDefault="009B6C69">
      <w:pPr>
        <w:ind w:firstLine="360"/>
        <w:divId w:val="747073413"/>
        <w:rPr>
          <w:rFonts w:eastAsia="Times New Roman"/>
        </w:rPr>
      </w:pPr>
      <w:r>
        <w:rPr>
          <w:rFonts w:eastAsia="Times New Roman"/>
          <w:i/>
          <w:iCs/>
          <w:color w:val="000000"/>
          <w:sz w:val="20"/>
          <w:szCs w:val="20"/>
        </w:rPr>
        <w:t xml:space="preserve">Location Positioning Technologies. </w:t>
      </w:r>
      <w:r>
        <w:rPr>
          <w:rFonts w:eastAsia="Times New Roman"/>
          <w:color w:val="000000"/>
          <w:sz w:val="20"/>
          <w:szCs w:val="20"/>
        </w:rPr>
        <w:t xml:space="preserve">Location positioning technologies continue to evolve in order to deliver an enhanced commercial location experience and comply with new mandates on location for </w:t>
      </w:r>
      <w:r>
        <w:rPr>
          <w:rFonts w:eastAsia="Times New Roman"/>
          <w:color w:val="000000"/>
          <w:sz w:val="20"/>
          <w:szCs w:val="20"/>
        </w:rPr>
        <w:t>E911 (enhanced 911) calls. We are a key developer of the Assisted-GPS (A-GPS), Assisted Global Navigation Satellite System (A-GNSS) and WLAN positioning technologies used in most cellular handsets today. For uses requiring the best reliability and accuracy</w:t>
      </w:r>
      <w:r>
        <w:rPr>
          <w:rFonts w:eastAsia="Times New Roman"/>
          <w:color w:val="000000"/>
          <w:sz w:val="20"/>
          <w:szCs w:val="20"/>
        </w:rPr>
        <w:t xml:space="preserve"> for E911 services and navigational based services, A-GPS, A-GNSS and WLAN provide leading-edge solutions. We continue to invest in the standardization and productization of many 4G- and 5G-based positioning capabilities, including in 3GPP Releases 16, 17 </w:t>
      </w:r>
      <w:r>
        <w:rPr>
          <w:rFonts w:eastAsia="Times New Roman"/>
          <w:color w:val="000000"/>
          <w:sz w:val="20"/>
          <w:szCs w:val="20"/>
        </w:rPr>
        <w:t xml:space="preserve">and 18. </w:t>
      </w:r>
    </w:p>
    <w:p w14:paraId="0D9C5105" w14:textId="77777777" w:rsidR="00000000" w:rsidRDefault="009B6C69">
      <w:pPr>
        <w:ind w:firstLine="360"/>
        <w:divId w:val="1738556813"/>
        <w:rPr>
          <w:rFonts w:eastAsia="Times New Roman"/>
        </w:rPr>
      </w:pPr>
      <w:r>
        <w:rPr>
          <w:rFonts w:eastAsia="Times New Roman"/>
          <w:color w:val="000000"/>
          <w:sz w:val="20"/>
          <w:szCs w:val="20"/>
        </w:rPr>
        <w:t>The industry continues to evolve to support additional inputs for improving the location experience. Our products and intellectual property now support multiple constellations for A-GNSS, including: GPS, GLONASS, Galileo, NavIC and BeiDou; Wi-Fi-b</w:t>
      </w:r>
      <w:r>
        <w:rPr>
          <w:rFonts w:eastAsia="Times New Roman"/>
          <w:color w:val="000000"/>
          <w:sz w:val="20"/>
          <w:szCs w:val="20"/>
        </w:rPr>
        <w:t>ased and Bluetooth-based positioning for WLAN, including Wi-Fi RSSI (received signal strength indication) and Wi-Fi RTT (round-trip time) signals for indoor location; observed time difference of arrival positioning for LTE access (e.g., in rural and indoor</w:t>
      </w:r>
      <w:r>
        <w:rPr>
          <w:rFonts w:eastAsia="Times New Roman"/>
          <w:color w:val="000000"/>
          <w:sz w:val="20"/>
          <w:szCs w:val="20"/>
        </w:rPr>
        <w:t xml:space="preserve"> areas); and third-party inertial sensors. The combination of these different location solutions is used to ensure accurate location availability in all areas. We are also a leader in the standardization of high accuracy position techniques for 5G NR acces</w:t>
      </w:r>
      <w:r>
        <w:rPr>
          <w:rFonts w:eastAsia="Times New Roman"/>
          <w:color w:val="000000"/>
          <w:sz w:val="20"/>
          <w:szCs w:val="20"/>
        </w:rPr>
        <w:t>s and support techniques to improve resilience of location.</w:t>
      </w:r>
    </w:p>
    <w:p w14:paraId="40DCED8E" w14:textId="77777777" w:rsidR="00000000" w:rsidRDefault="009B6C69">
      <w:pPr>
        <w:ind w:firstLine="360"/>
        <w:divId w:val="1247112320"/>
        <w:rPr>
          <w:rFonts w:eastAsia="Times New Roman"/>
        </w:rPr>
      </w:pPr>
      <w:r>
        <w:rPr>
          <w:rFonts w:eastAsia="Times New Roman"/>
          <w:b/>
          <w:bCs/>
          <w:i/>
          <w:iCs/>
          <w:color w:val="000000"/>
          <w:sz w:val="20"/>
          <w:szCs w:val="20"/>
        </w:rPr>
        <w:t>Additional Significant Technologies used in Cellular and Certain Consumer Electronic Devices and Networks</w:t>
      </w:r>
      <w:r>
        <w:rPr>
          <w:rFonts w:eastAsia="Times New Roman"/>
          <w:b/>
          <w:bCs/>
          <w:color w:val="000000"/>
          <w:sz w:val="20"/>
          <w:szCs w:val="20"/>
        </w:rPr>
        <w:t xml:space="preserve">. </w:t>
      </w:r>
    </w:p>
    <w:p w14:paraId="76923806" w14:textId="77777777" w:rsidR="00000000" w:rsidRDefault="009B6C69">
      <w:pPr>
        <w:ind w:firstLine="360"/>
        <w:divId w:val="20514184"/>
        <w:rPr>
          <w:rFonts w:eastAsia="Times New Roman"/>
        </w:rPr>
      </w:pPr>
      <w:r>
        <w:rPr>
          <w:rFonts w:eastAsia="Times New Roman"/>
          <w:i/>
          <w:iCs/>
          <w:color w:val="000000"/>
          <w:sz w:val="20"/>
          <w:szCs w:val="20"/>
        </w:rPr>
        <w:t>Multimedia Technologies.</w:t>
      </w:r>
      <w:r>
        <w:rPr>
          <w:rFonts w:eastAsia="Times New Roman"/>
          <w:color w:val="000000"/>
          <w:sz w:val="20"/>
          <w:szCs w:val="20"/>
        </w:rPr>
        <w:t xml:space="preserve"> We are a leading innovator in video, audio and speech compressi</w:t>
      </w:r>
      <w:r>
        <w:rPr>
          <w:rFonts w:eastAsia="Times New Roman"/>
          <w:color w:val="000000"/>
          <w:sz w:val="20"/>
          <w:szCs w:val="20"/>
        </w:rPr>
        <w:t>on technologies and system-level solutions enabling feature-rich, high-quality experiences in imaging, audio and vision intelligence. We are a leading contributor to the advancement of video compression performance, including contributions to the H.265/HEV</w:t>
      </w:r>
      <w:r>
        <w:rPr>
          <w:rFonts w:eastAsia="Times New Roman"/>
          <w:color w:val="000000"/>
          <w:sz w:val="20"/>
          <w:szCs w:val="20"/>
        </w:rPr>
        <w:t>C standard (deployed to support Ultra High Definition 4K and beyond video), the next generation H.266/VVC standard and the MPEG-5 EVC (Essential Video Coding) standard, which are designed to power the creation and consumption of richer, immersive media exp</w:t>
      </w:r>
      <w:r>
        <w:rPr>
          <w:rFonts w:eastAsia="Times New Roman"/>
          <w:color w:val="000000"/>
          <w:sz w:val="20"/>
          <w:szCs w:val="20"/>
        </w:rPr>
        <w:t xml:space="preserve">eriences. Proprietary video codecs, including VP9 and AV1, have also adopted our contributions due to their impact to video compression technology. Video compression technologies are used in a number of products such as cellular handsets, tablets, laptops </w:t>
      </w:r>
      <w:r>
        <w:rPr>
          <w:rFonts w:eastAsia="Times New Roman"/>
          <w:color w:val="000000"/>
          <w:sz w:val="20"/>
          <w:szCs w:val="20"/>
        </w:rPr>
        <w:t xml:space="preserve">and desktop computers, cameras, servers, gaming consoles and televisions. </w:t>
      </w:r>
    </w:p>
    <w:p w14:paraId="627C3D68" w14:textId="77777777" w:rsidR="00000000" w:rsidRDefault="009B6C69">
      <w:pPr>
        <w:ind w:firstLine="360"/>
        <w:divId w:val="988359300"/>
        <w:rPr>
          <w:rFonts w:eastAsia="Times New Roman"/>
        </w:rPr>
      </w:pPr>
      <w:r>
        <w:rPr>
          <w:rFonts w:eastAsia="Times New Roman"/>
          <w:color w:val="000000"/>
          <w:sz w:val="20"/>
          <w:szCs w:val="20"/>
        </w:rPr>
        <w:t>We have developed additional significant multimedia technologies, including: camera and imaging technologies; vision intelligence technologies, which enable advanced use cases such as smart image processing, AR/VR and robotics; visual augmentation and fram</w:t>
      </w:r>
      <w:r>
        <w:rPr>
          <w:rFonts w:eastAsia="Times New Roman"/>
          <w:color w:val="000000"/>
          <w:sz w:val="20"/>
          <w:szCs w:val="20"/>
        </w:rPr>
        <w:t>eworks and audio frameworks, both of which allow for human-machine interfaces; speech compression innovations; and spatial audio processing and coding enabling compression and rendering of immersive audio.</w:t>
      </w:r>
    </w:p>
    <w:p w14:paraId="534CA91B" w14:textId="77777777" w:rsidR="00000000" w:rsidRDefault="009B6C69">
      <w:pPr>
        <w:ind w:firstLine="360"/>
        <w:divId w:val="596183163"/>
        <w:rPr>
          <w:rFonts w:eastAsia="Times New Roman"/>
        </w:rPr>
      </w:pPr>
      <w:r>
        <w:rPr>
          <w:rFonts w:eastAsia="Times New Roman"/>
          <w:i/>
          <w:iCs/>
          <w:color w:val="000000"/>
          <w:sz w:val="20"/>
          <w:szCs w:val="20"/>
        </w:rPr>
        <w:t>Other Technologies.</w:t>
      </w:r>
      <w:r>
        <w:rPr>
          <w:rFonts w:eastAsia="Times New Roman"/>
          <w:color w:val="000000"/>
          <w:sz w:val="20"/>
          <w:szCs w:val="20"/>
        </w:rPr>
        <w:t xml:space="preserve"> In addition to the above, we h</w:t>
      </w:r>
      <w:r>
        <w:rPr>
          <w:rFonts w:eastAsia="Times New Roman"/>
          <w:color w:val="000000"/>
          <w:sz w:val="20"/>
          <w:szCs w:val="20"/>
        </w:rPr>
        <w:t>ave played and continue to play a leading role in developing and/or have acquired many of the other technologies used across the wireless system, computing and edge networking, including in cellular handsets and certain other consumer electronic devices an</w:t>
      </w:r>
      <w:r>
        <w:rPr>
          <w:rFonts w:eastAsia="Times New Roman"/>
          <w:color w:val="000000"/>
          <w:sz w:val="20"/>
          <w:szCs w:val="20"/>
        </w:rPr>
        <w:t>d networks, including:</w:t>
      </w:r>
    </w:p>
    <w:p w14:paraId="3F0040FB" w14:textId="77777777" w:rsidR="00000000" w:rsidRDefault="009B6C69">
      <w:pPr>
        <w:ind w:hanging="360"/>
        <w:divId w:val="1658922748"/>
        <w:rPr>
          <w:rFonts w:eastAsia="Times New Roman"/>
        </w:rPr>
      </w:pPr>
      <w:r>
        <w:rPr>
          <w:rFonts w:eastAsia="Times New Roman"/>
          <w:color w:val="000000"/>
          <w:sz w:val="20"/>
          <w:szCs w:val="20"/>
        </w:rPr>
        <w:t>•on-device AI features, including machine learning platforms and the application of AI and machine learning techniques to edge computing and other use cases;</w:t>
      </w:r>
    </w:p>
    <w:p w14:paraId="07C9C4AA" w14:textId="77777777" w:rsidR="00000000" w:rsidRDefault="009B6C69">
      <w:pPr>
        <w:ind w:hanging="360"/>
        <w:divId w:val="638655662"/>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operating system and user interface features; </w:t>
      </w:r>
    </w:p>
    <w:p w14:paraId="628A5B50" w14:textId="77777777" w:rsidR="00000000" w:rsidRDefault="009B6C69">
      <w:pPr>
        <w:ind w:hanging="360"/>
        <w:divId w:val="1081218493"/>
        <w:rPr>
          <w:rFonts w:eastAsia="Times New Roman"/>
        </w:rPr>
      </w:pPr>
      <w:r>
        <w:rPr>
          <w:rFonts w:eastAsia="Times New Roman"/>
          <w:color w:val="000000"/>
          <w:sz w:val="20"/>
          <w:szCs w:val="20"/>
        </w:rPr>
        <w:t xml:space="preserve">•XR platform features such </w:t>
      </w:r>
      <w:r>
        <w:rPr>
          <w:rFonts w:eastAsia="Times New Roman"/>
          <w:color w:val="000000"/>
          <w:sz w:val="20"/>
          <w:szCs w:val="20"/>
        </w:rPr>
        <w:t>as 6DoF (six-degrees of freedom) head tracking and controller capabilities, 3D Reconstruction, 3D audio and video pass-through and embedded cellular connectivity for new types of user experiences;</w:t>
      </w:r>
    </w:p>
    <w:p w14:paraId="70DDF6AF" w14:textId="77777777" w:rsidR="00000000" w:rsidRDefault="009B6C69">
      <w:pPr>
        <w:ind w:hanging="360"/>
        <w:divId w:val="2017076340"/>
        <w:rPr>
          <w:rFonts w:eastAsia="Times New Roman"/>
        </w:rPr>
      </w:pPr>
      <w:r>
        <w:rPr>
          <w:rFonts w:ascii="Arial" w:eastAsia="Times New Roman" w:hAnsi="Arial" w:cs="Arial"/>
          <w:color w:val="000000"/>
          <w:sz w:val="20"/>
          <w:szCs w:val="20"/>
        </w:rPr>
        <w:t>•</w:t>
      </w:r>
      <w:r>
        <w:rPr>
          <w:rFonts w:eastAsia="Times New Roman"/>
          <w:color w:val="000000"/>
          <w:sz w:val="20"/>
          <w:szCs w:val="20"/>
        </w:rPr>
        <w:t>security and content protection systems for enhanced devic</w:t>
      </w:r>
      <w:r>
        <w:rPr>
          <w:rFonts w:eastAsia="Times New Roman"/>
          <w:color w:val="000000"/>
          <w:sz w:val="20"/>
          <w:szCs w:val="20"/>
        </w:rPr>
        <w:t>e security without compromising the user experience and ultrasonic fingerprint readers for single touch authentication;</w:t>
      </w:r>
    </w:p>
    <w:p w14:paraId="0E4D83A0" w14:textId="77777777" w:rsidR="00000000" w:rsidRDefault="009B6C69">
      <w:pPr>
        <w:ind w:hanging="360"/>
        <w:divId w:val="77682262"/>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volatile (LP-DDR4, 5) and non-volatile (eMMC) memory and related controllers; </w:t>
      </w:r>
    </w:p>
    <w:p w14:paraId="4EBF41E7" w14:textId="77777777" w:rsidR="00000000" w:rsidRDefault="009B6C69">
      <w:pPr>
        <w:ind w:hanging="360"/>
        <w:divId w:val="1280717926"/>
        <w:rPr>
          <w:rFonts w:eastAsia="Times New Roman"/>
        </w:rPr>
      </w:pPr>
      <w:r>
        <w:rPr>
          <w:rFonts w:eastAsia="Times New Roman"/>
          <w:color w:val="000000"/>
          <w:sz w:val="20"/>
          <w:szCs w:val="20"/>
        </w:rPr>
        <w:t>•fast charging features, enabling devices to charge quic</w:t>
      </w:r>
      <w:r>
        <w:rPr>
          <w:rFonts w:eastAsia="Times New Roman"/>
          <w:color w:val="000000"/>
          <w:sz w:val="20"/>
          <w:szCs w:val="20"/>
        </w:rPr>
        <w:t>kly, safely and efficiently;</w:t>
      </w:r>
    </w:p>
    <w:p w14:paraId="1A501E47" w14:textId="77777777" w:rsidR="00000000" w:rsidRDefault="009B6C69">
      <w:pPr>
        <w:ind w:hanging="360"/>
        <w:divId w:val="1387029147"/>
        <w:rPr>
          <w:rFonts w:eastAsia="Times New Roman"/>
        </w:rPr>
      </w:pPr>
      <w:r>
        <w:rPr>
          <w:rFonts w:eastAsia="Times New Roman"/>
          <w:color w:val="000000"/>
          <w:sz w:val="20"/>
          <w:szCs w:val="20"/>
        </w:rPr>
        <w:t xml:space="preserve">•Qualcomm® Smart Transmit™ technology, a modem-to-antenna technology that optimizes data speeds while complying with RF transmit power limits; </w:t>
      </w:r>
    </w:p>
    <w:p w14:paraId="0EA637BA" w14:textId="77777777" w:rsidR="00000000" w:rsidRDefault="009B6C69">
      <w:pPr>
        <w:ind w:hanging="360"/>
        <w:divId w:val="86270327"/>
        <w:rPr>
          <w:rFonts w:eastAsia="Times New Roman"/>
        </w:rPr>
      </w:pPr>
      <w:r>
        <w:rPr>
          <w:rFonts w:eastAsia="Times New Roman"/>
          <w:color w:val="000000"/>
          <w:sz w:val="20"/>
          <w:szCs w:val="20"/>
        </w:rPr>
        <w:t>•power management systems for improved battery life and device charging; and</w:t>
      </w:r>
    </w:p>
    <w:p w14:paraId="19B49B50" w14:textId="77777777" w:rsidR="00000000" w:rsidRDefault="009B6C69">
      <w:pPr>
        <w:ind w:hanging="360"/>
        <w:divId w:val="1228147785"/>
        <w:rPr>
          <w:rFonts w:eastAsia="Times New Roman"/>
        </w:rPr>
      </w:pPr>
      <w:r>
        <w:rPr>
          <w:rFonts w:eastAsia="Times New Roman"/>
          <w:color w:val="000000"/>
          <w:sz w:val="20"/>
          <w:szCs w:val="20"/>
        </w:rPr>
        <w:t>•</w:t>
      </w:r>
      <w:r>
        <w:rPr>
          <w:rFonts w:eastAsia="Times New Roman"/>
          <w:color w:val="000000"/>
          <w:sz w:val="20"/>
          <w:szCs w:val="20"/>
        </w:rPr>
        <w:t>SoC architecture with heterogeneous computing features, which uses different types of specialized engines (Graphics Processing Unit (GPU)) to enable high performance and low-power computing and other optimization techniques.</w:t>
      </w:r>
    </w:p>
    <w:p w14:paraId="40B6FD24" w14:textId="77777777" w:rsidR="00000000" w:rsidRDefault="009B6C69">
      <w:pPr>
        <w:divId w:val="1382511833"/>
        <w:rPr>
          <w:rFonts w:eastAsia="Times New Roman"/>
        </w:rPr>
      </w:pPr>
      <w:r>
        <w:rPr>
          <w:rFonts w:eastAsia="Times New Roman"/>
          <w:b/>
          <w:bCs/>
          <w:color w:val="000000"/>
          <w:sz w:val="20"/>
          <w:szCs w:val="20"/>
        </w:rPr>
        <w:t>Acquisitions</w:t>
      </w:r>
    </w:p>
    <w:p w14:paraId="471A26F1" w14:textId="77777777" w:rsidR="00000000" w:rsidRDefault="009B6C69">
      <w:pPr>
        <w:ind w:firstLine="360"/>
        <w:divId w:val="1669557938"/>
        <w:rPr>
          <w:rFonts w:eastAsia="Times New Roman"/>
        </w:rPr>
      </w:pPr>
      <w:r>
        <w:rPr>
          <w:rFonts w:eastAsia="Times New Roman"/>
          <w:color w:val="000000"/>
          <w:sz w:val="20"/>
          <w:szCs w:val="20"/>
        </w:rPr>
        <w:t xml:space="preserve">We make strategic </w:t>
      </w:r>
      <w:r>
        <w:rPr>
          <w:rFonts w:eastAsia="Times New Roman"/>
          <w:color w:val="000000"/>
          <w:sz w:val="20"/>
          <w:szCs w:val="20"/>
        </w:rPr>
        <w:t>investments and acquisitions in order to open new opportunities for our technologies, support the design and introduction of new products and services (or enhance existing products or services), obtain development resources, grow our patent portfolio or pu</w:t>
      </w:r>
      <w:r>
        <w:rPr>
          <w:rFonts w:eastAsia="Times New Roman"/>
          <w:color w:val="000000"/>
          <w:sz w:val="20"/>
          <w:szCs w:val="20"/>
        </w:rPr>
        <w:t>rsue new businesses as part of our strategic plan. Information regarding our acquisitions is provided in this Annual Report in “Notes to Consolidated Financial Statements, Note 9. Acquisitions.”</w:t>
      </w:r>
    </w:p>
    <w:p w14:paraId="5154D5B9" w14:textId="77777777" w:rsidR="00000000" w:rsidRDefault="009B6C69">
      <w:pPr>
        <w:divId w:val="1564412060"/>
        <w:rPr>
          <w:rFonts w:eastAsia="Times New Roman"/>
        </w:rPr>
      </w:pPr>
      <w:r>
        <w:rPr>
          <w:rFonts w:eastAsia="Times New Roman"/>
          <w:b/>
          <w:bCs/>
          <w:color w:val="000000"/>
          <w:sz w:val="20"/>
          <w:szCs w:val="20"/>
        </w:rPr>
        <w:t>Operating Segments</w:t>
      </w:r>
    </w:p>
    <w:p w14:paraId="3E9802CF" w14:textId="77777777" w:rsidR="00000000" w:rsidRDefault="009B6C69">
      <w:pPr>
        <w:ind w:firstLine="360"/>
        <w:divId w:val="1305574972"/>
        <w:rPr>
          <w:rFonts w:eastAsia="Times New Roman"/>
        </w:rPr>
      </w:pPr>
      <w:r>
        <w:rPr>
          <w:rFonts w:eastAsia="Times New Roman"/>
          <w:color w:val="000000"/>
          <w:sz w:val="20"/>
          <w:szCs w:val="20"/>
        </w:rPr>
        <w:t>We have three reportable segments. We cond</w:t>
      </w:r>
      <w:r>
        <w:rPr>
          <w:rFonts w:eastAsia="Times New Roman"/>
          <w:color w:val="000000"/>
          <w:sz w:val="20"/>
          <w:szCs w:val="20"/>
        </w:rPr>
        <w:t xml:space="preserve">uct business primarily through QCT and QTL, while QSI makes strategic investments. Additional information regarding our operating segments is provided in this Annual Report in “Notes to Consolidated Financial Statements, Note 8. Segment Information.” </w:t>
      </w:r>
    </w:p>
    <w:p w14:paraId="68B0888D" w14:textId="77777777" w:rsidR="00000000" w:rsidRDefault="009B6C69">
      <w:pPr>
        <w:ind w:firstLine="360"/>
        <w:divId w:val="1609389879"/>
        <w:rPr>
          <w:rFonts w:eastAsia="Times New Roman"/>
        </w:rPr>
      </w:pPr>
      <w:r>
        <w:rPr>
          <w:rFonts w:eastAsia="Times New Roman"/>
          <w:b/>
          <w:bCs/>
          <w:i/>
          <w:iCs/>
          <w:color w:val="000000"/>
          <w:sz w:val="20"/>
          <w:szCs w:val="20"/>
        </w:rPr>
        <w:t xml:space="preserve">QCT </w:t>
      </w:r>
      <w:r>
        <w:rPr>
          <w:rFonts w:eastAsia="Times New Roman"/>
          <w:b/>
          <w:bCs/>
          <w:i/>
          <w:iCs/>
          <w:color w:val="000000"/>
          <w:sz w:val="20"/>
          <w:szCs w:val="20"/>
        </w:rPr>
        <w:t>Segment.</w:t>
      </w:r>
      <w:r>
        <w:rPr>
          <w:rFonts w:eastAsia="Times New Roman"/>
          <w:color w:val="000000"/>
          <w:sz w:val="20"/>
          <w:szCs w:val="20"/>
        </w:rPr>
        <w:t xml:space="preserve"> QCT is a leading developer and supplier of integrated circuits and system software based on 3G/4G/5G and other technologies for use in wireless voice and data communications, networking, computing, multimedia and GPS products. QCT’s integrated cir</w:t>
      </w:r>
      <w:r>
        <w:rPr>
          <w:rFonts w:eastAsia="Times New Roman"/>
          <w:color w:val="000000"/>
          <w:sz w:val="20"/>
          <w:szCs w:val="20"/>
        </w:rPr>
        <w:t xml:space="preserve">cuit products are sold and its system software is licensed to manufacturers that use our </w:t>
      </w:r>
    </w:p>
    <w:p w14:paraId="577382C1" w14:textId="77777777" w:rsidR="00000000" w:rsidRDefault="009B6C69">
      <w:pPr>
        <w:jc w:val="center"/>
        <w:divId w:val="1770081319"/>
        <w:rPr>
          <w:rFonts w:eastAsia="Times New Roman"/>
        </w:rPr>
      </w:pPr>
      <w:r>
        <w:rPr>
          <w:rFonts w:eastAsia="Times New Roman"/>
          <w:color w:val="000000"/>
          <w:sz w:val="20"/>
          <w:szCs w:val="20"/>
        </w:rPr>
        <w:t>10</w:t>
      </w:r>
    </w:p>
    <w:p w14:paraId="056C17C9" w14:textId="77777777" w:rsidR="00000000" w:rsidRDefault="009B6C69">
      <w:pPr>
        <w:rPr>
          <w:rFonts w:eastAsia="Times New Roman"/>
        </w:rPr>
      </w:pPr>
      <w:r>
        <w:rPr>
          <w:rFonts w:eastAsia="Times New Roman"/>
        </w:rPr>
        <w:pict w14:anchorId="670C6A70">
          <v:rect id="_x0000_i1033" style="width:0;height:1.5pt" o:hralign="center" o:hrstd="t" o:hr="t" fillcolor="#a0a0a0" stroked="f"/>
        </w:pict>
      </w:r>
    </w:p>
    <w:p w14:paraId="1ED91C30" w14:textId="77777777" w:rsidR="00000000" w:rsidRDefault="009B6C69">
      <w:pPr>
        <w:divId w:val="2136680449"/>
        <w:rPr>
          <w:rFonts w:eastAsia="Times New Roman"/>
        </w:rPr>
      </w:pPr>
    </w:p>
    <w:p w14:paraId="0A1B30B0" w14:textId="77777777" w:rsidR="00000000" w:rsidRDefault="009B6C69">
      <w:pPr>
        <w:divId w:val="1857038507"/>
        <w:rPr>
          <w:rFonts w:eastAsia="Times New Roman"/>
        </w:rPr>
      </w:pPr>
      <w:r>
        <w:rPr>
          <w:rFonts w:eastAsia="Times New Roman"/>
          <w:color w:val="000000"/>
          <w:sz w:val="20"/>
          <w:szCs w:val="20"/>
        </w:rPr>
        <w:t>products in a broad range of devices, from low-tier, entry-level devices primarily for emerging regions to premium-tier devi</w:t>
      </w:r>
      <w:r>
        <w:rPr>
          <w:rFonts w:eastAsia="Times New Roman"/>
          <w:color w:val="000000"/>
          <w:sz w:val="20"/>
          <w:szCs w:val="20"/>
        </w:rPr>
        <w:t>ces, including but not limited to mobile devices, wireless networks, devices used in IoT, broadband gateway equipment, consumer electronic devices and automotive systems for connectivity, digital cockpit and advanced driver assistance and automated driving</w:t>
      </w:r>
      <w:r>
        <w:rPr>
          <w:rFonts w:eastAsia="Times New Roman"/>
          <w:color w:val="000000"/>
          <w:sz w:val="20"/>
          <w:szCs w:val="20"/>
        </w:rPr>
        <w:t>. Our one technology roadmap delivers the latest network technologies across multiple product tiers and devices. This roadmap is the result of extensive collaboration with manufacturers, operators, developers, systems integrators, cloud providers, tool ven</w:t>
      </w:r>
      <w:r>
        <w:rPr>
          <w:rFonts w:eastAsia="Times New Roman"/>
          <w:color w:val="000000"/>
          <w:sz w:val="20"/>
          <w:szCs w:val="20"/>
        </w:rPr>
        <w:t>dors, service providers, governments and industry standards organizations, as well as our years of research into emerging network standards and the development of integrated circuits. Our roadmap takes advantage of new standards, while maintaining backward</w:t>
      </w:r>
      <w:r>
        <w:rPr>
          <w:rFonts w:eastAsia="Times New Roman"/>
          <w:color w:val="000000"/>
          <w:sz w:val="20"/>
          <w:szCs w:val="20"/>
        </w:rPr>
        <w:t xml:space="preserve"> compatibility with existing standards. We have leveraged and expect to continue to leverage the foundational technologies initially developed and commercialized for use in mobile handset devices, such as our core baseband modem and processor technologies </w:t>
      </w:r>
      <w:r>
        <w:rPr>
          <w:rFonts w:eastAsia="Times New Roman"/>
          <w:color w:val="000000"/>
          <w:sz w:val="20"/>
          <w:szCs w:val="20"/>
        </w:rPr>
        <w:t>and our other wireless connectivity products including Wi-Fi, Bluetooth and precise positioning technologies, to extend into product categories, industries and applications beyond mobile handsets, such as automotive and IoT (which includes the industries a</w:t>
      </w:r>
      <w:r>
        <w:rPr>
          <w:rFonts w:eastAsia="Times New Roman"/>
          <w:color w:val="000000"/>
          <w:sz w:val="20"/>
          <w:szCs w:val="20"/>
        </w:rPr>
        <w:t xml:space="preserve">nd applications of consumer, industrial and edge networking). </w:t>
      </w:r>
    </w:p>
    <w:p w14:paraId="50277BD8" w14:textId="77777777" w:rsidR="00000000" w:rsidRDefault="009B6C69">
      <w:pPr>
        <w:ind w:firstLine="360"/>
        <w:divId w:val="696733794"/>
        <w:rPr>
          <w:rFonts w:eastAsia="Times New Roman"/>
        </w:rPr>
      </w:pPr>
      <w:r>
        <w:rPr>
          <w:rFonts w:eastAsia="Times New Roman"/>
          <w:color w:val="000000"/>
          <w:sz w:val="20"/>
          <w:szCs w:val="20"/>
        </w:rPr>
        <w:t>The Snapdragon family of highly integrated, system-based solutions include the Snapdragon mobile, compute, sound and automotive platforms. Each platform consists of application processors and w</w:t>
      </w:r>
      <w:r>
        <w:rPr>
          <w:rFonts w:eastAsia="Times New Roman"/>
          <w:color w:val="000000"/>
          <w:sz w:val="20"/>
          <w:szCs w:val="20"/>
        </w:rPr>
        <w:t>ireless connectivity capabilities, including our cellular modem that provides core baseband modem functionality for voice and data communications, non-cellular wireless connectivity (such as Wi-Fi and Bluetooth) and global positioning functions. Our Snapdr</w:t>
      </w:r>
      <w:r>
        <w:rPr>
          <w:rFonts w:eastAsia="Times New Roman"/>
          <w:color w:val="000000"/>
          <w:sz w:val="20"/>
          <w:szCs w:val="20"/>
        </w:rPr>
        <w:t>agon application processor functions include CPU, security, graphics, display, audio, video, camera and AI. Our CPUs are designed to deliver high levels of compute performance with optimized power consumption. Our Qualcom</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Hexagon™ processors are designed</w:t>
      </w:r>
      <w:r>
        <w:rPr>
          <w:rFonts w:eastAsia="Times New Roman"/>
          <w:color w:val="000000"/>
          <w:sz w:val="20"/>
          <w:szCs w:val="20"/>
        </w:rPr>
        <w:t xml:space="preserve"> to support a variety of signal processing applications, including AI, audio and sensor processing. Our Qualcom</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Adreno™ graphics processing units are designed to deliver high quality graphics performance for visually rich 3D gaming and user interfaces. I</w:t>
      </w:r>
      <w:r>
        <w:rPr>
          <w:rFonts w:eastAsia="Times New Roman"/>
          <w:color w:val="000000"/>
          <w:sz w:val="20"/>
          <w:szCs w:val="20"/>
        </w:rPr>
        <w:t>n addition to the highly integrated core SoC, we also design and supply supporting components, including the RF transceiver, PM (power management), audio, codecs, speaker amps and additional wireless connectivity integrated circuits. These supporting compo</w:t>
      </w:r>
      <w:r>
        <w:rPr>
          <w:rFonts w:eastAsia="Times New Roman"/>
          <w:color w:val="000000"/>
          <w:sz w:val="20"/>
          <w:szCs w:val="20"/>
        </w:rPr>
        <w:t>nents, in addition to our cellular modems and application processors comprising our core SoC, are also sold as individual components. The combination of the Snapdragon SoC, system software and supporting components provide an overall platform with optimize</w:t>
      </w:r>
      <w:r>
        <w:rPr>
          <w:rFonts w:eastAsia="Times New Roman"/>
          <w:color w:val="000000"/>
          <w:sz w:val="20"/>
          <w:szCs w:val="20"/>
        </w:rPr>
        <w:t>d performance and efficiency, enabling manufacturers to design and deliver powerful, slim and power-efficient devices ready for integration with the complex cellular networks worldwide.</w:t>
      </w:r>
    </w:p>
    <w:p w14:paraId="15C6F83F" w14:textId="77777777" w:rsidR="00000000" w:rsidRDefault="009B6C69">
      <w:pPr>
        <w:ind w:firstLine="360"/>
        <w:divId w:val="1401364224"/>
        <w:rPr>
          <w:rFonts w:eastAsia="Times New Roman"/>
        </w:rPr>
      </w:pPr>
      <w:r>
        <w:rPr>
          <w:rFonts w:eastAsia="Times New Roman"/>
          <w:color w:val="000000"/>
          <w:sz w:val="20"/>
          <w:szCs w:val="20"/>
        </w:rPr>
        <w:t>Our portfolio of RF products includes Qualcom</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RFFE components that a</w:t>
      </w:r>
      <w:r>
        <w:rPr>
          <w:rFonts w:eastAsia="Times New Roman"/>
          <w:color w:val="000000"/>
          <w:sz w:val="20"/>
          <w:szCs w:val="20"/>
        </w:rPr>
        <w:t>re designed to simplify the RF design for 5G front-end, LTE multimode and multiband mobile devices, including sub-6 GHz and mmWave devices, to reduce power consumption and to improve radio performance. We provide comprehensive RFFE product offerings with s</w:t>
      </w:r>
      <w:r>
        <w:rPr>
          <w:rFonts w:eastAsia="Times New Roman"/>
          <w:color w:val="000000"/>
          <w:sz w:val="20"/>
          <w:szCs w:val="20"/>
        </w:rPr>
        <w:t>ystem level performance from the modem and transceiver to the antenna that include complex 4G/5G transmit and receive modules, power tracking, tuning systems, multimode-multiband power amplification, low noise amplifiers and mmWave antenna solutions, in ad</w:t>
      </w:r>
      <w:r>
        <w:rPr>
          <w:rFonts w:eastAsia="Times New Roman"/>
          <w:color w:val="000000"/>
          <w:sz w:val="20"/>
          <w:szCs w:val="20"/>
        </w:rPr>
        <w:t>dition to discrete filtering products, for devices and applications across the mobile handsets, automotive and IoT industries. We have also integrated our Snapdragon platform with our RFFE components to create our Snapdragon 5G modem-RF products, the world</w:t>
      </w:r>
      <w:r>
        <w:rPr>
          <w:rFonts w:eastAsia="Times New Roman"/>
          <w:color w:val="000000"/>
          <w:sz w:val="20"/>
          <w:szCs w:val="20"/>
        </w:rPr>
        <w:t>’s first commercial modem-to-antenna 5G solution designed to maximize data speeds and performance, support superior call connectivity and coverage and extend battery life.</w:t>
      </w:r>
    </w:p>
    <w:p w14:paraId="0D2E3626" w14:textId="77777777" w:rsidR="00000000" w:rsidRDefault="009B6C69">
      <w:pPr>
        <w:ind w:firstLine="360"/>
        <w:divId w:val="1611858992"/>
        <w:rPr>
          <w:rFonts w:eastAsia="Times New Roman"/>
        </w:rPr>
      </w:pPr>
      <w:r>
        <w:rPr>
          <w:rFonts w:eastAsia="Times New Roman"/>
          <w:color w:val="000000"/>
          <w:sz w:val="20"/>
          <w:szCs w:val="20"/>
        </w:rPr>
        <w:t>Our wireless connectivity products also consist of integrated circuits and system so</w:t>
      </w:r>
      <w:r>
        <w:rPr>
          <w:rFonts w:eastAsia="Times New Roman"/>
          <w:color w:val="000000"/>
          <w:sz w:val="20"/>
          <w:szCs w:val="20"/>
        </w:rPr>
        <w:t>ftware for Wi-Fi, Bluetooth and frequency modulation, as well as technologies that support location data and services, including GPS, GLONASS, Galileo, NavIC and BeiDou. Our wireless connectivity products provide additional connectivity for mobile devices,</w:t>
      </w:r>
      <w:r>
        <w:rPr>
          <w:rFonts w:eastAsia="Times New Roman"/>
          <w:color w:val="000000"/>
          <w:sz w:val="20"/>
          <w:szCs w:val="20"/>
        </w:rPr>
        <w:t xml:space="preserve"> tablets, laptops, XR headsets, voice and music devices, wearable devices, along with other IoT devices and applications, automotive connectivity, digital cockpit and ADAS/AD, utility meters and logistic trackers and industrial sensors. QCT also offers sta</w:t>
      </w:r>
      <w:r>
        <w:rPr>
          <w:rFonts w:eastAsia="Times New Roman"/>
          <w:color w:val="000000"/>
          <w:sz w:val="20"/>
          <w:szCs w:val="20"/>
        </w:rPr>
        <w:t>ndalone Wi-Fi, Bluetooth, fingerprint sensor, applications processor and Ethernet products utilized within these devices and systems. Our networking products include Wi-Fi, Ethernet and Powerline chips, network processors, wireless access points and router</w:t>
      </w:r>
      <w:r>
        <w:rPr>
          <w:rFonts w:eastAsia="Times New Roman"/>
          <w:color w:val="000000"/>
          <w:sz w:val="20"/>
          <w:szCs w:val="20"/>
        </w:rPr>
        <w:t xml:space="preserve">s, broadband gateway equipment and software. These products help enable home and business networks to support the growing number of connected devices, digital media and data services. </w:t>
      </w:r>
    </w:p>
    <w:p w14:paraId="40DFF831" w14:textId="77777777" w:rsidR="00000000" w:rsidRDefault="009B6C69">
      <w:pPr>
        <w:ind w:firstLine="360"/>
        <w:divId w:val="1002859043"/>
        <w:rPr>
          <w:rFonts w:eastAsia="Times New Roman"/>
        </w:rPr>
      </w:pPr>
      <w:r>
        <w:rPr>
          <w:rFonts w:eastAsia="Times New Roman"/>
          <w:color w:val="000000"/>
          <w:sz w:val="20"/>
          <w:szCs w:val="20"/>
        </w:rPr>
        <w:t xml:space="preserve">Other than for certain of our RFFE modules and RF filter products, QCT </w:t>
      </w:r>
      <w:r>
        <w:rPr>
          <w:rFonts w:eastAsia="Times New Roman"/>
          <w:color w:val="000000"/>
          <w:sz w:val="20"/>
          <w:szCs w:val="20"/>
        </w:rPr>
        <w:t>utilizes a fabless production model, which means that we do not own or operate foundries for the production of silicon wafers from which our integrated circuits are made. Therefore, we primarily rely on third parties to perform the manufacturing and assemb</w:t>
      </w:r>
      <w:r>
        <w:rPr>
          <w:rFonts w:eastAsia="Times New Roman"/>
          <w:color w:val="000000"/>
          <w:sz w:val="20"/>
          <w:szCs w:val="20"/>
        </w:rPr>
        <w:t>ly, and most of the testing, of our integrated circuits based primarily on our proprietary designs and test programs. Our suppliers also are responsible for the procurement of most of the raw materials used in the production of our integrated circuits. Int</w:t>
      </w:r>
      <w:r>
        <w:rPr>
          <w:rFonts w:eastAsia="Times New Roman"/>
          <w:color w:val="000000"/>
          <w:sz w:val="20"/>
          <w:szCs w:val="20"/>
        </w:rPr>
        <w:t>egrated circuits are die cut from silicon wafers that have completed the package assembly and test manufacturing processes. The semiconductor package supports the electrical contacts that connect the integrated circuit to a circuit board. Die cut from sili</w:t>
      </w:r>
      <w:r>
        <w:rPr>
          <w:rFonts w:eastAsia="Times New Roman"/>
          <w:color w:val="000000"/>
          <w:sz w:val="20"/>
          <w:szCs w:val="20"/>
        </w:rPr>
        <w:t>con wafers are the essential components of all of our integrated circuits and a significant portion of the total integrated circuit cost. We employ both turnkey and two-stage manufacturing models to purchase our integrated circuits. Under the turnkey model</w:t>
      </w:r>
      <w:r>
        <w:rPr>
          <w:rFonts w:eastAsia="Times New Roman"/>
          <w:color w:val="000000"/>
          <w:sz w:val="20"/>
          <w:szCs w:val="20"/>
        </w:rPr>
        <w:t xml:space="preserve">, our foundry suppliers are responsible for delivering fully assembled and tested integrated circuits. Under the two-stage manufacturing model, we purchase die in singular or wafer form from semiconductor manufacturing foundries and contract with separate </w:t>
      </w:r>
      <w:r>
        <w:rPr>
          <w:rFonts w:eastAsia="Times New Roman"/>
          <w:color w:val="000000"/>
          <w:sz w:val="20"/>
          <w:szCs w:val="20"/>
        </w:rPr>
        <w:t>third parties for manufacturing services such as wafer bump, probe, assembly and the majority of our final test requirements. The primary foundry suppliers for our various digital, analog/mixed-signal, RF and PM integrated circuits are Global Foundries, Sa</w:t>
      </w:r>
      <w:r>
        <w:rPr>
          <w:rFonts w:eastAsia="Times New Roman"/>
          <w:color w:val="000000"/>
          <w:sz w:val="20"/>
          <w:szCs w:val="20"/>
        </w:rPr>
        <w:t>msung Electronics, Semiconductor Manufacturing International Corporation (SMIC) and Taiwan Semiconductor Manufacturing Company (TSMC). Our primary semiconductor assembly and test suppliers are Advanced Semiconductor Engineering, Amkor Technology, Siliconwa</w:t>
      </w:r>
      <w:r>
        <w:rPr>
          <w:rFonts w:eastAsia="Times New Roman"/>
          <w:color w:val="000000"/>
          <w:sz w:val="20"/>
          <w:szCs w:val="20"/>
        </w:rPr>
        <w:t>re Precision Industries and STATSChipPAC. The majority of our foundry and semiconductor assembly and test suppliers are located in the Asia-Pacific region.</w:t>
      </w:r>
    </w:p>
    <w:p w14:paraId="6B4145F7" w14:textId="77777777" w:rsidR="00000000" w:rsidRDefault="009B6C69">
      <w:pPr>
        <w:jc w:val="center"/>
        <w:divId w:val="2049603292"/>
        <w:rPr>
          <w:rFonts w:eastAsia="Times New Roman"/>
        </w:rPr>
      </w:pPr>
      <w:r>
        <w:rPr>
          <w:rFonts w:eastAsia="Times New Roman"/>
          <w:color w:val="000000"/>
          <w:sz w:val="20"/>
          <w:szCs w:val="20"/>
        </w:rPr>
        <w:t>11</w:t>
      </w:r>
    </w:p>
    <w:p w14:paraId="42261096" w14:textId="77777777" w:rsidR="00000000" w:rsidRDefault="009B6C69">
      <w:pPr>
        <w:rPr>
          <w:rFonts w:eastAsia="Times New Roman"/>
        </w:rPr>
      </w:pPr>
      <w:r>
        <w:rPr>
          <w:rFonts w:eastAsia="Times New Roman"/>
        </w:rPr>
        <w:pict w14:anchorId="625C481E">
          <v:rect id="_x0000_i1034" style="width:0;height:1.5pt" o:hralign="center" o:hrstd="t" o:hr="t" fillcolor="#a0a0a0" stroked="f"/>
        </w:pict>
      </w:r>
    </w:p>
    <w:p w14:paraId="49572E12" w14:textId="77777777" w:rsidR="00000000" w:rsidRDefault="009B6C69">
      <w:pPr>
        <w:divId w:val="806631480"/>
        <w:rPr>
          <w:rFonts w:eastAsia="Times New Roman"/>
        </w:rPr>
      </w:pPr>
    </w:p>
    <w:p w14:paraId="308F51BD" w14:textId="77777777" w:rsidR="00000000" w:rsidRDefault="009B6C69">
      <w:pPr>
        <w:ind w:firstLine="360"/>
        <w:divId w:val="706298267"/>
        <w:rPr>
          <w:rFonts w:eastAsia="Times New Roman"/>
        </w:rPr>
      </w:pPr>
      <w:r>
        <w:rPr>
          <w:rFonts w:eastAsia="Times New Roman"/>
          <w:color w:val="000000"/>
          <w:sz w:val="20"/>
          <w:szCs w:val="20"/>
        </w:rPr>
        <w:t>QCT primarily uses internal fabrication facilities to manufacture certain RFFE modules and RF filter products, and our manufacturing operations consist of front-end and back-end processes. The front-end processes primarily take place at manufacturing facil</w:t>
      </w:r>
      <w:r>
        <w:rPr>
          <w:rFonts w:eastAsia="Times New Roman"/>
          <w:color w:val="000000"/>
          <w:sz w:val="20"/>
          <w:szCs w:val="20"/>
        </w:rPr>
        <w:t xml:space="preserve">ities located in Germany and Singapore and involve the imprinting of substrate wafers with the structure and circuitry required for the products to function (also known as wafer fabrication). The back-end processes include the assembly, packaging and test </w:t>
      </w:r>
      <w:r>
        <w:rPr>
          <w:rFonts w:eastAsia="Times New Roman"/>
          <w:color w:val="000000"/>
          <w:sz w:val="20"/>
          <w:szCs w:val="20"/>
        </w:rPr>
        <w:t>of RFFE modules and RF filter products and their preparation for distribution. Our back-end manufacturing facilities are located in China and Singapore.</w:t>
      </w:r>
    </w:p>
    <w:p w14:paraId="053F9A67" w14:textId="77777777" w:rsidR="00000000" w:rsidRDefault="009B6C69">
      <w:pPr>
        <w:ind w:firstLine="360"/>
        <w:divId w:val="1636642514"/>
        <w:rPr>
          <w:rFonts w:eastAsia="Times New Roman"/>
        </w:rPr>
      </w:pPr>
      <w:r>
        <w:rPr>
          <w:rFonts w:eastAsia="Times New Roman"/>
          <w:color w:val="000000"/>
          <w:sz w:val="20"/>
          <w:szCs w:val="20"/>
        </w:rPr>
        <w:t>QCT’s sales are primarily made through supply terms which implement a purchase order and order confirma</w:t>
      </w:r>
      <w:r>
        <w:rPr>
          <w:rFonts w:eastAsia="Times New Roman"/>
          <w:color w:val="000000"/>
          <w:sz w:val="20"/>
          <w:szCs w:val="20"/>
        </w:rPr>
        <w:t>tion process for delivery of products. QCT generally allows customers to reschedule delivery dates within a defined time frame and to cancel orders prior to shipment with or without payment of a cancellation fee, depending on when the order is canceled. Th</w:t>
      </w:r>
      <w:r>
        <w:rPr>
          <w:rFonts w:eastAsia="Times New Roman"/>
          <w:color w:val="000000"/>
          <w:sz w:val="20"/>
          <w:szCs w:val="20"/>
        </w:rPr>
        <w:t>e industry in which QCT operates is intensely competitive. QCT competes worldwide with a number of U.S. and international designers and manufacturers of semiconductors. As a result of global expansion by foreign and domestic competitors, technological chan</w:t>
      </w:r>
      <w:r>
        <w:rPr>
          <w:rFonts w:eastAsia="Times New Roman"/>
          <w:color w:val="000000"/>
          <w:sz w:val="20"/>
          <w:szCs w:val="20"/>
        </w:rPr>
        <w:t>ges, device manufacturer concentrations, limited global supply capacity, vertical integration and the potential for further industry consolidation, we anticipate the industry to remain very competitive. We believe that the principal competitive factors for</w:t>
      </w:r>
      <w:r>
        <w:rPr>
          <w:rFonts w:eastAsia="Times New Roman"/>
          <w:color w:val="000000"/>
          <w:sz w:val="20"/>
          <w:szCs w:val="20"/>
        </w:rPr>
        <w:t xml:space="preserve"> our products include performance, level of integration, quality, compliance with industry standards, price, time-to-market, system cost, design and engineering capabilities, new product innovation, growth and scaling of distribution channels, desire by ce</w:t>
      </w:r>
      <w:r>
        <w:rPr>
          <w:rFonts w:eastAsia="Times New Roman"/>
          <w:color w:val="000000"/>
          <w:sz w:val="20"/>
          <w:szCs w:val="20"/>
        </w:rPr>
        <w:t>rtain customers to use multiple suppliers and customer support. QCT also competes in both single-mode and multimode environments against alternative communications technologies. Additional competitive factors exist for QCT product offerings that have expan</w:t>
      </w:r>
      <w:r>
        <w:rPr>
          <w:rFonts w:eastAsia="Times New Roman"/>
          <w:color w:val="000000"/>
          <w:sz w:val="20"/>
          <w:szCs w:val="20"/>
        </w:rPr>
        <w:t>ded into industries and applications beyond mobile handsets, including automotive and IoT. The automotive industry is subject to long design-in time frames, long product life cycles and a high degree of regulatory and safety requirements, necessitating sup</w:t>
      </w:r>
      <w:r>
        <w:rPr>
          <w:rFonts w:eastAsia="Times New Roman"/>
          <w:color w:val="000000"/>
          <w:sz w:val="20"/>
          <w:szCs w:val="20"/>
        </w:rPr>
        <w:t>pliers to the industry to comply with stringent qualification processes, very low defect rates and high reliability standards, all of which results in a significant barrier to entry and may result in increased costs.</w:t>
      </w:r>
    </w:p>
    <w:p w14:paraId="7413139E" w14:textId="77777777" w:rsidR="00000000" w:rsidRDefault="009B6C69">
      <w:pPr>
        <w:ind w:firstLine="360"/>
        <w:divId w:val="1414818870"/>
        <w:rPr>
          <w:rFonts w:eastAsia="Times New Roman"/>
        </w:rPr>
      </w:pPr>
      <w:r>
        <w:rPr>
          <w:rFonts w:eastAsia="Times New Roman"/>
          <w:color w:val="000000"/>
          <w:sz w:val="20"/>
          <w:szCs w:val="20"/>
        </w:rPr>
        <w:t xml:space="preserve">QCT’s current competitors include, but </w:t>
      </w:r>
      <w:r>
        <w:rPr>
          <w:rFonts w:eastAsia="Times New Roman"/>
          <w:color w:val="000000"/>
          <w:sz w:val="20"/>
          <w:szCs w:val="20"/>
        </w:rPr>
        <w:t>are not limited to, companies such as Apple, Broadcom, MediaTek, Nvidia, NXP Semiconductors, Qorvo, Samsung, Skyworks, Texas Instruments and UNISOC. QCT currently faces competition, which may intensify in the future, from products internally developed by o</w:t>
      </w:r>
      <w:r>
        <w:rPr>
          <w:rFonts w:eastAsia="Times New Roman"/>
          <w:color w:val="000000"/>
          <w:sz w:val="20"/>
          <w:szCs w:val="20"/>
        </w:rPr>
        <w:t>ur customers, including some of our largest customers, to early-stage companies. Our competitors devote significant amounts of their financial, technical and other resources to develop and market competitive products and, in some cases, to develop and adop</w:t>
      </w:r>
      <w:r>
        <w:rPr>
          <w:rFonts w:eastAsia="Times New Roman"/>
          <w:color w:val="000000"/>
          <w:sz w:val="20"/>
          <w:szCs w:val="20"/>
        </w:rPr>
        <w:t>t competitive digital communication or signal processing technologies, and those efforts may materially and adversely affect us. Although we have attained a significant position in the wireless industry, many of our current and potential competitors may ha</w:t>
      </w:r>
      <w:r>
        <w:rPr>
          <w:rFonts w:eastAsia="Times New Roman"/>
          <w:color w:val="000000"/>
          <w:sz w:val="20"/>
          <w:szCs w:val="20"/>
        </w:rPr>
        <w:t xml:space="preserve">ve advantages over us. </w:t>
      </w:r>
      <w:r>
        <w:rPr>
          <w:rFonts w:eastAsia="Times New Roman"/>
          <w:color w:val="000000"/>
          <w:sz w:val="20"/>
          <w:szCs w:val="20"/>
          <w:shd w:val="clear" w:color="auto" w:fill="FFFFFF"/>
        </w:rPr>
        <w:t>These and other risks related to competition are more fully described in the Risk Factors entitled “</w:t>
      </w:r>
      <w:r>
        <w:rPr>
          <w:rFonts w:eastAsia="Times New Roman"/>
          <w:i/>
          <w:iCs/>
          <w:color w:val="000000"/>
          <w:sz w:val="20"/>
          <w:szCs w:val="20"/>
        </w:rPr>
        <w:t>Our industry is subject to intense competition in an environment of rapid technological change. Our success depends in part on our ab</w:t>
      </w:r>
      <w:r>
        <w:rPr>
          <w:rFonts w:eastAsia="Times New Roman"/>
          <w:i/>
          <w:iCs/>
          <w:color w:val="000000"/>
          <w:sz w:val="20"/>
          <w:szCs w:val="20"/>
        </w:rPr>
        <w:t xml:space="preserve">ility to adapt to such change and compete effectively; and such change and competition could result in decreased demand for our products and technologies or declining average selling prices for our products or those of our customers or licensees” </w:t>
      </w:r>
      <w:r>
        <w:rPr>
          <w:rFonts w:eastAsia="Times New Roman"/>
          <w:color w:val="000000"/>
          <w:sz w:val="20"/>
          <w:szCs w:val="20"/>
          <w:shd w:val="clear" w:color="auto" w:fill="FFFFFF"/>
        </w:rPr>
        <w:t>and</w:t>
      </w:r>
      <w:r>
        <w:rPr>
          <w:rFonts w:eastAsia="Times New Roman"/>
          <w:i/>
          <w:iCs/>
          <w:color w:val="000000"/>
          <w:sz w:val="20"/>
          <w:szCs w:val="20"/>
        </w:rPr>
        <w:t xml:space="preserve"> “Our </w:t>
      </w:r>
      <w:r>
        <w:rPr>
          <w:rFonts w:eastAsia="Times New Roman"/>
          <w:i/>
          <w:iCs/>
          <w:color w:val="000000"/>
          <w:sz w:val="20"/>
          <w:szCs w:val="20"/>
        </w:rPr>
        <w:t>business, particularly our semiconductor business, may suffer as a result of our customers vertically integrating (i.e., developing their own integrated circuit products).”</w:t>
      </w:r>
      <w:r>
        <w:rPr>
          <w:rFonts w:eastAsia="Times New Roman"/>
          <w:color w:val="000000"/>
          <w:sz w:val="20"/>
          <w:szCs w:val="20"/>
        </w:rPr>
        <w:t xml:space="preserve"> </w:t>
      </w:r>
    </w:p>
    <w:p w14:paraId="1AE48910" w14:textId="77777777" w:rsidR="00000000" w:rsidRDefault="009B6C69">
      <w:pPr>
        <w:ind w:firstLine="360"/>
        <w:divId w:val="226957743"/>
        <w:rPr>
          <w:rFonts w:eastAsia="Times New Roman"/>
        </w:rPr>
      </w:pPr>
      <w:r>
        <w:rPr>
          <w:rFonts w:eastAsia="Times New Roman"/>
          <w:b/>
          <w:bCs/>
          <w:i/>
          <w:iCs/>
          <w:color w:val="000000"/>
          <w:sz w:val="20"/>
          <w:szCs w:val="20"/>
        </w:rPr>
        <w:t>QTL Segment</w:t>
      </w:r>
      <w:r>
        <w:rPr>
          <w:rFonts w:eastAsia="Times New Roman"/>
          <w:b/>
          <w:bCs/>
          <w:color w:val="000000"/>
          <w:sz w:val="20"/>
          <w:szCs w:val="20"/>
        </w:rPr>
        <w:t>.</w:t>
      </w:r>
      <w:r>
        <w:rPr>
          <w:rFonts w:eastAsia="Times New Roman"/>
          <w:color w:val="000000"/>
          <w:sz w:val="20"/>
          <w:szCs w:val="20"/>
        </w:rPr>
        <w:t xml:space="preserve"> QTL grants licenses or otherwise provides rights to use portions of o</w:t>
      </w:r>
      <w:r>
        <w:rPr>
          <w:rFonts w:eastAsia="Times New Roman"/>
          <w:color w:val="000000"/>
          <w:sz w:val="20"/>
          <w:szCs w:val="20"/>
        </w:rPr>
        <w:t xml:space="preserve">ur intellectual property portfolio, which, among other rights, includes certain patent rights essential to and/or useful in the manufacture, sale and/or use of certain wireless products, including, without limitation, products implementing CDMA2000, WCDMA </w:t>
      </w:r>
      <w:r>
        <w:rPr>
          <w:rFonts w:eastAsia="Times New Roman"/>
          <w:color w:val="000000"/>
          <w:sz w:val="20"/>
          <w:szCs w:val="20"/>
        </w:rPr>
        <w:t>(Wideband CDMA), LTE and/or OFDMA-based 5G standards and their derivatives. We grant licenses or otherwise provide rights to use our cellular standard-essential patents (including 3G, 4G and 5G) for both single-mode and multimode devices on a worldwide bas</w:t>
      </w:r>
      <w:r>
        <w:rPr>
          <w:rFonts w:eastAsia="Times New Roman"/>
          <w:color w:val="000000"/>
          <w:sz w:val="20"/>
          <w:szCs w:val="20"/>
        </w:rPr>
        <w:t>is. We also offer licenses to our cellular standard-essential patents together with other Qualcomm patents that may be useful to such licensed products for licensees that desire to obtain the commercial benefits of receiving such broad patent rights from u</w:t>
      </w:r>
      <w:r>
        <w:rPr>
          <w:rFonts w:eastAsia="Times New Roman"/>
          <w:color w:val="000000"/>
          <w:sz w:val="20"/>
          <w:szCs w:val="20"/>
        </w:rPr>
        <w:t>s. While we offer license rights to patents that we do not have a duty or obligation to grant, those rights may be negotiated at our discretion. A significant portion of QTL’s licensing revenues is derived from licensees that have entered into license agre</w:t>
      </w:r>
      <w:r>
        <w:rPr>
          <w:rFonts w:eastAsia="Times New Roman"/>
          <w:color w:val="000000"/>
          <w:sz w:val="20"/>
          <w:szCs w:val="20"/>
        </w:rPr>
        <w:t>ements that grant licenses under Qualcomm’s cellular standard-essential patents. Our licensees manufacture wireless cellular products such as mobile devices (including handsets), other consumer devices (e.g., tablets and laptops), plug-in end user data mod</w:t>
      </w:r>
      <w:r>
        <w:rPr>
          <w:rFonts w:eastAsia="Times New Roman"/>
          <w:color w:val="000000"/>
          <w:sz w:val="20"/>
          <w:szCs w:val="20"/>
        </w:rPr>
        <w:t>em cards and embedded modules for incorporation into machine-to-machine devices and certain other devices, connected vehicle units and connected vehicle modules used in automobiles, wireless access points, small cell wireless products, infrastructure equip</w:t>
      </w:r>
      <w:r>
        <w:rPr>
          <w:rFonts w:eastAsia="Times New Roman"/>
          <w:color w:val="000000"/>
          <w:sz w:val="20"/>
          <w:szCs w:val="20"/>
        </w:rPr>
        <w:t xml:space="preserve">ment required to establish and operate a cellular network and equipment to test wireless networks and cellular devices. </w:t>
      </w:r>
    </w:p>
    <w:p w14:paraId="4C6AFD9C" w14:textId="77777777" w:rsidR="00000000" w:rsidRDefault="009B6C69">
      <w:pPr>
        <w:ind w:firstLine="360"/>
        <w:divId w:val="1385327503"/>
        <w:rPr>
          <w:rFonts w:eastAsia="Times New Roman"/>
        </w:rPr>
      </w:pPr>
      <w:r>
        <w:rPr>
          <w:rFonts w:eastAsia="Times New Roman"/>
          <w:color w:val="000000"/>
          <w:sz w:val="20"/>
          <w:szCs w:val="20"/>
        </w:rPr>
        <w:t xml:space="preserve">Since our founding in 1985, we have focused heavily on technology development and innovation. These efforts have resulted in a leading </w:t>
      </w:r>
      <w:r>
        <w:rPr>
          <w:rFonts w:eastAsia="Times New Roman"/>
          <w:color w:val="000000"/>
          <w:sz w:val="20"/>
          <w:szCs w:val="20"/>
        </w:rPr>
        <w:t>intellectual property portfolio related to foundational, system level technologies for the wireless industry. We have an extensive portfolio of United States and foreign patents, and we continue to pursue patent applications around the world. Our patents h</w:t>
      </w:r>
      <w:r>
        <w:rPr>
          <w:rFonts w:eastAsia="Times New Roman"/>
          <w:color w:val="000000"/>
          <w:sz w:val="20"/>
          <w:szCs w:val="20"/>
        </w:rPr>
        <w:t>ave broad coverage in many countries, including Brazil, China, India, Japan, South Korea, Taiwan, the United States and countries in Europe. A substantial portion of our patents and patent applications relate to digital wireless communications technologies</w:t>
      </w:r>
      <w:r>
        <w:rPr>
          <w:rFonts w:eastAsia="Times New Roman"/>
          <w:color w:val="000000"/>
          <w:sz w:val="20"/>
          <w:szCs w:val="20"/>
        </w:rPr>
        <w:t>, including patents that are essential or may be important to the commercial implementation of CDMA2000, WCDMA (UMTS), LTE and/or OFDMA-based 5G products. Our patent portfolio is the most widely and extensively licensed in the industry, including more than</w:t>
      </w:r>
      <w:r>
        <w:rPr>
          <w:rFonts w:eastAsia="Times New Roman"/>
          <w:color w:val="000000"/>
          <w:sz w:val="20"/>
          <w:szCs w:val="20"/>
        </w:rPr>
        <w:t xml:space="preserve"> 190 5G license agreements to date. Additionally, we have a substantial patent portfolio related to key technologies used in communications and other devices and/or related services, some of which were developed in industry standards development organizati</w:t>
      </w:r>
      <w:r>
        <w:rPr>
          <w:rFonts w:eastAsia="Times New Roman"/>
          <w:color w:val="000000"/>
          <w:sz w:val="20"/>
          <w:szCs w:val="20"/>
        </w:rPr>
        <w:t>ons. These include certain video codecs, audio codecs, Wi-Fi, memory interfaces, wireless power, GPS and positioning, broadcast and streaming protocols, and short-range communication functionalities, including NFC and Bluetooth. Our patents cover a wide ra</w:t>
      </w:r>
      <w:r>
        <w:rPr>
          <w:rFonts w:eastAsia="Times New Roman"/>
          <w:color w:val="000000"/>
          <w:sz w:val="20"/>
          <w:szCs w:val="20"/>
        </w:rPr>
        <w:t xml:space="preserve">nge of technologies across the </w:t>
      </w:r>
    </w:p>
    <w:p w14:paraId="3F90187F" w14:textId="77777777" w:rsidR="00000000" w:rsidRDefault="009B6C69">
      <w:pPr>
        <w:jc w:val="center"/>
        <w:divId w:val="1665280259"/>
        <w:rPr>
          <w:rFonts w:eastAsia="Times New Roman"/>
        </w:rPr>
      </w:pPr>
      <w:r>
        <w:rPr>
          <w:rFonts w:eastAsia="Times New Roman"/>
          <w:color w:val="000000"/>
          <w:sz w:val="20"/>
          <w:szCs w:val="20"/>
        </w:rPr>
        <w:t>12</w:t>
      </w:r>
    </w:p>
    <w:p w14:paraId="16089D47" w14:textId="77777777" w:rsidR="00000000" w:rsidRDefault="009B6C69">
      <w:pPr>
        <w:rPr>
          <w:rFonts w:eastAsia="Times New Roman"/>
        </w:rPr>
      </w:pPr>
      <w:r>
        <w:rPr>
          <w:rFonts w:eastAsia="Times New Roman"/>
        </w:rPr>
        <w:pict w14:anchorId="0947834A">
          <v:rect id="_x0000_i1035" style="width:0;height:1.5pt" o:hralign="center" o:hrstd="t" o:hr="t" fillcolor="#a0a0a0" stroked="f"/>
        </w:pict>
      </w:r>
    </w:p>
    <w:p w14:paraId="638657CD" w14:textId="77777777" w:rsidR="00000000" w:rsidRDefault="009B6C69">
      <w:pPr>
        <w:divId w:val="2043626181"/>
        <w:rPr>
          <w:rFonts w:eastAsia="Times New Roman"/>
        </w:rPr>
      </w:pPr>
    </w:p>
    <w:p w14:paraId="33E3375A" w14:textId="77777777" w:rsidR="00000000" w:rsidRDefault="009B6C69">
      <w:pPr>
        <w:divId w:val="851526602"/>
        <w:rPr>
          <w:rFonts w:eastAsia="Times New Roman"/>
        </w:rPr>
      </w:pPr>
      <w:r>
        <w:rPr>
          <w:rFonts w:eastAsia="Times New Roman"/>
          <w:color w:val="000000"/>
          <w:sz w:val="20"/>
          <w:szCs w:val="20"/>
        </w:rPr>
        <w:t>entire wireless system (including wireless devices and network infrastructure equipment), not just the portion of such patented technologies incorporated into chipsets. Over the year</w:t>
      </w:r>
      <w:r>
        <w:rPr>
          <w:rFonts w:eastAsia="Times New Roman"/>
          <w:color w:val="000000"/>
          <w:sz w:val="20"/>
          <w:szCs w:val="20"/>
        </w:rPr>
        <w:t>s, a number of companies have challenged our patent position, but the mobile communications industry generally recognizes that any company seeking to develop, manufacture and/or sell certain wireless products that use CDMA-based and/or OFDMA-based technolo</w:t>
      </w:r>
      <w:r>
        <w:rPr>
          <w:rFonts w:eastAsia="Times New Roman"/>
          <w:color w:val="000000"/>
          <w:sz w:val="20"/>
          <w:szCs w:val="20"/>
        </w:rPr>
        <w:t xml:space="preserve">gies requires a license or other rights to use our patents. </w:t>
      </w:r>
    </w:p>
    <w:p w14:paraId="2ECF5668" w14:textId="77777777" w:rsidR="00000000" w:rsidRDefault="009B6C69">
      <w:pPr>
        <w:ind w:firstLine="360"/>
        <w:divId w:val="875965745"/>
        <w:rPr>
          <w:rFonts w:eastAsia="Times New Roman"/>
        </w:rPr>
      </w:pPr>
      <w:r>
        <w:rPr>
          <w:rFonts w:eastAsia="Times New Roman"/>
          <w:color w:val="000000"/>
          <w:sz w:val="20"/>
          <w:szCs w:val="20"/>
        </w:rPr>
        <w:t>We have licensed or otherwise provided rights to use our patents to hundreds of companies on industry-accepted terms. Our strategy to make our patented technologies broadly available has been a c</w:t>
      </w:r>
      <w:r>
        <w:rPr>
          <w:rFonts w:eastAsia="Times New Roman"/>
          <w:color w:val="000000"/>
          <w:sz w:val="20"/>
          <w:szCs w:val="20"/>
        </w:rPr>
        <w:t>atalyst for industry growth, helping to enable a wide range of companies offering a broad array of wireless products and features while increasing the capabilities of and/or driving down average and low-end selling prices for handsets and other wireless de</w:t>
      </w:r>
      <w:r>
        <w:rPr>
          <w:rFonts w:eastAsia="Times New Roman"/>
          <w:color w:val="000000"/>
          <w:sz w:val="20"/>
          <w:szCs w:val="20"/>
        </w:rPr>
        <w:t>vices. By licensing or otherwise providing rights to use our patents to a wide range of equipment manufacturers, encouraging innovative applications, supporting equipment manufacturers with integrated chipset and software products and focusing on improving</w:t>
      </w:r>
      <w:r>
        <w:rPr>
          <w:rFonts w:eastAsia="Times New Roman"/>
          <w:color w:val="000000"/>
          <w:sz w:val="20"/>
          <w:szCs w:val="20"/>
        </w:rPr>
        <w:t xml:space="preserve"> the efficiency of the airlink for wireless operators, we have helped multimode device capabilities evolve, grow demand and reduce device pricing. 5G network deployments and commercial 3G/4G/5G multimode device sales began in 2019 and have continued. By li</w:t>
      </w:r>
      <w:r>
        <w:rPr>
          <w:rFonts w:eastAsia="Times New Roman"/>
          <w:color w:val="000000"/>
          <w:sz w:val="20"/>
          <w:szCs w:val="20"/>
        </w:rPr>
        <w:t>censing or otherwise providing rights to use our patents to a wide range of equipment manufacturers, we are supporting the global rollout and availability of 5G technology. We believe that 5G will continue to encourage innovative applications through enhan</w:t>
      </w:r>
      <w:r>
        <w:rPr>
          <w:rFonts w:eastAsia="Times New Roman"/>
          <w:color w:val="000000"/>
          <w:sz w:val="20"/>
          <w:szCs w:val="20"/>
        </w:rPr>
        <w:t xml:space="preserve">ced mobile broadband services with lower latency and multi-gigabit user data speeds and bring more capacity and efficiency to wireless networks. </w:t>
      </w:r>
    </w:p>
    <w:p w14:paraId="63329E09" w14:textId="77777777" w:rsidR="00000000" w:rsidRDefault="009B6C69">
      <w:pPr>
        <w:ind w:firstLine="360"/>
        <w:divId w:val="1301888478"/>
        <w:rPr>
          <w:rFonts w:eastAsia="Times New Roman"/>
        </w:rPr>
      </w:pPr>
      <w:r>
        <w:rPr>
          <w:rFonts w:eastAsia="Times New Roman"/>
          <w:color w:val="000000"/>
          <w:sz w:val="20"/>
          <w:szCs w:val="20"/>
        </w:rPr>
        <w:t>Upon the initial deployment of OFDMA-based networks, the products implementing such technologies generally have been multimode and implement OFDMA-based and CDMA-based technologies. The licenses granted under our existing license agreements generally cover</w:t>
      </w:r>
      <w:r>
        <w:rPr>
          <w:rFonts w:eastAsia="Times New Roman"/>
          <w:color w:val="000000"/>
          <w:sz w:val="20"/>
          <w:szCs w:val="20"/>
        </w:rPr>
        <w:t xml:space="preserve"> multimode CDMA/OFDMA (3G/4G/5G) devices, and our licensees are obligated to pay royalties under their license agreements for their sales of such devices. </w:t>
      </w:r>
    </w:p>
    <w:p w14:paraId="27E59956" w14:textId="77777777" w:rsidR="00000000" w:rsidRDefault="009B6C69">
      <w:pPr>
        <w:ind w:firstLine="360"/>
        <w:divId w:val="2057194318"/>
        <w:rPr>
          <w:rFonts w:eastAsia="Times New Roman"/>
        </w:rPr>
      </w:pPr>
      <w:r>
        <w:rPr>
          <w:rFonts w:eastAsia="Times New Roman"/>
          <w:color w:val="000000"/>
          <w:sz w:val="20"/>
          <w:szCs w:val="20"/>
        </w:rPr>
        <w:t>Standards bodies have been informed that we hold patents that might be essential for all 3G standard</w:t>
      </w:r>
      <w:r>
        <w:rPr>
          <w:rFonts w:eastAsia="Times New Roman"/>
          <w:color w:val="000000"/>
          <w:sz w:val="20"/>
          <w:szCs w:val="20"/>
        </w:rPr>
        <w:t>s that are based on CDMA, patents and pending patent applications that are potentially essential for LTE standards, including FDD and TDD versions, and patents and pending patent applications that are potentially essential for 5G technologies. We have comm</w:t>
      </w:r>
      <w:r>
        <w:rPr>
          <w:rFonts w:eastAsia="Times New Roman"/>
          <w:color w:val="000000"/>
          <w:sz w:val="20"/>
          <w:szCs w:val="20"/>
        </w:rPr>
        <w:t>itted to such standards bodies that we will offer to license our essential patents for these standards consistent with our commitments to those bodies. We have made similar commitments with respect to certain other technologies implemented in industry stan</w:t>
      </w:r>
      <w:r>
        <w:rPr>
          <w:rFonts w:eastAsia="Times New Roman"/>
          <w:color w:val="000000"/>
          <w:sz w:val="20"/>
          <w:szCs w:val="20"/>
        </w:rPr>
        <w:t xml:space="preserve">dards. </w:t>
      </w:r>
    </w:p>
    <w:p w14:paraId="2E383875" w14:textId="77777777" w:rsidR="00000000" w:rsidRDefault="009B6C69">
      <w:pPr>
        <w:ind w:firstLine="360"/>
        <w:divId w:val="2082218104"/>
        <w:rPr>
          <w:rFonts w:eastAsia="Times New Roman"/>
        </w:rPr>
      </w:pPr>
      <w:r>
        <w:rPr>
          <w:rFonts w:eastAsia="Times New Roman"/>
          <w:color w:val="000000"/>
          <w:sz w:val="20"/>
          <w:szCs w:val="20"/>
        </w:rPr>
        <w:t>QTL licensing revenues include royalties and, to a lesser extent, license fees. Licensees pay quarterly royalties based on their sales of products incorporating or using our licensed intellectual property and may also pay a fixed license fee in one</w:t>
      </w:r>
      <w:r>
        <w:rPr>
          <w:rFonts w:eastAsia="Times New Roman"/>
          <w:color w:val="000000"/>
          <w:sz w:val="20"/>
          <w:szCs w:val="20"/>
        </w:rPr>
        <w:t xml:space="preserve"> or more installments. Sales-based royalties are generally based upon a percentage of the wholesale (i.e., licensee’s) selling price of complete licensed products, net of certain permissible deductions (including transportation, insurance, packing costs an</w:t>
      </w:r>
      <w:r>
        <w:rPr>
          <w:rFonts w:eastAsia="Times New Roman"/>
          <w:color w:val="000000"/>
          <w:sz w:val="20"/>
          <w:szCs w:val="20"/>
        </w:rPr>
        <w:t>d other items). We broadly provide per unit royalty caps that apply to certain categories of complete wireless devices, such as smartphones, tablets, laptops and smartwatches, and which provide for a maximum royalty amount payable per device. For certain n</w:t>
      </w:r>
      <w:r>
        <w:rPr>
          <w:rFonts w:eastAsia="Times New Roman"/>
          <w:color w:val="000000"/>
          <w:sz w:val="20"/>
          <w:szCs w:val="20"/>
        </w:rPr>
        <w:t>on-handset product categories, including automotive, we charge a fixed royalty amount per unit. Revenues generated from royalties are subject to quarterly and annual fluctuations.</w:t>
      </w:r>
    </w:p>
    <w:p w14:paraId="3DDAAD88" w14:textId="77777777" w:rsidR="00000000" w:rsidRDefault="009B6C69">
      <w:pPr>
        <w:ind w:firstLine="360"/>
        <w:divId w:val="543752985"/>
        <w:rPr>
          <w:rFonts w:eastAsia="Times New Roman"/>
        </w:rPr>
      </w:pPr>
      <w:r>
        <w:rPr>
          <w:rFonts w:eastAsia="Times New Roman"/>
          <w:color w:val="000000"/>
          <w:sz w:val="20"/>
          <w:szCs w:val="20"/>
        </w:rPr>
        <w:t>The vast majority of QTL revenues have been generated through our licensees’</w:t>
      </w:r>
      <w:r>
        <w:rPr>
          <w:rFonts w:eastAsia="Times New Roman"/>
          <w:color w:val="000000"/>
          <w:sz w:val="20"/>
          <w:szCs w:val="20"/>
        </w:rPr>
        <w:t xml:space="preserve"> sales of CDMA-based (including, but not limited to WCDMA-based) and OFDMA-based products (including 3G, 3G/4G and 3G/4G/5G multimode devices), such as smartphones and other devices. We have invested in both the acquisition and development of, and continue</w:t>
      </w:r>
      <w:r>
        <w:rPr>
          <w:rFonts w:eastAsia="Times New Roman"/>
          <w:color w:val="000000"/>
          <w:sz w:val="20"/>
          <w:szCs w:val="20"/>
        </w:rPr>
        <w:t xml:space="preserve"> to invest in the development of, OFDMA technology and intellectual property and have generated the industry leading patent portfolio applicable to LTE, LTE Advanced, LTE Advanced Pro and 5G NR. Some of our inventions that serve as foundational technologie</w:t>
      </w:r>
      <w:r>
        <w:rPr>
          <w:rFonts w:eastAsia="Times New Roman"/>
          <w:color w:val="000000"/>
          <w:sz w:val="20"/>
          <w:szCs w:val="20"/>
        </w:rPr>
        <w:t xml:space="preserve">s for 3G and 4G also serve as foundational technologies for 5G. We have invested and continue to invest in the development of 5G and continue to play a significant role in driving advancements of 5G. Nevertheless, we face competition in the development of </w:t>
      </w:r>
      <w:r>
        <w:rPr>
          <w:rFonts w:eastAsia="Times New Roman"/>
          <w:color w:val="000000"/>
          <w:sz w:val="20"/>
          <w:szCs w:val="20"/>
        </w:rPr>
        <w:t xml:space="preserve">intellectual property for future generations of digital wireless communications technologies and services. </w:t>
      </w:r>
    </w:p>
    <w:p w14:paraId="094009C2" w14:textId="77777777" w:rsidR="00000000" w:rsidRDefault="009B6C69">
      <w:pPr>
        <w:ind w:firstLine="360"/>
        <w:divId w:val="1539391501"/>
        <w:rPr>
          <w:rFonts w:eastAsia="Times New Roman"/>
        </w:rPr>
      </w:pPr>
      <w:r>
        <w:rPr>
          <w:rFonts w:eastAsia="Times New Roman"/>
          <w:color w:val="000000"/>
          <w:sz w:val="20"/>
          <w:szCs w:val="20"/>
        </w:rPr>
        <w:t>Separate and apart from licensing manufacturers of wireless devices and network equipment, we have entered into certain arrangements with competitor</w:t>
      </w:r>
      <w:r>
        <w:rPr>
          <w:rFonts w:eastAsia="Times New Roman"/>
          <w:color w:val="000000"/>
          <w:sz w:val="20"/>
          <w:szCs w:val="20"/>
        </w:rPr>
        <w:t>s of our QCT segment. A principal purpose of these arrangements is to provide our QCT segment and the counterparties certain freedom of operation with respect to each party’s integrated circuits business. In every case, these agreements expressly reserve t</w:t>
      </w:r>
      <w:r>
        <w:rPr>
          <w:rFonts w:eastAsia="Times New Roman"/>
          <w:color w:val="000000"/>
          <w:sz w:val="20"/>
          <w:szCs w:val="20"/>
        </w:rPr>
        <w:t>he right for QTL to seek royalties from the customers of such integrated circuit suppliers with respect to such suppliers’ customers’ sales of CDMA-based (including, but not limited to WCDMA-based) and OFDMA-based wireless devices into which such suppliers</w:t>
      </w:r>
      <w:r>
        <w:rPr>
          <w:rFonts w:eastAsia="Times New Roman"/>
          <w:color w:val="000000"/>
          <w:sz w:val="20"/>
          <w:szCs w:val="20"/>
        </w:rPr>
        <w:t>’ integrated circuits are incorporated.</w:t>
      </w:r>
    </w:p>
    <w:p w14:paraId="78C318A9" w14:textId="77777777" w:rsidR="00000000" w:rsidRDefault="009B6C69">
      <w:pPr>
        <w:ind w:firstLine="360"/>
        <w:divId w:val="1208689181"/>
        <w:rPr>
          <w:rFonts w:eastAsia="Times New Roman"/>
        </w:rPr>
      </w:pPr>
      <w:r>
        <w:rPr>
          <w:rFonts w:eastAsia="Times New Roman"/>
          <w:color w:val="000000"/>
          <w:sz w:val="20"/>
          <w:szCs w:val="20"/>
        </w:rPr>
        <w:t>Our license agreements also may provide us with rights to use certain of our licensees’ technology and intellectual property to manufacture, sell and/or use certain components (e.g., application-specific integrated c</w:t>
      </w:r>
      <w:r>
        <w:rPr>
          <w:rFonts w:eastAsia="Times New Roman"/>
          <w:color w:val="000000"/>
          <w:sz w:val="20"/>
          <w:szCs w:val="20"/>
        </w:rPr>
        <w:t xml:space="preserve">ircuits) and related software, cellular devices and/or infrastructure equipment. </w:t>
      </w:r>
    </w:p>
    <w:p w14:paraId="6F960CA5" w14:textId="77777777" w:rsidR="00000000" w:rsidRDefault="009B6C69">
      <w:pPr>
        <w:ind w:firstLine="360"/>
        <w:divId w:val="1433864352"/>
        <w:rPr>
          <w:rFonts w:eastAsia="Times New Roman"/>
        </w:rPr>
      </w:pPr>
      <w:r>
        <w:rPr>
          <w:rFonts w:eastAsia="Times New Roman"/>
          <w:color w:val="000000"/>
          <w:sz w:val="20"/>
          <w:szCs w:val="20"/>
        </w:rPr>
        <w:t>We have been in the past, currently are, and may in the future be subject to certain legal proceedings and/or governmental investigations challenging our patent licensing pra</w:t>
      </w:r>
      <w:r>
        <w:rPr>
          <w:rFonts w:eastAsia="Times New Roman"/>
          <w:color w:val="000000"/>
          <w:sz w:val="20"/>
          <w:szCs w:val="20"/>
        </w:rPr>
        <w:t>ctices, including those described in this Annual Report under the heading “Notes to Consolidated Financial Statements, Note 7. Commitments and Contingencies,” which may require us to change our patent licensing practices as described herein in “Part I, Ite</w:t>
      </w:r>
      <w:r>
        <w:rPr>
          <w:rFonts w:eastAsia="Times New Roman"/>
          <w:color w:val="000000"/>
          <w:sz w:val="20"/>
          <w:szCs w:val="20"/>
        </w:rPr>
        <w:t>m 1A. Risk Factors” under the heading “</w:t>
      </w:r>
      <w:r>
        <w:rPr>
          <w:rFonts w:eastAsia="Times New Roman"/>
          <w:i/>
          <w:iCs/>
          <w:color w:val="000000"/>
          <w:sz w:val="20"/>
          <w:szCs w:val="20"/>
        </w:rPr>
        <w:t>Changes in our patent licensing practices, whether due to governmental investigations, legal challenges or otherwise, could adversely impact our business and results of operations.</w:t>
      </w:r>
      <w:r>
        <w:rPr>
          <w:rFonts w:eastAsia="Times New Roman"/>
          <w:color w:val="000000"/>
          <w:sz w:val="20"/>
          <w:szCs w:val="20"/>
        </w:rPr>
        <w:t>”</w:t>
      </w:r>
    </w:p>
    <w:p w14:paraId="6A6FFC84" w14:textId="77777777" w:rsidR="00000000" w:rsidRDefault="009B6C69">
      <w:pPr>
        <w:jc w:val="center"/>
        <w:divId w:val="1884708795"/>
        <w:rPr>
          <w:rFonts w:eastAsia="Times New Roman"/>
        </w:rPr>
      </w:pPr>
      <w:r>
        <w:rPr>
          <w:rFonts w:eastAsia="Times New Roman"/>
          <w:color w:val="000000"/>
          <w:sz w:val="20"/>
          <w:szCs w:val="20"/>
        </w:rPr>
        <w:t>13</w:t>
      </w:r>
    </w:p>
    <w:p w14:paraId="6537476A" w14:textId="77777777" w:rsidR="00000000" w:rsidRDefault="009B6C69">
      <w:pPr>
        <w:rPr>
          <w:rFonts w:eastAsia="Times New Roman"/>
        </w:rPr>
      </w:pPr>
      <w:r>
        <w:rPr>
          <w:rFonts w:eastAsia="Times New Roman"/>
        </w:rPr>
        <w:pict w14:anchorId="17845FF0">
          <v:rect id="_x0000_i1036" style="width:0;height:1.5pt" o:hralign="center" o:hrstd="t" o:hr="t" fillcolor="#a0a0a0" stroked="f"/>
        </w:pict>
      </w:r>
    </w:p>
    <w:p w14:paraId="14BBAA31" w14:textId="77777777" w:rsidR="00000000" w:rsidRDefault="009B6C69">
      <w:pPr>
        <w:divId w:val="239021227"/>
        <w:rPr>
          <w:rFonts w:eastAsia="Times New Roman"/>
        </w:rPr>
      </w:pPr>
    </w:p>
    <w:p w14:paraId="7E7CD6DD" w14:textId="77777777" w:rsidR="00000000" w:rsidRDefault="009B6C69">
      <w:pPr>
        <w:ind w:firstLine="360"/>
        <w:divId w:val="1650282169"/>
        <w:rPr>
          <w:rFonts w:eastAsia="Times New Roman"/>
        </w:rPr>
      </w:pPr>
      <w:r>
        <w:rPr>
          <w:rFonts w:eastAsia="Times New Roman"/>
          <w:b/>
          <w:bCs/>
          <w:i/>
          <w:iCs/>
          <w:color w:val="000000"/>
          <w:sz w:val="20"/>
          <w:szCs w:val="20"/>
        </w:rPr>
        <w:t>QSI Segment.</w:t>
      </w:r>
      <w:r>
        <w:rPr>
          <w:rFonts w:eastAsia="Times New Roman"/>
          <w:color w:val="000000"/>
          <w:sz w:val="20"/>
          <w:szCs w:val="20"/>
        </w:rPr>
        <w:t xml:space="preserve"> QSI makes strategic investments primarily through our Qualcomm Ventures arm that are focused on expanding or opening new opportunities for our technologies as well as supporting the design and introduction of new products and services (o</w:t>
      </w:r>
      <w:r>
        <w:rPr>
          <w:rFonts w:eastAsia="Times New Roman"/>
          <w:color w:val="000000"/>
          <w:sz w:val="20"/>
          <w:szCs w:val="20"/>
        </w:rPr>
        <w:t>r enhancing existing products or services). Many of these strategic investments are in early-stage companies in a variety of industries and applications, including, but not limited to, 5G, AI, automotive, consumer, enterprise, cloud, IoT and XR. Investment</w:t>
      </w:r>
      <w:r>
        <w:rPr>
          <w:rFonts w:eastAsia="Times New Roman"/>
          <w:color w:val="000000"/>
          <w:sz w:val="20"/>
          <w:szCs w:val="20"/>
        </w:rPr>
        <w:t>s primarily include non-marketable equity securities and, to a lesser extent, marketable equity securities and convertible debt instruments. In addition, QSI segment results include revenues and related costs associated with certain development contracts w</w:t>
      </w:r>
      <w:r>
        <w:rPr>
          <w:rFonts w:eastAsia="Times New Roman"/>
          <w:color w:val="000000"/>
          <w:sz w:val="20"/>
          <w:szCs w:val="20"/>
        </w:rPr>
        <w:t>ith one of our investees. As part of our strategic investment activities, we generally intend to pursue various exit strategies for each of our QSI investments in the foreseeable future.</w:t>
      </w:r>
    </w:p>
    <w:p w14:paraId="164BDDEA" w14:textId="77777777" w:rsidR="00000000" w:rsidRDefault="009B6C69">
      <w:pPr>
        <w:ind w:firstLine="360"/>
        <w:divId w:val="512301270"/>
        <w:rPr>
          <w:rFonts w:eastAsia="Times New Roman"/>
        </w:rPr>
      </w:pPr>
      <w:r>
        <w:rPr>
          <w:rFonts w:eastAsia="Times New Roman"/>
          <w:b/>
          <w:bCs/>
          <w:i/>
          <w:iCs/>
          <w:color w:val="000000"/>
          <w:sz w:val="20"/>
          <w:szCs w:val="20"/>
        </w:rPr>
        <w:t xml:space="preserve">Other Businesses. </w:t>
      </w:r>
      <w:r>
        <w:rPr>
          <w:rFonts w:eastAsia="Times New Roman"/>
          <w:color w:val="000000"/>
          <w:sz w:val="20"/>
          <w:szCs w:val="20"/>
        </w:rPr>
        <w:t xml:space="preserve">Nonreportable segments include our QGOV business, </w:t>
      </w:r>
      <w:r>
        <w:rPr>
          <w:rFonts w:eastAsia="Times New Roman"/>
          <w:color w:val="222222"/>
          <w:sz w:val="20"/>
          <w:szCs w:val="20"/>
        </w:rPr>
        <w:t>o</w:t>
      </w:r>
      <w:r>
        <w:rPr>
          <w:rFonts w:eastAsia="Times New Roman"/>
          <w:color w:val="222222"/>
          <w:sz w:val="20"/>
          <w:szCs w:val="20"/>
        </w:rPr>
        <w:t>ur cloud AI inference processing initiative</w:t>
      </w:r>
      <w:r>
        <w:rPr>
          <w:rFonts w:eastAsia="Times New Roman"/>
          <w:color w:val="000000"/>
          <w:sz w:val="20"/>
          <w:szCs w:val="20"/>
        </w:rPr>
        <w:t xml:space="preserve"> and other technology and service initiatives. QGOV provides development and other services and sells related products to U.S. government agencies and their contractors. </w:t>
      </w:r>
    </w:p>
    <w:p w14:paraId="778D16C6" w14:textId="77777777" w:rsidR="00000000" w:rsidRDefault="009B6C69">
      <w:pPr>
        <w:ind w:firstLine="360"/>
        <w:divId w:val="1597206278"/>
        <w:rPr>
          <w:rFonts w:eastAsia="Times New Roman"/>
        </w:rPr>
      </w:pPr>
      <w:r>
        <w:rPr>
          <w:rFonts w:eastAsia="Times New Roman"/>
          <w:b/>
          <w:bCs/>
          <w:i/>
          <w:iCs/>
          <w:color w:val="000000"/>
          <w:sz w:val="20"/>
          <w:szCs w:val="20"/>
        </w:rPr>
        <w:t xml:space="preserve">Seasonality. </w:t>
      </w:r>
      <w:r>
        <w:rPr>
          <w:rFonts w:eastAsia="Times New Roman"/>
          <w:color w:val="000000"/>
          <w:sz w:val="20"/>
          <w:szCs w:val="20"/>
        </w:rPr>
        <w:t>Information regarding seasona</w:t>
      </w:r>
      <w:r>
        <w:rPr>
          <w:rFonts w:eastAsia="Times New Roman"/>
          <w:color w:val="000000"/>
          <w:sz w:val="20"/>
          <w:szCs w:val="20"/>
        </w:rPr>
        <w:t>lity is provided in this Annual Report in “Part II, Item 7. Management’s Discussion and Analysis of Financial Condition and Results of Operations” in the “Our Business and Operating Segments” section under the heading “Seasonality.”</w:t>
      </w:r>
    </w:p>
    <w:p w14:paraId="7AAF8FAE" w14:textId="77777777" w:rsidR="00000000" w:rsidRDefault="009B6C69">
      <w:pPr>
        <w:divId w:val="1566604956"/>
        <w:rPr>
          <w:rFonts w:eastAsia="Times New Roman"/>
        </w:rPr>
      </w:pPr>
      <w:r>
        <w:rPr>
          <w:rFonts w:eastAsia="Times New Roman"/>
          <w:b/>
          <w:bCs/>
          <w:color w:val="000000"/>
          <w:sz w:val="20"/>
          <w:szCs w:val="20"/>
        </w:rPr>
        <w:t>Corporate Structure</w:t>
      </w:r>
    </w:p>
    <w:p w14:paraId="3C27F9D3" w14:textId="77777777" w:rsidR="00000000" w:rsidRDefault="009B6C69">
      <w:pPr>
        <w:ind w:firstLine="360"/>
        <w:divId w:val="1297492040"/>
        <w:rPr>
          <w:rFonts w:eastAsia="Times New Roman"/>
        </w:rPr>
      </w:pPr>
      <w:r>
        <w:rPr>
          <w:rFonts w:eastAsia="Times New Roman"/>
          <w:color w:val="000000"/>
          <w:sz w:val="20"/>
          <w:szCs w:val="20"/>
        </w:rPr>
        <w:t>We operate our businesses through our parent company, QUALCOMM Incorporated, and multiple direct and indirect subsidiaries. We have developed our corporate structure in order to address various legal, regulatory, tax, contractual compli</w:t>
      </w:r>
      <w:r>
        <w:rPr>
          <w:rFonts w:eastAsia="Times New Roman"/>
          <w:color w:val="000000"/>
          <w:sz w:val="20"/>
          <w:szCs w:val="20"/>
        </w:rPr>
        <w:t xml:space="preserve">ance, operational and other matters. Substantially all of our products and services businesses, including QCT, and substantially all of our engineering and research and development functions, are operated by Qualcomm Technologies, Inc. (QTI), a subsidiary </w:t>
      </w:r>
      <w:r>
        <w:rPr>
          <w:rFonts w:eastAsia="Times New Roman"/>
          <w:color w:val="000000"/>
          <w:sz w:val="20"/>
          <w:szCs w:val="20"/>
        </w:rPr>
        <w:t>of QUALCOMM Incorporated, and QTI’s subsidiaries. QTL is operated by QUALCOMM Incorporated, which owns the vast majority of our patent portfolio. Neither QTI nor any of its subsidiaries has any right, power or authority to grant any licenses or other right</w:t>
      </w:r>
      <w:r>
        <w:rPr>
          <w:rFonts w:eastAsia="Times New Roman"/>
          <w:color w:val="000000"/>
          <w:sz w:val="20"/>
          <w:szCs w:val="20"/>
        </w:rPr>
        <w:t>s under or to any patents owned by QUALCOMM Incorporated.</w:t>
      </w:r>
    </w:p>
    <w:p w14:paraId="64A7F7FB" w14:textId="77777777" w:rsidR="00000000" w:rsidRDefault="009B6C69">
      <w:pPr>
        <w:divId w:val="1767650010"/>
        <w:rPr>
          <w:rFonts w:eastAsia="Times New Roman"/>
        </w:rPr>
      </w:pPr>
      <w:r>
        <w:rPr>
          <w:rFonts w:eastAsia="Times New Roman"/>
          <w:b/>
          <w:bCs/>
          <w:color w:val="000000"/>
          <w:sz w:val="20"/>
          <w:szCs w:val="20"/>
        </w:rPr>
        <w:t>Revenue Concentrations and Significant Customers</w:t>
      </w:r>
    </w:p>
    <w:p w14:paraId="1AE13A58" w14:textId="77777777" w:rsidR="00000000" w:rsidRDefault="009B6C69">
      <w:pPr>
        <w:ind w:firstLine="360"/>
        <w:divId w:val="1549561534"/>
        <w:rPr>
          <w:rFonts w:eastAsia="Times New Roman"/>
        </w:rPr>
      </w:pPr>
      <w:r>
        <w:rPr>
          <w:rFonts w:eastAsia="Times New Roman"/>
          <w:color w:val="000000"/>
          <w:sz w:val="20"/>
          <w:szCs w:val="20"/>
        </w:rPr>
        <w:t>A small number of customers/licensees historically have accounted for a significant portion of our consolidated revenues. In fiscal 2022, revenues fr</w:t>
      </w:r>
      <w:r>
        <w:rPr>
          <w:rFonts w:eastAsia="Times New Roman"/>
          <w:color w:val="000000"/>
          <w:sz w:val="20"/>
          <w:szCs w:val="20"/>
        </w:rPr>
        <w:t>om Apple and Samsung each comprised 10% or more of our consolidated revenues. Additional information regarding revenue concentrations is provided in this Annual Report in “Notes to Consolidated Financial Statements, Note 1. Significant Accounting Policies”</w:t>
      </w:r>
      <w:r>
        <w:rPr>
          <w:rFonts w:eastAsia="Times New Roman"/>
          <w:color w:val="000000"/>
          <w:sz w:val="20"/>
          <w:szCs w:val="20"/>
        </w:rPr>
        <w:t xml:space="preserve"> and “Notes to Consolidated Financial Statements, Note 8. Segment Information.”</w:t>
      </w:r>
    </w:p>
    <w:p w14:paraId="4D87F37F" w14:textId="77777777" w:rsidR="00000000" w:rsidRDefault="009B6C69">
      <w:pPr>
        <w:divId w:val="598954998"/>
        <w:rPr>
          <w:rFonts w:eastAsia="Times New Roman"/>
        </w:rPr>
      </w:pPr>
      <w:r>
        <w:rPr>
          <w:rFonts w:eastAsia="Times New Roman"/>
          <w:b/>
          <w:bCs/>
          <w:color w:val="000000"/>
          <w:sz w:val="20"/>
          <w:szCs w:val="20"/>
        </w:rPr>
        <w:t>Research and Development</w:t>
      </w:r>
    </w:p>
    <w:p w14:paraId="73952B72" w14:textId="77777777" w:rsidR="00000000" w:rsidRDefault="009B6C69">
      <w:pPr>
        <w:ind w:firstLine="360"/>
        <w:divId w:val="591358724"/>
        <w:rPr>
          <w:rFonts w:eastAsia="Times New Roman"/>
        </w:rPr>
      </w:pPr>
      <w:r>
        <w:rPr>
          <w:rFonts w:eastAsia="Times New Roman"/>
          <w:color w:val="000000"/>
          <w:sz w:val="20"/>
          <w:szCs w:val="20"/>
        </w:rPr>
        <w:t>The wireless communications industry is characterized by rapid technological change, evolving industry standards, frequent new product introductions an</w:t>
      </w:r>
      <w:r>
        <w:rPr>
          <w:rFonts w:eastAsia="Times New Roman"/>
          <w:color w:val="000000"/>
          <w:sz w:val="20"/>
          <w:szCs w:val="20"/>
        </w:rPr>
        <w:t>d, with the use of 5G, the expansion into industries and applications beyond mobile handsets such as automotive and IoT, requiring a continuous effort to enhance existing products and technologies and to develop new products and technologies. We have signi</w:t>
      </w:r>
      <w:r>
        <w:rPr>
          <w:rFonts w:eastAsia="Times New Roman"/>
          <w:color w:val="000000"/>
          <w:sz w:val="20"/>
          <w:szCs w:val="20"/>
        </w:rPr>
        <w:t>ficant engineering resources, including engineers with substantial expertise in modem, radio-frequency integrated circuit, RFFE, multimedia (camera, video, display and computer vision), sensor perception and drive policy, advanced SoC, which includes speci</w:t>
      </w:r>
      <w:r>
        <w:rPr>
          <w:rFonts w:eastAsia="Times New Roman"/>
          <w:color w:val="000000"/>
          <w:sz w:val="20"/>
          <w:szCs w:val="20"/>
        </w:rPr>
        <w:t>alized engines such as CPU and GPU to enable high performance and low-power computing and other optimization techniques, AI, packaging and a broad range of other technologies. We expect to continue to invest in research and development in a variety of ways</w:t>
      </w:r>
      <w:r>
        <w:rPr>
          <w:rFonts w:eastAsia="Times New Roman"/>
          <w:color w:val="000000"/>
          <w:sz w:val="20"/>
          <w:szCs w:val="20"/>
        </w:rPr>
        <w:t xml:space="preserve"> in an effort to extend the demand for our products and technologies and to utilize that research and development in industries and applications beyond mobile handsets (such as automotive and IoT), including continuing the development of new modem and mult</w:t>
      </w:r>
      <w:r>
        <w:rPr>
          <w:rFonts w:eastAsia="Times New Roman"/>
          <w:color w:val="000000"/>
          <w:sz w:val="20"/>
          <w:szCs w:val="20"/>
        </w:rPr>
        <w:t xml:space="preserve">imedia technologies and other technologies (such as ADAS/AD and XR), developing alternative technologies for certain specialized applications, participating in the formulation of new voice and data communication standards and technologies and assisting in </w:t>
      </w:r>
      <w:r>
        <w:rPr>
          <w:rFonts w:eastAsia="Times New Roman"/>
          <w:color w:val="000000"/>
          <w:sz w:val="20"/>
          <w:szCs w:val="20"/>
        </w:rPr>
        <w:t>deploying digital voice and data communications networks around the world.</w:t>
      </w:r>
    </w:p>
    <w:p w14:paraId="3CB0AC3A" w14:textId="77777777" w:rsidR="00000000" w:rsidRDefault="009B6C69">
      <w:pPr>
        <w:ind w:firstLine="360"/>
        <w:divId w:val="301007173"/>
        <w:rPr>
          <w:rFonts w:eastAsia="Times New Roman"/>
        </w:rPr>
      </w:pPr>
      <w:r>
        <w:rPr>
          <w:rFonts w:eastAsia="Times New Roman"/>
          <w:color w:val="000000"/>
          <w:sz w:val="20"/>
          <w:szCs w:val="20"/>
        </w:rPr>
        <w:t>We continue to invest significant resources towards advancements in OFDMA-based technologies and products (including LTE and 5G). We also engage in acquisitions and other transactio</w:t>
      </w:r>
      <w:r>
        <w:rPr>
          <w:rFonts w:eastAsia="Times New Roman"/>
          <w:color w:val="000000"/>
          <w:sz w:val="20"/>
          <w:szCs w:val="20"/>
        </w:rPr>
        <w:t>ns to meet certain technology needs, to obtain development resources or open or expand opportunities for our technologies and to support the design and introduction of new products and services (or enhance existing products and services) for voice and data</w:t>
      </w:r>
      <w:r>
        <w:rPr>
          <w:rFonts w:eastAsia="Times New Roman"/>
          <w:color w:val="000000"/>
          <w:sz w:val="20"/>
          <w:szCs w:val="20"/>
        </w:rPr>
        <w:t xml:space="preserve"> communications and industries and applications beyond mobile handsets, such as ADAS/AD. We make investments to provide our integrated circuit customers with chipsets designed on leading-edge technology nodes that combine multiple technologies for use in c</w:t>
      </w:r>
      <w:r>
        <w:rPr>
          <w:rFonts w:eastAsia="Times New Roman"/>
          <w:color w:val="000000"/>
          <w:sz w:val="20"/>
          <w:szCs w:val="20"/>
        </w:rPr>
        <w:t>onsumer electronic devices (e.g., smartphones, tablets, laptops, voice and music devices, wearable devices and XR devices) and other products (e.g., access points and routers, data cards and infrastructure equipment). In addition to 3G, 4G and 5G technolog</w:t>
      </w:r>
      <w:r>
        <w:rPr>
          <w:rFonts w:eastAsia="Times New Roman"/>
          <w:color w:val="000000"/>
          <w:sz w:val="20"/>
          <w:szCs w:val="20"/>
        </w:rPr>
        <w:t xml:space="preserve">ies, our chipsets support other wireless and wired connectivity technologies, including Wi-Fi, Bluetooth, Ethernet, location positioning and Powerline communication. Our integrated chipsets often include multiple technologies, including advanced multimode </w:t>
      </w:r>
      <w:r>
        <w:rPr>
          <w:rFonts w:eastAsia="Times New Roman"/>
          <w:color w:val="000000"/>
          <w:sz w:val="20"/>
          <w:szCs w:val="20"/>
        </w:rPr>
        <w:t>modems, application processors and graphics engines, as well as the tools to connect these diverse technologies. We continue to support Android, Windows and other client software environments in our chipsets.</w:t>
      </w:r>
    </w:p>
    <w:p w14:paraId="60CBF1A1" w14:textId="77777777" w:rsidR="00000000" w:rsidRDefault="009B6C69">
      <w:pPr>
        <w:ind w:firstLine="360"/>
        <w:divId w:val="774708633"/>
        <w:rPr>
          <w:rFonts w:eastAsia="Times New Roman"/>
        </w:rPr>
      </w:pPr>
      <w:r>
        <w:rPr>
          <w:rFonts w:eastAsia="Times New Roman"/>
          <w:color w:val="000000"/>
          <w:sz w:val="20"/>
          <w:szCs w:val="20"/>
        </w:rPr>
        <w:t>We develop innovations that are integrated into</w:t>
      </w:r>
      <w:r>
        <w:rPr>
          <w:rFonts w:eastAsia="Times New Roman"/>
          <w:color w:val="000000"/>
          <w:sz w:val="20"/>
          <w:szCs w:val="20"/>
        </w:rPr>
        <w:t xml:space="preserve"> our product portfolio to further expand the opportunity for wireless communications and enhance the value of our products and services. These innovations are expected to enable our customers to improve the performance or value of their existing services, </w:t>
      </w:r>
      <w:r>
        <w:rPr>
          <w:rFonts w:eastAsia="Times New Roman"/>
          <w:color w:val="000000"/>
          <w:sz w:val="20"/>
          <w:szCs w:val="20"/>
        </w:rPr>
        <w:t>offer these services more affordably and introduce revenue-generating broadband data services ahead of their competition.</w:t>
      </w:r>
    </w:p>
    <w:p w14:paraId="0B018F0C" w14:textId="77777777" w:rsidR="00000000" w:rsidRDefault="009B6C69">
      <w:pPr>
        <w:jc w:val="center"/>
        <w:divId w:val="2068382778"/>
        <w:rPr>
          <w:rFonts w:eastAsia="Times New Roman"/>
        </w:rPr>
      </w:pPr>
      <w:r>
        <w:rPr>
          <w:rFonts w:eastAsia="Times New Roman"/>
          <w:color w:val="000000"/>
          <w:sz w:val="20"/>
          <w:szCs w:val="20"/>
        </w:rPr>
        <w:t>14</w:t>
      </w:r>
    </w:p>
    <w:p w14:paraId="55D985DE" w14:textId="77777777" w:rsidR="00000000" w:rsidRDefault="009B6C69">
      <w:pPr>
        <w:rPr>
          <w:rFonts w:eastAsia="Times New Roman"/>
        </w:rPr>
      </w:pPr>
      <w:r>
        <w:rPr>
          <w:rFonts w:eastAsia="Times New Roman"/>
        </w:rPr>
        <w:pict w14:anchorId="4C613A8D">
          <v:rect id="_x0000_i1037" style="width:0;height:1.5pt" o:hralign="center" o:hrstd="t" o:hr="t" fillcolor="#a0a0a0" stroked="f"/>
        </w:pict>
      </w:r>
    </w:p>
    <w:p w14:paraId="14F16C91" w14:textId="77777777" w:rsidR="00000000" w:rsidRDefault="009B6C69">
      <w:pPr>
        <w:divId w:val="67770860"/>
        <w:rPr>
          <w:rFonts w:eastAsia="Times New Roman"/>
        </w:rPr>
      </w:pPr>
    </w:p>
    <w:p w14:paraId="0CDEC521" w14:textId="77777777" w:rsidR="00000000" w:rsidRDefault="009B6C69">
      <w:pPr>
        <w:ind w:firstLine="360"/>
        <w:divId w:val="2083679922"/>
        <w:rPr>
          <w:rFonts w:eastAsia="Times New Roman"/>
        </w:rPr>
      </w:pPr>
      <w:r>
        <w:rPr>
          <w:rFonts w:eastAsia="Times New Roman"/>
          <w:color w:val="000000"/>
          <w:sz w:val="20"/>
          <w:szCs w:val="20"/>
        </w:rPr>
        <w:t>We have research and development centers in various locations throughout the world that supp</w:t>
      </w:r>
      <w:r>
        <w:rPr>
          <w:rFonts w:eastAsia="Times New Roman"/>
          <w:color w:val="000000"/>
          <w:sz w:val="20"/>
          <w:szCs w:val="20"/>
        </w:rPr>
        <w:t>ort our global development activities and ongoing efforts to develop and/or advance 4G, 5G, RFFE and a broad range of other technologies. We continue to use our substantial engineering resources and expertise to develop new technologies, applications and s</w:t>
      </w:r>
      <w:r>
        <w:rPr>
          <w:rFonts w:eastAsia="Times New Roman"/>
          <w:color w:val="000000"/>
          <w:sz w:val="20"/>
          <w:szCs w:val="20"/>
        </w:rPr>
        <w:t>ervices and make them available to licensees to help grow the communications industry and generate new or expanded licensing opportunities.</w:t>
      </w:r>
    </w:p>
    <w:p w14:paraId="593D3D48" w14:textId="77777777" w:rsidR="00000000" w:rsidRDefault="009B6C69">
      <w:pPr>
        <w:divId w:val="1416902296"/>
        <w:rPr>
          <w:rFonts w:eastAsia="Times New Roman"/>
        </w:rPr>
      </w:pPr>
      <w:r>
        <w:rPr>
          <w:rFonts w:eastAsia="Times New Roman"/>
          <w:b/>
          <w:bCs/>
          <w:color w:val="000000"/>
          <w:sz w:val="20"/>
          <w:szCs w:val="20"/>
        </w:rPr>
        <w:t>Environmental, Social and Governance (ESG) and Human Capital</w:t>
      </w:r>
    </w:p>
    <w:p w14:paraId="1D64D923" w14:textId="77777777" w:rsidR="00000000" w:rsidRDefault="009B6C69">
      <w:pPr>
        <w:ind w:firstLine="360"/>
        <w:divId w:val="127941383"/>
        <w:rPr>
          <w:rFonts w:eastAsia="Times New Roman"/>
        </w:rPr>
      </w:pPr>
      <w:r>
        <w:rPr>
          <w:rFonts w:eastAsia="Times New Roman"/>
          <w:color w:val="000000"/>
          <w:sz w:val="20"/>
          <w:szCs w:val="20"/>
        </w:rPr>
        <w:t>We believe that our innovations have helped transform i</w:t>
      </w:r>
      <w:r>
        <w:rPr>
          <w:rFonts w:eastAsia="Times New Roman"/>
          <w:color w:val="000000"/>
          <w:sz w:val="20"/>
          <w:szCs w:val="20"/>
        </w:rPr>
        <w:t>ndustries, enhance people’s lives and address some of society’s biggest challenges. With the world becoming increasingly connected, we have an opportunity to shape a better future. We believe in the power of technology. As such, our corporate responsibilit</w:t>
      </w:r>
      <w:r>
        <w:rPr>
          <w:rFonts w:eastAsia="Times New Roman"/>
          <w:color w:val="000000"/>
          <w:sz w:val="20"/>
          <w:szCs w:val="20"/>
        </w:rPr>
        <w:t>y vision is to be a facilitator of innovation for a sustainable world, connected wirelessly.</w:t>
      </w:r>
    </w:p>
    <w:p w14:paraId="40EACF5C" w14:textId="77777777" w:rsidR="00000000" w:rsidRDefault="009B6C69">
      <w:pPr>
        <w:ind w:firstLine="360"/>
        <w:divId w:val="44836299"/>
        <w:rPr>
          <w:rFonts w:eastAsia="Times New Roman"/>
        </w:rPr>
      </w:pPr>
      <w:r>
        <w:rPr>
          <w:rFonts w:eastAsia="Times New Roman"/>
          <w:color w:val="000000"/>
          <w:sz w:val="20"/>
          <w:szCs w:val="20"/>
        </w:rPr>
        <w:t xml:space="preserve">We have integrated corporate responsibility throughout our business, from our daily operations to our executive leadership and our Board of Directors (Board). The </w:t>
      </w:r>
      <w:r>
        <w:rPr>
          <w:rFonts w:eastAsia="Times New Roman"/>
          <w:color w:val="000000"/>
          <w:sz w:val="20"/>
          <w:szCs w:val="20"/>
        </w:rPr>
        <w:t>Governance Committee of our Board provides oversight on corporate responsibility matters, including ESG policies, programs and initiatives, and the HR and Compensation Committee of our Board provides oversight on our workforce diversity, equity and inclusi</w:t>
      </w:r>
      <w:r>
        <w:rPr>
          <w:rFonts w:eastAsia="Times New Roman"/>
          <w:color w:val="000000"/>
          <w:sz w:val="20"/>
          <w:szCs w:val="20"/>
        </w:rPr>
        <w:t>on programs and initiatives. Our ESG Leadership Committee, composed of executives and senior management, provides guidance on global corporate responsibility issues. Our ESG Governance Committee implements directives from the ESG Leadership Committee, meas</w:t>
      </w:r>
      <w:r>
        <w:rPr>
          <w:rFonts w:eastAsia="Times New Roman"/>
          <w:color w:val="000000"/>
          <w:sz w:val="20"/>
          <w:szCs w:val="20"/>
        </w:rPr>
        <w:t>ures progress on achieving our goals and reports to management on accomplishments and challenges.</w:t>
      </w:r>
    </w:p>
    <w:p w14:paraId="0B21C661" w14:textId="77777777" w:rsidR="00000000" w:rsidRDefault="009B6C69">
      <w:pPr>
        <w:ind w:firstLine="360"/>
        <w:divId w:val="1754037747"/>
        <w:rPr>
          <w:rFonts w:eastAsia="Times New Roman"/>
        </w:rPr>
      </w:pPr>
      <w:r>
        <w:rPr>
          <w:rFonts w:eastAsia="Times New Roman"/>
          <w:b/>
          <w:bCs/>
          <w:color w:val="000000"/>
          <w:sz w:val="20"/>
          <w:szCs w:val="20"/>
        </w:rPr>
        <w:t>ESG</w:t>
      </w:r>
    </w:p>
    <w:p w14:paraId="29C4356E" w14:textId="77777777" w:rsidR="00000000" w:rsidRDefault="009B6C69">
      <w:pPr>
        <w:ind w:firstLine="360"/>
        <w:divId w:val="1961641503"/>
        <w:rPr>
          <w:rFonts w:eastAsia="Times New Roman"/>
        </w:rPr>
      </w:pPr>
      <w:r>
        <w:rPr>
          <w:rFonts w:eastAsia="Times New Roman"/>
          <w:color w:val="000000"/>
          <w:sz w:val="20"/>
          <w:szCs w:val="20"/>
        </w:rPr>
        <w:t>We believe that our sustained investment in research and development has helped revolutionize the way people connect. We center our ESG efforts around purposeful innovation, focusing on three strategic focus areas where we believe we can have the biggest i</w:t>
      </w:r>
      <w:r>
        <w:rPr>
          <w:rFonts w:eastAsia="Times New Roman"/>
          <w:color w:val="000000"/>
          <w:sz w:val="20"/>
          <w:szCs w:val="20"/>
        </w:rPr>
        <w:t>mpact:</w:t>
      </w:r>
    </w:p>
    <w:p w14:paraId="67428DA8" w14:textId="77777777" w:rsidR="00000000" w:rsidRDefault="009B6C69">
      <w:pPr>
        <w:ind w:hanging="360"/>
        <w:divId w:val="631131512"/>
        <w:rPr>
          <w:rFonts w:eastAsia="Times New Roman"/>
        </w:rPr>
      </w:pPr>
      <w:r>
        <w:rPr>
          <w:rFonts w:ascii="Arial" w:eastAsia="Times New Roman" w:hAnsi="Arial" w:cs="Arial"/>
          <w:color w:val="000000"/>
          <w:sz w:val="22"/>
          <w:szCs w:val="22"/>
        </w:rPr>
        <w:t>•</w:t>
      </w:r>
      <w:r>
        <w:rPr>
          <w:rFonts w:eastAsia="Times New Roman"/>
          <w:b/>
          <w:bCs/>
          <w:i/>
          <w:iCs/>
          <w:color w:val="000000"/>
          <w:sz w:val="20"/>
          <w:szCs w:val="20"/>
        </w:rPr>
        <w:t>Empowering Digital Transformation.</w:t>
      </w:r>
      <w:r>
        <w:rPr>
          <w:rFonts w:eastAsia="Times New Roman"/>
          <w:i/>
          <w:iCs/>
          <w:color w:val="000000"/>
          <w:sz w:val="20"/>
          <w:szCs w:val="20"/>
        </w:rPr>
        <w:t xml:space="preserve"> </w:t>
      </w:r>
      <w:r>
        <w:rPr>
          <w:rFonts w:eastAsia="Times New Roman"/>
          <w:color w:val="000000"/>
          <w:sz w:val="20"/>
          <w:szCs w:val="20"/>
        </w:rPr>
        <w:t>We believe technology can transform industries, businesses, communities and individual lives. We invent solutions that are foundational to the advancement of the global wireless ecosystem, improving how we work, l</w:t>
      </w:r>
      <w:r>
        <w:rPr>
          <w:rFonts w:eastAsia="Times New Roman"/>
          <w:color w:val="000000"/>
          <w:sz w:val="20"/>
          <w:szCs w:val="20"/>
        </w:rPr>
        <w:t xml:space="preserve">ive and, ultimately, thrive. </w:t>
      </w:r>
    </w:p>
    <w:p w14:paraId="7F4157EB" w14:textId="77777777" w:rsidR="00000000" w:rsidRDefault="009B6C69">
      <w:pPr>
        <w:ind w:hanging="360"/>
        <w:divId w:val="441189656"/>
        <w:rPr>
          <w:rFonts w:eastAsia="Times New Roman"/>
        </w:rPr>
      </w:pPr>
      <w:r>
        <w:rPr>
          <w:rFonts w:eastAsia="Times New Roman"/>
          <w:color w:val="000000"/>
          <w:sz w:val="20"/>
          <w:szCs w:val="20"/>
        </w:rPr>
        <w:t>•</w:t>
      </w:r>
      <w:r>
        <w:rPr>
          <w:rFonts w:eastAsia="Times New Roman"/>
          <w:b/>
          <w:bCs/>
          <w:i/>
          <w:iCs/>
          <w:color w:val="222222"/>
          <w:sz w:val="20"/>
          <w:szCs w:val="20"/>
        </w:rPr>
        <w:t>Acting Responsibly.</w:t>
      </w:r>
      <w:r>
        <w:rPr>
          <w:rFonts w:eastAsia="Times New Roman"/>
          <w:color w:val="222222"/>
          <w:sz w:val="20"/>
          <w:szCs w:val="20"/>
        </w:rPr>
        <w:t xml:space="preserve"> We invest in our people, behave with integrity and implement governance standards that uphold Qualcomm’s values. We are committed to responsible business practices, from prioritizing diversity, equity and </w:t>
      </w:r>
      <w:r>
        <w:rPr>
          <w:rFonts w:eastAsia="Times New Roman"/>
          <w:color w:val="222222"/>
          <w:sz w:val="20"/>
          <w:szCs w:val="20"/>
        </w:rPr>
        <w:t>inclusion, to protecting privacy, to providing leading development programs and to creating an ethical culture.</w:t>
      </w:r>
    </w:p>
    <w:p w14:paraId="08D6D62C" w14:textId="77777777" w:rsidR="00000000" w:rsidRDefault="009B6C69">
      <w:pPr>
        <w:ind w:hanging="360"/>
        <w:divId w:val="1683240480"/>
        <w:rPr>
          <w:rFonts w:eastAsia="Times New Roman"/>
        </w:rPr>
      </w:pPr>
      <w:r>
        <w:rPr>
          <w:rFonts w:eastAsia="Times New Roman"/>
          <w:color w:val="000000"/>
          <w:sz w:val="20"/>
          <w:szCs w:val="20"/>
        </w:rPr>
        <w:t>•</w:t>
      </w:r>
      <w:r>
        <w:rPr>
          <w:rFonts w:eastAsia="Times New Roman"/>
          <w:b/>
          <w:bCs/>
          <w:i/>
          <w:iCs/>
          <w:color w:val="222222"/>
          <w:sz w:val="20"/>
          <w:szCs w:val="20"/>
        </w:rPr>
        <w:t>Operating Sustainably.</w:t>
      </w:r>
      <w:r>
        <w:rPr>
          <w:rFonts w:eastAsia="Times New Roman"/>
          <w:b/>
          <w:bCs/>
          <w:color w:val="222222"/>
          <w:sz w:val="20"/>
          <w:szCs w:val="20"/>
        </w:rPr>
        <w:t xml:space="preserve"> </w:t>
      </w:r>
      <w:r>
        <w:rPr>
          <w:rFonts w:eastAsia="Times New Roman"/>
          <w:color w:val="222222"/>
          <w:sz w:val="20"/>
          <w:szCs w:val="20"/>
        </w:rPr>
        <w:t>We are committed to maintaining safe, healthy and productive working conditions and conserving natural resources. Our en</w:t>
      </w:r>
      <w:r>
        <w:rPr>
          <w:rFonts w:eastAsia="Times New Roman"/>
          <w:color w:val="222222"/>
          <w:sz w:val="20"/>
          <w:szCs w:val="20"/>
        </w:rPr>
        <w:t xml:space="preserve">vironmental efforts center on reducing greenhouse gas (GHG) emissions, optimizing energy consumption, managing water usage and minimizing waste throughout our operations and the communities in which we work. </w:t>
      </w:r>
    </w:p>
    <w:p w14:paraId="34E31CF1" w14:textId="77777777" w:rsidR="00000000" w:rsidRDefault="009B6C69">
      <w:pPr>
        <w:ind w:firstLine="360"/>
        <w:divId w:val="2109544449"/>
        <w:rPr>
          <w:rFonts w:eastAsia="Times New Roman"/>
        </w:rPr>
      </w:pPr>
      <w:r>
        <w:rPr>
          <w:rFonts w:eastAsia="Times New Roman"/>
          <w:b/>
          <w:bCs/>
          <w:i/>
          <w:iCs/>
          <w:color w:val="000000"/>
          <w:sz w:val="20"/>
          <w:szCs w:val="20"/>
        </w:rPr>
        <w:t xml:space="preserve">2025 Goals. </w:t>
      </w:r>
      <w:r>
        <w:rPr>
          <w:rFonts w:eastAsia="Times New Roman"/>
          <w:color w:val="000000"/>
          <w:sz w:val="20"/>
          <w:szCs w:val="20"/>
        </w:rPr>
        <w:t>In addition to the human capital go</w:t>
      </w:r>
      <w:r>
        <w:rPr>
          <w:rFonts w:eastAsia="Times New Roman"/>
          <w:color w:val="000000"/>
          <w:sz w:val="20"/>
          <w:szCs w:val="20"/>
        </w:rPr>
        <w:t xml:space="preserve">als discussed below, our </w:t>
      </w:r>
      <w:r>
        <w:rPr>
          <w:rFonts w:eastAsia="Times New Roman"/>
          <w:i/>
          <w:iCs/>
          <w:color w:val="000000"/>
          <w:sz w:val="20"/>
          <w:szCs w:val="20"/>
        </w:rPr>
        <w:t>2025 Goals</w:t>
      </w:r>
      <w:r>
        <w:rPr>
          <w:rFonts w:eastAsia="Times New Roman"/>
          <w:color w:val="000000"/>
          <w:sz w:val="20"/>
          <w:szCs w:val="20"/>
        </w:rPr>
        <w:t xml:space="preserve"> related to corporate responsibility include, among others:</w:t>
      </w:r>
    </w:p>
    <w:p w14:paraId="07DA23EB" w14:textId="77777777" w:rsidR="00000000" w:rsidRDefault="009B6C69">
      <w:pPr>
        <w:ind w:hanging="360"/>
        <w:divId w:val="1903711948"/>
        <w:rPr>
          <w:rFonts w:eastAsia="Times New Roman"/>
        </w:rPr>
      </w:pPr>
      <w:r>
        <w:rPr>
          <w:rFonts w:eastAsia="Times New Roman"/>
          <w:color w:val="000000"/>
          <w:sz w:val="20"/>
          <w:szCs w:val="20"/>
        </w:rPr>
        <w:t>•</w:t>
      </w:r>
      <w:r>
        <w:rPr>
          <w:rFonts w:eastAsia="Times New Roman"/>
          <w:color w:val="000000"/>
          <w:sz w:val="20"/>
          <w:szCs w:val="20"/>
        </w:rPr>
        <w:t>Reducing our absolute Scope 1 and Scope 2 GHG emissions by 30% from global operations, compared to a 2014 baseline.</w:t>
      </w:r>
    </w:p>
    <w:p w14:paraId="56A0A418" w14:textId="77777777" w:rsidR="00000000" w:rsidRDefault="009B6C69">
      <w:pPr>
        <w:ind w:hanging="360"/>
        <w:divId w:val="2110536751"/>
        <w:rPr>
          <w:rFonts w:eastAsia="Times New Roman"/>
        </w:rPr>
      </w:pPr>
      <w:r>
        <w:rPr>
          <w:rFonts w:eastAsia="Times New Roman"/>
          <w:color w:val="000000"/>
          <w:sz w:val="20"/>
          <w:szCs w:val="20"/>
        </w:rPr>
        <w:t>•Reducing power consumption by 10% every year in our flagship Snapdragon Mobile Platform products (given equivalent features).</w:t>
      </w:r>
    </w:p>
    <w:p w14:paraId="6BC40F9F" w14:textId="77777777" w:rsidR="00000000" w:rsidRDefault="009B6C69">
      <w:pPr>
        <w:ind w:hanging="360"/>
        <w:divId w:val="2029520650"/>
        <w:rPr>
          <w:rFonts w:eastAsia="Times New Roman"/>
        </w:rPr>
      </w:pPr>
      <w:r>
        <w:rPr>
          <w:rFonts w:eastAsia="Times New Roman"/>
          <w:color w:val="000000"/>
          <w:sz w:val="20"/>
          <w:szCs w:val="20"/>
        </w:rPr>
        <w:t>•Ensuring 100</w:t>
      </w:r>
      <w:r>
        <w:rPr>
          <w:rFonts w:eastAsia="Times New Roman"/>
          <w:color w:val="000000"/>
          <w:sz w:val="20"/>
          <w:szCs w:val="20"/>
        </w:rPr>
        <w:t>% of our primary semiconductor manufacturing suppliers are audited every 2-years for conformance to our Supplier Code of Conduct.</w:t>
      </w:r>
    </w:p>
    <w:p w14:paraId="5B983DF9" w14:textId="77777777" w:rsidR="00000000" w:rsidRDefault="009B6C69">
      <w:pPr>
        <w:ind w:firstLine="360"/>
        <w:divId w:val="171575290"/>
        <w:rPr>
          <w:rFonts w:eastAsia="Times New Roman"/>
        </w:rPr>
      </w:pPr>
      <w:r>
        <w:rPr>
          <w:rFonts w:eastAsia="Times New Roman"/>
          <w:b/>
          <w:bCs/>
          <w:i/>
          <w:iCs/>
          <w:color w:val="000000"/>
          <w:sz w:val="20"/>
          <w:szCs w:val="20"/>
        </w:rPr>
        <w:t>Net-Zero Global GHG Emissions Commitment.</w:t>
      </w:r>
      <w:r>
        <w:rPr>
          <w:rFonts w:eastAsia="Times New Roman"/>
          <w:i/>
          <w:iCs/>
          <w:color w:val="000000"/>
          <w:sz w:val="20"/>
          <w:szCs w:val="20"/>
        </w:rPr>
        <w:t xml:space="preserve"> </w:t>
      </w:r>
      <w:r>
        <w:rPr>
          <w:rFonts w:eastAsia="Times New Roman"/>
          <w:color w:val="000000"/>
          <w:sz w:val="20"/>
          <w:szCs w:val="20"/>
        </w:rPr>
        <w:t xml:space="preserve">In addition to our </w:t>
      </w:r>
      <w:r>
        <w:rPr>
          <w:rFonts w:eastAsia="Times New Roman"/>
          <w:i/>
          <w:iCs/>
          <w:color w:val="000000"/>
          <w:sz w:val="20"/>
          <w:szCs w:val="20"/>
        </w:rPr>
        <w:t>2025 Goals</w:t>
      </w:r>
      <w:r>
        <w:rPr>
          <w:rFonts w:eastAsia="Times New Roman"/>
          <w:color w:val="000000"/>
          <w:sz w:val="20"/>
          <w:szCs w:val="20"/>
        </w:rPr>
        <w:t>, in November 2021, we announced plans to: (1) reduce a</w:t>
      </w:r>
      <w:r>
        <w:rPr>
          <w:rFonts w:eastAsia="Times New Roman"/>
          <w:color w:val="000000"/>
          <w:sz w:val="20"/>
          <w:szCs w:val="20"/>
        </w:rPr>
        <w:t>bsolute Scope 1 and 2 GHG emissions by 50% by 2030 from a 2020 base year; (2) reduce absolute Scope 3 GHG emissions by 25% by 2030 from a 2020 base year; and (3) reach net-zero global GHG emissions for Scopes 1, 2 and 3 by 2040.</w:t>
      </w:r>
    </w:p>
    <w:p w14:paraId="7A8E52FE" w14:textId="77777777" w:rsidR="00000000" w:rsidRDefault="009B6C69">
      <w:pPr>
        <w:ind w:firstLine="360"/>
        <w:divId w:val="143743992"/>
        <w:rPr>
          <w:rFonts w:eastAsia="Times New Roman"/>
        </w:rPr>
      </w:pPr>
      <w:r>
        <w:rPr>
          <w:rFonts w:eastAsia="Times New Roman"/>
          <w:color w:val="000000"/>
          <w:sz w:val="20"/>
          <w:szCs w:val="20"/>
        </w:rPr>
        <w:t>The foregoing discussion in</w:t>
      </w:r>
      <w:r>
        <w:rPr>
          <w:rFonts w:eastAsia="Times New Roman"/>
          <w:color w:val="000000"/>
          <w:sz w:val="20"/>
          <w:szCs w:val="20"/>
        </w:rPr>
        <w:t>cludes information regarding ESG matters that we believe may be of interest to our stockholders generally. We recognize that certain other stakeholders (such as customers, employees and non-governmental organizations), as well as certain of our stockholder</w:t>
      </w:r>
      <w:r>
        <w:rPr>
          <w:rFonts w:eastAsia="Times New Roman"/>
          <w:color w:val="000000"/>
          <w:sz w:val="20"/>
          <w:szCs w:val="20"/>
        </w:rPr>
        <w:t>s, may be interested in more detailed information on these topics. We encourage you to review our most recent Qualcomm Corporate Responsibility Report (located on our website) for more detailed information regarding our Corporate Responsibility and ESG gov</w:t>
      </w:r>
      <w:r>
        <w:rPr>
          <w:rFonts w:eastAsia="Times New Roman"/>
          <w:color w:val="000000"/>
          <w:sz w:val="20"/>
          <w:szCs w:val="20"/>
        </w:rPr>
        <w:t>ernance, goals, priorities, accomplishments and initiatives; a 5G and sustainability report,</w:t>
      </w:r>
      <w:r>
        <w:rPr>
          <w:rFonts w:eastAsia="Times New Roman"/>
          <w:i/>
          <w:iCs/>
          <w:color w:val="000000"/>
          <w:sz w:val="20"/>
          <w:szCs w:val="20"/>
        </w:rPr>
        <w:t xml:space="preserve"> Environmental Sustainability and a Greener Economy: The Transformative Role of 5G</w:t>
      </w:r>
      <w:r>
        <w:rPr>
          <w:rFonts w:eastAsia="Times New Roman"/>
          <w:color w:val="000000"/>
          <w:sz w:val="20"/>
          <w:szCs w:val="20"/>
        </w:rPr>
        <w:t xml:space="preserve"> (also located on our website) for additional information regarding our views on c</w:t>
      </w:r>
      <w:r>
        <w:rPr>
          <w:rFonts w:eastAsia="Times New Roman"/>
          <w:color w:val="000000"/>
          <w:sz w:val="20"/>
          <w:szCs w:val="20"/>
        </w:rPr>
        <w:t>limate change, environmental sustainability and the role of 5G in enabling a more sustainable future; as well as the Corporate Governance section of our most recent Proxy Statement, and our Corporate Governance Principles and Practices (located on our webs</w:t>
      </w:r>
      <w:r>
        <w:rPr>
          <w:rFonts w:eastAsia="Times New Roman"/>
          <w:color w:val="000000"/>
          <w:sz w:val="20"/>
          <w:szCs w:val="20"/>
        </w:rPr>
        <w:t>ite), for additional information regarding governance matters, including Board and Committee leadership, oversight, roles and responsibilities, and Director independence, tenure, refreshment and diversity. Nothing on our website, including the aforemention</w:t>
      </w:r>
      <w:r>
        <w:rPr>
          <w:rFonts w:eastAsia="Times New Roman"/>
          <w:color w:val="000000"/>
          <w:sz w:val="20"/>
          <w:szCs w:val="20"/>
        </w:rPr>
        <w:t>ed reports, documents or sections thereof, shall be deemed incorporated by reference into this Annual Report.</w:t>
      </w:r>
    </w:p>
    <w:p w14:paraId="4112DCCC" w14:textId="77777777" w:rsidR="00000000" w:rsidRDefault="009B6C69">
      <w:pPr>
        <w:jc w:val="center"/>
        <w:divId w:val="1235312493"/>
        <w:rPr>
          <w:rFonts w:eastAsia="Times New Roman"/>
        </w:rPr>
      </w:pPr>
      <w:r>
        <w:rPr>
          <w:rFonts w:eastAsia="Times New Roman"/>
          <w:color w:val="000000"/>
          <w:sz w:val="20"/>
          <w:szCs w:val="20"/>
        </w:rPr>
        <w:t>15</w:t>
      </w:r>
    </w:p>
    <w:p w14:paraId="0BAD6823" w14:textId="77777777" w:rsidR="00000000" w:rsidRDefault="009B6C69">
      <w:pPr>
        <w:rPr>
          <w:rFonts w:eastAsia="Times New Roman"/>
        </w:rPr>
      </w:pPr>
      <w:r>
        <w:rPr>
          <w:rFonts w:eastAsia="Times New Roman"/>
        </w:rPr>
        <w:pict w14:anchorId="49100E2F">
          <v:rect id="_x0000_i1038" style="width:0;height:1.5pt" o:hralign="center" o:hrstd="t" o:hr="t" fillcolor="#a0a0a0" stroked="f"/>
        </w:pict>
      </w:r>
    </w:p>
    <w:p w14:paraId="1680BB05" w14:textId="77777777" w:rsidR="00000000" w:rsidRDefault="009B6C69">
      <w:pPr>
        <w:divId w:val="1563906784"/>
        <w:rPr>
          <w:rFonts w:eastAsia="Times New Roman"/>
        </w:rPr>
      </w:pPr>
    </w:p>
    <w:p w14:paraId="63935A0C" w14:textId="77777777" w:rsidR="00000000" w:rsidRDefault="009B6C69">
      <w:pPr>
        <w:ind w:firstLine="360"/>
        <w:divId w:val="1998076105"/>
        <w:rPr>
          <w:rFonts w:eastAsia="Times New Roman"/>
        </w:rPr>
      </w:pPr>
      <w:r>
        <w:rPr>
          <w:rFonts w:eastAsia="Times New Roman"/>
          <w:b/>
          <w:bCs/>
          <w:color w:val="000000"/>
          <w:sz w:val="20"/>
          <w:szCs w:val="20"/>
        </w:rPr>
        <w:t>Human Capital</w:t>
      </w:r>
    </w:p>
    <w:p w14:paraId="26F27725" w14:textId="77777777" w:rsidR="00000000" w:rsidRDefault="009B6C69">
      <w:pPr>
        <w:ind w:firstLine="360"/>
        <w:divId w:val="27799877"/>
        <w:rPr>
          <w:rFonts w:eastAsia="Times New Roman"/>
        </w:rPr>
      </w:pPr>
      <w:r>
        <w:rPr>
          <w:rFonts w:eastAsia="Times New Roman"/>
          <w:color w:val="000000"/>
          <w:sz w:val="20"/>
          <w:szCs w:val="20"/>
        </w:rPr>
        <w:t>In order to continue to produce the innovative, breakthrough technologies for which we are</w:t>
      </w:r>
      <w:r>
        <w:rPr>
          <w:rFonts w:eastAsia="Times New Roman"/>
          <w:color w:val="000000"/>
          <w:sz w:val="20"/>
          <w:szCs w:val="20"/>
        </w:rPr>
        <w:t xml:space="preserve"> known, it is crucial that we continue to attract and retain top talent. To facilitate talent attraction and retention, we strive to make Qualcomm a diverse, inclusive and safe workplace, with opportunities for our employees to grow and develop in their ca</w:t>
      </w:r>
      <w:r>
        <w:rPr>
          <w:rFonts w:eastAsia="Times New Roman"/>
          <w:color w:val="000000"/>
          <w:sz w:val="20"/>
          <w:szCs w:val="20"/>
        </w:rPr>
        <w:t>reers, supported by strong compensation, benefits and health and wellness programs and by programs that build connections between our employees and their communities.</w:t>
      </w:r>
    </w:p>
    <w:p w14:paraId="3ED198CA" w14:textId="77777777" w:rsidR="00000000" w:rsidRDefault="009B6C69">
      <w:pPr>
        <w:ind w:firstLine="360"/>
        <w:divId w:val="863860380"/>
        <w:rPr>
          <w:rFonts w:eastAsia="Times New Roman"/>
        </w:rPr>
      </w:pPr>
      <w:r>
        <w:rPr>
          <w:rFonts w:eastAsia="Times New Roman"/>
          <w:color w:val="000000"/>
          <w:sz w:val="20"/>
          <w:szCs w:val="20"/>
        </w:rPr>
        <w:t>At September 25, 2022, we had approximately 51,000 full-time, part-time and temporary emp</w:t>
      </w:r>
      <w:r>
        <w:rPr>
          <w:rFonts w:eastAsia="Times New Roman"/>
          <w:color w:val="000000"/>
          <w:sz w:val="20"/>
          <w:szCs w:val="20"/>
        </w:rPr>
        <w:t>loyees, the overwhelming majority of which were full-time employees. During fiscal 2022, the number of employees increased by approximately 6,000, primarily due to increases in engineering resources, including those hired through acquisitions. Our employee</w:t>
      </w:r>
      <w:r>
        <w:rPr>
          <w:rFonts w:eastAsia="Times New Roman"/>
          <w:color w:val="000000"/>
          <w:sz w:val="20"/>
          <w:szCs w:val="20"/>
        </w:rPr>
        <w:t>s are represented by more than 100 (self-identified) nationalities working in over 150 locations in 37 different countries around the world. Collectively, we speak more than 90 different languages. Our global workforce is highly educated, with the substant</w:t>
      </w:r>
      <w:r>
        <w:rPr>
          <w:rFonts w:eastAsia="Times New Roman"/>
          <w:color w:val="000000"/>
          <w:sz w:val="20"/>
          <w:szCs w:val="20"/>
        </w:rPr>
        <w:t>ial majority of our employees working in engineering or technical roles (many of whom help develop foundational technologies for both our QCT semiconductor business and our QTL licensing business). During fiscal 2022, our voluntary turnover rate was less t</w:t>
      </w:r>
      <w:r>
        <w:rPr>
          <w:rFonts w:eastAsia="Times New Roman"/>
          <w:color w:val="000000"/>
          <w:sz w:val="20"/>
          <w:szCs w:val="20"/>
        </w:rPr>
        <w:t>han 10%, lower than the technology industry benchmark, which is comprised of certain of our key competitors (Aon, 2022 Salary Increase and Turnover Study - Second Edition, September 2022).</w:t>
      </w:r>
    </w:p>
    <w:p w14:paraId="09DF48C4" w14:textId="77777777" w:rsidR="00000000" w:rsidRDefault="009B6C69">
      <w:pPr>
        <w:ind w:firstLine="360"/>
        <w:divId w:val="1868445875"/>
        <w:rPr>
          <w:rFonts w:eastAsia="Times New Roman"/>
        </w:rPr>
      </w:pPr>
      <w:r>
        <w:rPr>
          <w:rFonts w:eastAsia="Times New Roman"/>
          <w:b/>
          <w:bCs/>
          <w:i/>
          <w:iCs/>
          <w:color w:val="000000"/>
          <w:sz w:val="20"/>
          <w:szCs w:val="20"/>
        </w:rPr>
        <w:t xml:space="preserve">Diversity, Equity and Inclusion. </w:t>
      </w:r>
      <w:r>
        <w:rPr>
          <w:rFonts w:eastAsia="Times New Roman"/>
          <w:color w:val="000000"/>
          <w:sz w:val="20"/>
          <w:szCs w:val="20"/>
        </w:rPr>
        <w:t>We believe that a diverse workforc</w:t>
      </w:r>
      <w:r>
        <w:rPr>
          <w:rFonts w:eastAsia="Times New Roman"/>
          <w:color w:val="000000"/>
          <w:sz w:val="20"/>
          <w:szCs w:val="20"/>
        </w:rPr>
        <w:t xml:space="preserve">e is important to our success, and we continue to focus on the hiring, retention and advancement of women and underrepresented populations. Our recent efforts have been focused in three areas: inspiring innovation through an inclusive and diverse culture; </w:t>
      </w:r>
      <w:r>
        <w:rPr>
          <w:rFonts w:eastAsia="Times New Roman"/>
          <w:color w:val="000000"/>
          <w:sz w:val="20"/>
          <w:szCs w:val="20"/>
        </w:rPr>
        <w:t xml:space="preserve">expanding our efforts to recruit and hire world-class diverse talent; and identifying strategic partners to accelerate our inclusion, equity and diversity programs. </w:t>
      </w:r>
    </w:p>
    <w:p w14:paraId="55F73056" w14:textId="77777777" w:rsidR="00000000" w:rsidRDefault="009B6C69">
      <w:pPr>
        <w:ind w:firstLine="360"/>
        <w:divId w:val="1223103769"/>
        <w:rPr>
          <w:rFonts w:eastAsia="Times New Roman"/>
        </w:rPr>
      </w:pPr>
      <w:r>
        <w:rPr>
          <w:rFonts w:eastAsia="Times New Roman"/>
          <w:color w:val="000000"/>
          <w:sz w:val="20"/>
          <w:szCs w:val="20"/>
        </w:rPr>
        <w:t>We have employee networks that enhance our inclusive and diverse culture, including global</w:t>
      </w:r>
      <w:r>
        <w:rPr>
          <w:rFonts w:eastAsia="Times New Roman"/>
          <w:color w:val="000000"/>
          <w:sz w:val="20"/>
          <w:szCs w:val="20"/>
        </w:rPr>
        <w:t xml:space="preserve"> network groups focused on supporting women, LGBTQ+ employees and employees with disabilities, in addition to U.S.-based employee networks that focus on Black and African American employees, Hispanic and Latinx employees and U.S. military members and veter</w:t>
      </w:r>
      <w:r>
        <w:rPr>
          <w:rFonts w:eastAsia="Times New Roman"/>
          <w:color w:val="000000"/>
          <w:sz w:val="20"/>
          <w:szCs w:val="20"/>
        </w:rPr>
        <w:t>ans.</w:t>
      </w:r>
    </w:p>
    <w:p w14:paraId="070648BC" w14:textId="77777777" w:rsidR="00000000" w:rsidRDefault="009B6C69">
      <w:pPr>
        <w:ind w:firstLine="360"/>
        <w:divId w:val="2144882946"/>
        <w:rPr>
          <w:rFonts w:eastAsia="Times New Roman"/>
        </w:rPr>
      </w:pPr>
      <w:r>
        <w:rPr>
          <w:rFonts w:eastAsia="Times New Roman"/>
          <w:color w:val="000000"/>
          <w:sz w:val="20"/>
          <w:szCs w:val="20"/>
        </w:rPr>
        <w:t>We continue to recruit technical talent in diverse communities, including by engaging as a high-level sponsor of professional conferences, such as the Grace Hopper Celebration, the Society of Hispanic Professional Engineers National Convention and the</w:t>
      </w:r>
      <w:r>
        <w:rPr>
          <w:rFonts w:eastAsia="Times New Roman"/>
          <w:color w:val="000000"/>
          <w:sz w:val="20"/>
          <w:szCs w:val="20"/>
        </w:rPr>
        <w:t xml:space="preserve"> National Society of Black Engineers National Convention. We also continue to recruit from a variety of colleges including Hispanic-Serving Institutions, Historically Black Colleges and Universities and Women’s Colleges. </w:t>
      </w:r>
    </w:p>
    <w:p w14:paraId="17210095" w14:textId="77777777" w:rsidR="00000000" w:rsidRDefault="009B6C69">
      <w:pPr>
        <w:ind w:firstLine="360"/>
        <w:divId w:val="1551649240"/>
        <w:rPr>
          <w:rFonts w:eastAsia="Times New Roman"/>
        </w:rPr>
      </w:pPr>
      <w:r>
        <w:rPr>
          <w:rFonts w:eastAsia="Times New Roman"/>
          <w:color w:val="000000"/>
          <w:sz w:val="20"/>
          <w:szCs w:val="20"/>
        </w:rPr>
        <w:t>Our continued engagement with orga</w:t>
      </w:r>
      <w:r>
        <w:rPr>
          <w:rFonts w:eastAsia="Times New Roman"/>
          <w:color w:val="000000"/>
          <w:sz w:val="20"/>
          <w:szCs w:val="20"/>
        </w:rPr>
        <w:t>nizations that work with diverse communities has been vital to our efforts to increase women and minority representation in our workforce. For example, we partner with AnitaB.org to benchmark our progress and to identify promising practices for recruiting,</w:t>
      </w:r>
      <w:r>
        <w:rPr>
          <w:rFonts w:eastAsia="Times New Roman"/>
          <w:color w:val="000000"/>
          <w:sz w:val="20"/>
          <w:szCs w:val="20"/>
        </w:rPr>
        <w:t xml:space="preserve"> retaining and advancing women technologists, and we support its research initiatives related to attracting and retaining women and underrepresented minority students in computing majors. We, alongside other top technology companies, helped form the Reboot</w:t>
      </w:r>
      <w:r>
        <w:rPr>
          <w:rFonts w:eastAsia="Times New Roman"/>
          <w:color w:val="000000"/>
          <w:sz w:val="20"/>
          <w:szCs w:val="20"/>
        </w:rPr>
        <w:t xml:space="preserve"> Representation Tech Coalition, which aims to double the number of Black, Latinx and Native American women receiving computing degrees by 2025. Through our collaboration with Disability:IN’s Inclusion Works program, we have increased our ability to address</w:t>
      </w:r>
      <w:r>
        <w:rPr>
          <w:rFonts w:eastAsia="Times New Roman"/>
          <w:color w:val="000000"/>
          <w:sz w:val="20"/>
          <w:szCs w:val="20"/>
        </w:rPr>
        <w:t xml:space="preserve"> the needs of individuals with disabilities. </w:t>
      </w:r>
    </w:p>
    <w:p w14:paraId="68201504" w14:textId="77777777" w:rsidR="00000000" w:rsidRDefault="009B6C69">
      <w:pPr>
        <w:ind w:firstLine="360"/>
        <w:divId w:val="81923232"/>
        <w:rPr>
          <w:rFonts w:eastAsia="Times New Roman"/>
        </w:rPr>
      </w:pPr>
      <w:r>
        <w:rPr>
          <w:rFonts w:eastAsia="Times New Roman"/>
          <w:color w:val="000000"/>
          <w:sz w:val="20"/>
          <w:szCs w:val="20"/>
        </w:rPr>
        <w:t>We publish our most recent Consolidated EEO-1 reports on our website to provide additional transparency into our efforts to increase underrepresented populations in our workforce. We have also publicly set 2025</w:t>
      </w:r>
      <w:r>
        <w:rPr>
          <w:rFonts w:eastAsia="Times New Roman"/>
          <w:color w:val="000000"/>
          <w:sz w:val="20"/>
          <w:szCs w:val="20"/>
        </w:rPr>
        <w:t xml:space="preserve"> goals around diverse workforce and leadership representation, as described below.</w:t>
      </w:r>
    </w:p>
    <w:p w14:paraId="31D31FD5" w14:textId="77777777" w:rsidR="00000000" w:rsidRDefault="009B6C69">
      <w:pPr>
        <w:ind w:firstLine="360"/>
        <w:divId w:val="1448618408"/>
        <w:rPr>
          <w:rFonts w:eastAsia="Times New Roman"/>
        </w:rPr>
      </w:pPr>
      <w:r>
        <w:rPr>
          <w:rFonts w:eastAsia="Times New Roman"/>
          <w:color w:val="000000"/>
          <w:sz w:val="20"/>
          <w:szCs w:val="20"/>
        </w:rPr>
        <w:t>From a governance perspective, the HR and Compensation Committee of our Board provides oversight of our policies, programs and initiatives focusing on workforce diversity, e</w:t>
      </w:r>
      <w:r>
        <w:rPr>
          <w:rFonts w:eastAsia="Times New Roman"/>
          <w:color w:val="000000"/>
          <w:sz w:val="20"/>
          <w:szCs w:val="20"/>
        </w:rPr>
        <w:t>quity and inclusion.</w:t>
      </w:r>
    </w:p>
    <w:p w14:paraId="0B78FF01" w14:textId="77777777" w:rsidR="00000000" w:rsidRDefault="009B6C69">
      <w:pPr>
        <w:ind w:firstLine="360"/>
        <w:divId w:val="438647546"/>
        <w:rPr>
          <w:rFonts w:eastAsia="Times New Roman"/>
        </w:rPr>
      </w:pPr>
      <w:r>
        <w:rPr>
          <w:rFonts w:eastAsia="Times New Roman"/>
          <w:b/>
          <w:bCs/>
          <w:i/>
          <w:iCs/>
          <w:color w:val="000000"/>
          <w:sz w:val="20"/>
          <w:szCs w:val="20"/>
        </w:rPr>
        <w:t xml:space="preserve">Health, Safety and Wellness. </w:t>
      </w:r>
      <w:r>
        <w:rPr>
          <w:rFonts w:eastAsia="Times New Roman"/>
          <w:color w:val="000000"/>
          <w:sz w:val="20"/>
          <w:szCs w:val="20"/>
        </w:rPr>
        <w:t xml:space="preserve">The success of our business is fundamentally connected to the well-being of our people. Accordingly, we are committed to the health, safety and wellness of our employees. We provide our employees and their </w:t>
      </w:r>
      <w:r>
        <w:rPr>
          <w:rFonts w:eastAsia="Times New Roman"/>
          <w:color w:val="000000"/>
          <w:sz w:val="20"/>
          <w:szCs w:val="20"/>
        </w:rPr>
        <w:t>families with access to a variety of innovative, flexible and convenient health and wellness programs, including benefits that provide protection and security concerning events that may require time away from work or that impact their financial well-being;</w:t>
      </w:r>
      <w:r>
        <w:rPr>
          <w:rFonts w:eastAsia="Times New Roman"/>
          <w:color w:val="000000"/>
          <w:sz w:val="20"/>
          <w:szCs w:val="20"/>
        </w:rPr>
        <w:t xml:space="preserve"> that support their physical and mental health by providing tools and resources to help them improve or maintain their health status and encourage engagement in healthy behaviors; and that offer choice where possible so they can customize their benefits to</w:t>
      </w:r>
      <w:r>
        <w:rPr>
          <w:rFonts w:eastAsia="Times New Roman"/>
          <w:color w:val="000000"/>
          <w:sz w:val="20"/>
          <w:szCs w:val="20"/>
        </w:rPr>
        <w:t xml:space="preserve"> meet their needs and the needs of their families. </w:t>
      </w:r>
    </w:p>
    <w:p w14:paraId="3BDB8DEC" w14:textId="77777777" w:rsidR="00000000" w:rsidRDefault="009B6C69">
      <w:pPr>
        <w:ind w:firstLine="360"/>
        <w:divId w:val="561060528"/>
        <w:rPr>
          <w:rFonts w:eastAsia="Times New Roman"/>
        </w:rPr>
      </w:pPr>
      <w:r>
        <w:rPr>
          <w:rFonts w:eastAsia="Times New Roman"/>
          <w:color w:val="000000"/>
          <w:sz w:val="20"/>
          <w:szCs w:val="20"/>
        </w:rPr>
        <w:t>During the COVID-19 pandemic, we took a variety of measures that we determined were in the best interests of our employees, as well as the communities in which we operate, and we have recently implemented</w:t>
      </w:r>
      <w:r>
        <w:rPr>
          <w:rFonts w:eastAsia="Times New Roman"/>
          <w:color w:val="000000"/>
          <w:sz w:val="20"/>
          <w:szCs w:val="20"/>
        </w:rPr>
        <w:t xml:space="preserve"> a “hybrid” work model, meaning that the majority of our employees have flexibility to work remotely at least some of the time. The hybrid work model is intended to provide increased flexibility and support employee health and safety, while maintaining our</w:t>
      </w:r>
      <w:r>
        <w:rPr>
          <w:rFonts w:eastAsia="Times New Roman"/>
          <w:color w:val="000000"/>
          <w:sz w:val="20"/>
          <w:szCs w:val="20"/>
        </w:rPr>
        <w:t xml:space="preserve"> strong culture of innovation, collaboration, openness and camaraderie. We continue to monitor the state of the pandemic and gather additional feedback to facilitate the continued health, safety and wellness of our employees working onsite. We also introdu</w:t>
      </w:r>
      <w:r>
        <w:rPr>
          <w:rFonts w:eastAsia="Times New Roman"/>
          <w:color w:val="000000"/>
          <w:sz w:val="20"/>
          <w:szCs w:val="20"/>
        </w:rPr>
        <w:t>ced our Live+Well, Work+Well program, designed to help cultivate a productive work environment, while also focusing on our employees’ well-being.</w:t>
      </w:r>
    </w:p>
    <w:p w14:paraId="70E0784A" w14:textId="77777777" w:rsidR="00000000" w:rsidRDefault="009B6C69">
      <w:pPr>
        <w:ind w:firstLine="360"/>
        <w:divId w:val="1378509397"/>
        <w:rPr>
          <w:rFonts w:eastAsia="Times New Roman"/>
        </w:rPr>
      </w:pPr>
      <w:r>
        <w:rPr>
          <w:rFonts w:eastAsia="Times New Roman"/>
          <w:b/>
          <w:bCs/>
          <w:i/>
          <w:iCs/>
          <w:color w:val="000000"/>
          <w:sz w:val="20"/>
          <w:szCs w:val="20"/>
        </w:rPr>
        <w:t xml:space="preserve">Compensation and Benefits. </w:t>
      </w:r>
      <w:r>
        <w:rPr>
          <w:rFonts w:eastAsia="Times New Roman"/>
          <w:color w:val="000000"/>
          <w:sz w:val="20"/>
          <w:szCs w:val="20"/>
        </w:rPr>
        <w:t xml:space="preserve">We provide robust compensation and benefits programs to help meet the needs of our </w:t>
      </w:r>
      <w:r>
        <w:rPr>
          <w:rFonts w:eastAsia="Times New Roman"/>
          <w:color w:val="000000"/>
          <w:sz w:val="20"/>
          <w:szCs w:val="20"/>
        </w:rPr>
        <w:t>employees. In addition to salaries, these programs (which vary by country/region) include annual bonuses, stock awards, an employee stock purchase plan, a 401(k) plan, healthcare and insurance benefits, health savings and flexible spending accounts, paid t</w:t>
      </w:r>
      <w:r>
        <w:rPr>
          <w:rFonts w:eastAsia="Times New Roman"/>
          <w:color w:val="000000"/>
          <w:sz w:val="20"/>
          <w:szCs w:val="20"/>
        </w:rPr>
        <w:t xml:space="preserve">ime off, family leave, family care resources, flexible work schedules, adoption and surrogacy assistance, </w:t>
      </w:r>
    </w:p>
    <w:p w14:paraId="6E739BC0" w14:textId="77777777" w:rsidR="00000000" w:rsidRDefault="009B6C69">
      <w:pPr>
        <w:jc w:val="center"/>
        <w:divId w:val="99885748"/>
        <w:rPr>
          <w:rFonts w:eastAsia="Times New Roman"/>
        </w:rPr>
      </w:pPr>
      <w:r>
        <w:rPr>
          <w:rFonts w:eastAsia="Times New Roman"/>
          <w:color w:val="000000"/>
          <w:sz w:val="20"/>
          <w:szCs w:val="20"/>
        </w:rPr>
        <w:t>16</w:t>
      </w:r>
    </w:p>
    <w:p w14:paraId="642B121A" w14:textId="77777777" w:rsidR="00000000" w:rsidRDefault="009B6C69">
      <w:pPr>
        <w:rPr>
          <w:rFonts w:eastAsia="Times New Roman"/>
        </w:rPr>
      </w:pPr>
      <w:r>
        <w:rPr>
          <w:rFonts w:eastAsia="Times New Roman"/>
        </w:rPr>
        <w:pict w14:anchorId="07FD0E8C">
          <v:rect id="_x0000_i1039" style="width:0;height:1.5pt" o:hralign="center" o:hrstd="t" o:hr="t" fillcolor="#a0a0a0" stroked="f"/>
        </w:pict>
      </w:r>
    </w:p>
    <w:p w14:paraId="63626B4D" w14:textId="77777777" w:rsidR="00000000" w:rsidRDefault="009B6C69">
      <w:pPr>
        <w:divId w:val="1525048741"/>
        <w:rPr>
          <w:rFonts w:eastAsia="Times New Roman"/>
        </w:rPr>
      </w:pPr>
    </w:p>
    <w:p w14:paraId="51BB4C7A" w14:textId="77777777" w:rsidR="00000000" w:rsidRDefault="009B6C69">
      <w:pPr>
        <w:divId w:val="728070350"/>
        <w:rPr>
          <w:rFonts w:eastAsia="Times New Roman"/>
        </w:rPr>
      </w:pPr>
      <w:r>
        <w:rPr>
          <w:rFonts w:eastAsia="Times New Roman"/>
          <w:color w:val="000000"/>
          <w:sz w:val="20"/>
          <w:szCs w:val="20"/>
        </w:rPr>
        <w:t>employee assistance programs, tuition assistance, and on-site services such as health centers and fitness centers, among others. In addition to our broad-based equity award programs, we have used targeted equity awards</w:t>
      </w:r>
      <w:r>
        <w:rPr>
          <w:rFonts w:eastAsia="Times New Roman"/>
          <w:color w:val="000000"/>
          <w:sz w:val="20"/>
          <w:szCs w:val="20"/>
        </w:rPr>
        <w:t xml:space="preserve"> with vesting conditions to facilitate retention of personnel, particularly those with critical engineering skills and experience.</w:t>
      </w:r>
    </w:p>
    <w:p w14:paraId="1971C68E" w14:textId="77777777" w:rsidR="00000000" w:rsidRDefault="009B6C69">
      <w:pPr>
        <w:ind w:firstLine="360"/>
        <w:divId w:val="821848075"/>
        <w:rPr>
          <w:rFonts w:eastAsia="Times New Roman"/>
        </w:rPr>
      </w:pPr>
      <w:r>
        <w:rPr>
          <w:rFonts w:eastAsia="Times New Roman"/>
          <w:b/>
          <w:bCs/>
          <w:i/>
          <w:iCs/>
          <w:color w:val="000000"/>
          <w:sz w:val="20"/>
          <w:szCs w:val="20"/>
        </w:rPr>
        <w:t xml:space="preserve">Talent Development. </w:t>
      </w:r>
      <w:r>
        <w:rPr>
          <w:rFonts w:eastAsia="Times New Roman"/>
          <w:color w:val="000000"/>
          <w:sz w:val="20"/>
          <w:szCs w:val="20"/>
        </w:rPr>
        <w:t>We invest significant resources to develop the talent needed to remain a world-leading wireless innovator</w:t>
      </w:r>
      <w:r>
        <w:rPr>
          <w:rFonts w:eastAsia="Times New Roman"/>
          <w:color w:val="000000"/>
          <w:sz w:val="20"/>
          <w:szCs w:val="20"/>
        </w:rPr>
        <w:t>. We deliver numerous training opportunities, provide rotational assignment opportunities, focus on continuous learning and development and have implemented what we believe are industry-leading methodologies to manage performance, provide feedback and deve</w:t>
      </w:r>
      <w:r>
        <w:rPr>
          <w:rFonts w:eastAsia="Times New Roman"/>
          <w:color w:val="000000"/>
          <w:sz w:val="20"/>
          <w:szCs w:val="20"/>
        </w:rPr>
        <w:t>lop talent.</w:t>
      </w:r>
    </w:p>
    <w:p w14:paraId="3CDAEE15" w14:textId="77777777" w:rsidR="00000000" w:rsidRDefault="009B6C69">
      <w:pPr>
        <w:ind w:firstLine="360"/>
        <w:divId w:val="438136243"/>
        <w:rPr>
          <w:rFonts w:eastAsia="Times New Roman"/>
        </w:rPr>
      </w:pPr>
      <w:r>
        <w:rPr>
          <w:rFonts w:eastAsia="Times New Roman"/>
          <w:color w:val="000000"/>
          <w:sz w:val="20"/>
          <w:szCs w:val="20"/>
        </w:rPr>
        <w:t xml:space="preserve">Our talent development programs are designed to provide employees with the resources they need to help achieve their career goals, build management skills and lead their organizations. We provide a series of employee workshops around the globe </w:t>
      </w:r>
      <w:r>
        <w:rPr>
          <w:rFonts w:eastAsia="Times New Roman"/>
          <w:color w:val="000000"/>
          <w:sz w:val="20"/>
          <w:szCs w:val="20"/>
        </w:rPr>
        <w:t>that support professional growth and development. Additionally, our manager and employee forum programs provide an ongoing opportunity for employees to practice and apply learning around conversations aligned with our annual review process. We also have an</w:t>
      </w:r>
      <w:r>
        <w:rPr>
          <w:rFonts w:eastAsia="Times New Roman"/>
          <w:color w:val="000000"/>
          <w:sz w:val="20"/>
          <w:szCs w:val="20"/>
        </w:rPr>
        <w:t xml:space="preserve"> employee development website that provides quick access to learning resources that are personalized to the individual’s development needs.</w:t>
      </w:r>
    </w:p>
    <w:p w14:paraId="35EC73D2" w14:textId="77777777" w:rsidR="00000000" w:rsidRDefault="009B6C69">
      <w:pPr>
        <w:ind w:firstLine="360"/>
        <w:divId w:val="440035497"/>
        <w:rPr>
          <w:rFonts w:eastAsia="Times New Roman"/>
        </w:rPr>
      </w:pPr>
      <w:r>
        <w:rPr>
          <w:rFonts w:eastAsia="Times New Roman"/>
          <w:b/>
          <w:bCs/>
          <w:i/>
          <w:iCs/>
          <w:color w:val="000000"/>
          <w:sz w:val="20"/>
          <w:szCs w:val="20"/>
        </w:rPr>
        <w:t xml:space="preserve">Building Connections - With Each Other and our Communities. </w:t>
      </w:r>
      <w:r>
        <w:rPr>
          <w:rFonts w:eastAsia="Times New Roman"/>
          <w:color w:val="000000"/>
          <w:sz w:val="20"/>
          <w:szCs w:val="20"/>
        </w:rPr>
        <w:t>We believe that building connections between our employe</w:t>
      </w:r>
      <w:r>
        <w:rPr>
          <w:rFonts w:eastAsia="Times New Roman"/>
          <w:color w:val="000000"/>
          <w:sz w:val="20"/>
          <w:szCs w:val="20"/>
        </w:rPr>
        <w:t>es, their families and our communities creates a more meaningful, fulfilling and enjoyable workplace. Through our engagement programs, our employees can pursue their interests and hobbies, connect to volunteering and giving opportunities and enjoy unique r</w:t>
      </w:r>
      <w:r>
        <w:rPr>
          <w:rFonts w:eastAsia="Times New Roman"/>
          <w:color w:val="000000"/>
          <w:sz w:val="20"/>
          <w:szCs w:val="20"/>
        </w:rPr>
        <w:t xml:space="preserve">ecreational experiences with family members. Leveraging our partnerships with various local arts and culture organizations, we have created numerous unique experiences for employees and their families around the world. </w:t>
      </w:r>
    </w:p>
    <w:p w14:paraId="4B24111C" w14:textId="77777777" w:rsidR="00000000" w:rsidRDefault="009B6C69">
      <w:pPr>
        <w:ind w:firstLine="360"/>
        <w:divId w:val="1392773891"/>
        <w:rPr>
          <w:rFonts w:eastAsia="Times New Roman"/>
        </w:rPr>
      </w:pPr>
      <w:r>
        <w:rPr>
          <w:rFonts w:eastAsia="Times New Roman"/>
          <w:color w:val="000000"/>
          <w:sz w:val="20"/>
          <w:szCs w:val="20"/>
        </w:rPr>
        <w:t>Since our employees are passionate a</w:t>
      </w:r>
      <w:r>
        <w:rPr>
          <w:rFonts w:eastAsia="Times New Roman"/>
          <w:color w:val="000000"/>
          <w:sz w:val="20"/>
          <w:szCs w:val="20"/>
        </w:rPr>
        <w:t xml:space="preserve">bout many causes, our corporate giving and volunteering programs support and encourage employees by engaging with those causes. In our offices around the world, our employee-led Giving Committees select local organizations to support, often in the form of </w:t>
      </w:r>
      <w:r>
        <w:rPr>
          <w:rFonts w:eastAsia="Times New Roman"/>
          <w:color w:val="000000"/>
          <w:sz w:val="20"/>
          <w:szCs w:val="20"/>
        </w:rPr>
        <w:t>grants that are primarily funded by the Qualcomm Foundation (which was established in 2011 to support charitable giving and volunteerism). We also frequently collaborate with these organizations on volunteer activities for our employees. Additionally, duri</w:t>
      </w:r>
      <w:r>
        <w:rPr>
          <w:rFonts w:eastAsia="Times New Roman"/>
          <w:color w:val="000000"/>
          <w:sz w:val="20"/>
          <w:szCs w:val="20"/>
        </w:rPr>
        <w:t>ng fiscal 2022, thousands of our employees around the world utilized our charitable match program, benefiting more than 1,500 charitable organizations.</w:t>
      </w:r>
    </w:p>
    <w:p w14:paraId="41B14680" w14:textId="77777777" w:rsidR="00000000" w:rsidRDefault="009B6C69">
      <w:pPr>
        <w:ind w:firstLine="360"/>
        <w:divId w:val="1834252824"/>
        <w:rPr>
          <w:rFonts w:eastAsia="Times New Roman"/>
        </w:rPr>
      </w:pPr>
      <w:r>
        <w:rPr>
          <w:rFonts w:eastAsia="Times New Roman"/>
          <w:b/>
          <w:bCs/>
          <w:i/>
          <w:iCs/>
          <w:color w:val="000000"/>
          <w:sz w:val="20"/>
          <w:szCs w:val="20"/>
        </w:rPr>
        <w:t xml:space="preserve">2025 Goals. </w:t>
      </w:r>
      <w:r>
        <w:rPr>
          <w:rFonts w:eastAsia="Times New Roman"/>
          <w:color w:val="000000"/>
          <w:sz w:val="20"/>
          <w:szCs w:val="20"/>
        </w:rPr>
        <w:t xml:space="preserve">We set the following </w:t>
      </w:r>
      <w:r>
        <w:rPr>
          <w:rFonts w:eastAsia="Times New Roman"/>
          <w:i/>
          <w:iCs/>
          <w:color w:val="000000"/>
          <w:sz w:val="20"/>
          <w:szCs w:val="20"/>
        </w:rPr>
        <w:t>2025 Goals</w:t>
      </w:r>
      <w:r>
        <w:rPr>
          <w:rFonts w:eastAsia="Times New Roman"/>
          <w:color w:val="000000"/>
          <w:sz w:val="20"/>
          <w:szCs w:val="20"/>
        </w:rPr>
        <w:t xml:space="preserve"> related to human capital, with a focus on diversity, equity </w:t>
      </w:r>
      <w:r>
        <w:rPr>
          <w:rFonts w:eastAsia="Times New Roman"/>
          <w:color w:val="000000"/>
          <w:sz w:val="20"/>
          <w:szCs w:val="20"/>
        </w:rPr>
        <w:t>and inclusion:</w:t>
      </w:r>
    </w:p>
    <w:p w14:paraId="48EA627C" w14:textId="77777777" w:rsidR="00000000" w:rsidRDefault="009B6C69">
      <w:pPr>
        <w:ind w:hanging="360"/>
        <w:divId w:val="325549451"/>
        <w:rPr>
          <w:rFonts w:eastAsia="Times New Roman"/>
        </w:rPr>
      </w:pPr>
      <w:r>
        <w:rPr>
          <w:rFonts w:eastAsia="Times New Roman"/>
          <w:color w:val="222222"/>
          <w:sz w:val="20"/>
          <w:szCs w:val="20"/>
        </w:rPr>
        <w:t xml:space="preserve">•Increase women in leadership by 15% (defined as individuals at the principal and above level in technical roles, and director and above in non-technical roles). </w:t>
      </w:r>
    </w:p>
    <w:p w14:paraId="62D0FB8C" w14:textId="77777777" w:rsidR="00000000" w:rsidRDefault="009B6C69">
      <w:pPr>
        <w:ind w:hanging="360"/>
        <w:divId w:val="1708335836"/>
        <w:rPr>
          <w:rFonts w:eastAsia="Times New Roman"/>
        </w:rPr>
      </w:pPr>
      <w:r>
        <w:rPr>
          <w:rFonts w:eastAsia="Times New Roman"/>
          <w:color w:val="222222"/>
          <w:sz w:val="20"/>
          <w:szCs w:val="20"/>
        </w:rPr>
        <w:t>•</w:t>
      </w:r>
      <w:r>
        <w:rPr>
          <w:rFonts w:eastAsia="Times New Roman"/>
          <w:color w:val="222222"/>
          <w:sz w:val="20"/>
          <w:szCs w:val="20"/>
        </w:rPr>
        <w:t>Increase underrepresented minorities (URM) in leadership by 15% (for technical positions, “URM” includes Black, Hispanic or Latinx, Native Hawaiian or other Pacific Islander, and American Indian or Native American; for non-technical positions, URM also inc</w:t>
      </w:r>
      <w:r>
        <w:rPr>
          <w:rFonts w:eastAsia="Times New Roman"/>
          <w:color w:val="222222"/>
          <w:sz w:val="20"/>
          <w:szCs w:val="20"/>
        </w:rPr>
        <w:t xml:space="preserve">ludes Asian). </w:t>
      </w:r>
    </w:p>
    <w:p w14:paraId="064F1529" w14:textId="77777777" w:rsidR="00000000" w:rsidRDefault="009B6C69">
      <w:pPr>
        <w:ind w:hanging="360"/>
        <w:divId w:val="1541092393"/>
        <w:rPr>
          <w:rFonts w:eastAsia="Times New Roman"/>
        </w:rPr>
      </w:pPr>
      <w:r>
        <w:rPr>
          <w:rFonts w:eastAsia="Times New Roman"/>
          <w:color w:val="222222"/>
          <w:sz w:val="20"/>
          <w:szCs w:val="20"/>
        </w:rPr>
        <w:t>•Increase overall URM representation by 20%.</w:t>
      </w:r>
    </w:p>
    <w:p w14:paraId="22EB7D91" w14:textId="77777777" w:rsidR="00000000" w:rsidRDefault="009B6C69">
      <w:pPr>
        <w:ind w:firstLine="360"/>
        <w:divId w:val="606279867"/>
        <w:rPr>
          <w:rFonts w:eastAsia="Times New Roman"/>
        </w:rPr>
      </w:pPr>
      <w:r>
        <w:rPr>
          <w:rFonts w:eastAsia="Times New Roman"/>
          <w:b/>
          <w:bCs/>
          <w:i/>
          <w:iCs/>
          <w:color w:val="000000"/>
          <w:sz w:val="20"/>
          <w:szCs w:val="20"/>
        </w:rPr>
        <w:t xml:space="preserve">Human Capital Advancements Linked to our Executive Compensation. </w:t>
      </w:r>
      <w:r>
        <w:rPr>
          <w:rFonts w:eastAsia="Times New Roman"/>
          <w:color w:val="000000"/>
          <w:sz w:val="20"/>
          <w:szCs w:val="20"/>
        </w:rPr>
        <w:t xml:space="preserve">The HR and Compensation Committee of our Board will consider human capital advancements in determining our executives’ fiscal 2022 </w:t>
      </w:r>
      <w:r>
        <w:rPr>
          <w:rFonts w:eastAsia="Times New Roman"/>
          <w:color w:val="000000"/>
          <w:sz w:val="20"/>
          <w:szCs w:val="20"/>
        </w:rPr>
        <w:t xml:space="preserve">bonus. For fiscal 2022, progress towards human capital advancements serves as a non-financial performance modifier that can adjust the executives’ bonus payout by a multiple of 0.9 to 1.1. </w:t>
      </w:r>
    </w:p>
    <w:p w14:paraId="3F3CFBF1" w14:textId="77777777" w:rsidR="00000000" w:rsidRDefault="009B6C69">
      <w:pPr>
        <w:ind w:firstLine="360"/>
        <w:divId w:val="1158957431"/>
        <w:rPr>
          <w:rFonts w:eastAsia="Times New Roman"/>
        </w:rPr>
      </w:pPr>
      <w:r>
        <w:rPr>
          <w:rFonts w:eastAsia="Times New Roman"/>
          <w:color w:val="000000"/>
          <w:sz w:val="20"/>
          <w:szCs w:val="20"/>
        </w:rPr>
        <w:t>The foregoing discussion includes information regarding Human Capi</w:t>
      </w:r>
      <w:r>
        <w:rPr>
          <w:rFonts w:eastAsia="Times New Roman"/>
          <w:color w:val="000000"/>
          <w:sz w:val="20"/>
          <w:szCs w:val="20"/>
        </w:rPr>
        <w:t>tal matters that we believe may be of interest to stockholders generally. We recognize that certain other stakeholders (such as customers, employees and non-governmental organizations), as well as certain of our stockholders, may be interested in more deta</w:t>
      </w:r>
      <w:r>
        <w:rPr>
          <w:rFonts w:eastAsia="Times New Roman"/>
          <w:color w:val="000000"/>
          <w:sz w:val="20"/>
          <w:szCs w:val="20"/>
        </w:rPr>
        <w:t>iled information on these topics. We encourage you to review the “Our People” section of our most recent Qualcomm Corporate Responsibility Report</w:t>
      </w:r>
      <w:r>
        <w:rPr>
          <w:rFonts w:eastAsia="Times New Roman"/>
          <w:i/>
          <w:iCs/>
          <w:color w:val="000000"/>
          <w:sz w:val="20"/>
          <w:szCs w:val="20"/>
        </w:rPr>
        <w:t xml:space="preserve"> </w:t>
      </w:r>
      <w:r>
        <w:rPr>
          <w:rFonts w:eastAsia="Times New Roman"/>
          <w:color w:val="000000"/>
          <w:sz w:val="20"/>
          <w:szCs w:val="20"/>
        </w:rPr>
        <w:t>(located on our website) for more detailed information regarding our Human Capital goals, programs and initiat</w:t>
      </w:r>
      <w:r>
        <w:rPr>
          <w:rFonts w:eastAsia="Times New Roman"/>
          <w:color w:val="000000"/>
          <w:sz w:val="20"/>
          <w:szCs w:val="20"/>
        </w:rPr>
        <w:t>ives. Nothing on our website, including our Consolidated EEO-1 reports, our Qualcomm Corporate Responsibility Report or sections thereof, shall be deemed incorporated by reference into this Annual Report.</w:t>
      </w:r>
    </w:p>
    <w:p w14:paraId="219A2558" w14:textId="77777777" w:rsidR="00000000" w:rsidRDefault="009B6C69">
      <w:pPr>
        <w:divId w:val="2002079220"/>
        <w:rPr>
          <w:rFonts w:eastAsia="Times New Roman"/>
        </w:rPr>
      </w:pPr>
      <w:r>
        <w:rPr>
          <w:rFonts w:eastAsia="Times New Roman"/>
          <w:b/>
          <w:bCs/>
          <w:color w:val="000000"/>
          <w:sz w:val="20"/>
          <w:szCs w:val="20"/>
        </w:rPr>
        <w:t>Available Information</w:t>
      </w:r>
    </w:p>
    <w:p w14:paraId="31975DD0" w14:textId="77777777" w:rsidR="00000000" w:rsidRDefault="009B6C69">
      <w:pPr>
        <w:ind w:firstLine="360"/>
        <w:divId w:val="412775707"/>
        <w:rPr>
          <w:rFonts w:eastAsia="Times New Roman"/>
        </w:rPr>
      </w:pPr>
      <w:r>
        <w:rPr>
          <w:rFonts w:eastAsia="Times New Roman"/>
          <w:color w:val="000000"/>
          <w:sz w:val="20"/>
          <w:szCs w:val="20"/>
        </w:rPr>
        <w:t>Our Internet address is www.q</w:t>
      </w:r>
      <w:r>
        <w:rPr>
          <w:rFonts w:eastAsia="Times New Roman"/>
          <w:color w:val="000000"/>
          <w:sz w:val="20"/>
          <w:szCs w:val="20"/>
        </w:rPr>
        <w:t>ualcomm.com. There we make available, free of charge, our annual reports on Form 10-K, quarterly reports on Form 10-Q, current reports on Form 8-K, proxy statements and any amendments to those reports (among others), as soon as reasonably practicable after</w:t>
      </w:r>
      <w:r>
        <w:rPr>
          <w:rFonts w:eastAsia="Times New Roman"/>
          <w:color w:val="000000"/>
          <w:sz w:val="20"/>
          <w:szCs w:val="20"/>
        </w:rPr>
        <w:t xml:space="preserve"> we electronically file such material with, or furnish it to, the Securities and Exchange Commission (SEC). We also make available on our website public financial information for which a report is not required to be filed with or furnished to the SEC. Our </w:t>
      </w:r>
      <w:r>
        <w:rPr>
          <w:rFonts w:eastAsia="Times New Roman"/>
          <w:color w:val="000000"/>
          <w:sz w:val="20"/>
          <w:szCs w:val="20"/>
        </w:rPr>
        <w:t>SEC reports and such other information can be accessed through the investor relations section of our website (https://investor.qualcomm.com/). The information found on our website is not part of this or any other report we file with or furnish to the SEC.</w:t>
      </w:r>
    </w:p>
    <w:p w14:paraId="16F6BAEC" w14:textId="77777777" w:rsidR="00000000" w:rsidRDefault="009B6C69">
      <w:pPr>
        <w:divId w:val="947734811"/>
        <w:rPr>
          <w:rFonts w:eastAsia="Times New Roman"/>
        </w:rPr>
      </w:pPr>
      <w:r>
        <w:rPr>
          <w:rFonts w:eastAsia="Times New Roman"/>
          <w:b/>
          <w:bCs/>
          <w:color w:val="000000"/>
          <w:sz w:val="20"/>
          <w:szCs w:val="20"/>
        </w:rPr>
        <w:t>Information about our Executive Officers</w:t>
      </w:r>
    </w:p>
    <w:p w14:paraId="126DB8B8" w14:textId="77777777" w:rsidR="00000000" w:rsidRDefault="009B6C69">
      <w:pPr>
        <w:ind w:firstLine="360"/>
        <w:divId w:val="801657773"/>
        <w:rPr>
          <w:rFonts w:eastAsia="Times New Roman"/>
        </w:rPr>
      </w:pPr>
      <w:r>
        <w:rPr>
          <w:rFonts w:eastAsia="Times New Roman"/>
          <w:color w:val="000000"/>
          <w:sz w:val="20"/>
          <w:szCs w:val="20"/>
        </w:rPr>
        <w:t>Information about our executive officers (and their ages as of November 1, 2022) are as follows:</w:t>
      </w:r>
    </w:p>
    <w:p w14:paraId="16541B2D" w14:textId="77777777" w:rsidR="00000000" w:rsidRDefault="009B6C69">
      <w:pPr>
        <w:ind w:firstLine="360"/>
        <w:divId w:val="828836595"/>
        <w:rPr>
          <w:rFonts w:eastAsia="Times New Roman"/>
        </w:rPr>
      </w:pPr>
      <w:r>
        <w:rPr>
          <w:rFonts w:eastAsia="Times New Roman"/>
          <w:color w:val="000000"/>
          <w:sz w:val="20"/>
          <w:szCs w:val="20"/>
        </w:rPr>
        <w:t>Cristiano R. Amon, age 52, has served as President and Chief Executive Officer and as a member of the Board of Directo</w:t>
      </w:r>
      <w:r>
        <w:rPr>
          <w:rFonts w:eastAsia="Times New Roman"/>
          <w:color w:val="000000"/>
          <w:sz w:val="20"/>
          <w:szCs w:val="20"/>
        </w:rPr>
        <w:t xml:space="preserve">rs since June 2021. Mr. Amon served as President and Chief Executive Officer-elect from January 2021 to June 2021 and President from January 2018 to January 2021. He served as Executive Vice President, Qualcomm Technologies, Inc. </w:t>
      </w:r>
    </w:p>
    <w:p w14:paraId="33A346E5" w14:textId="77777777" w:rsidR="00000000" w:rsidRDefault="009B6C69">
      <w:pPr>
        <w:jc w:val="center"/>
        <w:divId w:val="697585450"/>
        <w:rPr>
          <w:rFonts w:eastAsia="Times New Roman"/>
        </w:rPr>
      </w:pPr>
      <w:r>
        <w:rPr>
          <w:rFonts w:eastAsia="Times New Roman"/>
          <w:color w:val="000000"/>
          <w:sz w:val="20"/>
          <w:szCs w:val="20"/>
        </w:rPr>
        <w:t>17</w:t>
      </w:r>
    </w:p>
    <w:p w14:paraId="19E385DA" w14:textId="77777777" w:rsidR="00000000" w:rsidRDefault="009B6C69">
      <w:pPr>
        <w:rPr>
          <w:rFonts w:eastAsia="Times New Roman"/>
        </w:rPr>
      </w:pPr>
      <w:r>
        <w:rPr>
          <w:rFonts w:eastAsia="Times New Roman"/>
        </w:rPr>
        <w:pict w14:anchorId="1223D2CD">
          <v:rect id="_x0000_i1040" style="width:0;height:1.5pt" o:hralign="center" o:hrstd="t" o:hr="t" fillcolor="#a0a0a0" stroked="f"/>
        </w:pict>
      </w:r>
    </w:p>
    <w:p w14:paraId="4892BAAF" w14:textId="77777777" w:rsidR="00000000" w:rsidRDefault="009B6C69">
      <w:pPr>
        <w:divId w:val="1377729993"/>
        <w:rPr>
          <w:rFonts w:eastAsia="Times New Roman"/>
        </w:rPr>
      </w:pPr>
    </w:p>
    <w:p w14:paraId="4010B825" w14:textId="77777777" w:rsidR="00000000" w:rsidRDefault="009B6C69">
      <w:pPr>
        <w:divId w:val="1303316634"/>
        <w:rPr>
          <w:rFonts w:eastAsia="Times New Roman"/>
        </w:rPr>
      </w:pPr>
      <w:r>
        <w:rPr>
          <w:rFonts w:eastAsia="Times New Roman"/>
          <w:color w:val="000000"/>
          <w:sz w:val="20"/>
          <w:szCs w:val="20"/>
        </w:rPr>
        <w:t>(QTI), a subsidiary of Qualcomm Incorporated, and President, QCT, from November 2015 to January 2018. He served as Executive Vice President, QTI and Co-President, QCT from October 2012 to November 2015, Senior Vice President and Co-Presiden</w:t>
      </w:r>
      <w:r>
        <w:rPr>
          <w:rFonts w:eastAsia="Times New Roman"/>
          <w:color w:val="000000"/>
          <w:sz w:val="20"/>
          <w:szCs w:val="20"/>
        </w:rPr>
        <w:t xml:space="preserve">t, QCT from June 2012 to October 2012 and as Senior Vice President, QCT Product Management from October 2007 to June 2012, with responsibility for our product roadmap, including the Snapdragon platforms. Mr. Amon joined Qualcomm in 1995 as an engineer and </w:t>
      </w:r>
      <w:r>
        <w:rPr>
          <w:rFonts w:eastAsia="Times New Roman"/>
          <w:color w:val="000000"/>
          <w:sz w:val="20"/>
          <w:szCs w:val="20"/>
        </w:rPr>
        <w:t>throughout his tenure at Qualcomm has held several other technical and leadership positions. Mr. Amon holds a B.S. in Electrical Engineering and an honorary doctorate from UNICAMP, the State University of Campinas, Brazil.</w:t>
      </w:r>
    </w:p>
    <w:p w14:paraId="5C7544D9" w14:textId="77777777" w:rsidR="00000000" w:rsidRDefault="009B6C69">
      <w:pPr>
        <w:ind w:firstLine="360"/>
        <w:divId w:val="2106489064"/>
        <w:rPr>
          <w:rFonts w:eastAsia="Times New Roman"/>
        </w:rPr>
      </w:pPr>
      <w:r>
        <w:rPr>
          <w:rFonts w:eastAsia="Times New Roman"/>
          <w:color w:val="000000"/>
          <w:sz w:val="20"/>
          <w:szCs w:val="20"/>
        </w:rPr>
        <w:t>Heather Ace, age 52, has served a</w:t>
      </w:r>
      <w:r>
        <w:rPr>
          <w:rFonts w:eastAsia="Times New Roman"/>
          <w:color w:val="000000"/>
          <w:sz w:val="20"/>
          <w:szCs w:val="20"/>
        </w:rPr>
        <w:t>s Chief Human Resources Officer since March 2020. Prior to joining Qualcomm, Ms. Ace was Senior Vice President, Human Resources at DexCom, Inc., a provider of continuous glucose monitoring, from July 2016 to March 2020. Prior to DexCom, she was Executive V</w:t>
      </w:r>
      <w:r>
        <w:rPr>
          <w:rFonts w:eastAsia="Times New Roman"/>
          <w:color w:val="000000"/>
          <w:sz w:val="20"/>
          <w:szCs w:val="20"/>
        </w:rPr>
        <w:t>ice President, Human Resources at Orexigen Therapeutics, Inc., a developer of treatments for obesity, from January 2016 to July 2016. Ms. Ace was Integration Leader for Royal Philips, leading the cross-functional integration of Philips Healthcare’s acquisi</w:t>
      </w:r>
      <w:r>
        <w:rPr>
          <w:rFonts w:eastAsia="Times New Roman"/>
          <w:color w:val="000000"/>
          <w:sz w:val="20"/>
          <w:szCs w:val="20"/>
        </w:rPr>
        <w:t xml:space="preserve">tion of Volcano Corporation, from January 2015 to January 2016. She was Executive Vice President, Human Resources at Volcano Corporation from May 2012 to January 2015. Prior to May 2012, Ms. Ace served in various senior executive roles in human resources, </w:t>
      </w:r>
      <w:r>
        <w:rPr>
          <w:rFonts w:eastAsia="Times New Roman"/>
          <w:color w:val="000000"/>
          <w:sz w:val="20"/>
          <w:szCs w:val="20"/>
        </w:rPr>
        <w:t>post-acquisition/merger integration and employment law at Life Technologies Corporation. She began her career at Gray, Cary, Ware &amp; Freidenrich (now DLA Piper) as a litigation and transactional employment attorney, specializing in mergers and acquisitions.</w:t>
      </w:r>
      <w:r>
        <w:rPr>
          <w:rFonts w:eastAsia="Times New Roman"/>
          <w:color w:val="000000"/>
          <w:sz w:val="20"/>
          <w:szCs w:val="20"/>
        </w:rPr>
        <w:t xml:space="preserve"> Ms. Ace holds a B.A. in Law &amp; Society from the University of California, Santa Barbara and a J.D. from Santa Clara School of Law.</w:t>
      </w:r>
    </w:p>
    <w:p w14:paraId="19DF17C5" w14:textId="77777777" w:rsidR="00000000" w:rsidRDefault="009B6C69">
      <w:pPr>
        <w:ind w:firstLine="360"/>
        <w:divId w:val="2071952639"/>
        <w:rPr>
          <w:rFonts w:eastAsia="Times New Roman"/>
        </w:rPr>
      </w:pPr>
      <w:r>
        <w:rPr>
          <w:rFonts w:eastAsia="Times New Roman"/>
          <w:color w:val="000000"/>
          <w:sz w:val="20"/>
          <w:szCs w:val="20"/>
        </w:rPr>
        <w:t>James J. Cathey, age 58, has served as Chief Commercial Officer, QTI since April 2022. Mr. Cathey served as Senior Vice Presi</w:t>
      </w:r>
      <w:r>
        <w:rPr>
          <w:rFonts w:eastAsia="Times New Roman"/>
          <w:color w:val="000000"/>
          <w:sz w:val="20"/>
          <w:szCs w:val="20"/>
        </w:rPr>
        <w:t>dent, Global Business Operations, QTI from December 2018 to April 2022, Senior Vice President, QTI and President, APAC and India from May 2016 to December 2018, Vice President, QTI and President, APAC and India from December 2015 to May 2016 and Vice Presi</w:t>
      </w:r>
      <w:r>
        <w:rPr>
          <w:rFonts w:eastAsia="Times New Roman"/>
          <w:color w:val="000000"/>
          <w:sz w:val="20"/>
          <w:szCs w:val="20"/>
        </w:rPr>
        <w:t>dent, QTI and President, Qualcomm Japan from December 2014 to December 2015. He served in various other operational and leadership roles since joining Qualcomm in September 2006. Prior to joining Qualcomm, he was an executive at Micron Technology, Inc., Mi</w:t>
      </w:r>
      <w:r>
        <w:rPr>
          <w:rFonts w:eastAsia="Times New Roman"/>
          <w:color w:val="000000"/>
          <w:sz w:val="20"/>
          <w:szCs w:val="20"/>
        </w:rPr>
        <w:t>croDisplay Corp. and PixTech Inc. Mr. Cathey holds a B.B.A. from Boise State University.</w:t>
      </w:r>
    </w:p>
    <w:p w14:paraId="1E9F995D" w14:textId="77777777" w:rsidR="00000000" w:rsidRDefault="009B6C69">
      <w:pPr>
        <w:ind w:firstLine="360"/>
        <w:divId w:val="1910311510"/>
        <w:rPr>
          <w:rFonts w:eastAsia="Times New Roman"/>
        </w:rPr>
      </w:pPr>
      <w:r>
        <w:rPr>
          <w:rFonts w:eastAsia="Times New Roman"/>
          <w:color w:val="000000"/>
          <w:sz w:val="20"/>
          <w:szCs w:val="20"/>
        </w:rPr>
        <w:t>Ann Chaplin, age 49, has served as General Counsel and Corporate Secretary since November 2021. Prior to joining Qualcomm, Ms. Chaplin served at General Motors Company</w:t>
      </w:r>
      <w:r>
        <w:rPr>
          <w:rFonts w:eastAsia="Times New Roman"/>
          <w:color w:val="000000"/>
          <w:sz w:val="20"/>
          <w:szCs w:val="20"/>
        </w:rPr>
        <w:t xml:space="preserve"> as Corporate Secretary and Deputy General Counsel, U.S., Transformation Initiatives and Corporate Securities from February 2021 to November 2021, Deputy General Counsel and Chief Compliance Officer, North America, Transformation Projects and Compliance fr</w:t>
      </w:r>
      <w:r>
        <w:rPr>
          <w:rFonts w:eastAsia="Times New Roman"/>
          <w:color w:val="000000"/>
          <w:sz w:val="20"/>
          <w:szCs w:val="20"/>
        </w:rPr>
        <w:t>om April 2019 to February 2021, Deputy General Counsel, Commercial, Transportation as a Service, Litigation and Regulation from January 2018 to April 2019, Deputy General Counsel, Intellectual Property, Regulation and Litigation from June 2017 to January 2</w:t>
      </w:r>
      <w:r>
        <w:rPr>
          <w:rFonts w:eastAsia="Times New Roman"/>
          <w:color w:val="000000"/>
          <w:sz w:val="20"/>
          <w:szCs w:val="20"/>
        </w:rPr>
        <w:t>018 and Deputy General Counsel, Litigation from December 2015 to June 2017. Prior to General Motors, Ms. Chaplin was an attorney at Fish &amp; Richardson P.C. from February 2001 to December 2015, last holding the position of Litigation Practice Group Leader/Li</w:t>
      </w:r>
      <w:r>
        <w:rPr>
          <w:rFonts w:eastAsia="Times New Roman"/>
          <w:color w:val="000000"/>
          <w:sz w:val="20"/>
          <w:szCs w:val="20"/>
        </w:rPr>
        <w:t>tigation Equity Principal. She began her career as an intellectual property litigation associate at the law firm of Robins, Kaplan, Miller &amp; Ciresi LLP. Ms. Chaplin holds a B.A in Sociology of Law from the University of Minnesota and a J.D. from Harvard La</w:t>
      </w:r>
      <w:r>
        <w:rPr>
          <w:rFonts w:eastAsia="Times New Roman"/>
          <w:color w:val="000000"/>
          <w:sz w:val="20"/>
          <w:szCs w:val="20"/>
        </w:rPr>
        <w:t xml:space="preserve">w School. </w:t>
      </w:r>
    </w:p>
    <w:p w14:paraId="6BCB527C" w14:textId="77777777" w:rsidR="00000000" w:rsidRDefault="009B6C69">
      <w:pPr>
        <w:ind w:firstLine="360"/>
        <w:divId w:val="244459155"/>
        <w:rPr>
          <w:rFonts w:eastAsia="Times New Roman"/>
        </w:rPr>
      </w:pPr>
      <w:r>
        <w:rPr>
          <w:rFonts w:eastAsia="Times New Roman"/>
          <w:color w:val="000000"/>
          <w:sz w:val="20"/>
          <w:szCs w:val="20"/>
        </w:rPr>
        <w:t>Akash Palkhiwala, age 47, has served as Chief Financial Officer since November 2019. Mr. Palkhiwala served as Senior Vice President and Interim Chief Financial Officer from August 2019 to November 2019. He served as Senior Vice President, QCT Fi</w:t>
      </w:r>
      <w:r>
        <w:rPr>
          <w:rFonts w:eastAsia="Times New Roman"/>
          <w:color w:val="000000"/>
          <w:sz w:val="20"/>
          <w:szCs w:val="20"/>
        </w:rPr>
        <w:t>nance, QTI from December 2015 to August 2019 and Senior Vice President and Treasurer from October 2014 to December 2015. Mr. Palkhiwala served in various other finance and leadership roles since joining Qualcomm in March 2001. Prior to joining Qualcomm, he</w:t>
      </w:r>
      <w:r>
        <w:rPr>
          <w:rFonts w:eastAsia="Times New Roman"/>
          <w:color w:val="000000"/>
          <w:sz w:val="20"/>
          <w:szCs w:val="20"/>
        </w:rPr>
        <w:t xml:space="preserve"> was an Analyst at KeyBank. Mr. Palkhiwala holds an undergraduate degree in Mechanical Engineering from L.D. College of Engineering in India and an M.B.A from the University of Maryland.</w:t>
      </w:r>
    </w:p>
    <w:p w14:paraId="722846BF" w14:textId="77777777" w:rsidR="00000000" w:rsidRDefault="009B6C69">
      <w:pPr>
        <w:ind w:firstLine="360"/>
        <w:divId w:val="2068066243"/>
        <w:rPr>
          <w:rFonts w:eastAsia="Times New Roman"/>
        </w:rPr>
      </w:pPr>
      <w:r>
        <w:rPr>
          <w:rFonts w:eastAsia="Times New Roman"/>
          <w:color w:val="000000"/>
          <w:sz w:val="20"/>
          <w:szCs w:val="20"/>
        </w:rPr>
        <w:t xml:space="preserve">Alexander H. Rogers, age 65, has served as President, QTL and Global </w:t>
      </w:r>
      <w:r>
        <w:rPr>
          <w:rFonts w:eastAsia="Times New Roman"/>
          <w:color w:val="000000"/>
          <w:sz w:val="20"/>
          <w:szCs w:val="20"/>
        </w:rPr>
        <w:t>Affairs since June 2021. Mr. Rogers served as President, QTL from October 2016 to June 2021, Senior Vice President and President, QTL from September 2016 to October 2016, Senior Vice President, Deputy General Counsel and General Manager, QTL from March 201</w:t>
      </w:r>
      <w:r>
        <w:rPr>
          <w:rFonts w:eastAsia="Times New Roman"/>
          <w:color w:val="000000"/>
          <w:sz w:val="20"/>
          <w:szCs w:val="20"/>
        </w:rPr>
        <w:t xml:space="preserve">6 to September 2016, Senior Vice President and Deputy General Counsel from October 2015 to March 2016 and Senior Vice President and Legal Counsel from April 2007 to October 2015. Prior to QTL, he led Qualcomm’s litigation group. Mr. Rogers joined Qualcomm </w:t>
      </w:r>
      <w:r>
        <w:rPr>
          <w:rFonts w:eastAsia="Times New Roman"/>
          <w:color w:val="000000"/>
          <w:sz w:val="20"/>
          <w:szCs w:val="20"/>
        </w:rPr>
        <w:t>in January 2001 as an attorney. Prior to joining Qualcomm, he was a partner at the law firm of Gray, Cary, Ware &amp; Freidenrich (now DLA Piper), specializing in intellectual property and commercial litigation. Mr. Rogers holds a B.A. and an M.A. in English L</w:t>
      </w:r>
      <w:r>
        <w:rPr>
          <w:rFonts w:eastAsia="Times New Roman"/>
          <w:color w:val="000000"/>
          <w:sz w:val="20"/>
          <w:szCs w:val="20"/>
        </w:rPr>
        <w:t>iterature from Georgetown University and a J.D. from Georgetown University Law Center.</w:t>
      </w:r>
    </w:p>
    <w:p w14:paraId="0E2EF637" w14:textId="77777777" w:rsidR="00000000" w:rsidRDefault="009B6C69">
      <w:pPr>
        <w:ind w:firstLine="360"/>
        <w:divId w:val="1837458163"/>
        <w:rPr>
          <w:rFonts w:eastAsia="Times New Roman"/>
        </w:rPr>
      </w:pPr>
      <w:r>
        <w:rPr>
          <w:rFonts w:eastAsia="Times New Roman"/>
          <w:color w:val="000000"/>
          <w:sz w:val="20"/>
          <w:szCs w:val="20"/>
        </w:rPr>
        <w:t>James H. Thompson, age 58, has served as Chief Technology Officer, QTI since March 2017. Dr. Thompson served as Executive Vice President, Engineering, QTI from October 2012 to March 2017 and Senior Vice President, Engineering from July 1998 to October 2012</w:t>
      </w:r>
      <w:r>
        <w:rPr>
          <w:rFonts w:eastAsia="Times New Roman"/>
          <w:color w:val="000000"/>
          <w:sz w:val="20"/>
          <w:szCs w:val="20"/>
        </w:rPr>
        <w:t>. He joined Qualcomm in 1992 as a senior engineer and throughout his tenure at Qualcomm has held several other technical and leadership positions. Dr. Thompson holds a B.S., an M.S. and a Ph.D. in Electrical Engineering from the University of Wisconsin.</w:t>
      </w:r>
    </w:p>
    <w:p w14:paraId="3AA853F4" w14:textId="77777777" w:rsidR="00000000" w:rsidRDefault="009B6C69">
      <w:pPr>
        <w:jc w:val="center"/>
        <w:divId w:val="971640223"/>
        <w:rPr>
          <w:rFonts w:eastAsia="Times New Roman"/>
        </w:rPr>
      </w:pPr>
      <w:r>
        <w:rPr>
          <w:rFonts w:eastAsia="Times New Roman"/>
          <w:color w:val="000000"/>
          <w:sz w:val="20"/>
          <w:szCs w:val="20"/>
        </w:rPr>
        <w:t>18</w:t>
      </w:r>
    </w:p>
    <w:p w14:paraId="66A9856A" w14:textId="77777777" w:rsidR="00000000" w:rsidRDefault="009B6C69">
      <w:pPr>
        <w:rPr>
          <w:rFonts w:eastAsia="Times New Roman"/>
        </w:rPr>
      </w:pPr>
      <w:r>
        <w:rPr>
          <w:rFonts w:eastAsia="Times New Roman"/>
        </w:rPr>
        <w:pict w14:anchorId="035AAFF5">
          <v:rect id="_x0000_i1041" style="width:0;height:1.5pt" o:hralign="center" o:hrstd="t" o:hr="t" fillcolor="#a0a0a0" stroked="f"/>
        </w:pict>
      </w:r>
    </w:p>
    <w:p w14:paraId="1070222E" w14:textId="77777777" w:rsidR="00000000" w:rsidRDefault="009B6C69">
      <w:pPr>
        <w:divId w:val="1223322854"/>
        <w:rPr>
          <w:rFonts w:eastAsia="Times New Roman"/>
        </w:rPr>
      </w:pPr>
    </w:p>
    <w:p w14:paraId="38DBFD0D" w14:textId="77777777" w:rsidR="00000000" w:rsidRDefault="009B6C69">
      <w:pPr>
        <w:divId w:val="737870902"/>
        <w:rPr>
          <w:rFonts w:eastAsia="Times New Roman"/>
        </w:rPr>
      </w:pPr>
      <w:r>
        <w:rPr>
          <w:rFonts w:eastAsia="Times New Roman"/>
          <w:b/>
          <w:bCs/>
          <w:color w:val="000000"/>
          <w:sz w:val="20"/>
          <w:szCs w:val="20"/>
        </w:rPr>
        <w:t>Item 1A. Risk Factors</w:t>
      </w:r>
    </w:p>
    <w:p w14:paraId="6A87BA5B" w14:textId="77777777" w:rsidR="00000000" w:rsidRDefault="009B6C69">
      <w:pPr>
        <w:ind w:firstLine="360"/>
        <w:divId w:val="313067496"/>
        <w:rPr>
          <w:rFonts w:eastAsia="Times New Roman"/>
        </w:rPr>
      </w:pPr>
      <w:r>
        <w:rPr>
          <w:rFonts w:eastAsia="Times New Roman"/>
          <w:color w:val="000000"/>
          <w:sz w:val="20"/>
          <w:szCs w:val="20"/>
        </w:rPr>
        <w:t>You should consider each of the following factors in evaluating our business and our prospects, any of which could negatively impact our business, results of operations, cash flows and financial</w:t>
      </w:r>
      <w:r>
        <w:rPr>
          <w:rFonts w:eastAsia="Times New Roman"/>
          <w:color w:val="000000"/>
          <w:sz w:val="20"/>
          <w:szCs w:val="20"/>
        </w:rPr>
        <w:t xml:space="preserve"> condition, and require significant management time and attention. Further, the risks and uncertainties described below are not the only ones we face. Additional risks and uncertainties not presently known to us or that we currently consider immaterial may</w:t>
      </w:r>
      <w:r>
        <w:rPr>
          <w:rFonts w:eastAsia="Times New Roman"/>
          <w:color w:val="000000"/>
          <w:sz w:val="20"/>
          <w:szCs w:val="20"/>
        </w:rPr>
        <w:t xml:space="preserve"> also negatively impact our business, results of operations, cash flows and financial condition, and require significant management time and attention. In such cases, the trading price of our common stock could decline. You should also consider the other i</w:t>
      </w:r>
      <w:r>
        <w:rPr>
          <w:rFonts w:eastAsia="Times New Roman"/>
          <w:color w:val="000000"/>
          <w:sz w:val="20"/>
          <w:szCs w:val="20"/>
        </w:rPr>
        <w:t>nformation set forth in this Annual Report in evaluating our business and our prospects, including but not limited to our financial statements and the related notes, and “Part II, Item 7. Management’s Discussion and Analysis of Financial Condition and Resu</w:t>
      </w:r>
      <w:r>
        <w:rPr>
          <w:rFonts w:eastAsia="Times New Roman"/>
          <w:color w:val="000000"/>
          <w:sz w:val="20"/>
          <w:szCs w:val="20"/>
        </w:rPr>
        <w:t>lts of Operations.” References to “and,” “or” and “and/or” should be read to include the others, as appropriate.</w:t>
      </w:r>
    </w:p>
    <w:p w14:paraId="74051EB4" w14:textId="77777777" w:rsidR="00000000" w:rsidRDefault="009B6C69">
      <w:pPr>
        <w:divId w:val="1198473151"/>
        <w:rPr>
          <w:rFonts w:eastAsia="Times New Roman"/>
        </w:rPr>
      </w:pPr>
      <w:r>
        <w:rPr>
          <w:rFonts w:eastAsia="Times New Roman"/>
          <w:b/>
          <w:bCs/>
          <w:color w:val="000000"/>
          <w:sz w:val="20"/>
          <w:szCs w:val="20"/>
        </w:rPr>
        <w:t>RISKS RELATED TO OUR OPERATING BUSINESSES</w:t>
      </w:r>
    </w:p>
    <w:p w14:paraId="0377E3F1" w14:textId="77777777" w:rsidR="00000000" w:rsidRDefault="009B6C69">
      <w:pPr>
        <w:divId w:val="197090541"/>
        <w:rPr>
          <w:rFonts w:eastAsia="Times New Roman"/>
        </w:rPr>
      </w:pPr>
      <w:r>
        <w:rPr>
          <w:rFonts w:eastAsia="Times New Roman"/>
          <w:b/>
          <w:bCs/>
          <w:i/>
          <w:iCs/>
          <w:color w:val="000000"/>
          <w:sz w:val="20"/>
          <w:szCs w:val="20"/>
        </w:rPr>
        <w:t>We derive a significant portion of our revenues from a small number of customers and licensees, and p</w:t>
      </w:r>
      <w:r>
        <w:rPr>
          <w:rFonts w:eastAsia="Times New Roman"/>
          <w:b/>
          <w:bCs/>
          <w:i/>
          <w:iCs/>
          <w:color w:val="000000"/>
          <w:sz w:val="20"/>
          <w:szCs w:val="20"/>
        </w:rPr>
        <w:t>articularly from their sale of premium tier devices. If revenues derived from these customers or licensees decrease or the timing of such revenues fluctuates, our business and results of operations could be negatively affected.</w:t>
      </w:r>
    </w:p>
    <w:p w14:paraId="29705477" w14:textId="77777777" w:rsidR="00000000" w:rsidRDefault="009B6C69">
      <w:pPr>
        <w:ind w:firstLine="360"/>
        <w:divId w:val="299000494"/>
        <w:rPr>
          <w:rFonts w:eastAsia="Times New Roman"/>
        </w:rPr>
      </w:pPr>
      <w:r>
        <w:rPr>
          <w:rFonts w:eastAsia="Times New Roman"/>
          <w:color w:val="000000"/>
          <w:sz w:val="20"/>
          <w:szCs w:val="20"/>
        </w:rPr>
        <w:t>We derive a significant port</w:t>
      </w:r>
      <w:r>
        <w:rPr>
          <w:rFonts w:eastAsia="Times New Roman"/>
          <w:color w:val="000000"/>
          <w:sz w:val="20"/>
          <w:szCs w:val="20"/>
        </w:rPr>
        <w:t>ion of our revenues from a small number of customers and licensees, and particularly from their sale of premium tier devices, and we expect this trend to continue in the foreseeable future. Our industry is experiencing and may continue to experience concen</w:t>
      </w:r>
      <w:r>
        <w:rPr>
          <w:rFonts w:eastAsia="Times New Roman"/>
          <w:color w:val="000000"/>
          <w:sz w:val="20"/>
          <w:szCs w:val="20"/>
        </w:rPr>
        <w:t xml:space="preserve">tration of device share among a few companies, particularly at the premium tier, contributing to this trend. Certain Chinese OEMs continue to grow their device share in China and are increasing their device share in regions outside of China, and we derive </w:t>
      </w:r>
      <w:r>
        <w:rPr>
          <w:rFonts w:eastAsia="Times New Roman"/>
          <w:color w:val="000000"/>
          <w:sz w:val="20"/>
          <w:szCs w:val="20"/>
        </w:rPr>
        <w:t xml:space="preserve">a significant portion of our revenues from a small number of these OEMs as well. See also “Notes to Consolidated Financial Statements, Note 1. Significant Accounting Policies - Concentrations.” </w:t>
      </w:r>
    </w:p>
    <w:p w14:paraId="556530BF" w14:textId="77777777" w:rsidR="00000000" w:rsidRDefault="009B6C69">
      <w:pPr>
        <w:ind w:firstLine="360"/>
        <w:divId w:val="1175539266"/>
        <w:rPr>
          <w:rFonts w:eastAsia="Times New Roman"/>
        </w:rPr>
      </w:pPr>
      <w:r>
        <w:rPr>
          <w:rFonts w:eastAsia="Times New Roman"/>
          <w:color w:val="000000"/>
          <w:sz w:val="20"/>
          <w:szCs w:val="20"/>
        </w:rPr>
        <w:t>In addition, a number of our largest integrated circuit custo</w:t>
      </w:r>
      <w:r>
        <w:rPr>
          <w:rFonts w:eastAsia="Times New Roman"/>
          <w:color w:val="000000"/>
          <w:sz w:val="20"/>
          <w:szCs w:val="20"/>
        </w:rPr>
        <w:t>mers have developed, are developing or may develop their own integrated circuit products, or may choose our competitors’ integrated circuit products, which they have in the past utilized, currently utilize and may in the future utilize in some or all of th</w:t>
      </w:r>
      <w:r>
        <w:rPr>
          <w:rFonts w:eastAsia="Times New Roman"/>
          <w:color w:val="000000"/>
          <w:sz w:val="20"/>
          <w:szCs w:val="20"/>
        </w:rPr>
        <w:t>eir devices, rather than our products, which could significantly reduce the revenues we derive from these customers. See also the Risk Factor titled “</w:t>
      </w:r>
      <w:r>
        <w:rPr>
          <w:rFonts w:eastAsia="Times New Roman"/>
          <w:i/>
          <w:iCs/>
          <w:color w:val="000000"/>
          <w:sz w:val="20"/>
          <w:szCs w:val="20"/>
        </w:rPr>
        <w:t xml:space="preserve">Our business, particularly our semiconductor business, may suffer as a result of our customers vertically </w:t>
      </w:r>
      <w:r>
        <w:rPr>
          <w:rFonts w:eastAsia="Times New Roman"/>
          <w:i/>
          <w:iCs/>
          <w:color w:val="000000"/>
          <w:sz w:val="20"/>
          <w:szCs w:val="20"/>
        </w:rPr>
        <w:t>integrating (i.e., developing their own integrated circuit products)</w:t>
      </w:r>
      <w:r>
        <w:rPr>
          <w:rFonts w:eastAsia="Times New Roman"/>
          <w:color w:val="000000"/>
          <w:sz w:val="20"/>
          <w:szCs w:val="20"/>
        </w:rPr>
        <w:t>.”</w:t>
      </w:r>
    </w:p>
    <w:p w14:paraId="260BEF39" w14:textId="77777777" w:rsidR="00000000" w:rsidRDefault="009B6C69">
      <w:pPr>
        <w:ind w:firstLine="360"/>
        <w:divId w:val="1221406850"/>
        <w:rPr>
          <w:rFonts w:eastAsia="Times New Roman"/>
        </w:rPr>
      </w:pPr>
      <w:r>
        <w:rPr>
          <w:rFonts w:eastAsia="Times New Roman"/>
          <w:color w:val="000000"/>
          <w:sz w:val="20"/>
          <w:szCs w:val="20"/>
        </w:rPr>
        <w:t>Further, political actions, including trade and/or national security protection policies, or other actions by governments, particularly the U.S. and Chinese governments, have in the pas</w:t>
      </w:r>
      <w:r>
        <w:rPr>
          <w:rFonts w:eastAsia="Times New Roman"/>
          <w:color w:val="000000"/>
          <w:sz w:val="20"/>
          <w:szCs w:val="20"/>
        </w:rPr>
        <w:t>t, currently are and could in the future limit or prevent us from transacting business with certain of our customers, limit, prevent or discourage those customers from transacting business with us, or make it more expensive to do so, any of which could als</w:t>
      </w:r>
      <w:r>
        <w:rPr>
          <w:rFonts w:eastAsia="Times New Roman"/>
          <w:color w:val="000000"/>
          <w:sz w:val="20"/>
          <w:szCs w:val="20"/>
        </w:rPr>
        <w:t>o significantly reduce the revenues we derive from these customers. See also the Risk Factor titled “</w:t>
      </w:r>
      <w:r>
        <w:rPr>
          <w:rFonts w:eastAsia="Times New Roman"/>
          <w:i/>
          <w:iCs/>
          <w:color w:val="000000"/>
          <w:sz w:val="20"/>
          <w:szCs w:val="20"/>
        </w:rPr>
        <w:t>A significant portion of our business is concentrated in China, and the risks of such concentration are exacerbated by U.S./China trade and national securi</w:t>
      </w:r>
      <w:r>
        <w:rPr>
          <w:rFonts w:eastAsia="Times New Roman"/>
          <w:i/>
          <w:iCs/>
          <w:color w:val="000000"/>
          <w:sz w:val="20"/>
          <w:szCs w:val="20"/>
        </w:rPr>
        <w:t>ty tensions</w:t>
      </w:r>
      <w:r>
        <w:rPr>
          <w:rFonts w:eastAsia="Times New Roman"/>
          <w:color w:val="000000"/>
          <w:sz w:val="20"/>
          <w:szCs w:val="20"/>
        </w:rPr>
        <w:t>.”</w:t>
      </w:r>
    </w:p>
    <w:p w14:paraId="32E51D66" w14:textId="77777777" w:rsidR="00000000" w:rsidRDefault="009B6C69">
      <w:pPr>
        <w:ind w:firstLine="360"/>
        <w:divId w:val="85618394"/>
        <w:rPr>
          <w:rFonts w:eastAsia="Times New Roman"/>
        </w:rPr>
      </w:pPr>
      <w:r>
        <w:rPr>
          <w:rFonts w:eastAsia="Times New Roman"/>
          <w:color w:val="000000"/>
          <w:sz w:val="20"/>
          <w:szCs w:val="20"/>
        </w:rPr>
        <w:t>In addition, we spend a significant amount of engineering and development time, funds and resources in understanding our key customers’ feedback and/or specifications and attempt to incorporate such input into our product launches and technol</w:t>
      </w:r>
      <w:r>
        <w:rPr>
          <w:rFonts w:eastAsia="Times New Roman"/>
          <w:color w:val="000000"/>
          <w:sz w:val="20"/>
          <w:szCs w:val="20"/>
        </w:rPr>
        <w:t xml:space="preserve">ogies. These efforts may not require or result in purchase commitments from such customers or we may have lower purchases from such customers than expected, and consequently, we may not achieve the anticipated revenues from these efforts, or these efforts </w:t>
      </w:r>
      <w:r>
        <w:rPr>
          <w:rFonts w:eastAsia="Times New Roman"/>
          <w:color w:val="000000"/>
          <w:sz w:val="20"/>
          <w:szCs w:val="20"/>
        </w:rPr>
        <w:t>may result in non-recoverable costs.</w:t>
      </w:r>
    </w:p>
    <w:p w14:paraId="1AA594AB" w14:textId="77777777" w:rsidR="00000000" w:rsidRDefault="009B6C69">
      <w:pPr>
        <w:ind w:firstLine="360"/>
        <w:divId w:val="973218895"/>
        <w:rPr>
          <w:rFonts w:eastAsia="Times New Roman"/>
        </w:rPr>
      </w:pPr>
      <w:r>
        <w:rPr>
          <w:rFonts w:eastAsia="Times New Roman"/>
          <w:color w:val="000000"/>
          <w:sz w:val="20"/>
          <w:szCs w:val="20"/>
        </w:rPr>
        <w:t xml:space="preserve">The loss of any one of our significant customers, a reduction in the purchases of our products by any of these customers or the cancellation of significant purchases by any of these customers, whether due to the use of </w:t>
      </w:r>
      <w:r>
        <w:rPr>
          <w:rFonts w:eastAsia="Times New Roman"/>
          <w:color w:val="000000"/>
          <w:sz w:val="20"/>
          <w:szCs w:val="20"/>
        </w:rPr>
        <w:t>their own integrated circuit products or our competitors’ integrated circuit products, government restrictions, a decline in global, regional or local economic conditions, a decline in consumer demand, elevated inventory levels at our customers or otherwis</w:t>
      </w:r>
      <w:r>
        <w:rPr>
          <w:rFonts w:eastAsia="Times New Roman"/>
          <w:color w:val="000000"/>
          <w:sz w:val="20"/>
          <w:szCs w:val="20"/>
        </w:rPr>
        <w:t>e, would reduce our revenues and could harm our ability to achieve or sustain expected results of operations. A delay of significant purchases, even if only temporary, would reduce our revenues in the period of the delay. Any such reduction in revenues wou</w:t>
      </w:r>
      <w:r>
        <w:rPr>
          <w:rFonts w:eastAsia="Times New Roman"/>
          <w:color w:val="000000"/>
          <w:sz w:val="20"/>
          <w:szCs w:val="20"/>
        </w:rPr>
        <w:t xml:space="preserve">ld also impact our cash resources available for other purposes, such as research and development. </w:t>
      </w:r>
    </w:p>
    <w:p w14:paraId="5D4529F4" w14:textId="77777777" w:rsidR="00000000" w:rsidRDefault="009B6C69">
      <w:pPr>
        <w:ind w:firstLine="360"/>
        <w:divId w:val="1966932516"/>
        <w:rPr>
          <w:rFonts w:eastAsia="Times New Roman"/>
        </w:rPr>
      </w:pPr>
      <w:r>
        <w:rPr>
          <w:rFonts w:eastAsia="Times New Roman"/>
          <w:color w:val="000000"/>
          <w:sz w:val="20"/>
          <w:szCs w:val="20"/>
        </w:rPr>
        <w:t>Further, the concentration of device share among a few companies, and the corresponding purchasing power of these companies, may result in lower prices for o</w:t>
      </w:r>
      <w:r>
        <w:rPr>
          <w:rFonts w:eastAsia="Times New Roman"/>
          <w:color w:val="000000"/>
          <w:sz w:val="20"/>
          <w:szCs w:val="20"/>
        </w:rPr>
        <w:t xml:space="preserve">ur products which, if not accompanied by a sufficient increase in the volume of purchases of our products, could have an adverse effect on our revenues and margins. In addition, the timing and size of purchases by our significant customers may be impacted </w:t>
      </w:r>
      <w:r>
        <w:rPr>
          <w:rFonts w:eastAsia="Times New Roman"/>
          <w:color w:val="000000"/>
          <w:sz w:val="20"/>
          <w:szCs w:val="20"/>
        </w:rPr>
        <w:t xml:space="preserve">by the timing of such customers’ new or next generation product introductions, over which we have no control, and the timing and success of such introductions may cause our revenues and results of operations to fluctuate. </w:t>
      </w:r>
    </w:p>
    <w:p w14:paraId="41675A92" w14:textId="77777777" w:rsidR="00000000" w:rsidRDefault="009B6C69">
      <w:pPr>
        <w:ind w:firstLine="360"/>
        <w:divId w:val="366372509"/>
        <w:rPr>
          <w:rFonts w:eastAsia="Times New Roman"/>
        </w:rPr>
      </w:pPr>
      <w:r>
        <w:rPr>
          <w:rFonts w:eastAsia="Times New Roman"/>
          <w:color w:val="000000"/>
          <w:sz w:val="20"/>
          <w:szCs w:val="20"/>
        </w:rPr>
        <w:t>Apple purchases our MDM (or thin modem) products, which do not include our integrated application processor technology, and which have lower revenue and margin contributions than our combined modem and application processor products. Consequently, to the e</w:t>
      </w:r>
      <w:r>
        <w:rPr>
          <w:rFonts w:eastAsia="Times New Roman"/>
          <w:color w:val="000000"/>
          <w:sz w:val="20"/>
          <w:szCs w:val="20"/>
        </w:rPr>
        <w:t>xtent Apple takes device share from our customers who purchase our integrated modem and application processor products, our revenues and margins may be negatively impacted.</w:t>
      </w:r>
    </w:p>
    <w:p w14:paraId="350A6037" w14:textId="77777777" w:rsidR="00000000" w:rsidRDefault="009B6C69">
      <w:pPr>
        <w:ind w:firstLine="360"/>
        <w:divId w:val="786581601"/>
        <w:rPr>
          <w:rFonts w:eastAsia="Times New Roman"/>
        </w:rPr>
      </w:pPr>
      <w:r>
        <w:rPr>
          <w:rFonts w:eastAsia="Times New Roman"/>
          <w:color w:val="000000"/>
          <w:sz w:val="20"/>
          <w:szCs w:val="20"/>
        </w:rPr>
        <w:t>Our industry has also experienced slowing growth in the premium-tier device segment</w:t>
      </w:r>
      <w:r>
        <w:rPr>
          <w:rFonts w:eastAsia="Times New Roman"/>
          <w:color w:val="000000"/>
          <w:sz w:val="20"/>
          <w:szCs w:val="20"/>
        </w:rPr>
        <w:t xml:space="preserve"> due to, among other factors, a maturing premium-tier smartphone industry in which demand is increasingly driven by new product launches and innovation cycles. A reduction in sales of premium-tier devices, a reduction in sales of our premium-tier integrate</w:t>
      </w:r>
      <w:r>
        <w:rPr>
          <w:rFonts w:eastAsia="Times New Roman"/>
          <w:color w:val="000000"/>
          <w:sz w:val="20"/>
          <w:szCs w:val="20"/>
        </w:rPr>
        <w:t xml:space="preserve">d circuit products (which have a higher revenue and margin contribution than our lower-tier integrated circuit products), or a shift in share away </w:t>
      </w:r>
    </w:p>
    <w:p w14:paraId="6A19FB44" w14:textId="77777777" w:rsidR="00000000" w:rsidRDefault="009B6C69">
      <w:pPr>
        <w:jc w:val="center"/>
        <w:divId w:val="1092899409"/>
        <w:rPr>
          <w:rFonts w:eastAsia="Times New Roman"/>
        </w:rPr>
      </w:pPr>
      <w:r>
        <w:rPr>
          <w:rFonts w:eastAsia="Times New Roman"/>
          <w:color w:val="000000"/>
          <w:sz w:val="20"/>
          <w:szCs w:val="20"/>
        </w:rPr>
        <w:t>19</w:t>
      </w:r>
    </w:p>
    <w:p w14:paraId="01C93F04" w14:textId="77777777" w:rsidR="00000000" w:rsidRDefault="009B6C69">
      <w:pPr>
        <w:rPr>
          <w:rFonts w:eastAsia="Times New Roman"/>
        </w:rPr>
      </w:pPr>
      <w:r>
        <w:rPr>
          <w:rFonts w:eastAsia="Times New Roman"/>
        </w:rPr>
        <w:pict w14:anchorId="491D074C">
          <v:rect id="_x0000_i1042" style="width:0;height:1.5pt" o:hralign="center" o:hrstd="t" o:hr="t" fillcolor="#a0a0a0" stroked="f"/>
        </w:pict>
      </w:r>
    </w:p>
    <w:p w14:paraId="208331BB" w14:textId="77777777" w:rsidR="00000000" w:rsidRDefault="009B6C69">
      <w:pPr>
        <w:divId w:val="1990816413"/>
        <w:rPr>
          <w:rFonts w:eastAsia="Times New Roman"/>
        </w:rPr>
      </w:pPr>
    </w:p>
    <w:p w14:paraId="64178C08" w14:textId="77777777" w:rsidR="00000000" w:rsidRDefault="009B6C69">
      <w:pPr>
        <w:divId w:val="41178400"/>
        <w:rPr>
          <w:rFonts w:eastAsia="Times New Roman"/>
        </w:rPr>
      </w:pPr>
      <w:r>
        <w:rPr>
          <w:rFonts w:eastAsia="Times New Roman"/>
          <w:color w:val="000000"/>
          <w:sz w:val="20"/>
          <w:szCs w:val="20"/>
        </w:rPr>
        <w:t>from OEMs that utilize our premium-tier products, would reduce our</w:t>
      </w:r>
      <w:r>
        <w:rPr>
          <w:rFonts w:eastAsia="Times New Roman"/>
          <w:color w:val="000000"/>
          <w:sz w:val="20"/>
          <w:szCs w:val="20"/>
        </w:rPr>
        <w:t xml:space="preserve"> revenues and margins and may harm our ability to achieve or sustain expected financial results. Any such reduction in revenues would also impact our cash resources available for other purposes, such as research and development. </w:t>
      </w:r>
    </w:p>
    <w:p w14:paraId="7663E91E" w14:textId="77777777" w:rsidR="00000000" w:rsidRDefault="009B6C69">
      <w:pPr>
        <w:ind w:firstLine="360"/>
        <w:divId w:val="1308777354"/>
        <w:rPr>
          <w:rFonts w:eastAsia="Times New Roman"/>
        </w:rPr>
      </w:pPr>
      <w:r>
        <w:rPr>
          <w:rFonts w:eastAsia="Times New Roman"/>
          <w:color w:val="000000"/>
          <w:sz w:val="20"/>
          <w:szCs w:val="20"/>
        </w:rPr>
        <w:t>Further, while our product</w:t>
      </w:r>
      <w:r>
        <w:rPr>
          <w:rFonts w:eastAsia="Times New Roman"/>
          <w:color w:val="000000"/>
          <w:sz w:val="20"/>
          <w:szCs w:val="20"/>
        </w:rPr>
        <w:t xml:space="preserve"> and revenue diversification strategies have resulted in an increasing portion of our revenues coming from outside of mobile handsets, e.g., from industries such as automotive and IoT, certain product categories within those industries may in themselves be</w:t>
      </w:r>
      <w:r>
        <w:rPr>
          <w:rFonts w:eastAsia="Times New Roman"/>
          <w:color w:val="000000"/>
          <w:sz w:val="20"/>
          <w:szCs w:val="20"/>
        </w:rPr>
        <w:t xml:space="preserve"> subject to high levels of customer concentration. </w:t>
      </w:r>
    </w:p>
    <w:p w14:paraId="71F31869" w14:textId="77777777" w:rsidR="00000000" w:rsidRDefault="009B6C69">
      <w:pPr>
        <w:ind w:firstLine="360"/>
        <w:divId w:val="1415282081"/>
        <w:rPr>
          <w:rFonts w:eastAsia="Times New Roman"/>
        </w:rPr>
      </w:pPr>
      <w:r>
        <w:rPr>
          <w:rFonts w:eastAsia="Times New Roman"/>
          <w:color w:val="000000"/>
          <w:sz w:val="20"/>
          <w:szCs w:val="20"/>
        </w:rPr>
        <w:t>Although we have more than 300 licensees, we derive a significant portion of our licensing revenues from a limited number of licensees, which includes a number of Chinese OEMs. In the event that one or mo</w:t>
      </w:r>
      <w:r>
        <w:rPr>
          <w:rFonts w:eastAsia="Times New Roman"/>
          <w:color w:val="000000"/>
          <w:sz w:val="20"/>
          <w:szCs w:val="20"/>
        </w:rPr>
        <w:t>re of our significant licensees fail to meet their reporting and payment obligations, or we are unable to renew or modify one or more of their license agreements under similar terms as their existing agreements, our revenues, results of operations and cash</w:t>
      </w:r>
      <w:r>
        <w:rPr>
          <w:rFonts w:eastAsia="Times New Roman"/>
          <w:color w:val="000000"/>
          <w:sz w:val="20"/>
          <w:szCs w:val="20"/>
        </w:rPr>
        <w:t xml:space="preserve"> flows would be adversely impacted. Moreover, the future growth and success of our core licensing business will depend in part on the ability of our licensees to develop, introduce and deliver high-volume products that achieve and sustain customer acceptan</w:t>
      </w:r>
      <w:r>
        <w:rPr>
          <w:rFonts w:eastAsia="Times New Roman"/>
          <w:color w:val="000000"/>
          <w:sz w:val="20"/>
          <w:szCs w:val="20"/>
        </w:rPr>
        <w:t>ce. We do not have control over the product development, sales efforts or pricing of products by our licensees, and our licensees might not be successful. Reductions in sales of our licensees’ products, or reductions in the average selling prices of wirele</w:t>
      </w:r>
      <w:r>
        <w:rPr>
          <w:rFonts w:eastAsia="Times New Roman"/>
          <w:color w:val="000000"/>
          <w:sz w:val="20"/>
          <w:szCs w:val="20"/>
        </w:rPr>
        <w:t xml:space="preserve">ss devices sold by our licensees without a sufficient increase in the volumes of such devices sold, would generally have an adverse effect on our licensing revenues. </w:t>
      </w:r>
    </w:p>
    <w:p w14:paraId="15FC5F5F" w14:textId="77777777" w:rsidR="00000000" w:rsidRDefault="009B6C69">
      <w:pPr>
        <w:divId w:val="1037974727"/>
        <w:rPr>
          <w:rFonts w:eastAsia="Times New Roman"/>
        </w:rPr>
      </w:pPr>
      <w:r>
        <w:rPr>
          <w:rFonts w:eastAsia="Times New Roman"/>
          <w:b/>
          <w:bCs/>
          <w:i/>
          <w:iCs/>
          <w:color w:val="000000"/>
          <w:sz w:val="20"/>
          <w:szCs w:val="20"/>
        </w:rPr>
        <w:t>Our business, particularly our semiconductor business, may suffer as a result of our cust</w:t>
      </w:r>
      <w:r>
        <w:rPr>
          <w:rFonts w:eastAsia="Times New Roman"/>
          <w:b/>
          <w:bCs/>
          <w:i/>
          <w:iCs/>
          <w:color w:val="000000"/>
          <w:sz w:val="20"/>
          <w:szCs w:val="20"/>
        </w:rPr>
        <w:t>omers vertically integrating (i.e., developing their own integrated circuit products).</w:t>
      </w:r>
    </w:p>
    <w:p w14:paraId="0DE3704B" w14:textId="77777777" w:rsidR="00000000" w:rsidRDefault="009B6C69">
      <w:pPr>
        <w:ind w:firstLine="360"/>
        <w:divId w:val="908273960"/>
        <w:rPr>
          <w:rFonts w:eastAsia="Times New Roman"/>
        </w:rPr>
      </w:pPr>
      <w:r>
        <w:rPr>
          <w:rFonts w:eastAsia="Times New Roman"/>
          <w:color w:val="000000"/>
          <w:sz w:val="20"/>
          <w:szCs w:val="20"/>
        </w:rPr>
        <w:t>Certain of our largest integrated circuit customers (for example, Samsung) develop their own integrated circuit products, which they have in the past utilized, and curre</w:t>
      </w:r>
      <w:r>
        <w:rPr>
          <w:rFonts w:eastAsia="Times New Roman"/>
          <w:color w:val="000000"/>
          <w:sz w:val="20"/>
          <w:szCs w:val="20"/>
        </w:rPr>
        <w:t>ntly utilize, in certain of their devices and may in the future utilize in some or all of their devices, rather than our products (and they have and may continue to sell their integrated circuit products to third parties, discretely or together with certai</w:t>
      </w:r>
      <w:r>
        <w:rPr>
          <w:rFonts w:eastAsia="Times New Roman"/>
          <w:color w:val="000000"/>
          <w:sz w:val="20"/>
          <w:szCs w:val="20"/>
        </w:rPr>
        <w:t>n of their other products, in competition with us).</w:t>
      </w:r>
    </w:p>
    <w:p w14:paraId="6957AA3C" w14:textId="77777777" w:rsidR="00000000" w:rsidRDefault="009B6C69">
      <w:pPr>
        <w:ind w:firstLine="360"/>
        <w:divId w:val="1839149974"/>
        <w:rPr>
          <w:rFonts w:eastAsia="Times New Roman"/>
        </w:rPr>
      </w:pPr>
      <w:r>
        <w:rPr>
          <w:rFonts w:eastAsia="Times New Roman"/>
          <w:color w:val="000000"/>
          <w:sz w:val="20"/>
          <w:szCs w:val="20"/>
        </w:rPr>
        <w:t>Apple has utilized modem products of one of our competitors in some of its devices rather than our products, and solely utilized one of our competitors’ products in several of its prior device launches. I</w:t>
      </w:r>
      <w:r>
        <w:rPr>
          <w:rFonts w:eastAsia="Times New Roman"/>
          <w:color w:val="000000"/>
          <w:sz w:val="20"/>
          <w:szCs w:val="20"/>
        </w:rPr>
        <w:t>n December 2019, Apple acquired Intel’s modem assets and is developing its own modem products using those assets. Accordingly, we expect Apple to use its own modem products, rather than our products, in some or all of its future devices.</w:t>
      </w:r>
    </w:p>
    <w:p w14:paraId="632ABA74" w14:textId="77777777" w:rsidR="00000000" w:rsidRDefault="009B6C69">
      <w:pPr>
        <w:ind w:firstLine="360"/>
        <w:divId w:val="343823084"/>
        <w:rPr>
          <w:rFonts w:eastAsia="Times New Roman"/>
        </w:rPr>
      </w:pPr>
      <w:r>
        <w:rPr>
          <w:rFonts w:eastAsia="Times New Roman"/>
          <w:color w:val="000000"/>
          <w:sz w:val="20"/>
          <w:szCs w:val="20"/>
        </w:rPr>
        <w:t>Similarly, we deri</w:t>
      </w:r>
      <w:r>
        <w:rPr>
          <w:rFonts w:eastAsia="Times New Roman"/>
          <w:color w:val="000000"/>
          <w:sz w:val="20"/>
          <w:szCs w:val="20"/>
        </w:rPr>
        <w:t xml:space="preserve">ve a significant portion of our revenues from Chinese OEMs. Certain of our customers in China have developed, and others may in the future develop, their own integrated circuit products and use such integrated circuit products in their devices rather than </w:t>
      </w:r>
      <w:r>
        <w:rPr>
          <w:rFonts w:eastAsia="Times New Roman"/>
          <w:color w:val="000000"/>
          <w:sz w:val="20"/>
          <w:szCs w:val="20"/>
        </w:rPr>
        <w:t xml:space="preserve">our integrated circuit products, including due to pressure from or policies of the Chinese government (whose </w:t>
      </w:r>
      <w:r>
        <w:rPr>
          <w:rFonts w:eastAsia="Times New Roman"/>
          <w:i/>
          <w:iCs/>
          <w:color w:val="000000"/>
          <w:sz w:val="20"/>
          <w:szCs w:val="20"/>
        </w:rPr>
        <w:t>Made in China 2025</w:t>
      </w:r>
      <w:r>
        <w:rPr>
          <w:rFonts w:eastAsia="Times New Roman"/>
          <w:color w:val="000000"/>
          <w:sz w:val="20"/>
          <w:szCs w:val="20"/>
        </w:rPr>
        <w:t xml:space="preserve"> campaign targets 70% semiconductor self-sufficiency by 2025), concerns over losing access to our integrated circuit products as </w:t>
      </w:r>
      <w:r>
        <w:rPr>
          <w:rFonts w:eastAsia="Times New Roman"/>
          <w:color w:val="000000"/>
          <w:sz w:val="20"/>
          <w:szCs w:val="20"/>
        </w:rPr>
        <w:t>a result of actual, threatened or potential U.S. or Chinese government actions or policies, including trade protection or national security policies, or other reasons. See also the Risk Factor titled “</w:t>
      </w:r>
      <w:r>
        <w:rPr>
          <w:rFonts w:eastAsia="Times New Roman"/>
          <w:i/>
          <w:iCs/>
          <w:color w:val="000000"/>
          <w:sz w:val="20"/>
          <w:szCs w:val="20"/>
        </w:rPr>
        <w:t>A significant portion of our business is concentrated i</w:t>
      </w:r>
      <w:r>
        <w:rPr>
          <w:rFonts w:eastAsia="Times New Roman"/>
          <w:i/>
          <w:iCs/>
          <w:color w:val="000000"/>
          <w:sz w:val="20"/>
          <w:szCs w:val="20"/>
        </w:rPr>
        <w:t>n China, and the risks of such concentration are exacerbated by U.S./China trade and national security tensions.</w:t>
      </w:r>
      <w:r>
        <w:rPr>
          <w:rFonts w:eastAsia="Times New Roman"/>
          <w:color w:val="000000"/>
          <w:sz w:val="20"/>
          <w:szCs w:val="20"/>
        </w:rPr>
        <w:t>”</w:t>
      </w:r>
    </w:p>
    <w:p w14:paraId="793FDB3D" w14:textId="77777777" w:rsidR="00000000" w:rsidRDefault="009B6C69">
      <w:pPr>
        <w:ind w:firstLine="360"/>
        <w:divId w:val="1490441007"/>
        <w:rPr>
          <w:rFonts w:eastAsia="Times New Roman"/>
        </w:rPr>
      </w:pPr>
      <w:r>
        <w:rPr>
          <w:rFonts w:eastAsia="Times New Roman"/>
          <w:color w:val="000000"/>
          <w:sz w:val="20"/>
          <w:szCs w:val="20"/>
        </w:rPr>
        <w:t>In addition, periodic supply/capacity constraints within the semiconductor industry may further incentivize our integrated circuit customers t</w:t>
      </w:r>
      <w:r>
        <w:rPr>
          <w:rFonts w:eastAsia="Times New Roman"/>
          <w:color w:val="000000"/>
          <w:sz w:val="20"/>
          <w:szCs w:val="20"/>
        </w:rPr>
        <w:t>o vertically integrate in an effort to secure additional control over their supply chains.</w:t>
      </w:r>
    </w:p>
    <w:p w14:paraId="21CAB0F8" w14:textId="77777777" w:rsidR="00000000" w:rsidRDefault="009B6C69">
      <w:pPr>
        <w:ind w:firstLine="360"/>
        <w:divId w:val="1636333753"/>
        <w:rPr>
          <w:rFonts w:eastAsia="Times New Roman"/>
        </w:rPr>
      </w:pPr>
      <w:r>
        <w:rPr>
          <w:rFonts w:eastAsia="Times New Roman"/>
          <w:color w:val="000000"/>
          <w:sz w:val="20"/>
          <w:szCs w:val="20"/>
        </w:rPr>
        <w:t>If some or all of our largest customers and/or the largest smartphone OEMs utilize their own integrated circuit/modem products in some or all of their devices rather</w:t>
      </w:r>
      <w:r>
        <w:rPr>
          <w:rFonts w:eastAsia="Times New Roman"/>
          <w:color w:val="000000"/>
          <w:sz w:val="20"/>
          <w:szCs w:val="20"/>
        </w:rPr>
        <w:t xml:space="preserve"> than our products, our business, revenues, results of operations, cash flows and financial position could be materially adversely impacted. See also the Risk Factor titled “</w:t>
      </w:r>
      <w:r>
        <w:rPr>
          <w:rFonts w:eastAsia="Times New Roman"/>
          <w:i/>
          <w:iCs/>
          <w:color w:val="000000"/>
          <w:sz w:val="20"/>
          <w:szCs w:val="20"/>
        </w:rPr>
        <w:t>We derive a significant portion of our revenues from a small number of customers a</w:t>
      </w:r>
      <w:r>
        <w:rPr>
          <w:rFonts w:eastAsia="Times New Roman"/>
          <w:i/>
          <w:iCs/>
          <w:color w:val="000000"/>
          <w:sz w:val="20"/>
          <w:szCs w:val="20"/>
        </w:rPr>
        <w:t>nd licensees, and particularly from their sale of premium tier devices. If revenues derived from these customers or licensees decrease or the timing of such revenues fluctuates, our business and results of operations could be negatively affected</w:t>
      </w:r>
      <w:r>
        <w:rPr>
          <w:rFonts w:eastAsia="Times New Roman"/>
          <w:color w:val="000000"/>
          <w:sz w:val="20"/>
          <w:szCs w:val="20"/>
        </w:rPr>
        <w:t>.”</w:t>
      </w:r>
    </w:p>
    <w:p w14:paraId="77F3CCAB" w14:textId="77777777" w:rsidR="00000000" w:rsidRDefault="009B6C69">
      <w:pPr>
        <w:divId w:val="1923642479"/>
        <w:rPr>
          <w:rFonts w:eastAsia="Times New Roman"/>
        </w:rPr>
      </w:pPr>
      <w:r>
        <w:rPr>
          <w:rFonts w:eastAsia="Times New Roman"/>
          <w:b/>
          <w:bCs/>
          <w:i/>
          <w:iCs/>
          <w:color w:val="000000"/>
          <w:sz w:val="20"/>
          <w:szCs w:val="20"/>
        </w:rPr>
        <w:t>A significant portion of our business is concentrated in China, and the risks of such concentration are exacerbated by U.S./China trade and national security tensions.</w:t>
      </w:r>
    </w:p>
    <w:p w14:paraId="5EFFAD43" w14:textId="77777777" w:rsidR="00000000" w:rsidRDefault="009B6C69">
      <w:pPr>
        <w:ind w:firstLine="360"/>
        <w:divId w:val="1760760081"/>
        <w:rPr>
          <w:rFonts w:eastAsia="Times New Roman"/>
        </w:rPr>
      </w:pPr>
      <w:r>
        <w:rPr>
          <w:rFonts w:eastAsia="Times New Roman"/>
          <w:color w:val="000000"/>
          <w:sz w:val="20"/>
          <w:szCs w:val="20"/>
        </w:rPr>
        <w:t xml:space="preserve">We derive a significant portion of our revenues from Chinese OEMs, and from non-Chinese </w:t>
      </w:r>
      <w:r>
        <w:rPr>
          <w:rFonts w:eastAsia="Times New Roman"/>
          <w:color w:val="000000"/>
          <w:sz w:val="20"/>
          <w:szCs w:val="20"/>
        </w:rPr>
        <w:t>OEMs that utilize our integrated circuit products in their devices and sell those devices into China, which has the largest number of smartphone users in the world. We also source certain critical integrated circuit products from suppliers in China.</w:t>
      </w:r>
    </w:p>
    <w:p w14:paraId="11A6C7F9" w14:textId="77777777" w:rsidR="00000000" w:rsidRDefault="009B6C69">
      <w:pPr>
        <w:ind w:firstLine="360"/>
        <w:divId w:val="1162505015"/>
        <w:rPr>
          <w:rFonts w:eastAsia="Times New Roman"/>
        </w:rPr>
      </w:pPr>
      <w:r>
        <w:rPr>
          <w:rFonts w:eastAsia="Times New Roman"/>
          <w:color w:val="000000"/>
          <w:sz w:val="20"/>
          <w:szCs w:val="20"/>
        </w:rPr>
        <w:t>Due to</w:t>
      </w:r>
      <w:r>
        <w:rPr>
          <w:rFonts w:eastAsia="Times New Roman"/>
          <w:color w:val="000000"/>
          <w:sz w:val="20"/>
          <w:szCs w:val="20"/>
        </w:rPr>
        <w:t xml:space="preserve"> various factors, including pressure, encouragement or incentives from, or policies of, the Chinese government (including its </w:t>
      </w:r>
      <w:r>
        <w:rPr>
          <w:rFonts w:eastAsia="Times New Roman"/>
          <w:i/>
          <w:iCs/>
          <w:color w:val="000000"/>
          <w:sz w:val="20"/>
          <w:szCs w:val="20"/>
        </w:rPr>
        <w:t>Made in China 2025</w:t>
      </w:r>
      <w:r>
        <w:rPr>
          <w:rFonts w:eastAsia="Times New Roman"/>
          <w:color w:val="000000"/>
          <w:sz w:val="20"/>
          <w:szCs w:val="20"/>
        </w:rPr>
        <w:t xml:space="preserve"> campaign), concerns over losing access to our integrated circuit products as a result of actual, threatened or </w:t>
      </w:r>
      <w:r>
        <w:rPr>
          <w:rFonts w:eastAsia="Times New Roman"/>
          <w:color w:val="000000"/>
          <w:sz w:val="20"/>
          <w:szCs w:val="20"/>
        </w:rPr>
        <w:t>potential U.S. or Chinese government actions or policies, including trade protection or national security policies, or other reasons, some of our Chinese integrated circuit customers have developed, and others may in the future develop, their own integrate</w:t>
      </w:r>
      <w:r>
        <w:rPr>
          <w:rFonts w:eastAsia="Times New Roman"/>
          <w:color w:val="000000"/>
          <w:sz w:val="20"/>
          <w:szCs w:val="20"/>
        </w:rPr>
        <w:t>d circuit products and use such integrated circuit products in their devices, or use our competitors’ integrated circuit products in their devices, rather than our products, which could materially harm our business, revenues, results of operations, cash fl</w:t>
      </w:r>
      <w:r>
        <w:rPr>
          <w:rFonts w:eastAsia="Times New Roman"/>
          <w:color w:val="000000"/>
          <w:sz w:val="20"/>
          <w:szCs w:val="20"/>
        </w:rPr>
        <w:t>ows and financial position. See also the Risk Factor titled “</w:t>
      </w:r>
      <w:r>
        <w:rPr>
          <w:rFonts w:eastAsia="Times New Roman"/>
          <w:i/>
          <w:iCs/>
          <w:color w:val="000000"/>
          <w:sz w:val="20"/>
          <w:szCs w:val="20"/>
        </w:rPr>
        <w:t>Our business, particularly our semiconductor business, may suffer as a result of our customers vertically integrating (i.e., developing their own integrated circuit products).”</w:t>
      </w:r>
    </w:p>
    <w:p w14:paraId="46524CC3" w14:textId="77777777" w:rsidR="00000000" w:rsidRDefault="009B6C69">
      <w:pPr>
        <w:ind w:firstLine="360"/>
        <w:divId w:val="863834466"/>
        <w:rPr>
          <w:rFonts w:eastAsia="Times New Roman"/>
        </w:rPr>
      </w:pPr>
      <w:r>
        <w:rPr>
          <w:rFonts w:eastAsia="Times New Roman"/>
          <w:color w:val="000000"/>
          <w:sz w:val="20"/>
          <w:szCs w:val="20"/>
        </w:rPr>
        <w:t>Political actions,</w:t>
      </w:r>
      <w:r>
        <w:rPr>
          <w:rFonts w:eastAsia="Times New Roman"/>
          <w:color w:val="000000"/>
          <w:sz w:val="20"/>
          <w:szCs w:val="20"/>
        </w:rPr>
        <w:t xml:space="preserve"> including trade protection and national security policies of the U.S. and Chinese governments, such as tariffs, bans or placing companies on restricted entity lists, have in the past, currently are and could in the future limit or </w:t>
      </w:r>
    </w:p>
    <w:p w14:paraId="5E579C3F" w14:textId="77777777" w:rsidR="00000000" w:rsidRDefault="009B6C69">
      <w:pPr>
        <w:jc w:val="center"/>
        <w:divId w:val="1515075343"/>
        <w:rPr>
          <w:rFonts w:eastAsia="Times New Roman"/>
        </w:rPr>
      </w:pPr>
      <w:r>
        <w:rPr>
          <w:rFonts w:eastAsia="Times New Roman"/>
          <w:color w:val="000000"/>
          <w:sz w:val="20"/>
          <w:szCs w:val="20"/>
        </w:rPr>
        <w:t>20</w:t>
      </w:r>
    </w:p>
    <w:p w14:paraId="6211FAB2" w14:textId="77777777" w:rsidR="00000000" w:rsidRDefault="009B6C69">
      <w:pPr>
        <w:rPr>
          <w:rFonts w:eastAsia="Times New Roman"/>
        </w:rPr>
      </w:pPr>
      <w:r>
        <w:rPr>
          <w:rFonts w:eastAsia="Times New Roman"/>
        </w:rPr>
        <w:pict w14:anchorId="79ADB869">
          <v:rect id="_x0000_i1043" style="width:0;height:1.5pt" o:hralign="center" o:hrstd="t" o:hr="t" fillcolor="#a0a0a0" stroked="f"/>
        </w:pict>
      </w:r>
    </w:p>
    <w:p w14:paraId="66CB6863" w14:textId="77777777" w:rsidR="00000000" w:rsidRDefault="009B6C69">
      <w:pPr>
        <w:divId w:val="1602107309"/>
        <w:rPr>
          <w:rFonts w:eastAsia="Times New Roman"/>
        </w:rPr>
      </w:pPr>
    </w:p>
    <w:p w14:paraId="2470831F" w14:textId="77777777" w:rsidR="00000000" w:rsidRDefault="009B6C69">
      <w:pPr>
        <w:divId w:val="220599996"/>
        <w:rPr>
          <w:rFonts w:eastAsia="Times New Roman"/>
        </w:rPr>
      </w:pPr>
      <w:r>
        <w:rPr>
          <w:rFonts w:eastAsia="Times New Roman"/>
          <w:color w:val="000000"/>
          <w:sz w:val="20"/>
          <w:szCs w:val="20"/>
        </w:rPr>
        <w:t>prevent us from transacting business with certain of our Chinese customers or suppliers, limit, prevent or discourage certain of our Chinese customers or suppliers from transacting business with us, or make it more expensive to do so. Giv</w:t>
      </w:r>
      <w:r>
        <w:rPr>
          <w:rFonts w:eastAsia="Times New Roman"/>
          <w:color w:val="000000"/>
          <w:sz w:val="20"/>
          <w:szCs w:val="20"/>
        </w:rPr>
        <w:t>en our revenue concentration in China, if, due to actual, threatened or potential U.S. or Chinese government actions or policies: we were further limited in, or prohibited from, selling our integrated circuit products to Chinese OEMs; our non-Chinese OEM c</w:t>
      </w:r>
      <w:r>
        <w:rPr>
          <w:rFonts w:eastAsia="Times New Roman"/>
          <w:color w:val="000000"/>
          <w:sz w:val="20"/>
          <w:szCs w:val="20"/>
        </w:rPr>
        <w:t>ustomers were limited in, or prohibited from, selling devices into China that incorporate our integrated circuit products; Chinese OEMs develop and use their own integrated circuit products or use our competitors’ integrated circuit products in some or all</w:t>
      </w:r>
      <w:r>
        <w:rPr>
          <w:rFonts w:eastAsia="Times New Roman"/>
          <w:color w:val="000000"/>
          <w:sz w:val="20"/>
          <w:szCs w:val="20"/>
        </w:rPr>
        <w:t xml:space="preserve"> of their devices rather than our integrated circuit products; Chinese tariffs on our integrated circuit products or on devices which incorporate our integrated circuit products made purchasing such products or devices more expensive to Chinese OEMs or Chi</w:t>
      </w:r>
      <w:r>
        <w:rPr>
          <w:rFonts w:eastAsia="Times New Roman"/>
          <w:color w:val="000000"/>
          <w:sz w:val="20"/>
          <w:szCs w:val="20"/>
        </w:rPr>
        <w:t>nese consumers; or our Chinese licensees delay or cease making payments of license fees they owe us, our business, revenues, results of operations, cash flows and financial position could be materially harmed. Similarly, if, due to U.S. or Chinese governme</w:t>
      </w:r>
      <w:r>
        <w:rPr>
          <w:rFonts w:eastAsia="Times New Roman"/>
          <w:color w:val="000000"/>
          <w:sz w:val="20"/>
          <w:szCs w:val="20"/>
        </w:rPr>
        <w:t xml:space="preserve">nt actions or policies, we were limited in or prohibited from obtaining critical integrated circuit products from our suppliers in China, our business, revenues, results of operations, cash flows and financial position could be materially harmed. See also </w:t>
      </w:r>
      <w:r>
        <w:rPr>
          <w:rFonts w:eastAsia="Times New Roman"/>
          <w:color w:val="000000"/>
          <w:sz w:val="20"/>
          <w:szCs w:val="20"/>
        </w:rPr>
        <w:t>the Risk Factor titled “</w:t>
      </w:r>
      <w:r>
        <w:rPr>
          <w:rFonts w:eastAsia="Times New Roman"/>
          <w:i/>
          <w:iCs/>
          <w:color w:val="000000"/>
          <w:sz w:val="20"/>
          <w:szCs w:val="20"/>
        </w:rPr>
        <w:t>We derive a significant portion of our revenues from a small number of customers and licensees, and particularly from their sale of premium tier devices. If revenues derived from these customers or licensees decrease or the timing o</w:t>
      </w:r>
      <w:r>
        <w:rPr>
          <w:rFonts w:eastAsia="Times New Roman"/>
          <w:i/>
          <w:iCs/>
          <w:color w:val="000000"/>
          <w:sz w:val="20"/>
          <w:szCs w:val="20"/>
        </w:rPr>
        <w:t>f such revenues fluctuates, our business and results of operations could be negatively affected</w:t>
      </w:r>
      <w:r>
        <w:rPr>
          <w:rFonts w:eastAsia="Times New Roman"/>
          <w:color w:val="000000"/>
          <w:sz w:val="20"/>
          <w:szCs w:val="20"/>
        </w:rPr>
        <w:t xml:space="preserve">.” </w:t>
      </w:r>
    </w:p>
    <w:p w14:paraId="0B62F7FC" w14:textId="77777777" w:rsidR="00000000" w:rsidRDefault="009B6C69">
      <w:pPr>
        <w:ind w:firstLine="360"/>
        <w:divId w:val="1168597167"/>
        <w:rPr>
          <w:rFonts w:eastAsia="Times New Roman"/>
        </w:rPr>
      </w:pPr>
      <w:r>
        <w:rPr>
          <w:rFonts w:eastAsia="Times New Roman"/>
          <w:color w:val="000000"/>
          <w:sz w:val="20"/>
          <w:szCs w:val="20"/>
        </w:rPr>
        <w:t xml:space="preserve">Finally, government policies in China that regulate the amount and timing of funds that may flow out of the country have impacted and may continue to impact </w:t>
      </w:r>
      <w:r>
        <w:rPr>
          <w:rFonts w:eastAsia="Times New Roman"/>
          <w:color w:val="000000"/>
          <w:sz w:val="20"/>
          <w:szCs w:val="20"/>
        </w:rPr>
        <w:t>the timing of our receipt of, and/or ability to receive, payments from our customers and licensees in China, which may negatively impact our cash flows.</w:t>
      </w:r>
    </w:p>
    <w:p w14:paraId="6ED0291B" w14:textId="77777777" w:rsidR="00000000" w:rsidRDefault="009B6C69">
      <w:pPr>
        <w:divId w:val="1312249675"/>
        <w:rPr>
          <w:rFonts w:eastAsia="Times New Roman"/>
        </w:rPr>
      </w:pPr>
      <w:r>
        <w:rPr>
          <w:rFonts w:eastAsia="Times New Roman"/>
          <w:b/>
          <w:bCs/>
          <w:color w:val="000000"/>
          <w:sz w:val="20"/>
          <w:szCs w:val="20"/>
        </w:rPr>
        <w:t>RISKS RELATED TO NEW INITIATIVES</w:t>
      </w:r>
    </w:p>
    <w:p w14:paraId="42C5D13E" w14:textId="77777777" w:rsidR="00000000" w:rsidRDefault="009B6C69">
      <w:pPr>
        <w:divId w:val="2131315738"/>
        <w:rPr>
          <w:rFonts w:eastAsia="Times New Roman"/>
        </w:rPr>
      </w:pPr>
      <w:r>
        <w:rPr>
          <w:rFonts w:eastAsia="Times New Roman"/>
          <w:b/>
          <w:bCs/>
          <w:i/>
          <w:iCs/>
          <w:color w:val="000000"/>
          <w:sz w:val="20"/>
          <w:szCs w:val="20"/>
        </w:rPr>
        <w:t>Our growth depends in part on our ability to extend our technologies a</w:t>
      </w:r>
      <w:r>
        <w:rPr>
          <w:rFonts w:eastAsia="Times New Roman"/>
          <w:b/>
          <w:bCs/>
          <w:i/>
          <w:iCs/>
          <w:color w:val="000000"/>
          <w:sz w:val="20"/>
          <w:szCs w:val="20"/>
        </w:rPr>
        <w:t>nd products into new and expanded product areas, and industries and applications beyond mobile handsets. Our research, development and other investments in these new and expanded product areas, industries and applications, and related technologies and prod</w:t>
      </w:r>
      <w:r>
        <w:rPr>
          <w:rFonts w:eastAsia="Times New Roman"/>
          <w:b/>
          <w:bCs/>
          <w:i/>
          <w:iCs/>
          <w:color w:val="000000"/>
          <w:sz w:val="20"/>
          <w:szCs w:val="20"/>
        </w:rPr>
        <w:t>ucts, as well as in our existing technologies and products, and new technologies, may not generate operating income or contribute to future results of operations that meet our expectations.</w:t>
      </w:r>
    </w:p>
    <w:p w14:paraId="39F908AC" w14:textId="77777777" w:rsidR="00000000" w:rsidRDefault="009B6C69">
      <w:pPr>
        <w:ind w:firstLine="360"/>
        <w:divId w:val="395863531"/>
        <w:rPr>
          <w:rFonts w:eastAsia="Times New Roman"/>
        </w:rPr>
      </w:pPr>
      <w:r>
        <w:rPr>
          <w:rFonts w:eastAsia="Times New Roman"/>
          <w:color w:val="000000"/>
          <w:sz w:val="20"/>
          <w:szCs w:val="20"/>
        </w:rPr>
        <w:t>While we continue to invest significant resources toward advanceme</w:t>
      </w:r>
      <w:r>
        <w:rPr>
          <w:rFonts w:eastAsia="Times New Roman"/>
          <w:color w:val="000000"/>
          <w:sz w:val="20"/>
          <w:szCs w:val="20"/>
        </w:rPr>
        <w:t>nts primarily in support 5G-based technologies, we also invest in new and expanded product areas, and industries and applications beyond mobile handsets, by utilizing our existing technical and business expertise and through acquisitions or other strategic</w:t>
      </w:r>
      <w:r>
        <w:rPr>
          <w:rFonts w:eastAsia="Times New Roman"/>
          <w:color w:val="000000"/>
          <w:sz w:val="20"/>
          <w:szCs w:val="20"/>
        </w:rPr>
        <w:t xml:space="preserve"> transactions.</w:t>
      </w:r>
    </w:p>
    <w:p w14:paraId="21CE7D76" w14:textId="77777777" w:rsidR="00000000" w:rsidRDefault="009B6C69">
      <w:pPr>
        <w:ind w:firstLine="360"/>
        <w:divId w:val="2145734666"/>
        <w:rPr>
          <w:rFonts w:eastAsia="Times New Roman"/>
        </w:rPr>
      </w:pPr>
      <w:r>
        <w:rPr>
          <w:rFonts w:eastAsia="Times New Roman"/>
          <w:color w:val="000000"/>
          <w:sz w:val="20"/>
          <w:szCs w:val="20"/>
        </w:rPr>
        <w:t>In particular, our future growth depends in part on new and expanded product areas, and industries and applications beyond mobile handsets, such as automotive and IoT; our ability to develop leading and cost-effective technologies and produc</w:t>
      </w:r>
      <w:r>
        <w:rPr>
          <w:rFonts w:eastAsia="Times New Roman"/>
          <w:color w:val="000000"/>
          <w:sz w:val="20"/>
          <w:szCs w:val="20"/>
        </w:rPr>
        <w:t>ts for these new and expanded product areas, industries and applications; and third parties incorporating our technologies and products into devices used in these product areas, industries and applications. Accordingly, we intend to continue to make substa</w:t>
      </w:r>
      <w:r>
        <w:rPr>
          <w:rFonts w:eastAsia="Times New Roman"/>
          <w:color w:val="000000"/>
          <w:sz w:val="20"/>
          <w:szCs w:val="20"/>
        </w:rPr>
        <w:t>ntial investments in these new and expanded product areas, industries and applications, and in developing new products and technologies for these product areas, industries and applications. Our growth also depends significantly on our ability to develop an</w:t>
      </w:r>
      <w:r>
        <w:rPr>
          <w:rFonts w:eastAsia="Times New Roman"/>
          <w:color w:val="000000"/>
          <w:sz w:val="20"/>
          <w:szCs w:val="20"/>
        </w:rPr>
        <w:t>d patent 5G technologies, and to develop and commercialize products using 5G technologies.</w:t>
      </w:r>
    </w:p>
    <w:p w14:paraId="09AFDC94" w14:textId="77777777" w:rsidR="00000000" w:rsidRDefault="009B6C69">
      <w:pPr>
        <w:ind w:firstLine="360"/>
        <w:divId w:val="729814096"/>
        <w:rPr>
          <w:rFonts w:eastAsia="Times New Roman"/>
        </w:rPr>
      </w:pPr>
      <w:r>
        <w:rPr>
          <w:rFonts w:eastAsia="Times New Roman"/>
          <w:color w:val="000000"/>
          <w:sz w:val="20"/>
          <w:szCs w:val="20"/>
        </w:rPr>
        <w:t>However, our research, development and other investments in these new and expanded product areas, industries and applications, and corresponding technologies and pro</w:t>
      </w:r>
      <w:r>
        <w:rPr>
          <w:rFonts w:eastAsia="Times New Roman"/>
          <w:color w:val="000000"/>
          <w:sz w:val="20"/>
          <w:szCs w:val="20"/>
        </w:rPr>
        <w:t>ducts, as well as in our existing technologies and products and new technologies in mobile handsets, may not succeed because, among other reasons: we may not be issued patents on the technologies we develop; the technologies we develop may not be incorpora</w:t>
      </w:r>
      <w:r>
        <w:rPr>
          <w:rFonts w:eastAsia="Times New Roman"/>
          <w:color w:val="000000"/>
          <w:sz w:val="20"/>
          <w:szCs w:val="20"/>
        </w:rPr>
        <w:t xml:space="preserve">ted into relevant standards; new and expanded product areas, industries and applications beyond mobile handsets, and consumer demand therein, may not develop or grow as anticipated; we may be unable to attract or retain employees with the necessary skills </w:t>
      </w:r>
      <w:r>
        <w:rPr>
          <w:rFonts w:eastAsia="Times New Roman"/>
          <w:color w:val="000000"/>
          <w:sz w:val="20"/>
          <w:szCs w:val="20"/>
        </w:rPr>
        <w:t>in such new and expanded product areas, industries and applications; our strategies or the strategies of our customers, licensees or partners may not be successful; alternate technologies or products may be better or may reduce the advantages we anticipate</w:t>
      </w:r>
      <w:r>
        <w:rPr>
          <w:rFonts w:eastAsia="Times New Roman"/>
          <w:color w:val="000000"/>
          <w:sz w:val="20"/>
          <w:szCs w:val="20"/>
        </w:rPr>
        <w:t xml:space="preserve"> from our investments; competitors’ technologies or products may be more cost effective, have more capabilities or fewer limitations or be brought to market faster than our new technologies or products; we may not be able to develop, or our competitors may</w:t>
      </w:r>
      <w:r>
        <w:rPr>
          <w:rFonts w:eastAsia="Times New Roman"/>
          <w:color w:val="000000"/>
          <w:sz w:val="20"/>
          <w:szCs w:val="20"/>
        </w:rPr>
        <w:t xml:space="preserve"> have more established and/or stronger, customer, vendor, distributor or other channel relationships; and competitors may have longer operating histories in industries and applications that are new to us. We may also underestimate the costs of, or overesti</w:t>
      </w:r>
      <w:r>
        <w:rPr>
          <w:rFonts w:eastAsia="Times New Roman"/>
          <w:color w:val="000000"/>
          <w:sz w:val="20"/>
          <w:szCs w:val="20"/>
        </w:rPr>
        <w:t xml:space="preserve">mate the future revenues or margins that could result from these investments, and these investments may not, or may take many years to, generate material returns. </w:t>
      </w:r>
    </w:p>
    <w:p w14:paraId="3AADE2E5" w14:textId="77777777" w:rsidR="00000000" w:rsidRDefault="009B6C69">
      <w:pPr>
        <w:ind w:firstLine="360"/>
        <w:divId w:val="1166289617"/>
        <w:rPr>
          <w:rFonts w:eastAsia="Times New Roman"/>
        </w:rPr>
      </w:pPr>
      <w:r>
        <w:rPr>
          <w:rFonts w:eastAsia="Times New Roman"/>
          <w:color w:val="000000"/>
          <w:sz w:val="20"/>
          <w:szCs w:val="20"/>
        </w:rPr>
        <w:t>Further, the automotive industry is subject to long design-in time frames, long product life</w:t>
      </w:r>
      <w:r>
        <w:rPr>
          <w:rFonts w:eastAsia="Times New Roman"/>
          <w:color w:val="000000"/>
          <w:sz w:val="20"/>
          <w:szCs w:val="20"/>
        </w:rPr>
        <w:t xml:space="preserve"> cycles and a high degree of regulatory and safety requirements, necessitating suppliers to the industry to comply with stringent qualification processes, very low defect rates and high reliability standards, all of which results in significant barriers to</w:t>
      </w:r>
      <w:r>
        <w:rPr>
          <w:rFonts w:eastAsia="Times New Roman"/>
          <w:color w:val="000000"/>
          <w:sz w:val="20"/>
          <w:szCs w:val="20"/>
        </w:rPr>
        <w:t xml:space="preserve"> entry and increased costs. </w:t>
      </w:r>
    </w:p>
    <w:p w14:paraId="3BE64FD2" w14:textId="77777777" w:rsidR="00000000" w:rsidRDefault="009B6C69">
      <w:pPr>
        <w:ind w:firstLine="360"/>
        <w:divId w:val="968124831"/>
        <w:rPr>
          <w:rFonts w:eastAsia="Times New Roman"/>
        </w:rPr>
      </w:pPr>
      <w:r>
        <w:rPr>
          <w:rFonts w:eastAsia="Times New Roman"/>
          <w:color w:val="000000"/>
          <w:sz w:val="20"/>
          <w:szCs w:val="20"/>
        </w:rPr>
        <w:t>If our products fail to perform to specifications, compete with the product quality of our competitors or meet quality and/or regulatory standards of a particular industry or application (including product safety and informatio</w:t>
      </w:r>
      <w:r>
        <w:rPr>
          <w:rFonts w:eastAsia="Times New Roman"/>
          <w:color w:val="000000"/>
          <w:sz w:val="20"/>
          <w:szCs w:val="20"/>
        </w:rPr>
        <w:t>n security standards, which may differ by region, geography and industry, and which are particularly stringent in the automotive industry), we may be unable to successfully expand our business in that industry or application, and our growth could be limite</w:t>
      </w:r>
      <w:r>
        <w:rPr>
          <w:rFonts w:eastAsia="Times New Roman"/>
          <w:color w:val="000000"/>
          <w:sz w:val="20"/>
          <w:szCs w:val="20"/>
        </w:rPr>
        <w:t xml:space="preserve">d. </w:t>
      </w:r>
    </w:p>
    <w:p w14:paraId="0D9102F5" w14:textId="77777777" w:rsidR="00000000" w:rsidRDefault="009B6C69">
      <w:pPr>
        <w:ind w:firstLine="360"/>
        <w:divId w:val="706873339"/>
        <w:rPr>
          <w:rFonts w:eastAsia="Times New Roman"/>
        </w:rPr>
      </w:pPr>
      <w:r>
        <w:rPr>
          <w:rFonts w:eastAsia="Times New Roman"/>
          <w:color w:val="000000"/>
          <w:sz w:val="20"/>
          <w:szCs w:val="20"/>
        </w:rPr>
        <w:t>In addition, in order to successfully extend our technologies and products into new and expanded product areas, and industries and applications beyond mobile handsets, we may need to transition to new business models and transform aspects of our organi</w:t>
      </w:r>
      <w:r>
        <w:rPr>
          <w:rFonts w:eastAsia="Times New Roman"/>
          <w:color w:val="000000"/>
          <w:sz w:val="20"/>
          <w:szCs w:val="20"/>
        </w:rPr>
        <w:t>zation, and we may not be successful in doing so.</w:t>
      </w:r>
    </w:p>
    <w:p w14:paraId="0F2B386A" w14:textId="77777777" w:rsidR="00000000" w:rsidRDefault="009B6C69">
      <w:pPr>
        <w:jc w:val="center"/>
        <w:divId w:val="606618309"/>
        <w:rPr>
          <w:rFonts w:eastAsia="Times New Roman"/>
        </w:rPr>
      </w:pPr>
      <w:r>
        <w:rPr>
          <w:rFonts w:eastAsia="Times New Roman"/>
          <w:color w:val="000000"/>
          <w:sz w:val="20"/>
          <w:szCs w:val="20"/>
        </w:rPr>
        <w:t>21</w:t>
      </w:r>
    </w:p>
    <w:p w14:paraId="081FF1F5" w14:textId="77777777" w:rsidR="00000000" w:rsidRDefault="009B6C69">
      <w:pPr>
        <w:rPr>
          <w:rFonts w:eastAsia="Times New Roman"/>
        </w:rPr>
      </w:pPr>
      <w:r>
        <w:rPr>
          <w:rFonts w:eastAsia="Times New Roman"/>
        </w:rPr>
        <w:pict w14:anchorId="18889121">
          <v:rect id="_x0000_i1044" style="width:0;height:1.5pt" o:hralign="center" o:hrstd="t" o:hr="t" fillcolor="#a0a0a0" stroked="f"/>
        </w:pict>
      </w:r>
    </w:p>
    <w:p w14:paraId="4C92075D" w14:textId="77777777" w:rsidR="00000000" w:rsidRDefault="009B6C69">
      <w:pPr>
        <w:divId w:val="1520662758"/>
        <w:rPr>
          <w:rFonts w:eastAsia="Times New Roman"/>
        </w:rPr>
      </w:pPr>
    </w:p>
    <w:p w14:paraId="19315FF1" w14:textId="77777777" w:rsidR="00000000" w:rsidRDefault="009B6C69">
      <w:pPr>
        <w:ind w:firstLine="360"/>
        <w:divId w:val="1916163504"/>
        <w:rPr>
          <w:rFonts w:eastAsia="Times New Roman"/>
        </w:rPr>
      </w:pPr>
      <w:r>
        <w:rPr>
          <w:rFonts w:eastAsia="Times New Roman"/>
          <w:color w:val="000000"/>
          <w:sz w:val="20"/>
          <w:szCs w:val="20"/>
        </w:rPr>
        <w:t>If we are not successful in extending our technologies and products into new and expanded product areas, and industries and applications beyond mobile handsets, if our new technologies and products are not successful, or if we are not successful in the tim</w:t>
      </w:r>
      <w:r>
        <w:rPr>
          <w:rFonts w:eastAsia="Times New Roman"/>
          <w:color w:val="000000"/>
          <w:sz w:val="20"/>
          <w:szCs w:val="20"/>
        </w:rPr>
        <w:t>e frames we anticipate, we may incur significant costs and asset impairments, our business and revenues may not grow or grow as anticipated, our revenues and margins may be negatively impacted, our stock price may decline and our reputation may be harmed.</w:t>
      </w:r>
    </w:p>
    <w:p w14:paraId="163A5C46" w14:textId="77777777" w:rsidR="00000000" w:rsidRDefault="009B6C69">
      <w:pPr>
        <w:divId w:val="1764648106"/>
        <w:rPr>
          <w:rFonts w:eastAsia="Times New Roman"/>
        </w:rPr>
      </w:pPr>
      <w:r>
        <w:rPr>
          <w:rFonts w:eastAsia="Times New Roman"/>
          <w:b/>
          <w:bCs/>
          <w:i/>
          <w:iCs/>
          <w:color w:val="000000"/>
          <w:sz w:val="20"/>
          <w:szCs w:val="20"/>
        </w:rPr>
        <w:t>We may engage in acquisitions and other strategic transactions or make investments, or be unable to consummate planned strategic acquisitions, which could adversely affect our results of operations or fail to enhance stockholder value.</w:t>
      </w:r>
    </w:p>
    <w:p w14:paraId="57F293FD" w14:textId="77777777" w:rsidR="00000000" w:rsidRDefault="009B6C69">
      <w:pPr>
        <w:ind w:firstLine="360"/>
        <w:divId w:val="2113353449"/>
        <w:rPr>
          <w:rFonts w:eastAsia="Times New Roman"/>
        </w:rPr>
      </w:pPr>
      <w:r>
        <w:rPr>
          <w:rFonts w:eastAsia="Times New Roman"/>
          <w:color w:val="000000"/>
          <w:sz w:val="20"/>
          <w:szCs w:val="20"/>
        </w:rPr>
        <w:t>We engage in acquisi</w:t>
      </w:r>
      <w:r>
        <w:rPr>
          <w:rFonts w:eastAsia="Times New Roman"/>
          <w:color w:val="000000"/>
          <w:sz w:val="20"/>
          <w:szCs w:val="20"/>
        </w:rPr>
        <w:t>tions and other strategic transactions, including joint ventures, and make investments, which we believe are important to the future of our business, with the goal of maximizing stockholder value. We routinely acquire businesses and other assets, including</w:t>
      </w:r>
      <w:r>
        <w:rPr>
          <w:rFonts w:eastAsia="Times New Roman"/>
          <w:color w:val="000000"/>
          <w:sz w:val="20"/>
          <w:szCs w:val="20"/>
        </w:rPr>
        <w:t xml:space="preserve"> patents, technology and other intangible assets, enter into joint ventures or other strategic transactions, and purchase minority equity interests in or make loans to companies, including those that may be private and early-stage. Our strategic activities</w:t>
      </w:r>
      <w:r>
        <w:rPr>
          <w:rFonts w:eastAsia="Times New Roman"/>
          <w:color w:val="000000"/>
          <w:sz w:val="20"/>
          <w:szCs w:val="20"/>
        </w:rPr>
        <w:t xml:space="preserve"> are generally focused on opening or expanding opportunities for our products and technologies and supporting the design and introduction of new products (or enhancing existing products) for mobile handsets, and for industries and applications beyond mobil</w:t>
      </w:r>
      <w:r>
        <w:rPr>
          <w:rFonts w:eastAsia="Times New Roman"/>
          <w:color w:val="000000"/>
          <w:sz w:val="20"/>
          <w:szCs w:val="20"/>
        </w:rPr>
        <w:t>e handsets. Many of our strategic activities entail a high degree of risk and require the use of significant amounts of capital, and investments may not become liquid for several years after the date of the investment, if at all. Our strategic activities m</w:t>
      </w:r>
      <w:r>
        <w:rPr>
          <w:rFonts w:eastAsia="Times New Roman"/>
          <w:color w:val="000000"/>
          <w:sz w:val="20"/>
          <w:szCs w:val="20"/>
        </w:rPr>
        <w:t xml:space="preserve">ay not be successful, generate financial returns or result in increased adoption or continued use of our technologies or products. We may underestimate the costs or overestimate the benefits, including product, revenue, cost and other synergies and growth </w:t>
      </w:r>
      <w:r>
        <w:rPr>
          <w:rFonts w:eastAsia="Times New Roman"/>
          <w:color w:val="000000"/>
          <w:sz w:val="20"/>
          <w:szCs w:val="20"/>
        </w:rPr>
        <w:t>opportunities that we expect to realize, and we may not achieve those benefits. In some cases, we may be required to consolidate or record our share of the earnings or losses of companies in which we have acquired ownership or variable interests. In additi</w:t>
      </w:r>
      <w:r>
        <w:rPr>
          <w:rFonts w:eastAsia="Times New Roman"/>
          <w:color w:val="000000"/>
          <w:sz w:val="20"/>
          <w:szCs w:val="20"/>
        </w:rPr>
        <w:t>on, we have in the past recorded, and may in the future record, impairment or other charges related to our strategic activities. Any losses or impairment charges that we incur related to strategic activities will have a negative impact on our results of op</w:t>
      </w:r>
      <w:r>
        <w:rPr>
          <w:rFonts w:eastAsia="Times New Roman"/>
          <w:color w:val="000000"/>
          <w:sz w:val="20"/>
          <w:szCs w:val="20"/>
        </w:rPr>
        <w:t>erations and financial condition, and we may continue to incur new or additional losses related to strategic assets or investments that we have not fully impaired or exited.</w:t>
      </w:r>
    </w:p>
    <w:p w14:paraId="10243159" w14:textId="77777777" w:rsidR="00000000" w:rsidRDefault="009B6C69">
      <w:pPr>
        <w:ind w:firstLine="360"/>
        <w:divId w:val="439183723"/>
        <w:rPr>
          <w:rFonts w:eastAsia="Times New Roman"/>
        </w:rPr>
      </w:pPr>
      <w:r>
        <w:rPr>
          <w:rFonts w:eastAsia="Times New Roman"/>
          <w:color w:val="000000"/>
          <w:sz w:val="20"/>
          <w:szCs w:val="20"/>
        </w:rPr>
        <w:t>Achieving the anticipated benefits of business acquisitions depends in part upon o</w:t>
      </w:r>
      <w:r>
        <w:rPr>
          <w:rFonts w:eastAsia="Times New Roman"/>
          <w:color w:val="000000"/>
          <w:sz w:val="20"/>
          <w:szCs w:val="20"/>
        </w:rPr>
        <w:t>ur ability to integrate the businesses in an efficient and effective manner and achieve anticipated synergies, and we may not be successful in these efforts. Such integration is complex and time consuming and involves significant challenges, including, amo</w:t>
      </w:r>
      <w:r>
        <w:rPr>
          <w:rFonts w:eastAsia="Times New Roman"/>
          <w:color w:val="000000"/>
          <w:sz w:val="20"/>
          <w:szCs w:val="20"/>
        </w:rPr>
        <w:t>ng others: retaining key employees; successfully integrating new employees, facilities, technology, products, processes, operations (including supply and manufacturing operations), sales and distribution channels, business models and business systems; reta</w:t>
      </w:r>
      <w:r>
        <w:rPr>
          <w:rFonts w:eastAsia="Times New Roman"/>
          <w:color w:val="000000"/>
          <w:sz w:val="20"/>
          <w:szCs w:val="20"/>
        </w:rPr>
        <w:t>ining customers and suppliers of the businesses; consolidating research and development operations; minimizing the diversion of management’s attention from ongoing business matters; consolidating corporate and administrative infrastructures; and managing t</w:t>
      </w:r>
      <w:r>
        <w:rPr>
          <w:rFonts w:eastAsia="Times New Roman"/>
          <w:color w:val="000000"/>
          <w:sz w:val="20"/>
          <w:szCs w:val="20"/>
        </w:rPr>
        <w:t xml:space="preserve">he increased scale, complexity and globalization of our business, operations and employee base. We may not derive any commercial value from associated technologies or products or from future technologies or products based on these technologies, and we may </w:t>
      </w:r>
      <w:r>
        <w:rPr>
          <w:rFonts w:eastAsia="Times New Roman"/>
          <w:color w:val="000000"/>
          <w:sz w:val="20"/>
          <w:szCs w:val="20"/>
        </w:rPr>
        <w:t>be subject to liabilities that are not covered by indemnification protection that we may obtain, and we may become subject to litigation. Additionally, we may not be successful in entering or expanding into new sales or distribution channels, business or o</w:t>
      </w:r>
      <w:r>
        <w:rPr>
          <w:rFonts w:eastAsia="Times New Roman"/>
          <w:color w:val="000000"/>
          <w:sz w:val="20"/>
          <w:szCs w:val="20"/>
        </w:rPr>
        <w:t>perational models, geographic regions, industries and applications served by or adjacent to the associated businesses or in addressing potential new opportunities that may arise out of our strategic acquisitions.</w:t>
      </w:r>
    </w:p>
    <w:p w14:paraId="5785CE0A" w14:textId="77777777" w:rsidR="00000000" w:rsidRDefault="009B6C69">
      <w:pPr>
        <w:ind w:firstLine="360"/>
        <w:divId w:val="1553420619"/>
        <w:rPr>
          <w:rFonts w:eastAsia="Times New Roman"/>
        </w:rPr>
      </w:pPr>
      <w:r>
        <w:rPr>
          <w:rFonts w:eastAsia="Times New Roman"/>
          <w:color w:val="000000"/>
          <w:sz w:val="20"/>
          <w:szCs w:val="20"/>
        </w:rPr>
        <w:t>If we do not achieve the anticipated benefi</w:t>
      </w:r>
      <w:r>
        <w:rPr>
          <w:rFonts w:eastAsia="Times New Roman"/>
          <w:color w:val="000000"/>
          <w:sz w:val="20"/>
          <w:szCs w:val="20"/>
        </w:rPr>
        <w:t>ts of business acquisitions or other strategic activities, our business and results of operations may be adversely affected, and we may not enhance stockholder value by engaging in these transactions.</w:t>
      </w:r>
    </w:p>
    <w:p w14:paraId="433E4401" w14:textId="77777777" w:rsidR="00000000" w:rsidRDefault="009B6C69">
      <w:pPr>
        <w:ind w:firstLine="360"/>
        <w:divId w:val="1236237056"/>
        <w:rPr>
          <w:rFonts w:eastAsia="Times New Roman"/>
        </w:rPr>
      </w:pPr>
      <w:r>
        <w:rPr>
          <w:rFonts w:eastAsia="Times New Roman"/>
          <w:color w:val="000000"/>
          <w:sz w:val="20"/>
          <w:szCs w:val="20"/>
        </w:rPr>
        <w:t>Many of our acquisitions and other strategic investment</w:t>
      </w:r>
      <w:r>
        <w:rPr>
          <w:rFonts w:eastAsia="Times New Roman"/>
          <w:color w:val="000000"/>
          <w:sz w:val="20"/>
          <w:szCs w:val="20"/>
        </w:rPr>
        <w:t xml:space="preserve">s require approval by the United States and/or foreign government agencies. Certain agencies in the past have, and may in the future, deny the transaction or fail to approve in a timely manner, resulting in us not realizing the anticipated benefits of the </w:t>
      </w:r>
      <w:r>
        <w:rPr>
          <w:rFonts w:eastAsia="Times New Roman"/>
          <w:color w:val="000000"/>
          <w:sz w:val="20"/>
          <w:szCs w:val="20"/>
        </w:rPr>
        <w:t>proposed transaction. Future acquisitions or other strategic investments may be more difficult, complex or expensive to the extent that our reputation for our ability to consummate acquisitions has been or is in the future harmed. Further, if U.S./China re</w:t>
      </w:r>
      <w:r>
        <w:rPr>
          <w:rFonts w:eastAsia="Times New Roman"/>
          <w:color w:val="000000"/>
          <w:sz w:val="20"/>
          <w:szCs w:val="20"/>
        </w:rPr>
        <w:t>lations remain strained, our ability to consummate any transaction that would require approval from the relevant regulatory agency(ies) in China may be severely impacted. In addition, acquisitions that we have completed could subsequently be reviewed and/o</w:t>
      </w:r>
      <w:r>
        <w:rPr>
          <w:rFonts w:eastAsia="Times New Roman"/>
          <w:color w:val="000000"/>
          <w:sz w:val="20"/>
          <w:szCs w:val="20"/>
        </w:rPr>
        <w:t>r challenged by government agencies, which could result in fines, penalties or other liability, or requirements to divest all or a portion of an acquired business.</w:t>
      </w:r>
    </w:p>
    <w:p w14:paraId="46C3A332" w14:textId="77777777" w:rsidR="00000000" w:rsidRDefault="009B6C69">
      <w:pPr>
        <w:divId w:val="1447312132"/>
        <w:rPr>
          <w:rFonts w:eastAsia="Times New Roman"/>
        </w:rPr>
      </w:pPr>
      <w:r>
        <w:rPr>
          <w:rFonts w:eastAsia="Times New Roman"/>
          <w:b/>
          <w:bCs/>
          <w:color w:val="000000"/>
          <w:sz w:val="20"/>
          <w:szCs w:val="20"/>
        </w:rPr>
        <w:t>RISKS RELATED TO SUPPLY AND MANUFACTURING</w:t>
      </w:r>
    </w:p>
    <w:p w14:paraId="5A587DEB" w14:textId="77777777" w:rsidR="00000000" w:rsidRDefault="009B6C69">
      <w:pPr>
        <w:divId w:val="891310000"/>
        <w:rPr>
          <w:rFonts w:eastAsia="Times New Roman"/>
        </w:rPr>
      </w:pPr>
      <w:r>
        <w:rPr>
          <w:rFonts w:eastAsia="Times New Roman"/>
          <w:b/>
          <w:bCs/>
          <w:i/>
          <w:iCs/>
          <w:color w:val="000000"/>
          <w:sz w:val="20"/>
          <w:szCs w:val="20"/>
        </w:rPr>
        <w:t>We depend on a limited number of third-party suppl</w:t>
      </w:r>
      <w:r>
        <w:rPr>
          <w:rFonts w:eastAsia="Times New Roman"/>
          <w:b/>
          <w:bCs/>
          <w:i/>
          <w:iCs/>
          <w:color w:val="000000"/>
          <w:sz w:val="20"/>
          <w:szCs w:val="20"/>
        </w:rPr>
        <w:t>iers for the procurement, manufacture, assembly and testing of our products manufactured in a fabless production model. If we fail to execute supply strategies that provide supply assurance, technology leadership and reasonable margins, our business and re</w:t>
      </w:r>
      <w:r>
        <w:rPr>
          <w:rFonts w:eastAsia="Times New Roman"/>
          <w:b/>
          <w:bCs/>
          <w:i/>
          <w:iCs/>
          <w:color w:val="000000"/>
          <w:sz w:val="20"/>
          <w:szCs w:val="20"/>
        </w:rPr>
        <w:t>sults of operations may be harmed. We are also subject to order and shipment uncertainties that could negatively impact our results of operations.</w:t>
      </w:r>
    </w:p>
    <w:p w14:paraId="0FE38886" w14:textId="77777777" w:rsidR="00000000" w:rsidRDefault="009B6C69">
      <w:pPr>
        <w:ind w:firstLine="360"/>
        <w:divId w:val="914902673"/>
        <w:rPr>
          <w:rFonts w:eastAsia="Times New Roman"/>
        </w:rPr>
      </w:pPr>
      <w:r>
        <w:rPr>
          <w:rFonts w:eastAsia="Times New Roman"/>
          <w:color w:val="000000"/>
          <w:sz w:val="20"/>
          <w:szCs w:val="20"/>
        </w:rPr>
        <w:t>We primarily utilize a fabless production model, which means that we do not own or operate foundries for the production of silicon wafers from which our integrated circuits are made. Other than the facilities we own that manufacture certain of our RFFE mod</w:t>
      </w:r>
      <w:r>
        <w:rPr>
          <w:rFonts w:eastAsia="Times New Roman"/>
          <w:color w:val="000000"/>
          <w:sz w:val="20"/>
          <w:szCs w:val="20"/>
        </w:rPr>
        <w:t>ules and RF (radio frequency) filter products, we rely on third-party suppliers to perform the manufacturing and assembly, and most of the testing, of our integrated circuits. Our suppliers are also responsible for the procurement of most of the raw materi</w:t>
      </w:r>
      <w:r>
        <w:rPr>
          <w:rFonts w:eastAsia="Times New Roman"/>
          <w:color w:val="000000"/>
          <w:sz w:val="20"/>
          <w:szCs w:val="20"/>
        </w:rPr>
        <w:t>als used in the production of our integrated circuits. There are a limited number of such third-party suppliers, and even fewer who are capable of manufacturing at the leading process technology nodes or who are willing to operate at older process technolo</w:t>
      </w:r>
      <w:r>
        <w:rPr>
          <w:rFonts w:eastAsia="Times New Roman"/>
          <w:color w:val="000000"/>
          <w:sz w:val="20"/>
          <w:szCs w:val="20"/>
        </w:rPr>
        <w:t xml:space="preserve">gy nodes necessary for certain of our integrated circuit products. The semiconductor manufacturing </w:t>
      </w:r>
    </w:p>
    <w:p w14:paraId="26F94297" w14:textId="77777777" w:rsidR="00000000" w:rsidRDefault="009B6C69">
      <w:pPr>
        <w:jc w:val="center"/>
        <w:divId w:val="503012411"/>
        <w:rPr>
          <w:rFonts w:eastAsia="Times New Roman"/>
        </w:rPr>
      </w:pPr>
      <w:r>
        <w:rPr>
          <w:rFonts w:eastAsia="Times New Roman"/>
          <w:color w:val="000000"/>
          <w:sz w:val="20"/>
          <w:szCs w:val="20"/>
        </w:rPr>
        <w:t>22</w:t>
      </w:r>
    </w:p>
    <w:p w14:paraId="437C6064" w14:textId="77777777" w:rsidR="00000000" w:rsidRDefault="009B6C69">
      <w:pPr>
        <w:rPr>
          <w:rFonts w:eastAsia="Times New Roman"/>
        </w:rPr>
      </w:pPr>
      <w:r>
        <w:rPr>
          <w:rFonts w:eastAsia="Times New Roman"/>
        </w:rPr>
        <w:pict w14:anchorId="4A345191">
          <v:rect id="_x0000_i1045" style="width:0;height:1.5pt" o:hralign="center" o:hrstd="t" o:hr="t" fillcolor="#a0a0a0" stroked="f"/>
        </w:pict>
      </w:r>
    </w:p>
    <w:p w14:paraId="158AA563" w14:textId="77777777" w:rsidR="00000000" w:rsidRDefault="009B6C69">
      <w:pPr>
        <w:divId w:val="2086996040"/>
        <w:rPr>
          <w:rFonts w:eastAsia="Times New Roman"/>
        </w:rPr>
      </w:pPr>
    </w:p>
    <w:p w14:paraId="02F77E44" w14:textId="77777777" w:rsidR="00000000" w:rsidRDefault="009B6C69">
      <w:pPr>
        <w:divId w:val="947930680"/>
        <w:rPr>
          <w:rFonts w:eastAsia="Times New Roman"/>
        </w:rPr>
      </w:pPr>
      <w:r>
        <w:rPr>
          <w:rFonts w:eastAsia="Times New Roman"/>
          <w:color w:val="000000"/>
          <w:sz w:val="20"/>
          <w:szCs w:val="20"/>
        </w:rPr>
        <w:t>foundries that supply our products are primarily located in Asia, as are the primary warehouses where we store fin</w:t>
      </w:r>
      <w:r>
        <w:rPr>
          <w:rFonts w:eastAsia="Times New Roman"/>
          <w:color w:val="000000"/>
          <w:sz w:val="20"/>
          <w:szCs w:val="20"/>
        </w:rPr>
        <w:t xml:space="preserve">ished goods for fulfillment of customer orders. </w:t>
      </w:r>
    </w:p>
    <w:p w14:paraId="6BB3AC20" w14:textId="77777777" w:rsidR="00000000" w:rsidRDefault="009B6C69">
      <w:pPr>
        <w:ind w:firstLine="360"/>
        <w:divId w:val="1765224008"/>
        <w:rPr>
          <w:rFonts w:eastAsia="Times New Roman"/>
        </w:rPr>
      </w:pPr>
      <w:r>
        <w:rPr>
          <w:rFonts w:eastAsia="Times New Roman"/>
          <w:color w:val="000000"/>
          <w:sz w:val="20"/>
          <w:szCs w:val="20"/>
        </w:rPr>
        <w:t>The following issues related to our third-party suppliers could have an adverse effect on our ability to meet customer demand and negatively impact our revenues, business operations, profitability and cash f</w:t>
      </w:r>
      <w:r>
        <w:rPr>
          <w:rFonts w:eastAsia="Times New Roman"/>
          <w:color w:val="000000"/>
          <w:sz w:val="20"/>
          <w:szCs w:val="20"/>
        </w:rPr>
        <w:t>lows:</w:t>
      </w:r>
    </w:p>
    <w:p w14:paraId="66DF3505" w14:textId="77777777" w:rsidR="00000000" w:rsidRDefault="009B6C69">
      <w:pPr>
        <w:ind w:hanging="360"/>
        <w:divId w:val="300115443"/>
        <w:rPr>
          <w:rFonts w:eastAsia="Times New Roman"/>
        </w:rPr>
      </w:pPr>
      <w:r>
        <w:rPr>
          <w:rFonts w:eastAsia="Times New Roman"/>
          <w:color w:val="000000"/>
          <w:sz w:val="20"/>
          <w:szCs w:val="20"/>
        </w:rPr>
        <w:t>•our suppliers’ failure or inability to react to shifts in product demand, including situations where demand for integrated circuits exceeds suppliers’ capacity to meet that demand;</w:t>
      </w:r>
    </w:p>
    <w:p w14:paraId="1C01F93B" w14:textId="77777777" w:rsidR="00000000" w:rsidRDefault="009B6C69">
      <w:pPr>
        <w:ind w:hanging="360"/>
        <w:divId w:val="875042241"/>
        <w:rPr>
          <w:rFonts w:eastAsia="Times New Roman"/>
        </w:rPr>
      </w:pPr>
      <w:r>
        <w:rPr>
          <w:rFonts w:eastAsia="Times New Roman"/>
          <w:color w:val="000000"/>
          <w:sz w:val="20"/>
          <w:szCs w:val="20"/>
        </w:rPr>
        <w:t>•a failure or inability by our suppliers to procure raw materials or</w:t>
      </w:r>
      <w:r>
        <w:rPr>
          <w:rFonts w:eastAsia="Times New Roman"/>
          <w:color w:val="000000"/>
          <w:sz w:val="20"/>
          <w:szCs w:val="20"/>
        </w:rPr>
        <w:t xml:space="preserve"> allocate adequate raw materials for our products, or an increase in prices for raw materials or components;</w:t>
      </w:r>
    </w:p>
    <w:p w14:paraId="12C2FBF1" w14:textId="77777777" w:rsidR="00000000" w:rsidRDefault="009B6C69">
      <w:pPr>
        <w:ind w:hanging="360"/>
        <w:divId w:val="145359957"/>
        <w:rPr>
          <w:rFonts w:eastAsia="Times New Roman"/>
        </w:rPr>
      </w:pPr>
      <w:r>
        <w:rPr>
          <w:rFonts w:eastAsia="Times New Roman"/>
          <w:color w:val="000000"/>
          <w:sz w:val="20"/>
          <w:szCs w:val="20"/>
        </w:rPr>
        <w:t>•an inability to procure or utilize raw materials, components or products from our suppliers due to government prohibitions or restrictions on tran</w:t>
      </w:r>
      <w:r>
        <w:rPr>
          <w:rFonts w:eastAsia="Times New Roman"/>
          <w:color w:val="000000"/>
          <w:sz w:val="20"/>
          <w:szCs w:val="20"/>
        </w:rPr>
        <w:t>sactions with certain countries and/or companies, and alternative suppliers, raw material sources or raw materials are not available or not available in acceptable time frames or upon acceptable terms;</w:t>
      </w:r>
    </w:p>
    <w:p w14:paraId="5D48062B" w14:textId="77777777" w:rsidR="00000000" w:rsidRDefault="009B6C69">
      <w:pPr>
        <w:ind w:hanging="360"/>
        <w:divId w:val="920331334"/>
        <w:rPr>
          <w:rFonts w:eastAsia="Times New Roman"/>
        </w:rPr>
      </w:pPr>
      <w:r>
        <w:rPr>
          <w:rFonts w:eastAsia="Times New Roman"/>
          <w:color w:val="000000"/>
          <w:sz w:val="20"/>
          <w:szCs w:val="20"/>
        </w:rPr>
        <w:t>•a failure by our suppliers to allocate adequate manuf</w:t>
      </w:r>
      <w:r>
        <w:rPr>
          <w:rFonts w:eastAsia="Times New Roman"/>
          <w:color w:val="000000"/>
          <w:sz w:val="20"/>
          <w:szCs w:val="20"/>
        </w:rPr>
        <w:t>acturing, assembly or test capacity for our products;</w:t>
      </w:r>
    </w:p>
    <w:p w14:paraId="2F21939D" w14:textId="77777777" w:rsidR="00000000" w:rsidRDefault="009B6C69">
      <w:pPr>
        <w:ind w:hanging="360"/>
        <w:divId w:val="555120060"/>
        <w:rPr>
          <w:rFonts w:eastAsia="Times New Roman"/>
        </w:rPr>
      </w:pPr>
      <w:r>
        <w:rPr>
          <w:rFonts w:eastAsia="Times New Roman"/>
          <w:color w:val="000000"/>
          <w:sz w:val="20"/>
          <w:szCs w:val="20"/>
        </w:rPr>
        <w:t xml:space="preserve">•our suppliers’ failure or inability to develop or maintain, or a delay in developing or building out, manufacturing capacity for leading process technologies, including transitions to smaller geometry </w:t>
      </w:r>
      <w:r>
        <w:rPr>
          <w:rFonts w:eastAsia="Times New Roman"/>
          <w:color w:val="000000"/>
          <w:sz w:val="20"/>
          <w:szCs w:val="20"/>
        </w:rPr>
        <w:t>process technologies;</w:t>
      </w:r>
    </w:p>
    <w:p w14:paraId="3628A868" w14:textId="77777777" w:rsidR="00000000" w:rsidRDefault="009B6C69">
      <w:pPr>
        <w:ind w:hanging="360"/>
        <w:divId w:val="1725519723"/>
        <w:rPr>
          <w:rFonts w:eastAsia="Times New Roman"/>
        </w:rPr>
      </w:pPr>
      <w:r>
        <w:rPr>
          <w:rFonts w:eastAsia="Times New Roman"/>
          <w:color w:val="000000"/>
          <w:sz w:val="20"/>
          <w:szCs w:val="20"/>
        </w:rPr>
        <w:t xml:space="preserve">•the loss of a supplier or the failure or inability of a supplier to meet performance, quality or yield specifications or delivery schedules; </w:t>
      </w:r>
    </w:p>
    <w:p w14:paraId="50D1645D" w14:textId="77777777" w:rsidR="00000000" w:rsidRDefault="009B6C69">
      <w:pPr>
        <w:ind w:hanging="360"/>
        <w:divId w:val="1166943678"/>
        <w:rPr>
          <w:rFonts w:eastAsia="Times New Roman"/>
        </w:rPr>
      </w:pPr>
      <w:r>
        <w:rPr>
          <w:rFonts w:eastAsia="Times New Roman"/>
          <w:color w:val="000000"/>
          <w:sz w:val="20"/>
          <w:szCs w:val="20"/>
        </w:rPr>
        <w:t>•additional expense or production delays as a result of qualifying a new supplier and comme</w:t>
      </w:r>
      <w:r>
        <w:rPr>
          <w:rFonts w:eastAsia="Times New Roman"/>
          <w:color w:val="000000"/>
          <w:sz w:val="20"/>
          <w:szCs w:val="20"/>
        </w:rPr>
        <w:t>ncing volume production or testing in the event of a loss of, or a decision to add or change, a supplier;</w:t>
      </w:r>
    </w:p>
    <w:p w14:paraId="0C0421AC" w14:textId="77777777" w:rsidR="00000000" w:rsidRDefault="009B6C69">
      <w:pPr>
        <w:ind w:hanging="360"/>
        <w:divId w:val="2067557583"/>
        <w:rPr>
          <w:rFonts w:eastAsia="Times New Roman"/>
        </w:rPr>
      </w:pPr>
      <w:r>
        <w:rPr>
          <w:rFonts w:eastAsia="Times New Roman"/>
          <w:color w:val="000000"/>
          <w:sz w:val="20"/>
          <w:szCs w:val="20"/>
        </w:rPr>
        <w:t xml:space="preserve">•natural disasters, the effects of climate change, acts of war or other geopolitical conflicts impacting the regions in which our suppliers and their </w:t>
      </w:r>
      <w:r>
        <w:rPr>
          <w:rFonts w:eastAsia="Times New Roman"/>
          <w:color w:val="000000"/>
          <w:sz w:val="20"/>
          <w:szCs w:val="20"/>
        </w:rPr>
        <w:t>manufacturing foundries or assembly, test or other facilities are located;</w:t>
      </w:r>
    </w:p>
    <w:p w14:paraId="158C8DD1" w14:textId="77777777" w:rsidR="00000000" w:rsidRDefault="009B6C69">
      <w:pPr>
        <w:ind w:hanging="360"/>
        <w:divId w:val="1938364357"/>
        <w:rPr>
          <w:rFonts w:eastAsia="Times New Roman"/>
        </w:rPr>
      </w:pPr>
      <w:r>
        <w:rPr>
          <w:rFonts w:eastAsia="Times New Roman"/>
          <w:color w:val="000000"/>
          <w:sz w:val="20"/>
          <w:szCs w:val="20"/>
        </w:rPr>
        <w:t xml:space="preserve">•health crises, including epidemics or pandemics, such as the COVID-19 pandemic, and government and business responses thereto, which impact our suppliers, including as a result of </w:t>
      </w:r>
      <w:r>
        <w:rPr>
          <w:rFonts w:eastAsia="Times New Roman"/>
          <w:color w:val="000000"/>
          <w:sz w:val="20"/>
          <w:szCs w:val="20"/>
        </w:rPr>
        <w:t xml:space="preserve">quarantines or closures; </w:t>
      </w:r>
    </w:p>
    <w:p w14:paraId="4C294598" w14:textId="77777777" w:rsidR="00000000" w:rsidRDefault="009B6C69">
      <w:pPr>
        <w:ind w:hanging="360"/>
        <w:divId w:val="1679959446"/>
        <w:rPr>
          <w:rFonts w:eastAsia="Times New Roman"/>
        </w:rPr>
      </w:pPr>
      <w:r>
        <w:rPr>
          <w:rFonts w:eastAsia="Times New Roman"/>
          <w:color w:val="000000"/>
          <w:sz w:val="20"/>
          <w:szCs w:val="20"/>
        </w:rPr>
        <w:t>•cyber-attacks on our suppliers’ information technology (IT) systems, including those related to their manufacturing foundries or assembly, test or other facilities;</w:t>
      </w:r>
    </w:p>
    <w:p w14:paraId="665FBAAC" w14:textId="77777777" w:rsidR="00000000" w:rsidRDefault="009B6C69">
      <w:pPr>
        <w:ind w:hanging="360"/>
        <w:divId w:val="1896038202"/>
        <w:rPr>
          <w:rFonts w:eastAsia="Times New Roman"/>
        </w:rPr>
      </w:pPr>
      <w:r>
        <w:rPr>
          <w:rFonts w:eastAsia="Times New Roman"/>
          <w:color w:val="000000"/>
          <w:sz w:val="20"/>
          <w:szCs w:val="20"/>
        </w:rPr>
        <w:t>•trade or national security protection policies, particularly U.</w:t>
      </w:r>
      <w:r>
        <w:rPr>
          <w:rFonts w:eastAsia="Times New Roman"/>
          <w:color w:val="000000"/>
          <w:sz w:val="20"/>
          <w:szCs w:val="20"/>
        </w:rPr>
        <w:t>S. or Chinese government policies, that limit or prevent us from transacting business with suppliers of critical integrated circuit products, or that limit or prevent such suppliers from transacting business with us or from procuring materials, machinery o</w:t>
      </w:r>
      <w:r>
        <w:rPr>
          <w:rFonts w:eastAsia="Times New Roman"/>
          <w:color w:val="000000"/>
          <w:sz w:val="20"/>
          <w:szCs w:val="20"/>
        </w:rPr>
        <w:t xml:space="preserve">r technology necessary to manufacture goods for us; and </w:t>
      </w:r>
    </w:p>
    <w:p w14:paraId="01894C41" w14:textId="77777777" w:rsidR="00000000" w:rsidRDefault="009B6C69">
      <w:pPr>
        <w:ind w:hanging="360"/>
        <w:divId w:val="742605525"/>
        <w:rPr>
          <w:rFonts w:eastAsia="Times New Roman"/>
        </w:rPr>
      </w:pPr>
      <w:r>
        <w:rPr>
          <w:rFonts w:eastAsia="Times New Roman"/>
          <w:color w:val="000000"/>
          <w:sz w:val="20"/>
          <w:szCs w:val="20"/>
        </w:rPr>
        <w:t>•any other reduction, interruption, delay or limitation in our product supply sources.</w:t>
      </w:r>
    </w:p>
    <w:p w14:paraId="0B3EFF15" w14:textId="77777777" w:rsidR="00000000" w:rsidRDefault="009B6C69">
      <w:pPr>
        <w:ind w:firstLine="360"/>
        <w:divId w:val="1856579881"/>
        <w:rPr>
          <w:rFonts w:eastAsia="Times New Roman"/>
        </w:rPr>
      </w:pPr>
      <w:r>
        <w:rPr>
          <w:rFonts w:eastAsia="Times New Roman"/>
          <w:color w:val="000000"/>
          <w:sz w:val="20"/>
          <w:szCs w:val="20"/>
        </w:rPr>
        <w:t>We rely on sole- or limited-source suppliers for certain products, which may exacerbate the risks identified abo</w:t>
      </w:r>
      <w:r>
        <w:rPr>
          <w:rFonts w:eastAsia="Times New Roman"/>
          <w:color w:val="000000"/>
          <w:sz w:val="20"/>
          <w:szCs w:val="20"/>
        </w:rPr>
        <w:t>ve, and subject us to other significant risks, including poor product performance and reduced control over delivery schedules, manufacturing capability and yields, quality assurance, quantity and costs. While we have established and may in the future estab</w:t>
      </w:r>
      <w:r>
        <w:rPr>
          <w:rFonts w:eastAsia="Times New Roman"/>
          <w:color w:val="000000"/>
          <w:sz w:val="20"/>
          <w:szCs w:val="20"/>
        </w:rPr>
        <w:t>lish alternate suppliers for certain products, these suppliers may require significant amounts of time and levels of support to bring such products to production, both of which may increase for complex or leading process technologies. As a result, we may i</w:t>
      </w:r>
      <w:r>
        <w:rPr>
          <w:rFonts w:eastAsia="Times New Roman"/>
          <w:color w:val="000000"/>
          <w:sz w:val="20"/>
          <w:szCs w:val="20"/>
        </w:rPr>
        <w:t xml:space="preserve">nvest a significant amount of effort and resources and incur higher costs to support and maintain such alternate suppliers. Further, the elimination or limitation of a foundry supplier’s ability to manufacture components or products for us due to trade or </w:t>
      </w:r>
      <w:r>
        <w:rPr>
          <w:rFonts w:eastAsia="Times New Roman"/>
          <w:color w:val="000000"/>
          <w:sz w:val="20"/>
          <w:szCs w:val="20"/>
        </w:rPr>
        <w:t>national security protection policies could increase our vulnerability to sole- or limited-source arrangements and limit or prevent us from procuring critical components or products from those suppliers. Future consolidation of foundry suppliers could also</w:t>
      </w:r>
      <w:r>
        <w:rPr>
          <w:rFonts w:eastAsia="Times New Roman"/>
          <w:color w:val="000000"/>
          <w:sz w:val="20"/>
          <w:szCs w:val="20"/>
        </w:rPr>
        <w:t xml:space="preserve"> increase our vulnerability to sole- or limited-source arrangements and reduce our suppliers’ willingness to negotiate pricing, which could negatively impact our ability to achieve cost reductions, increase our manufacturing costs and limit the amount of c</w:t>
      </w:r>
      <w:r>
        <w:rPr>
          <w:rFonts w:eastAsia="Times New Roman"/>
          <w:color w:val="000000"/>
          <w:sz w:val="20"/>
          <w:szCs w:val="20"/>
        </w:rPr>
        <w:t>apacity available to us. Our arrangements with our suppliers may obligate us to incur costs to manufacture, assemble and test our products that do not decrease at the same rate as decreases in pricing to our customers. Our ability, and that of our supplier</w:t>
      </w:r>
      <w:r>
        <w:rPr>
          <w:rFonts w:eastAsia="Times New Roman"/>
          <w:color w:val="000000"/>
          <w:sz w:val="20"/>
          <w:szCs w:val="20"/>
        </w:rPr>
        <w:t>s, to develop or maintain leading process technologies, including transitions to smaller geometry process technologies (which adds risk to manufacturing yields and reliability), and to effectively compete with the manufacturing processes and performance of</w:t>
      </w:r>
      <w:r>
        <w:rPr>
          <w:rFonts w:eastAsia="Times New Roman"/>
          <w:color w:val="000000"/>
          <w:sz w:val="20"/>
          <w:szCs w:val="20"/>
        </w:rPr>
        <w:t xml:space="preserve"> our competitors, could impact our ability to introduce new products and meet customer demand, could increase our costs (possibly decreasing our margins) and could subject us to the risk of excess inventories. Any of the above could negatively impact our b</w:t>
      </w:r>
      <w:r>
        <w:rPr>
          <w:rFonts w:eastAsia="Times New Roman"/>
          <w:color w:val="000000"/>
          <w:sz w:val="20"/>
          <w:szCs w:val="20"/>
        </w:rPr>
        <w:t>usiness, results of operations and cash flows.</w:t>
      </w:r>
    </w:p>
    <w:p w14:paraId="0ACC7537" w14:textId="77777777" w:rsidR="00000000" w:rsidRDefault="009B6C69">
      <w:pPr>
        <w:ind w:firstLine="360"/>
        <w:divId w:val="506596104"/>
        <w:rPr>
          <w:rFonts w:eastAsia="Times New Roman"/>
        </w:rPr>
      </w:pPr>
      <w:r>
        <w:rPr>
          <w:rFonts w:eastAsia="Times New Roman"/>
          <w:color w:val="000000"/>
          <w:sz w:val="20"/>
          <w:szCs w:val="20"/>
        </w:rPr>
        <w:t>Although we have long-term contracts with our suppliers, some of these contracts do not provide for long-term capacity commitments. To the extent we do not have firm commitments from our suppliers over a speci</w:t>
      </w:r>
      <w:r>
        <w:rPr>
          <w:rFonts w:eastAsia="Times New Roman"/>
          <w:color w:val="000000"/>
          <w:sz w:val="20"/>
          <w:szCs w:val="20"/>
        </w:rPr>
        <w:t>fic time period or for any specific quantity, our suppliers may allocate, and in the past have allocated, capacity to the manufacture, assembly and testing of products for their other customers (including our competitors) while reducing or limiting capacit</w:t>
      </w:r>
      <w:r>
        <w:rPr>
          <w:rFonts w:eastAsia="Times New Roman"/>
          <w:color w:val="000000"/>
          <w:sz w:val="20"/>
          <w:szCs w:val="20"/>
        </w:rPr>
        <w:t>y to manufacture, assemble or test our products, and such capacity may be limited based on our suppliers’ ability and willingness to invest in the capital required to manufacture in the leading process technologies. Our suppliers or potential alternate sup</w:t>
      </w:r>
      <w:r>
        <w:rPr>
          <w:rFonts w:eastAsia="Times New Roman"/>
          <w:color w:val="000000"/>
          <w:sz w:val="20"/>
          <w:szCs w:val="20"/>
        </w:rPr>
        <w:t xml:space="preserve">pliers may also manufacture their own integrated circuits that compete with our products. Such suppliers have in the past allocated and may again allocate raw materials and manufacturing capacity to their own products and reduce or limit the production of </w:t>
      </w:r>
      <w:r>
        <w:rPr>
          <w:rFonts w:eastAsia="Times New Roman"/>
          <w:color w:val="000000"/>
          <w:sz w:val="20"/>
          <w:szCs w:val="20"/>
        </w:rPr>
        <w:t xml:space="preserve">our </w:t>
      </w:r>
    </w:p>
    <w:p w14:paraId="60B980E1" w14:textId="77777777" w:rsidR="00000000" w:rsidRDefault="009B6C69">
      <w:pPr>
        <w:jc w:val="center"/>
        <w:divId w:val="712659356"/>
        <w:rPr>
          <w:rFonts w:eastAsia="Times New Roman"/>
        </w:rPr>
      </w:pPr>
      <w:r>
        <w:rPr>
          <w:rFonts w:eastAsia="Times New Roman"/>
          <w:color w:val="000000"/>
          <w:sz w:val="20"/>
          <w:szCs w:val="20"/>
        </w:rPr>
        <w:t>23</w:t>
      </w:r>
    </w:p>
    <w:p w14:paraId="47921B48" w14:textId="77777777" w:rsidR="00000000" w:rsidRDefault="009B6C69">
      <w:pPr>
        <w:rPr>
          <w:rFonts w:eastAsia="Times New Roman"/>
        </w:rPr>
      </w:pPr>
      <w:r>
        <w:rPr>
          <w:rFonts w:eastAsia="Times New Roman"/>
        </w:rPr>
        <w:pict w14:anchorId="5429F274">
          <v:rect id="_x0000_i1046" style="width:0;height:1.5pt" o:hralign="center" o:hrstd="t" o:hr="t" fillcolor="#a0a0a0" stroked="f"/>
        </w:pict>
      </w:r>
    </w:p>
    <w:p w14:paraId="4B2D6BBA" w14:textId="77777777" w:rsidR="00000000" w:rsidRDefault="009B6C69">
      <w:pPr>
        <w:divId w:val="875699551"/>
        <w:rPr>
          <w:rFonts w:eastAsia="Times New Roman"/>
        </w:rPr>
      </w:pPr>
    </w:p>
    <w:p w14:paraId="288A9EDB" w14:textId="77777777" w:rsidR="00000000" w:rsidRDefault="009B6C69">
      <w:pPr>
        <w:divId w:val="30427399"/>
        <w:rPr>
          <w:rFonts w:eastAsia="Times New Roman"/>
        </w:rPr>
      </w:pPr>
      <w:r>
        <w:rPr>
          <w:rFonts w:eastAsia="Times New Roman"/>
          <w:color w:val="000000"/>
          <w:sz w:val="20"/>
          <w:szCs w:val="20"/>
        </w:rPr>
        <w:t>products. To the extent we do obtain long-term capacity commitments, we may incur additional costs related to those commitments or make non-refundable payments for capacity commitments that are not used. Furthe</w:t>
      </w:r>
      <w:r>
        <w:rPr>
          <w:rFonts w:eastAsia="Times New Roman"/>
          <w:color w:val="000000"/>
          <w:sz w:val="20"/>
          <w:szCs w:val="20"/>
        </w:rPr>
        <w:t>r, certain of our suppliers have in the past attempted, and may in the future attempt, to unilaterally reduce their capacity commitments to us. Accordingly, capacity for our products may not be available when we need it. Finally, we may not receive reasona</w:t>
      </w:r>
      <w:r>
        <w:rPr>
          <w:rFonts w:eastAsia="Times New Roman"/>
          <w:color w:val="000000"/>
          <w:sz w:val="20"/>
          <w:szCs w:val="20"/>
        </w:rPr>
        <w:t xml:space="preserve">ble pricing, manufacturing or delivery terms from our suppliers, and our ability to obtain favorable terms may be diminished during times of high demand and/or limited manufacturing capacity for integrated circuit products. </w:t>
      </w:r>
    </w:p>
    <w:p w14:paraId="68FCFAB1" w14:textId="77777777" w:rsidR="00000000" w:rsidRDefault="009B6C69">
      <w:pPr>
        <w:ind w:firstLine="360"/>
        <w:divId w:val="892698089"/>
        <w:rPr>
          <w:rFonts w:eastAsia="Times New Roman"/>
        </w:rPr>
      </w:pPr>
      <w:r>
        <w:rPr>
          <w:rFonts w:eastAsia="Times New Roman"/>
          <w:color w:val="000000"/>
          <w:sz w:val="20"/>
          <w:szCs w:val="20"/>
        </w:rPr>
        <w:t>We cannot guarantee that the ac</w:t>
      </w:r>
      <w:r>
        <w:rPr>
          <w:rFonts w:eastAsia="Times New Roman"/>
          <w:color w:val="000000"/>
          <w:sz w:val="20"/>
          <w:szCs w:val="20"/>
        </w:rPr>
        <w:t>tions of our suppliers will not cause disruptions in our operations that could harm our ability to meet our delivery obligations to our customers or increase our cost of sales. To the extent we are unable to obtain adequate supply to meet our delivery obli</w:t>
      </w:r>
      <w:r>
        <w:rPr>
          <w:rFonts w:eastAsia="Times New Roman"/>
          <w:color w:val="000000"/>
          <w:sz w:val="20"/>
          <w:szCs w:val="20"/>
        </w:rPr>
        <w:t>gations, we may be obligated to make payments to our customers for such shortfalls. Recently, the global semiconductor industry experienced demand for integrated circuits that exceeded the industry’s capacity to meet that demand. Our ability to meet increa</w:t>
      </w:r>
      <w:r>
        <w:rPr>
          <w:rFonts w:eastAsia="Times New Roman"/>
          <w:color w:val="000000"/>
          <w:sz w:val="20"/>
          <w:szCs w:val="20"/>
        </w:rPr>
        <w:t>sed demand for our products has been and may in the future be limited due to the inability to obtain the additional manufacturing, assembly and test capacity necessary to fully meet such demand. If we are unable to fully meet customer demand, this could re</w:t>
      </w:r>
      <w:r>
        <w:rPr>
          <w:rFonts w:eastAsia="Times New Roman"/>
          <w:color w:val="000000"/>
          <w:sz w:val="20"/>
          <w:szCs w:val="20"/>
        </w:rPr>
        <w:t xml:space="preserve">sult in lost sales opportunities, reduced revenue growth and harm to our customer relationships. These issues may be exacerbated if customers overstate their expected demand requirements in order to procure additional supply, which could negatively impact </w:t>
      </w:r>
      <w:r>
        <w:rPr>
          <w:rFonts w:eastAsia="Times New Roman"/>
          <w:color w:val="000000"/>
          <w:sz w:val="20"/>
          <w:szCs w:val="20"/>
        </w:rPr>
        <w:t>our ability to forecast and to allocate supply appropriately among our customers. The above issues may also be exacerbated with respect to our platform solutions, which already entail a great deal of complexity due to differing lead-times, technologies and</w:t>
      </w:r>
      <w:r>
        <w:rPr>
          <w:rFonts w:eastAsia="Times New Roman"/>
          <w:color w:val="000000"/>
          <w:sz w:val="20"/>
          <w:szCs w:val="20"/>
        </w:rPr>
        <w:t xml:space="preserve"> suppliers for each integrated circuit product included in such solutions. Additionally, our suppliers have in the past and may in the future increase their prices during periods of capacity constraints, or for other reasons, thus increasing our costs. </w:t>
      </w:r>
    </w:p>
    <w:p w14:paraId="4C2A4EE9" w14:textId="77777777" w:rsidR="00000000" w:rsidRDefault="009B6C69">
      <w:pPr>
        <w:ind w:firstLine="360"/>
        <w:divId w:val="2144302200"/>
        <w:rPr>
          <w:rFonts w:eastAsia="Times New Roman"/>
        </w:rPr>
      </w:pPr>
      <w:r>
        <w:rPr>
          <w:rFonts w:eastAsia="Times New Roman"/>
          <w:color w:val="000000"/>
          <w:sz w:val="20"/>
          <w:szCs w:val="20"/>
        </w:rPr>
        <w:t>Wh</w:t>
      </w:r>
      <w:r>
        <w:rPr>
          <w:rFonts w:eastAsia="Times New Roman"/>
          <w:color w:val="000000"/>
          <w:sz w:val="20"/>
          <w:szCs w:val="20"/>
        </w:rPr>
        <w:t>ile capacity constraints have largely abated, we continue to see price increases from certain of our key semiconductor manufacturing suppliers which, without corresponding increases in the prices of our products, would negatively impact our margins.</w:t>
      </w:r>
    </w:p>
    <w:p w14:paraId="0E222F18" w14:textId="77777777" w:rsidR="00000000" w:rsidRDefault="009B6C69">
      <w:pPr>
        <w:ind w:firstLine="360"/>
        <w:divId w:val="1266110095"/>
        <w:rPr>
          <w:rFonts w:eastAsia="Times New Roman"/>
        </w:rPr>
      </w:pPr>
      <w:r>
        <w:rPr>
          <w:rFonts w:eastAsia="Times New Roman"/>
          <w:color w:val="000000"/>
          <w:sz w:val="20"/>
          <w:szCs w:val="20"/>
        </w:rPr>
        <w:t>We pla</w:t>
      </w:r>
      <w:r>
        <w:rPr>
          <w:rFonts w:eastAsia="Times New Roman"/>
          <w:color w:val="000000"/>
          <w:sz w:val="20"/>
          <w:szCs w:val="20"/>
        </w:rPr>
        <w:t>ce orders with our suppliers using our and our customers’ forecasts of demand for our products, which are based on a number of assumptions and estimates. As we move to smaller geometry process technologies, the manufacturing lead-time increases. As a resul</w:t>
      </w:r>
      <w:r>
        <w:rPr>
          <w:rFonts w:eastAsia="Times New Roman"/>
          <w:color w:val="000000"/>
          <w:sz w:val="20"/>
          <w:szCs w:val="20"/>
        </w:rPr>
        <w:t>t, the orders we place with our suppliers are generally only partially covered by commitments from our customers. If we, or our customers, overestimate demand, or if demand is impacted by factors outside of our or our customers’ control, and such demand is</w:t>
      </w:r>
      <w:r>
        <w:rPr>
          <w:rFonts w:eastAsia="Times New Roman"/>
          <w:color w:val="000000"/>
          <w:sz w:val="20"/>
          <w:szCs w:val="20"/>
        </w:rPr>
        <w:t xml:space="preserve"> not covered by a binding commitment from our customers, we may experience increased excess or obsolete inventory or reserve charges, which would negatively impact our results of operations. Further, to the extent our customers procure supply of our integr</w:t>
      </w:r>
      <w:r>
        <w:rPr>
          <w:rFonts w:eastAsia="Times New Roman"/>
          <w:color w:val="000000"/>
          <w:sz w:val="20"/>
          <w:szCs w:val="20"/>
        </w:rPr>
        <w:t>ated circuit products beyond their current needs (i.e., build up inventory of our integrated circuit products), whether due to concerns over supply, overestimating demand and/or a decline in macroeconomic conditions, or otherwise, they may not purchase exp</w:t>
      </w:r>
      <w:r>
        <w:rPr>
          <w:rFonts w:eastAsia="Times New Roman"/>
          <w:color w:val="000000"/>
          <w:sz w:val="20"/>
          <w:szCs w:val="20"/>
        </w:rPr>
        <w:t>ected quantities of our products in subsequent quarters, which may negatively impact our revenues, results of operations and cash flows in such quarters.</w:t>
      </w:r>
    </w:p>
    <w:p w14:paraId="50755527" w14:textId="77777777" w:rsidR="00000000" w:rsidRDefault="009B6C69">
      <w:pPr>
        <w:ind w:firstLine="360"/>
        <w:divId w:val="1638947924"/>
        <w:rPr>
          <w:rFonts w:eastAsia="Times New Roman"/>
        </w:rPr>
      </w:pPr>
      <w:r>
        <w:rPr>
          <w:rFonts w:eastAsia="Times New Roman"/>
          <w:color w:val="000000"/>
          <w:sz w:val="20"/>
          <w:szCs w:val="20"/>
        </w:rPr>
        <w:t xml:space="preserve">See also the Risk Factor below titled </w:t>
      </w:r>
      <w:r>
        <w:rPr>
          <w:rFonts w:eastAsia="Times New Roman"/>
          <w:i/>
          <w:iCs/>
          <w:color w:val="000000"/>
          <w:sz w:val="20"/>
          <w:szCs w:val="20"/>
        </w:rPr>
        <w:t>“</w:t>
      </w:r>
      <w:r>
        <w:rPr>
          <w:rFonts w:eastAsia="Times New Roman"/>
          <w:i/>
          <w:iCs/>
          <w:color w:val="000000"/>
          <w:sz w:val="20"/>
          <w:szCs w:val="20"/>
        </w:rPr>
        <w:t>There are numerous risks associated with the operation and control of our manufacturing facilities, including a higher portion of fixed costs relative to a fabless model; environmental compliance and liability; impacts related to climate change; exposure t</w:t>
      </w:r>
      <w:r>
        <w:rPr>
          <w:rFonts w:eastAsia="Times New Roman"/>
          <w:i/>
          <w:iCs/>
          <w:color w:val="000000"/>
          <w:sz w:val="20"/>
          <w:szCs w:val="20"/>
        </w:rPr>
        <w:t xml:space="preserve">o natural disasters, health crises, geopolitical conflicts and cyber-attacks; timely supply of equipment and materials; and various manufacturing issues” </w:t>
      </w:r>
      <w:r>
        <w:rPr>
          <w:rFonts w:eastAsia="Times New Roman"/>
          <w:color w:val="000000"/>
          <w:sz w:val="20"/>
          <w:szCs w:val="20"/>
        </w:rPr>
        <w:t xml:space="preserve">as similar risks, as well as additional risks, may be applicable to our third-party suppliers’ </w:t>
      </w:r>
      <w:r>
        <w:rPr>
          <w:rFonts w:eastAsia="Times New Roman"/>
          <w:color w:val="000000"/>
          <w:sz w:val="20"/>
          <w:szCs w:val="20"/>
        </w:rPr>
        <w:t>manufacturing facilities, which could result in disruptions to our business or additional costs to us, and negatively impact our results of operations.</w:t>
      </w:r>
    </w:p>
    <w:p w14:paraId="4050A42A" w14:textId="77777777" w:rsidR="00000000" w:rsidRDefault="009B6C69">
      <w:pPr>
        <w:divId w:val="893811337"/>
        <w:rPr>
          <w:rFonts w:eastAsia="Times New Roman"/>
        </w:rPr>
      </w:pPr>
      <w:r>
        <w:rPr>
          <w:rFonts w:eastAsia="Times New Roman"/>
          <w:b/>
          <w:bCs/>
          <w:i/>
          <w:iCs/>
          <w:color w:val="000000"/>
          <w:sz w:val="20"/>
          <w:szCs w:val="20"/>
        </w:rPr>
        <w:t>There are numerous risks associated with the operation and control of our manufacturing facilities, incl</w:t>
      </w:r>
      <w:r>
        <w:rPr>
          <w:rFonts w:eastAsia="Times New Roman"/>
          <w:b/>
          <w:bCs/>
          <w:i/>
          <w:iCs/>
          <w:color w:val="000000"/>
          <w:sz w:val="20"/>
          <w:szCs w:val="20"/>
        </w:rPr>
        <w:t>uding a higher portion of fixed costs relative to a fabless model; environmental compliance and liability; impacts related to climate change; exposure to natural disasters, health crises, geopolitical conflicts and cyber-attacks; timely supply of equipment</w:t>
      </w:r>
      <w:r>
        <w:rPr>
          <w:rFonts w:eastAsia="Times New Roman"/>
          <w:b/>
          <w:bCs/>
          <w:i/>
          <w:iCs/>
          <w:color w:val="000000"/>
          <w:sz w:val="20"/>
          <w:szCs w:val="20"/>
        </w:rPr>
        <w:t xml:space="preserve"> and materials; and various manufacturing issues.</w:t>
      </w:r>
    </w:p>
    <w:p w14:paraId="70B6C7C8" w14:textId="77777777" w:rsidR="00000000" w:rsidRDefault="009B6C69">
      <w:pPr>
        <w:ind w:firstLine="360"/>
        <w:divId w:val="414206728"/>
        <w:rPr>
          <w:rFonts w:eastAsia="Times New Roman"/>
        </w:rPr>
      </w:pPr>
      <w:r>
        <w:rPr>
          <w:rFonts w:eastAsia="Times New Roman"/>
          <w:color w:val="000000"/>
          <w:sz w:val="20"/>
          <w:szCs w:val="20"/>
        </w:rPr>
        <w:t>We operate various facilities that manufacture certain of our RFFE modules and RF filter products. Our manufacturing facilities are characterized by a higher portion of fixed costs relative to a fabless mod</w:t>
      </w:r>
      <w:r>
        <w:rPr>
          <w:rFonts w:eastAsia="Times New Roman"/>
          <w:color w:val="000000"/>
          <w:sz w:val="20"/>
          <w:szCs w:val="20"/>
        </w:rPr>
        <w:t xml:space="preserve">el. We may be faced with a decline in the utilization rates of our manufacturing facilities due to decreases in demand for our products, including in less favorable industry or macroeconomic environments, or due to our failure to win and/or retain designs </w:t>
      </w:r>
      <w:r>
        <w:rPr>
          <w:rFonts w:eastAsia="Times New Roman"/>
          <w:color w:val="000000"/>
          <w:sz w:val="20"/>
          <w:szCs w:val="20"/>
        </w:rPr>
        <w:t>with OEMs. As a result, from time to time our manufacturing facilities operate at lower capacity levels, while the fixed costs associated with such facilities continue to be incurred, resulting in lower gross profit. Due to the factors above, we are curren</w:t>
      </w:r>
      <w:r>
        <w:rPr>
          <w:rFonts w:eastAsia="Times New Roman"/>
          <w:color w:val="000000"/>
          <w:sz w:val="20"/>
          <w:szCs w:val="20"/>
        </w:rPr>
        <w:t xml:space="preserve">tly experiencing, and expect to continue to experience in the near term, such underutilization of capacity at our manufacturing facilities. </w:t>
      </w:r>
    </w:p>
    <w:p w14:paraId="2F1B2C68" w14:textId="77777777" w:rsidR="00000000" w:rsidRDefault="009B6C69">
      <w:pPr>
        <w:ind w:firstLine="360"/>
        <w:divId w:val="260991134"/>
        <w:rPr>
          <w:rFonts w:eastAsia="Times New Roman"/>
        </w:rPr>
      </w:pPr>
      <w:r>
        <w:rPr>
          <w:rFonts w:eastAsia="Times New Roman"/>
          <w:color w:val="000000"/>
          <w:sz w:val="20"/>
          <w:szCs w:val="20"/>
        </w:rPr>
        <w:t>We are subject to many complex environmental, health and safety laws, regulations and rules in each jurisdiction in</w:t>
      </w:r>
      <w:r>
        <w:rPr>
          <w:rFonts w:eastAsia="Times New Roman"/>
          <w:color w:val="000000"/>
          <w:sz w:val="20"/>
          <w:szCs w:val="20"/>
        </w:rPr>
        <w:t xml:space="preserve"> which we operate our manufacturing (and research and development) facilities. The regulatory landscape in these areas continues to evolve, and we anticipate additional laws, regulations and rules in the future. In particular, new, or changes in, environme</w:t>
      </w:r>
      <w:r>
        <w:rPr>
          <w:rFonts w:eastAsia="Times New Roman"/>
          <w:color w:val="000000"/>
          <w:sz w:val="20"/>
          <w:szCs w:val="20"/>
        </w:rPr>
        <w:t>ntal and climate change laws, regulations or rules, including relating to greenhouse gas emissions, could lead to new or additional investments in production processes and could increase environmental compliance expenditures. In addition, certain environme</w:t>
      </w:r>
      <w:r>
        <w:rPr>
          <w:rFonts w:eastAsia="Times New Roman"/>
          <w:color w:val="000000"/>
          <w:sz w:val="20"/>
          <w:szCs w:val="20"/>
        </w:rPr>
        <w:t>ntal laws impose strict, and in certain circumstances joint and several, liability on current or previous owners or operators of real property, or parties who arranged for hazardous substances to be sent to disposal or treatment facilities, for the cost of</w:t>
      </w:r>
      <w:r>
        <w:rPr>
          <w:rFonts w:eastAsia="Times New Roman"/>
          <w:color w:val="000000"/>
          <w:sz w:val="20"/>
          <w:szCs w:val="20"/>
        </w:rPr>
        <w:t xml:space="preserve"> investigation, removal or remediation of hazardous substances. As a result, we may incur clean-up costs in connection with any such removal or remediation efforts, as well as other third-party claims in connection with contaminated sites. In addition, we </w:t>
      </w:r>
      <w:r>
        <w:rPr>
          <w:rFonts w:eastAsia="Times New Roman"/>
          <w:color w:val="000000"/>
          <w:sz w:val="20"/>
          <w:szCs w:val="20"/>
        </w:rPr>
        <w:t xml:space="preserve">could be held liable for consequences arising out of human exposure to hazardous substances or other environmental damage. If we, or companies or facilities we acquire or have acquired, in the past failed or in the future fail to comply with any such laws </w:t>
      </w:r>
      <w:r>
        <w:rPr>
          <w:rFonts w:eastAsia="Times New Roman"/>
          <w:color w:val="000000"/>
          <w:sz w:val="20"/>
          <w:szCs w:val="20"/>
        </w:rPr>
        <w:t xml:space="preserve">and regulations, then we could incur regulatory penalties, fines and legal </w:t>
      </w:r>
    </w:p>
    <w:p w14:paraId="40836939" w14:textId="77777777" w:rsidR="00000000" w:rsidRDefault="009B6C69">
      <w:pPr>
        <w:jc w:val="center"/>
        <w:divId w:val="338393667"/>
        <w:rPr>
          <w:rFonts w:eastAsia="Times New Roman"/>
        </w:rPr>
      </w:pPr>
      <w:r>
        <w:rPr>
          <w:rFonts w:eastAsia="Times New Roman"/>
          <w:color w:val="000000"/>
          <w:sz w:val="20"/>
          <w:szCs w:val="20"/>
        </w:rPr>
        <w:t>24</w:t>
      </w:r>
    </w:p>
    <w:p w14:paraId="0C688893" w14:textId="77777777" w:rsidR="00000000" w:rsidRDefault="009B6C69">
      <w:pPr>
        <w:rPr>
          <w:rFonts w:eastAsia="Times New Roman"/>
        </w:rPr>
      </w:pPr>
      <w:r>
        <w:rPr>
          <w:rFonts w:eastAsia="Times New Roman"/>
        </w:rPr>
        <w:pict w14:anchorId="6847309E">
          <v:rect id="_x0000_i1047" style="width:0;height:1.5pt" o:hralign="center" o:hrstd="t" o:hr="t" fillcolor="#a0a0a0" stroked="f"/>
        </w:pict>
      </w:r>
    </w:p>
    <w:p w14:paraId="214C3337" w14:textId="77777777" w:rsidR="00000000" w:rsidRDefault="009B6C69">
      <w:pPr>
        <w:divId w:val="1032461898"/>
        <w:rPr>
          <w:rFonts w:eastAsia="Times New Roman"/>
        </w:rPr>
      </w:pPr>
    </w:p>
    <w:p w14:paraId="03558739" w14:textId="77777777" w:rsidR="00000000" w:rsidRDefault="009B6C69">
      <w:pPr>
        <w:divId w:val="705451976"/>
        <w:rPr>
          <w:rFonts w:eastAsia="Times New Roman"/>
        </w:rPr>
      </w:pPr>
      <w:r>
        <w:rPr>
          <w:rFonts w:eastAsia="Times New Roman"/>
          <w:color w:val="000000"/>
          <w:sz w:val="20"/>
          <w:szCs w:val="20"/>
        </w:rPr>
        <w:t>liabilities; suspension of production; significant compliance requirements; alteration of our manufacturing, assembly or test processes; r</w:t>
      </w:r>
      <w:r>
        <w:rPr>
          <w:rFonts w:eastAsia="Times New Roman"/>
          <w:color w:val="000000"/>
          <w:sz w:val="20"/>
          <w:szCs w:val="20"/>
        </w:rPr>
        <w:t>estriction on our ability to modify or expand our facilities; damage to our reputation; and restrictions on our operations or sales. We are also required to obtain and maintain environmental permits from governmental authorities for certain of our operatio</w:t>
      </w:r>
      <w:r>
        <w:rPr>
          <w:rFonts w:eastAsia="Times New Roman"/>
          <w:color w:val="000000"/>
          <w:sz w:val="20"/>
          <w:szCs w:val="20"/>
        </w:rPr>
        <w:t xml:space="preserve">ns. We cannot make assurances that we will at all times be in compliance with such laws, regulations, rules and permits. See also the risk factor titled </w:t>
      </w:r>
      <w:r>
        <w:rPr>
          <w:rFonts w:eastAsia="Times New Roman"/>
          <w:i/>
          <w:iCs/>
          <w:color w:val="000000"/>
          <w:sz w:val="20"/>
          <w:szCs w:val="20"/>
        </w:rPr>
        <w:t>“Our business may suffer due to the impact of, or our failure to comply with, the various existing, new</w:t>
      </w:r>
      <w:r>
        <w:rPr>
          <w:rFonts w:eastAsia="Times New Roman"/>
          <w:i/>
          <w:iCs/>
          <w:color w:val="000000"/>
          <w:sz w:val="20"/>
          <w:szCs w:val="20"/>
        </w:rPr>
        <w:t xml:space="preserve"> or amended laws, regulations, policies or standards to which we are subject.”</w:t>
      </w:r>
    </w:p>
    <w:p w14:paraId="033138B4" w14:textId="77777777" w:rsidR="00000000" w:rsidRDefault="009B6C69">
      <w:pPr>
        <w:ind w:firstLine="360"/>
        <w:divId w:val="813332852"/>
        <w:rPr>
          <w:rFonts w:eastAsia="Times New Roman"/>
        </w:rPr>
      </w:pPr>
      <w:r>
        <w:rPr>
          <w:rFonts w:eastAsia="Times New Roman"/>
          <w:color w:val="000000"/>
          <w:sz w:val="20"/>
          <w:szCs w:val="20"/>
        </w:rPr>
        <w:t>Climate change concerns and the potential resulting environmental impact may result in new environmental, health and safety laws and regulations that may affect us, our supplier</w:t>
      </w:r>
      <w:r>
        <w:rPr>
          <w:rFonts w:eastAsia="Times New Roman"/>
          <w:color w:val="000000"/>
          <w:sz w:val="20"/>
          <w:szCs w:val="20"/>
        </w:rPr>
        <w:t>s and our customers. Such laws or regulations could cause us to incur additional direct costs for compliance, including costs associated with changes to manufacturing processes or the procurement of raw materials used in manufacturing processes, as well as</w:t>
      </w:r>
      <w:r>
        <w:rPr>
          <w:rFonts w:eastAsia="Times New Roman"/>
          <w:color w:val="000000"/>
          <w:sz w:val="20"/>
          <w:szCs w:val="20"/>
        </w:rPr>
        <w:t xml:space="preserve"> increased indirect costs resulting from our customers, suppliers or both incurring additional compliance costs that are passed on to us. These costs may adversely impact our results of operations and financial condition. In addition, climate change could </w:t>
      </w:r>
      <w:r>
        <w:rPr>
          <w:rFonts w:eastAsia="Times New Roman"/>
          <w:color w:val="000000"/>
          <w:sz w:val="20"/>
          <w:szCs w:val="20"/>
        </w:rPr>
        <w:t>cause certain natural disasters, such as drought, wildfires, storms, flooding or rising sea levels, to occur more frequently or with greater intensity, which could pose physical risks to our manufacturing facilities or our suppliers’ facilities, could disr</w:t>
      </w:r>
      <w:r>
        <w:rPr>
          <w:rFonts w:eastAsia="Times New Roman"/>
          <w:color w:val="000000"/>
          <w:sz w:val="20"/>
          <w:szCs w:val="20"/>
        </w:rPr>
        <w:t>upt the availability of water necessary for the operation of such facilities, and could increase or decrease temperatures resulting in increased operating costs and/or business disruption.</w:t>
      </w:r>
    </w:p>
    <w:p w14:paraId="1258FE33" w14:textId="77777777" w:rsidR="00000000" w:rsidRDefault="009B6C69">
      <w:pPr>
        <w:ind w:firstLine="360"/>
        <w:divId w:val="24838517"/>
        <w:rPr>
          <w:rFonts w:eastAsia="Times New Roman"/>
        </w:rPr>
      </w:pPr>
      <w:r>
        <w:rPr>
          <w:rFonts w:eastAsia="Times New Roman"/>
          <w:color w:val="000000"/>
          <w:sz w:val="20"/>
          <w:szCs w:val="20"/>
        </w:rPr>
        <w:t>We have manufacturing facilities in Asia and Europe, and the primar</w:t>
      </w:r>
      <w:r>
        <w:rPr>
          <w:rFonts w:eastAsia="Times New Roman"/>
          <w:color w:val="000000"/>
          <w:sz w:val="20"/>
          <w:szCs w:val="20"/>
        </w:rPr>
        <w:t>y warehouses where we store finished goods are located in Asia. If tsunamis, flooding, earthquakes, volcanic eruptions, drought or other natural disasters, effects of climate change, acts of war or other geopolitical conflicts were to damage, destroy or di</w:t>
      </w:r>
      <w:r>
        <w:rPr>
          <w:rFonts w:eastAsia="Times New Roman"/>
          <w:color w:val="000000"/>
          <w:sz w:val="20"/>
          <w:szCs w:val="20"/>
        </w:rPr>
        <w:t>srupt any of these facilities, it could disrupt our operations, cease or delay production and shipments of inventory and result in costly repairs, replacements or other costs and lost business. In addition, natural disasters, effects of climate change, act</w:t>
      </w:r>
      <w:r>
        <w:rPr>
          <w:rFonts w:eastAsia="Times New Roman"/>
          <w:color w:val="000000"/>
          <w:sz w:val="20"/>
          <w:szCs w:val="20"/>
        </w:rPr>
        <w:t>s of war or other geopolitical conflicts may result in disruptions in transportation, distribution channels and supply chains and significant increases in the prices of raw materials. Further, health crises, including epidemics or pandemics, such as the CO</w:t>
      </w:r>
      <w:r>
        <w:rPr>
          <w:rFonts w:eastAsia="Times New Roman"/>
          <w:color w:val="000000"/>
          <w:sz w:val="20"/>
          <w:szCs w:val="20"/>
        </w:rPr>
        <w:t>VID-19 pandemic, and government and business responses thereto, could affect our manufacturing facilities, including by resulting in quarantines and/or closures, which would result in disruptions to and potential closures of our manufacturing operations. O</w:t>
      </w:r>
      <w:r>
        <w:rPr>
          <w:rFonts w:eastAsia="Times New Roman"/>
          <w:color w:val="000000"/>
          <w:sz w:val="20"/>
          <w:szCs w:val="20"/>
        </w:rPr>
        <w:t xml:space="preserve">ur manufacturing operations could also be disrupted by cyber-attacks on our IT systems, as described in the Risk Factor below titled </w:t>
      </w:r>
      <w:r>
        <w:rPr>
          <w:rFonts w:eastAsia="Times New Roman"/>
          <w:i/>
          <w:iCs/>
          <w:color w:val="000000"/>
          <w:sz w:val="20"/>
          <w:szCs w:val="20"/>
        </w:rPr>
        <w:t>“Our business and operations could suffer in the event of security breaches of our IT systems, or other misappropriation of</w:t>
      </w:r>
      <w:r>
        <w:rPr>
          <w:rFonts w:eastAsia="Times New Roman"/>
          <w:i/>
          <w:iCs/>
          <w:color w:val="000000"/>
          <w:sz w:val="20"/>
          <w:szCs w:val="20"/>
        </w:rPr>
        <w:t xml:space="preserve"> our technology, intellectual property or other proprietary or confidential information.”</w:t>
      </w:r>
    </w:p>
    <w:p w14:paraId="7B1CB5D4" w14:textId="77777777" w:rsidR="00000000" w:rsidRDefault="009B6C69">
      <w:pPr>
        <w:ind w:firstLine="360"/>
        <w:divId w:val="3241601"/>
        <w:rPr>
          <w:rFonts w:eastAsia="Times New Roman"/>
        </w:rPr>
      </w:pPr>
      <w:r>
        <w:rPr>
          <w:rFonts w:eastAsia="Times New Roman"/>
          <w:color w:val="000000"/>
          <w:sz w:val="20"/>
          <w:szCs w:val="20"/>
        </w:rPr>
        <w:t>Our manufacturing operations depend on securing raw materials, equipment and other supplies in adequate quality and quantity in a timely manner from multiple supplier</w:t>
      </w:r>
      <w:r>
        <w:rPr>
          <w:rFonts w:eastAsia="Times New Roman"/>
          <w:color w:val="000000"/>
          <w:sz w:val="20"/>
          <w:szCs w:val="20"/>
        </w:rPr>
        <w:t>s, and in some cases, we rely on a limited number of suppliers, including in some cases sole suppliers, particularly in Asia. There may be cases where supplies of raw materials, equipment and other products are interrupted or limited by natural disaster, g</w:t>
      </w:r>
      <w:r>
        <w:rPr>
          <w:rFonts w:eastAsia="Times New Roman"/>
          <w:color w:val="000000"/>
          <w:sz w:val="20"/>
          <w:szCs w:val="20"/>
        </w:rPr>
        <w:t>eopolitical conflict, accident or some other event affecting a supplier or source of raw materials; supply is suspended due to quality or other issues; there is a shortage of supply due to a rapid increase in demand; and/or we or our suppliers are prohibit</w:t>
      </w:r>
      <w:r>
        <w:rPr>
          <w:rFonts w:eastAsia="Times New Roman"/>
          <w:color w:val="000000"/>
          <w:sz w:val="20"/>
          <w:szCs w:val="20"/>
        </w:rPr>
        <w:t xml:space="preserve">ed from utilizing certain raw materials, or products or components that incorporate such raw materials, due to government restrictions related to the countries from which such raw materials originate, and acceptable alternative suppliers, raw materials or </w:t>
      </w:r>
      <w:r>
        <w:rPr>
          <w:rFonts w:eastAsia="Times New Roman"/>
          <w:color w:val="000000"/>
          <w:sz w:val="20"/>
          <w:szCs w:val="20"/>
        </w:rPr>
        <w:t>raw materials sources are not available or not available in acceptable time frames or upon acceptable terms, among others, which could impact production and prevent us from supplying our products to our customers. If the supply-demand balance is disrupted,</w:t>
      </w:r>
      <w:r>
        <w:rPr>
          <w:rFonts w:eastAsia="Times New Roman"/>
          <w:color w:val="000000"/>
          <w:sz w:val="20"/>
          <w:szCs w:val="20"/>
        </w:rPr>
        <w:t xml:space="preserve"> it may considerably increase costs of manufacturing due to increased prices we pay for raw materials. From time to time, suppliers may extend lead times, limit amounts supplied to us or increase prices due to capacity constraints or other factors. Additio</w:t>
      </w:r>
      <w:r>
        <w:rPr>
          <w:rFonts w:eastAsia="Times New Roman"/>
          <w:color w:val="000000"/>
          <w:sz w:val="20"/>
          <w:szCs w:val="20"/>
        </w:rPr>
        <w:t>nally, supply and costs of raw materials, equipment and other products may be negatively impacted by trade and/or national security protection policies, such as tariffs, or actions by governments that limit or prevent us from transacting business with cert</w:t>
      </w:r>
      <w:r>
        <w:rPr>
          <w:rFonts w:eastAsia="Times New Roman"/>
          <w:color w:val="000000"/>
          <w:sz w:val="20"/>
          <w:szCs w:val="20"/>
        </w:rPr>
        <w:t xml:space="preserve">ain countries or companies or that limit or prevent certain companies from transacting business with us, or trade tensions, particularly with countries in Asia. Further, it may be difficult or impossible to substitute one piece of equipment for another or </w:t>
      </w:r>
      <w:r>
        <w:rPr>
          <w:rFonts w:eastAsia="Times New Roman"/>
          <w:color w:val="000000"/>
          <w:sz w:val="20"/>
          <w:szCs w:val="20"/>
        </w:rPr>
        <w:t>replace one type of material with another. A failure by our suppliers to deliver our requirements could result in disruptions to our manufacturing operations.</w:t>
      </w:r>
    </w:p>
    <w:p w14:paraId="17788BEA" w14:textId="77777777" w:rsidR="00000000" w:rsidRDefault="009B6C69">
      <w:pPr>
        <w:ind w:firstLine="360"/>
        <w:divId w:val="1716394477"/>
        <w:rPr>
          <w:rFonts w:eastAsia="Times New Roman"/>
        </w:rPr>
      </w:pPr>
      <w:r>
        <w:rPr>
          <w:rFonts w:eastAsia="Times New Roman"/>
          <w:color w:val="000000"/>
          <w:sz w:val="20"/>
          <w:szCs w:val="20"/>
        </w:rPr>
        <w:t>Our manufacturing processes are highly complex, require advanced and costly equipment and must be</w:t>
      </w:r>
      <w:r>
        <w:rPr>
          <w:rFonts w:eastAsia="Times New Roman"/>
          <w:color w:val="000000"/>
          <w:sz w:val="20"/>
          <w:szCs w:val="20"/>
        </w:rPr>
        <w:t xml:space="preserve"> continuously modified to improve yields and performance. Difficulties in the production process can reduce yields or interrupt production, and as a result, we may not be able to deliver our products or do so in a timely, cost-effective or competitive mann</w:t>
      </w:r>
      <w:r>
        <w:rPr>
          <w:rFonts w:eastAsia="Times New Roman"/>
          <w:color w:val="000000"/>
          <w:sz w:val="20"/>
          <w:szCs w:val="20"/>
        </w:rPr>
        <w:t xml:space="preserve">er. Further, to remain competitive and meet customer demand, we may be required to improve our facilities and process technologies and carry out extensive research and development, each of which may require investment of significant amounts of capital and </w:t>
      </w:r>
      <w:r>
        <w:rPr>
          <w:rFonts w:eastAsia="Times New Roman"/>
          <w:color w:val="000000"/>
          <w:sz w:val="20"/>
          <w:szCs w:val="20"/>
        </w:rPr>
        <w:t xml:space="preserve">may have a material adverse effect on our results of operations, cash flows and financial condition. </w:t>
      </w:r>
    </w:p>
    <w:p w14:paraId="069C5A44" w14:textId="77777777" w:rsidR="00000000" w:rsidRDefault="009B6C69">
      <w:pPr>
        <w:ind w:firstLine="360"/>
        <w:divId w:val="703019014"/>
        <w:rPr>
          <w:rFonts w:eastAsia="Times New Roman"/>
        </w:rPr>
      </w:pPr>
      <w:r>
        <w:rPr>
          <w:rFonts w:eastAsia="Times New Roman"/>
          <w:color w:val="000000"/>
          <w:sz w:val="20"/>
          <w:szCs w:val="20"/>
        </w:rPr>
        <w:t>From time to time, we begin to purchase equipment to meet expected customer demand in advance of any purchase orders or long-term purchase commitments. Fu</w:t>
      </w:r>
      <w:r>
        <w:rPr>
          <w:rFonts w:eastAsia="Times New Roman"/>
          <w:color w:val="000000"/>
          <w:sz w:val="20"/>
          <w:szCs w:val="20"/>
        </w:rPr>
        <w:t>rther, we typically begin manufacturing our products using our or our customers’ forecasts of demand for our products, which are based on a number of assumptions and estimates and may not be covered by long-term purchase commitments. As a result, we may in</w:t>
      </w:r>
      <w:r>
        <w:rPr>
          <w:rFonts w:eastAsia="Times New Roman"/>
          <w:color w:val="000000"/>
          <w:sz w:val="20"/>
          <w:szCs w:val="20"/>
        </w:rPr>
        <w:t>cur increased inventory and manufacturing costs and/or record impairment charges to the extent anticipated sales ultimately do not materialize or are lower than expected. If we or our customers overestimate demand, or if demand is impacted by factors outsi</w:t>
      </w:r>
      <w:r>
        <w:rPr>
          <w:rFonts w:eastAsia="Times New Roman"/>
          <w:color w:val="000000"/>
          <w:sz w:val="20"/>
          <w:szCs w:val="20"/>
        </w:rPr>
        <w:t>de of our or our customers’ control, and such demand is not covered by a binding commitment from our customers, we may experience higher inventory carrying and operating costs and/or increased excess or obsolete inventory or reserve charges, which would ne</w:t>
      </w:r>
      <w:r>
        <w:rPr>
          <w:rFonts w:eastAsia="Times New Roman"/>
          <w:color w:val="000000"/>
          <w:sz w:val="20"/>
          <w:szCs w:val="20"/>
        </w:rPr>
        <w:t>gatively impact our results of operations.</w:t>
      </w:r>
    </w:p>
    <w:p w14:paraId="373F9668" w14:textId="77777777" w:rsidR="00000000" w:rsidRDefault="009B6C69">
      <w:pPr>
        <w:jc w:val="center"/>
        <w:divId w:val="1401362719"/>
        <w:rPr>
          <w:rFonts w:eastAsia="Times New Roman"/>
        </w:rPr>
      </w:pPr>
      <w:r>
        <w:rPr>
          <w:rFonts w:eastAsia="Times New Roman"/>
          <w:color w:val="000000"/>
          <w:sz w:val="20"/>
          <w:szCs w:val="20"/>
        </w:rPr>
        <w:t>25</w:t>
      </w:r>
    </w:p>
    <w:p w14:paraId="1D79D3FF" w14:textId="77777777" w:rsidR="00000000" w:rsidRDefault="009B6C69">
      <w:pPr>
        <w:rPr>
          <w:rFonts w:eastAsia="Times New Roman"/>
        </w:rPr>
      </w:pPr>
      <w:r>
        <w:rPr>
          <w:rFonts w:eastAsia="Times New Roman"/>
        </w:rPr>
        <w:pict w14:anchorId="0E210D7F">
          <v:rect id="_x0000_i1048" style="width:0;height:1.5pt" o:hralign="center" o:hrstd="t" o:hr="t" fillcolor="#a0a0a0" stroked="f"/>
        </w:pict>
      </w:r>
    </w:p>
    <w:p w14:paraId="65C6AAA9" w14:textId="77777777" w:rsidR="00000000" w:rsidRDefault="009B6C69">
      <w:pPr>
        <w:divId w:val="590626687"/>
        <w:rPr>
          <w:rFonts w:eastAsia="Times New Roman"/>
        </w:rPr>
      </w:pPr>
    </w:p>
    <w:p w14:paraId="118E0B1C" w14:textId="77777777" w:rsidR="00000000" w:rsidRDefault="009B6C69">
      <w:pPr>
        <w:divId w:val="2026862898"/>
        <w:rPr>
          <w:rFonts w:eastAsia="Times New Roman"/>
        </w:rPr>
      </w:pPr>
      <w:r>
        <w:rPr>
          <w:rFonts w:eastAsia="Times New Roman"/>
          <w:b/>
          <w:bCs/>
          <w:color w:val="000000"/>
          <w:sz w:val="20"/>
          <w:szCs w:val="20"/>
        </w:rPr>
        <w:t xml:space="preserve">RISKS RELATED TO CYBERSECURITY OR MISAPPROPRIATION OF OUR CRITICAL INFORMATION </w:t>
      </w:r>
    </w:p>
    <w:p w14:paraId="114CF25D" w14:textId="77777777" w:rsidR="00000000" w:rsidRDefault="009B6C69">
      <w:pPr>
        <w:divId w:val="539393155"/>
        <w:rPr>
          <w:rFonts w:eastAsia="Times New Roman"/>
        </w:rPr>
      </w:pPr>
      <w:r>
        <w:rPr>
          <w:rFonts w:eastAsia="Times New Roman"/>
          <w:b/>
          <w:bCs/>
          <w:i/>
          <w:iCs/>
          <w:color w:val="000000"/>
          <w:sz w:val="20"/>
          <w:szCs w:val="20"/>
        </w:rPr>
        <w:t>Our business and operations could suffer in the event of security breaches of our IT systems</w:t>
      </w:r>
      <w:r>
        <w:rPr>
          <w:rFonts w:eastAsia="Times New Roman"/>
          <w:b/>
          <w:bCs/>
          <w:i/>
          <w:iCs/>
          <w:color w:val="000000"/>
          <w:sz w:val="20"/>
          <w:szCs w:val="20"/>
        </w:rPr>
        <w:t>, or other misappropriation of our technology, intellectual property or other proprietary or confidential information.</w:t>
      </w:r>
    </w:p>
    <w:p w14:paraId="4FFA8E4F" w14:textId="77777777" w:rsidR="00000000" w:rsidRDefault="009B6C69">
      <w:pPr>
        <w:ind w:firstLine="360"/>
        <w:divId w:val="1453090705"/>
        <w:rPr>
          <w:rFonts w:eastAsia="Times New Roman"/>
        </w:rPr>
      </w:pPr>
      <w:r>
        <w:rPr>
          <w:rFonts w:eastAsia="Times New Roman"/>
          <w:color w:val="000000"/>
          <w:sz w:val="20"/>
          <w:szCs w:val="20"/>
        </w:rPr>
        <w:t>Third parties regularly attempt to gain unauthorized access to our IT systems, and many such attacks are increasingly more sophisticated.</w:t>
      </w:r>
      <w:r>
        <w:rPr>
          <w:rFonts w:eastAsia="Times New Roman"/>
          <w:color w:val="000000"/>
          <w:sz w:val="20"/>
          <w:szCs w:val="20"/>
        </w:rPr>
        <w:t xml:space="preserve"> These attacks, which might be related to industrial, corporate or other espionage, criminal hackers or state-sponsored intrusions, include trying to covertly introduce malware to our computers and networks, including those in our manufacturing operations,</w:t>
      </w:r>
      <w:r>
        <w:rPr>
          <w:rFonts w:eastAsia="Times New Roman"/>
          <w:color w:val="000000"/>
          <w:sz w:val="20"/>
          <w:szCs w:val="20"/>
        </w:rPr>
        <w:t xml:space="preserve"> exploiting vulnerabilities in hardware, software or other IT infrastructure and impersonating authorized users, among others. We are also subject to ransom-style cyber-attacks, which could expose our confidential or proprietary information, request paymen</w:t>
      </w:r>
      <w:r>
        <w:rPr>
          <w:rFonts w:eastAsia="Times New Roman"/>
          <w:color w:val="000000"/>
          <w:sz w:val="20"/>
          <w:szCs w:val="20"/>
        </w:rPr>
        <w:t>t of money and/or impact our IT systems and cause widespread disruption to our business, including our manufacturing operations. Third parties that store and/or process our confidential information, or that provide products, software or services used in ou</w:t>
      </w:r>
      <w:r>
        <w:rPr>
          <w:rFonts w:eastAsia="Times New Roman"/>
          <w:color w:val="000000"/>
          <w:sz w:val="20"/>
          <w:szCs w:val="20"/>
        </w:rPr>
        <w:t>r IT infrastructure (including applications), may be subject to similar attacks, which could also result in malware being introduced into our IT infrastructure, e.g., through the third parties’ software and/or software updates. Such attacks could result in</w:t>
      </w:r>
      <w:r>
        <w:rPr>
          <w:rFonts w:eastAsia="Times New Roman"/>
          <w:color w:val="000000"/>
          <w:sz w:val="20"/>
          <w:szCs w:val="20"/>
        </w:rPr>
        <w:t xml:space="preserve"> the misappropriation, theft, misuse, disclosure, loss or destruction of the technology, intellectual property, or the proprietary, confidential or personal information, of us or our employees, customers, licensees, suppliers or other third parties, as wel</w:t>
      </w:r>
      <w:r>
        <w:rPr>
          <w:rFonts w:eastAsia="Times New Roman"/>
          <w:color w:val="000000"/>
          <w:sz w:val="20"/>
          <w:szCs w:val="20"/>
        </w:rPr>
        <w:t xml:space="preserve">l as damage to or disruptions in our IT systems. We believe that we have a robust cybersecurity program that is aligned to international cybersecurity frameworks, and that we leverage industry best practices across people, processes and technologies in an </w:t>
      </w:r>
      <w:r>
        <w:rPr>
          <w:rFonts w:eastAsia="Times New Roman"/>
          <w:color w:val="000000"/>
          <w:sz w:val="20"/>
          <w:szCs w:val="20"/>
        </w:rPr>
        <w:t>attempt to mitigate cybersecurity threats. However, we cannot anticipate, detect, repel or implement fully effective preventative measures against all cybersecurity threats, particularly because the techniques used are increasingly sophisticated and consta</w:t>
      </w:r>
      <w:r>
        <w:rPr>
          <w:rFonts w:eastAsia="Times New Roman"/>
          <w:color w:val="000000"/>
          <w:sz w:val="20"/>
          <w:szCs w:val="20"/>
        </w:rPr>
        <w:t>ntly evolving. As part of our cybersecurity program, we seek to identify and remediate vulnerabilities in our IT systems and software (including third party software used in our IT systems) that could be exploited by hackers or other malicious actors. Howe</w:t>
      </w:r>
      <w:r>
        <w:rPr>
          <w:rFonts w:eastAsia="Times New Roman"/>
          <w:color w:val="000000"/>
          <w:sz w:val="20"/>
          <w:szCs w:val="20"/>
        </w:rPr>
        <w:t>ver, we may not be aware of all such vulnerabilities, and we may fail to identify and/or remediate such vulnerabilities before they are exploited. Attempts to gain unauthorized access to our IT systems or other attacks have in the past, in certain instance</w:t>
      </w:r>
      <w:r>
        <w:rPr>
          <w:rFonts w:eastAsia="Times New Roman"/>
          <w:color w:val="000000"/>
          <w:sz w:val="20"/>
          <w:szCs w:val="20"/>
        </w:rPr>
        <w:t>s and to certain degrees, been successful (but have not caused significant harm), and may in the future be successful, and in some cases, we might be unaware of an incident or its magnitude and effects.</w:t>
      </w:r>
    </w:p>
    <w:p w14:paraId="5A325333" w14:textId="77777777" w:rsidR="00000000" w:rsidRDefault="009B6C69">
      <w:pPr>
        <w:ind w:firstLine="360"/>
        <w:divId w:val="1096631973"/>
        <w:rPr>
          <w:rFonts w:eastAsia="Times New Roman"/>
        </w:rPr>
      </w:pPr>
      <w:r>
        <w:rPr>
          <w:rFonts w:eastAsia="Times New Roman"/>
          <w:color w:val="000000"/>
          <w:sz w:val="20"/>
          <w:szCs w:val="20"/>
        </w:rPr>
        <w:t>In addition, employees and former employees, in parti</w:t>
      </w:r>
      <w:r>
        <w:rPr>
          <w:rFonts w:eastAsia="Times New Roman"/>
          <w:color w:val="000000"/>
          <w:sz w:val="20"/>
          <w:szCs w:val="20"/>
        </w:rPr>
        <w:t>cular former employees who become employees of our competitors, customers, licensees or other third parties, including state actors, have in the past and may in the future misappropriate, wrongfully use, publish or provide to our competitors, customers, li</w:t>
      </w:r>
      <w:r>
        <w:rPr>
          <w:rFonts w:eastAsia="Times New Roman"/>
          <w:color w:val="000000"/>
          <w:sz w:val="20"/>
          <w:szCs w:val="20"/>
        </w:rPr>
        <w:t>censees or other third parties, including state actors, our technology, intellectual property or other proprietary or confidential information. This risk is exacerbated as competitors for talent, particularly engineering talent, increasingly attempt to hir</w:t>
      </w:r>
      <w:r>
        <w:rPr>
          <w:rFonts w:eastAsia="Times New Roman"/>
          <w:color w:val="000000"/>
          <w:sz w:val="20"/>
          <w:szCs w:val="20"/>
        </w:rPr>
        <w:t xml:space="preserve">e our employees. See also the Risk Factor titled </w:t>
      </w:r>
      <w:r>
        <w:rPr>
          <w:rFonts w:eastAsia="Times New Roman"/>
          <w:i/>
          <w:iCs/>
          <w:color w:val="000000"/>
          <w:sz w:val="20"/>
          <w:szCs w:val="20"/>
        </w:rPr>
        <w:t>“We may not be able to attract and retain qualified employees, and our attempts to operate under a hybrid work model may not be successful.”</w:t>
      </w:r>
      <w:r>
        <w:rPr>
          <w:rFonts w:eastAsia="Times New Roman"/>
          <w:color w:val="000000"/>
          <w:sz w:val="20"/>
          <w:szCs w:val="20"/>
        </w:rPr>
        <w:t xml:space="preserve"> Similarly, we provide access to certain of our technology, intelle</w:t>
      </w:r>
      <w:r>
        <w:rPr>
          <w:rFonts w:eastAsia="Times New Roman"/>
          <w:color w:val="000000"/>
          <w:sz w:val="20"/>
          <w:szCs w:val="20"/>
        </w:rPr>
        <w:t>ctual property and other proprietary or confidential information to our direct and indirect customers and licensees and certain of our consultants, who have in the past and may in the future wrongfully use such technology, intellectual property or informat</w:t>
      </w:r>
      <w:r>
        <w:rPr>
          <w:rFonts w:eastAsia="Times New Roman"/>
          <w:color w:val="000000"/>
          <w:sz w:val="20"/>
          <w:szCs w:val="20"/>
        </w:rPr>
        <w:t xml:space="preserve">ion, or wrongfully disclose such technology, intellectual property or information to third parties, including our competitors or state actors. We also provide access to certain of our technology, intellectual property and other proprietary or confidential </w:t>
      </w:r>
      <w:r>
        <w:rPr>
          <w:rFonts w:eastAsia="Times New Roman"/>
          <w:color w:val="000000"/>
          <w:sz w:val="20"/>
          <w:szCs w:val="20"/>
        </w:rPr>
        <w:t>information to certain of our joint venture partners, including those affiliated with state actors and including in foreign jurisdictions where ownership restrictions may require us to take a minority ownership interest in the joint venture. Such joint ven</w:t>
      </w:r>
      <w:r>
        <w:rPr>
          <w:rFonts w:eastAsia="Times New Roman"/>
          <w:color w:val="000000"/>
          <w:sz w:val="20"/>
          <w:szCs w:val="20"/>
        </w:rPr>
        <w:t>ture partners may wrongfully use such technology, intellectual property or information, or wrongfully disclose such technology, intellectual property or information to third parties, including our competitors or state actors. Our technology, intellectual p</w:t>
      </w:r>
      <w:r>
        <w:rPr>
          <w:rFonts w:eastAsia="Times New Roman"/>
          <w:color w:val="000000"/>
          <w:sz w:val="20"/>
          <w:szCs w:val="20"/>
        </w:rPr>
        <w:t>roperty and other proprietary or confidential information that we have provided to customers, licensees or other business partners could also be wrongfully obtained by third parties through cyber-attacks on such customers’, licensees’ or other business par</w:t>
      </w:r>
      <w:r>
        <w:rPr>
          <w:rFonts w:eastAsia="Times New Roman"/>
          <w:color w:val="000000"/>
          <w:sz w:val="20"/>
          <w:szCs w:val="20"/>
        </w:rPr>
        <w:t>tners’ IT systems.</w:t>
      </w:r>
    </w:p>
    <w:p w14:paraId="57AEB7F3" w14:textId="77777777" w:rsidR="00000000" w:rsidRDefault="009B6C69">
      <w:pPr>
        <w:ind w:firstLine="360"/>
        <w:divId w:val="1133252589"/>
        <w:rPr>
          <w:rFonts w:eastAsia="Times New Roman"/>
        </w:rPr>
      </w:pPr>
      <w:r>
        <w:rPr>
          <w:rFonts w:eastAsia="Times New Roman"/>
          <w:color w:val="000000"/>
          <w:sz w:val="20"/>
          <w:szCs w:val="20"/>
        </w:rPr>
        <w:t>The misappropriation, theft, misuse, disclosure, loss or destruction of the technology, intellectual property, or the proprietary, confidential or personal information, of us or our employees, customers, licensees, suppliers or other thi</w:t>
      </w:r>
      <w:r>
        <w:rPr>
          <w:rFonts w:eastAsia="Times New Roman"/>
          <w:color w:val="000000"/>
          <w:sz w:val="20"/>
          <w:szCs w:val="20"/>
        </w:rPr>
        <w:t>rd parties, could harm our competitive position, reduce the value of our investment in research and development and other strategic initiatives, cause us to lose business, damage our reputation, subject us to legal or regulatory proceedings, cause us to in</w:t>
      </w:r>
      <w:r>
        <w:rPr>
          <w:rFonts w:eastAsia="Times New Roman"/>
          <w:color w:val="000000"/>
          <w:sz w:val="20"/>
          <w:szCs w:val="20"/>
        </w:rPr>
        <w:t>cur other loss or liability and otherwise adversely affect our business. We expect to continue to devote significant resources to the security of our IT systems and our technology, intellectual property and proprietary and confidential information.</w:t>
      </w:r>
    </w:p>
    <w:p w14:paraId="64D3B8BF" w14:textId="77777777" w:rsidR="00000000" w:rsidRDefault="009B6C69">
      <w:pPr>
        <w:ind w:firstLine="360"/>
        <w:divId w:val="189412544"/>
        <w:rPr>
          <w:rFonts w:eastAsia="Times New Roman"/>
        </w:rPr>
      </w:pPr>
      <w:r>
        <w:rPr>
          <w:rFonts w:eastAsia="Times New Roman"/>
          <w:color w:val="000000"/>
          <w:sz w:val="20"/>
          <w:szCs w:val="20"/>
        </w:rPr>
        <w:t>Further</w:t>
      </w:r>
      <w:r>
        <w:rPr>
          <w:rFonts w:eastAsia="Times New Roman"/>
          <w:color w:val="000000"/>
          <w:sz w:val="20"/>
          <w:szCs w:val="20"/>
        </w:rPr>
        <w:t>, China has implemented, and other countries or regions may implement, cybersecurity laws that require our overall IT security environment to meet certain standards and/or be certified. Such laws may be complex, ambiguous and subject to interpretation, whi</w:t>
      </w:r>
      <w:r>
        <w:rPr>
          <w:rFonts w:eastAsia="Times New Roman"/>
          <w:color w:val="000000"/>
          <w:sz w:val="20"/>
          <w:szCs w:val="20"/>
        </w:rPr>
        <w:t>ch may create uncertainty regarding compliance. As a result, our efforts to comply with such laws may be expensive and may fail, which could adversely affect our business, results of operations and cash flows. In addition, our contracts with certain of our</w:t>
      </w:r>
      <w:r>
        <w:rPr>
          <w:rFonts w:eastAsia="Times New Roman"/>
          <w:color w:val="000000"/>
          <w:sz w:val="20"/>
          <w:szCs w:val="20"/>
        </w:rPr>
        <w:t xml:space="preserve"> customers require us to obtain cybersecurity certifications for our IT systems. Failure to obtain or maintain the necessary cybersecurity certifications could result in loss of future revenues, damage to our customer relationships and reputation, and a sh</w:t>
      </w:r>
      <w:r>
        <w:rPr>
          <w:rFonts w:eastAsia="Times New Roman"/>
          <w:color w:val="000000"/>
          <w:sz w:val="20"/>
          <w:szCs w:val="20"/>
        </w:rPr>
        <w:t xml:space="preserve">ift of business to our competitors. </w:t>
      </w:r>
    </w:p>
    <w:p w14:paraId="29635E91" w14:textId="77777777" w:rsidR="00000000" w:rsidRDefault="009B6C69">
      <w:pPr>
        <w:jc w:val="center"/>
        <w:divId w:val="1098870466"/>
        <w:rPr>
          <w:rFonts w:eastAsia="Times New Roman"/>
        </w:rPr>
      </w:pPr>
      <w:r>
        <w:rPr>
          <w:rFonts w:eastAsia="Times New Roman"/>
          <w:color w:val="000000"/>
          <w:sz w:val="20"/>
          <w:szCs w:val="20"/>
        </w:rPr>
        <w:t>26</w:t>
      </w:r>
    </w:p>
    <w:p w14:paraId="642F98B8" w14:textId="77777777" w:rsidR="00000000" w:rsidRDefault="009B6C69">
      <w:pPr>
        <w:rPr>
          <w:rFonts w:eastAsia="Times New Roman"/>
        </w:rPr>
      </w:pPr>
      <w:r>
        <w:rPr>
          <w:rFonts w:eastAsia="Times New Roman"/>
        </w:rPr>
        <w:pict w14:anchorId="250F6A6D">
          <v:rect id="_x0000_i1049" style="width:0;height:1.5pt" o:hralign="center" o:hrstd="t" o:hr="t" fillcolor="#a0a0a0" stroked="f"/>
        </w:pict>
      </w:r>
    </w:p>
    <w:p w14:paraId="1102C5F4" w14:textId="77777777" w:rsidR="00000000" w:rsidRDefault="009B6C69">
      <w:pPr>
        <w:divId w:val="2000845510"/>
        <w:rPr>
          <w:rFonts w:eastAsia="Times New Roman"/>
        </w:rPr>
      </w:pPr>
    </w:p>
    <w:p w14:paraId="3270E5D4" w14:textId="77777777" w:rsidR="00000000" w:rsidRDefault="009B6C69">
      <w:pPr>
        <w:divId w:val="670642770"/>
        <w:rPr>
          <w:rFonts w:eastAsia="Times New Roman"/>
        </w:rPr>
      </w:pPr>
      <w:r>
        <w:rPr>
          <w:rFonts w:eastAsia="Times New Roman"/>
          <w:b/>
          <w:bCs/>
          <w:color w:val="000000"/>
          <w:sz w:val="20"/>
          <w:szCs w:val="20"/>
        </w:rPr>
        <w:t>RISKS RELATED TO HUMAN CAPITAL MANAGEMENT</w:t>
      </w:r>
    </w:p>
    <w:p w14:paraId="302DB4BB" w14:textId="77777777" w:rsidR="00000000" w:rsidRDefault="009B6C69">
      <w:pPr>
        <w:divId w:val="218126395"/>
        <w:rPr>
          <w:rFonts w:eastAsia="Times New Roman"/>
        </w:rPr>
      </w:pPr>
      <w:r>
        <w:rPr>
          <w:rFonts w:eastAsia="Times New Roman"/>
          <w:b/>
          <w:bCs/>
          <w:i/>
          <w:iCs/>
          <w:color w:val="000000"/>
          <w:sz w:val="20"/>
          <w:szCs w:val="20"/>
        </w:rPr>
        <w:t>We may not be able to attract and retain qualified employees, and our attempts to operate under a hybrid work model may not be successfu</w:t>
      </w:r>
      <w:r>
        <w:rPr>
          <w:rFonts w:eastAsia="Times New Roman"/>
          <w:b/>
          <w:bCs/>
          <w:i/>
          <w:iCs/>
          <w:color w:val="000000"/>
          <w:sz w:val="20"/>
          <w:szCs w:val="20"/>
        </w:rPr>
        <w:t>l.</w:t>
      </w:r>
    </w:p>
    <w:p w14:paraId="647B450B" w14:textId="77777777" w:rsidR="00000000" w:rsidRDefault="009B6C69">
      <w:pPr>
        <w:ind w:firstLine="360"/>
        <w:divId w:val="2104104050"/>
        <w:rPr>
          <w:rFonts w:eastAsia="Times New Roman"/>
        </w:rPr>
      </w:pPr>
      <w:r>
        <w:rPr>
          <w:rFonts w:eastAsia="Times New Roman"/>
          <w:color w:val="000000"/>
          <w:sz w:val="20"/>
          <w:szCs w:val="20"/>
        </w:rPr>
        <w:t xml:space="preserve">Our future success depends upon the continued service of our executive officers and other key management and technical personnel, and on our ability to continue to identify, attract, retain and motivate them. Implementing our business strategy requires </w:t>
      </w:r>
      <w:r>
        <w:rPr>
          <w:rFonts w:eastAsia="Times New Roman"/>
          <w:color w:val="000000"/>
          <w:sz w:val="20"/>
          <w:szCs w:val="20"/>
        </w:rPr>
        <w:t xml:space="preserve">specialized engineering and other talent, as our revenues are highly dependent on technological and product innovations. In addition, in order to extend our business into certain new and expanded product areas and industries and applications beyond mobile </w:t>
      </w:r>
      <w:r>
        <w:rPr>
          <w:rFonts w:eastAsia="Times New Roman"/>
          <w:color w:val="000000"/>
          <w:sz w:val="20"/>
          <w:szCs w:val="20"/>
        </w:rPr>
        <w:t>handsets, we need to attract, retain and motivate engineering and other technical personnel with specialized skills in these areas, and these skills are in high demand among our competitors. The market for employees in our industry is extremely competitive</w:t>
      </w:r>
      <w:r>
        <w:rPr>
          <w:rFonts w:eastAsia="Times New Roman"/>
          <w:color w:val="000000"/>
          <w:sz w:val="20"/>
          <w:szCs w:val="20"/>
        </w:rPr>
        <w:t>, and competitors for talent, particularly engineering talent, increasingly attempt to hire, and to varying degrees have been successful in hiring, our employees or employment candidates, including by establishing or expanding local offices near our headqu</w:t>
      </w:r>
      <w:r>
        <w:rPr>
          <w:rFonts w:eastAsia="Times New Roman"/>
          <w:color w:val="000000"/>
          <w:sz w:val="20"/>
          <w:szCs w:val="20"/>
        </w:rPr>
        <w:t>arters in San Diego, California. Further, the increased availability of remote working arrangements has expanded the pool of companies that can compete for our employees and employment candidates. A number of such competitors for talent are significantly l</w:t>
      </w:r>
      <w:r>
        <w:rPr>
          <w:rFonts w:eastAsia="Times New Roman"/>
          <w:color w:val="000000"/>
          <w:sz w:val="20"/>
          <w:szCs w:val="20"/>
        </w:rPr>
        <w:t>arger than us and/or offer compensation in excess of what we offer or other benefits that we generally do not offer, such as the ability to permanently work from home. Further, existing immigration laws make it more difficult for us to recruit and retain h</w:t>
      </w:r>
      <w:r>
        <w:rPr>
          <w:rFonts w:eastAsia="Times New Roman"/>
          <w:color w:val="000000"/>
          <w:sz w:val="20"/>
          <w:szCs w:val="20"/>
        </w:rPr>
        <w:t>ighly skilled foreign national graduates of universities in the United States, making the pool of available talent even smaller. If we are unable to attract and retain qualified employees, our business may be harmed. The COVID-19 pandemic caused us to modi</w:t>
      </w:r>
      <w:r>
        <w:rPr>
          <w:rFonts w:eastAsia="Times New Roman"/>
          <w:color w:val="000000"/>
          <w:sz w:val="20"/>
          <w:szCs w:val="20"/>
        </w:rPr>
        <w:t>fy our workforce practices, including having the vast majority of our employees work from home. While we have generally reopened our offices, we are currently operating under a hybrid work model, meaning that the majority of our employees have the flexibil</w:t>
      </w:r>
      <w:r>
        <w:rPr>
          <w:rFonts w:eastAsia="Times New Roman"/>
          <w:color w:val="000000"/>
          <w:sz w:val="20"/>
          <w:szCs w:val="20"/>
        </w:rPr>
        <w:t>ity to work remotely at least some of the time. The hybrid work model may impair our ability to maintain our collaborative and innovative culture, and may cause disruptions among our employees, including decreases in productivity, challenges in communicati</w:t>
      </w:r>
      <w:r>
        <w:rPr>
          <w:rFonts w:eastAsia="Times New Roman"/>
          <w:color w:val="000000"/>
          <w:sz w:val="20"/>
          <w:szCs w:val="20"/>
        </w:rPr>
        <w:t>ons between on-site and off-site employees and, potentially, employee dissatisfaction and attrition. Further, any future attempt to transition away from the hybrid work model to more stringent on-site work requirements may result in employee dissatisfactio</w:t>
      </w:r>
      <w:r>
        <w:rPr>
          <w:rFonts w:eastAsia="Times New Roman"/>
          <w:color w:val="000000"/>
          <w:sz w:val="20"/>
          <w:szCs w:val="20"/>
        </w:rPr>
        <w:t>n and attrition. If we fail to retain key employees or maintain employee productivity as a result of the hybrid work model or an attempt to return to more on-site work, our business could be adversely impacted.</w:t>
      </w:r>
    </w:p>
    <w:p w14:paraId="6814B267" w14:textId="77777777" w:rsidR="00000000" w:rsidRDefault="009B6C69">
      <w:pPr>
        <w:divId w:val="1471291812"/>
        <w:rPr>
          <w:rFonts w:eastAsia="Times New Roman"/>
        </w:rPr>
      </w:pPr>
      <w:r>
        <w:rPr>
          <w:rFonts w:eastAsia="Times New Roman"/>
          <w:b/>
          <w:bCs/>
          <w:color w:val="000000"/>
          <w:sz w:val="20"/>
          <w:szCs w:val="20"/>
        </w:rPr>
        <w:t>RISKS SPECIFIC TO OUR LICENSING BUSINESS</w:t>
      </w:r>
    </w:p>
    <w:p w14:paraId="7D0CF979" w14:textId="77777777" w:rsidR="00000000" w:rsidRDefault="009B6C69">
      <w:pPr>
        <w:divId w:val="884608854"/>
        <w:rPr>
          <w:rFonts w:eastAsia="Times New Roman"/>
        </w:rPr>
      </w:pPr>
      <w:r>
        <w:rPr>
          <w:rFonts w:eastAsia="Times New Roman"/>
          <w:b/>
          <w:bCs/>
          <w:i/>
          <w:iCs/>
          <w:color w:val="000000"/>
          <w:sz w:val="20"/>
          <w:szCs w:val="20"/>
        </w:rPr>
        <w:t>The continued and future success of our licensing programs requires us to continue to evolve our patent portfolio and to renew or renegotiate license agreements that are expiring.</w:t>
      </w:r>
    </w:p>
    <w:p w14:paraId="75CB91E9" w14:textId="77777777" w:rsidR="00000000" w:rsidRDefault="009B6C69">
      <w:pPr>
        <w:ind w:firstLine="360"/>
        <w:divId w:val="1790077984"/>
        <w:rPr>
          <w:rFonts w:eastAsia="Times New Roman"/>
        </w:rPr>
      </w:pPr>
      <w:r>
        <w:rPr>
          <w:rFonts w:eastAsia="Times New Roman"/>
          <w:color w:val="000000"/>
          <w:sz w:val="20"/>
          <w:szCs w:val="20"/>
        </w:rPr>
        <w:t>We own a very strong portfolio of i</w:t>
      </w:r>
      <w:r>
        <w:rPr>
          <w:rFonts w:eastAsia="Times New Roman"/>
          <w:color w:val="000000"/>
          <w:sz w:val="20"/>
          <w:szCs w:val="20"/>
        </w:rPr>
        <w:t>ssued and pending patents related to 3G, 4G, 5G and other technologies. It is critical that we continue to evolve our patent portfolio, particularly in 5G. If we do not maintain a strong portfolio that is applicable to current and future standards, product</w:t>
      </w:r>
      <w:r>
        <w:rPr>
          <w:rFonts w:eastAsia="Times New Roman"/>
          <w:color w:val="000000"/>
          <w:sz w:val="20"/>
          <w:szCs w:val="20"/>
        </w:rPr>
        <w:t>s and services, our future licensing revenues could be negatively impacted.</w:t>
      </w:r>
    </w:p>
    <w:p w14:paraId="1DA99AB2" w14:textId="77777777" w:rsidR="00000000" w:rsidRDefault="009B6C69">
      <w:pPr>
        <w:ind w:firstLine="360"/>
        <w:divId w:val="756050993"/>
        <w:rPr>
          <w:rFonts w:eastAsia="Times New Roman"/>
        </w:rPr>
      </w:pPr>
      <w:r>
        <w:rPr>
          <w:rFonts w:eastAsia="Times New Roman"/>
          <w:color w:val="000000"/>
          <w:sz w:val="20"/>
          <w:szCs w:val="20"/>
        </w:rPr>
        <w:t xml:space="preserve">Our patent license agreements in effect that generate a significant portion of our licensing revenues are effective for a specified term. To receive royalties after the expiration </w:t>
      </w:r>
      <w:r>
        <w:rPr>
          <w:rFonts w:eastAsia="Times New Roman"/>
          <w:color w:val="000000"/>
          <w:sz w:val="20"/>
          <w:szCs w:val="20"/>
        </w:rPr>
        <w:t xml:space="preserve">date of the specified term, we will need to extend or modify such license agreements or enter into new license agreements with such licensees. We might not be able to extend or modify license agreements, or enter into new license agreements, in the future </w:t>
      </w:r>
      <w:r>
        <w:rPr>
          <w:rFonts w:eastAsia="Times New Roman"/>
          <w:color w:val="000000"/>
          <w:sz w:val="20"/>
          <w:szCs w:val="20"/>
        </w:rPr>
        <w:t>without negatively affecting the material terms and conditions of our license agreements with such licensees, and such modifications or new agreements may negatively impact our revenues. In some circumstances, we may extend, modify or enter into new licens</w:t>
      </w:r>
      <w:r>
        <w:rPr>
          <w:rFonts w:eastAsia="Times New Roman"/>
          <w:color w:val="000000"/>
          <w:sz w:val="20"/>
          <w:szCs w:val="20"/>
        </w:rPr>
        <w:t>e agreements as a result of arbitration or litigation, and terms imposed by arbitrators or courts may be less favorable to us than existing terms and may impact the financial or other terms of license agreements not subject to the litigation or arbitration</w:t>
      </w:r>
      <w:r>
        <w:rPr>
          <w:rFonts w:eastAsia="Times New Roman"/>
          <w:color w:val="000000"/>
          <w:sz w:val="20"/>
          <w:szCs w:val="20"/>
        </w:rPr>
        <w:t>. If there is a delay in extending, modifying or entering into a new license agreement with a licensee, there would be a delay in our ability to recognize revenues related to that licensee’s product sales. Further, if we are unable to reach agreement on su</w:t>
      </w:r>
      <w:r>
        <w:rPr>
          <w:rFonts w:eastAsia="Times New Roman"/>
          <w:color w:val="000000"/>
          <w:sz w:val="20"/>
          <w:szCs w:val="20"/>
        </w:rPr>
        <w:t>ch modifications or new agreements, it could result in patent infringement litigation with such licensees.</w:t>
      </w:r>
    </w:p>
    <w:p w14:paraId="0EA06CAB" w14:textId="77777777" w:rsidR="00000000" w:rsidRDefault="009B6C69">
      <w:pPr>
        <w:divId w:val="861288145"/>
        <w:rPr>
          <w:rFonts w:eastAsia="Times New Roman"/>
        </w:rPr>
      </w:pPr>
      <w:r>
        <w:rPr>
          <w:rFonts w:eastAsia="Times New Roman"/>
          <w:b/>
          <w:bCs/>
          <w:i/>
          <w:iCs/>
          <w:color w:val="000000"/>
          <w:sz w:val="20"/>
          <w:szCs w:val="20"/>
        </w:rPr>
        <w:t>Efforts by some original equipment manufacturers (OEMs) to avoid paying fair and reasonable royalties for the use of our intellectual property may re</w:t>
      </w:r>
      <w:r>
        <w:rPr>
          <w:rFonts w:eastAsia="Times New Roman"/>
          <w:b/>
          <w:bCs/>
          <w:i/>
          <w:iCs/>
          <w:color w:val="000000"/>
          <w:sz w:val="20"/>
          <w:szCs w:val="20"/>
        </w:rPr>
        <w:t>quire the investment of substantial management time and financial resources and may result in legal decisions or actions by governments, courts, regulators or agencies, Standards Development Organizations (SDOs) or other industry organizations that harm ou</w:t>
      </w:r>
      <w:r>
        <w:rPr>
          <w:rFonts w:eastAsia="Times New Roman"/>
          <w:b/>
          <w:bCs/>
          <w:i/>
          <w:iCs/>
          <w:color w:val="000000"/>
          <w:sz w:val="20"/>
          <w:szCs w:val="20"/>
        </w:rPr>
        <w:t xml:space="preserve">r business. </w:t>
      </w:r>
    </w:p>
    <w:p w14:paraId="3B7592F8" w14:textId="77777777" w:rsidR="00000000" w:rsidRDefault="009B6C69">
      <w:pPr>
        <w:ind w:firstLine="360"/>
        <w:divId w:val="66464913"/>
        <w:rPr>
          <w:rFonts w:eastAsia="Times New Roman"/>
        </w:rPr>
      </w:pPr>
      <w:r>
        <w:rPr>
          <w:rFonts w:eastAsia="Times New Roman"/>
          <w:color w:val="000000"/>
          <w:sz w:val="20"/>
          <w:szCs w:val="20"/>
        </w:rPr>
        <w:t xml:space="preserve">From time to time, companies initiate various strategies to attempt to negotiate, renegotiate, reduce and/or eliminate their need to pay royalties to us for the use of our intellectual property. These strategies have included: (i) litigation, </w:t>
      </w:r>
      <w:r>
        <w:rPr>
          <w:rFonts w:eastAsia="Times New Roman"/>
          <w:color w:val="000000"/>
          <w:sz w:val="20"/>
          <w:szCs w:val="20"/>
        </w:rPr>
        <w:t>often alleging infringement of patents held by such companies, patent misuse, patent exhaustion, patent invalidity or unenforceability of our patents or licenses, alleging that we do not license our patents on fair, reasonable and nondiscriminatory (FRAND)</w:t>
      </w:r>
      <w:r>
        <w:rPr>
          <w:rFonts w:eastAsia="Times New Roman"/>
          <w:color w:val="000000"/>
          <w:sz w:val="20"/>
          <w:szCs w:val="20"/>
        </w:rPr>
        <w:t xml:space="preserve"> terms, or alleging some form of unfair competition or competition law violation; (ii) taking positions contrary to our understanding (and/or the plain language) of their contracts with us; (iii) appeals to governmental authorities; (iv) collective action,</w:t>
      </w:r>
      <w:r>
        <w:rPr>
          <w:rFonts w:eastAsia="Times New Roman"/>
          <w:color w:val="000000"/>
          <w:sz w:val="20"/>
          <w:szCs w:val="20"/>
        </w:rPr>
        <w:t xml:space="preserve"> including working with wireless operators, standards bodies, other like-minded companies and organizations, on both formal and informal bases, to adopt intellectual property policies and practices that could have the effect of limiting returns on intellec</w:t>
      </w:r>
      <w:r>
        <w:rPr>
          <w:rFonts w:eastAsia="Times New Roman"/>
          <w:color w:val="000000"/>
          <w:sz w:val="20"/>
          <w:szCs w:val="20"/>
        </w:rPr>
        <w:t xml:space="preserve">tual property innovations; (v) lobbying governmental regulators and elected officials for the purpose of seeking the reduction of royalty rates or the base on which royalties are calculated, seeking to impose some form of compulsory licensing or weakening </w:t>
      </w:r>
      <w:r>
        <w:rPr>
          <w:rFonts w:eastAsia="Times New Roman"/>
          <w:color w:val="000000"/>
          <w:sz w:val="20"/>
          <w:szCs w:val="20"/>
        </w:rPr>
        <w:t>a patent holder’s ability to enforce its rights or obtain a fair return for such rights; and (vi) attempts by licensees to shift their royalty obligation to their suppliers in order to lower the wholesale (i.e., licensee’s) selling price on which the royal</w:t>
      </w:r>
      <w:r>
        <w:rPr>
          <w:rFonts w:eastAsia="Times New Roman"/>
          <w:color w:val="000000"/>
          <w:sz w:val="20"/>
          <w:szCs w:val="20"/>
        </w:rPr>
        <w:t>ty is calculated.</w:t>
      </w:r>
    </w:p>
    <w:p w14:paraId="28940C70" w14:textId="77777777" w:rsidR="00000000" w:rsidRDefault="009B6C69">
      <w:pPr>
        <w:jc w:val="center"/>
        <w:divId w:val="1251430409"/>
        <w:rPr>
          <w:rFonts w:eastAsia="Times New Roman"/>
        </w:rPr>
      </w:pPr>
      <w:r>
        <w:rPr>
          <w:rFonts w:eastAsia="Times New Roman"/>
          <w:color w:val="000000"/>
          <w:sz w:val="20"/>
          <w:szCs w:val="20"/>
        </w:rPr>
        <w:t>27</w:t>
      </w:r>
    </w:p>
    <w:p w14:paraId="52ADDE15" w14:textId="77777777" w:rsidR="00000000" w:rsidRDefault="009B6C69">
      <w:pPr>
        <w:rPr>
          <w:rFonts w:eastAsia="Times New Roman"/>
        </w:rPr>
      </w:pPr>
      <w:r>
        <w:rPr>
          <w:rFonts w:eastAsia="Times New Roman"/>
        </w:rPr>
        <w:pict w14:anchorId="5B728E4B">
          <v:rect id="_x0000_i1050" style="width:0;height:1.5pt" o:hralign="center" o:hrstd="t" o:hr="t" fillcolor="#a0a0a0" stroked="f"/>
        </w:pict>
      </w:r>
    </w:p>
    <w:p w14:paraId="732DAAB6" w14:textId="77777777" w:rsidR="00000000" w:rsidRDefault="009B6C69">
      <w:pPr>
        <w:divId w:val="490370431"/>
        <w:rPr>
          <w:rFonts w:eastAsia="Times New Roman"/>
        </w:rPr>
      </w:pPr>
    </w:p>
    <w:p w14:paraId="39FAF537" w14:textId="77777777" w:rsidR="00000000" w:rsidRDefault="009B6C69">
      <w:pPr>
        <w:ind w:firstLine="360"/>
        <w:divId w:val="1824083926"/>
        <w:rPr>
          <w:rFonts w:eastAsia="Times New Roman"/>
        </w:rPr>
      </w:pPr>
      <w:r>
        <w:rPr>
          <w:rFonts w:eastAsia="Times New Roman"/>
          <w:color w:val="000000"/>
          <w:sz w:val="20"/>
          <w:szCs w:val="20"/>
        </w:rPr>
        <w:t>In addition, certain licensees have disputed, underreported, underpaid, not reported or not paid royalties owed to us under their license agreements or reported to us in a manner that is not in compliance with their contractual obligations, and certain com</w:t>
      </w:r>
      <w:r>
        <w:rPr>
          <w:rFonts w:eastAsia="Times New Roman"/>
          <w:color w:val="000000"/>
          <w:sz w:val="20"/>
          <w:szCs w:val="20"/>
        </w:rPr>
        <w:t>panies have yet to enter into or have delayed entering into or renewing license agreements with us for their use of our intellectual property, and they or others may engage in such behavior in the future. The fact that one or more licensees dispute, underr</w:t>
      </w:r>
      <w:r>
        <w:rPr>
          <w:rFonts w:eastAsia="Times New Roman"/>
          <w:color w:val="000000"/>
          <w:sz w:val="20"/>
          <w:szCs w:val="20"/>
        </w:rPr>
        <w:t xml:space="preserve">eport, underpay, do not report or do not pay royalties owed to us may encourage other licensees to take similar actions or not renew their existing license agreements, and may encourage other licensees or unlicensed companies to delay entering into, or to </w:t>
      </w:r>
      <w:r>
        <w:rPr>
          <w:rFonts w:eastAsia="Times New Roman"/>
          <w:color w:val="000000"/>
          <w:sz w:val="20"/>
          <w:szCs w:val="20"/>
        </w:rPr>
        <w:t>not enter into, new license agreements. Further, to the extent such licensees and companies increase their device share, the negative impact of their underreporting, underpayment, non-payment or non-reporting on our business, revenues, results of operation</w:t>
      </w:r>
      <w:r>
        <w:rPr>
          <w:rFonts w:eastAsia="Times New Roman"/>
          <w:color w:val="000000"/>
          <w:sz w:val="20"/>
          <w:szCs w:val="20"/>
        </w:rPr>
        <w:t>s, cash flows and financial condition will be exacerbated.</w:t>
      </w:r>
    </w:p>
    <w:p w14:paraId="6B9E0470" w14:textId="77777777" w:rsidR="00000000" w:rsidRDefault="009B6C69">
      <w:pPr>
        <w:ind w:firstLine="360"/>
        <w:divId w:val="1892888227"/>
        <w:rPr>
          <w:rFonts w:eastAsia="Times New Roman"/>
        </w:rPr>
      </w:pPr>
      <w:r>
        <w:rPr>
          <w:rFonts w:eastAsia="Times New Roman"/>
          <w:color w:val="000000"/>
          <w:sz w:val="20"/>
          <w:szCs w:val="20"/>
        </w:rPr>
        <w:t>We have been in the past and are currently subject to various litigation and/or governmental investigations and proceedings. Certain of these matters are described in this Annual Report in “Notes t</w:t>
      </w:r>
      <w:r>
        <w:rPr>
          <w:rFonts w:eastAsia="Times New Roman"/>
          <w:color w:val="000000"/>
          <w:sz w:val="20"/>
          <w:szCs w:val="20"/>
        </w:rPr>
        <w:t>o Consolidated Financial Statements, Note 7. Commitments and Contingencies.” We may become subject to other litigation or governmental investigations or proceedings in the future. Additionally, certain of our direct and indirect customers and licensees hav</w:t>
      </w:r>
      <w:r>
        <w:rPr>
          <w:rFonts w:eastAsia="Times New Roman"/>
          <w:color w:val="000000"/>
          <w:sz w:val="20"/>
          <w:szCs w:val="20"/>
        </w:rPr>
        <w:t>e pursued, and others may in the future pursue, litigation or arbitration against us related to our business. Unfavorable resolutions of one or more of these matters have had and could in the future have a material adverse effect on our business, revenues,</w:t>
      </w:r>
      <w:r>
        <w:rPr>
          <w:rFonts w:eastAsia="Times New Roman"/>
          <w:color w:val="000000"/>
          <w:sz w:val="20"/>
          <w:szCs w:val="20"/>
        </w:rPr>
        <w:t xml:space="preserve"> results of operations, cash flows and financial condition. See also the Risk Factors below titled </w:t>
      </w:r>
      <w:r>
        <w:rPr>
          <w:rFonts w:eastAsia="Times New Roman"/>
          <w:i/>
          <w:iCs/>
          <w:color w:val="000000"/>
          <w:sz w:val="20"/>
          <w:szCs w:val="20"/>
        </w:rPr>
        <w:t>“Changes in our patent licensing practices, whether due to governmental investigations, legal challenges or otherwise, could adversely impact our business an</w:t>
      </w:r>
      <w:r>
        <w:rPr>
          <w:rFonts w:eastAsia="Times New Roman"/>
          <w:i/>
          <w:iCs/>
          <w:color w:val="000000"/>
          <w:sz w:val="20"/>
          <w:szCs w:val="20"/>
        </w:rPr>
        <w:t xml:space="preserve">d results of operations” and “Our business may suffer as a result of adverse rulings in governmental investigations or proceedings or other legal proceedings.” </w:t>
      </w:r>
    </w:p>
    <w:p w14:paraId="281D2524" w14:textId="77777777" w:rsidR="00000000" w:rsidRDefault="009B6C69">
      <w:pPr>
        <w:ind w:firstLine="360"/>
        <w:divId w:val="994407336"/>
        <w:rPr>
          <w:rFonts w:eastAsia="Times New Roman"/>
        </w:rPr>
      </w:pPr>
      <w:r>
        <w:rPr>
          <w:rFonts w:eastAsia="Times New Roman"/>
          <w:color w:val="000000"/>
          <w:sz w:val="20"/>
          <w:szCs w:val="20"/>
        </w:rPr>
        <w:t>In addition, in connection with our participation in SDOs, we, like other patent owners, genera</w:t>
      </w:r>
      <w:r>
        <w:rPr>
          <w:rFonts w:eastAsia="Times New Roman"/>
          <w:color w:val="000000"/>
          <w:sz w:val="20"/>
          <w:szCs w:val="20"/>
        </w:rPr>
        <w:t>lly have made contractual commitments to such organizations to license those of our patents that would necessarily be infringed by standard-compliant products as set forth in those commitments (referred to as standard-essential patents). Some manufacturers</w:t>
      </w:r>
      <w:r>
        <w:rPr>
          <w:rFonts w:eastAsia="Times New Roman"/>
          <w:color w:val="000000"/>
          <w:sz w:val="20"/>
          <w:szCs w:val="20"/>
        </w:rPr>
        <w:t xml:space="preserve"> and users of standard-compliant products advance interpretations of these commitments that are adverse to our licensing business, including interpretations that would limit the amount of royalties that we could collect on the licensing of our standard-ess</w:t>
      </w:r>
      <w:r>
        <w:rPr>
          <w:rFonts w:eastAsia="Times New Roman"/>
          <w:color w:val="000000"/>
          <w:sz w:val="20"/>
          <w:szCs w:val="20"/>
        </w:rPr>
        <w:t>ential patent portfolio.</w:t>
      </w:r>
    </w:p>
    <w:p w14:paraId="012691A6" w14:textId="77777777" w:rsidR="00000000" w:rsidRDefault="009B6C69">
      <w:pPr>
        <w:ind w:firstLine="360"/>
        <w:divId w:val="328412762"/>
        <w:rPr>
          <w:rFonts w:eastAsia="Times New Roman"/>
        </w:rPr>
      </w:pPr>
      <w:r>
        <w:rPr>
          <w:rFonts w:eastAsia="Times New Roman"/>
          <w:color w:val="000000"/>
          <w:sz w:val="20"/>
          <w:szCs w:val="20"/>
        </w:rPr>
        <w:t>Further, some third parties have proposed significant changes to existing intellectual property policies for implementation by SDOs and other industry organizations with the goal of significantly devaluing standard-essential patent</w:t>
      </w:r>
      <w:r>
        <w:rPr>
          <w:rFonts w:eastAsia="Times New Roman"/>
          <w:color w:val="000000"/>
          <w:sz w:val="20"/>
          <w:szCs w:val="20"/>
        </w:rPr>
        <w:t>s. For example, some have put forth proposals which would require a maximum aggregate intellectual property royalty rate for the use of all standard-essential patents owned by all of the member companies to be applied to the selling price of any product im</w:t>
      </w:r>
      <w:r>
        <w:rPr>
          <w:rFonts w:eastAsia="Times New Roman"/>
          <w:color w:val="000000"/>
          <w:sz w:val="20"/>
          <w:szCs w:val="20"/>
        </w:rPr>
        <w:t>plementing the relevant standard. They have further proposed that such maximum aggregate royalty rate be apportioned to each member company with standard-essential patents based upon the number of standard-essential patents held by such company. Others hav</w:t>
      </w:r>
      <w:r>
        <w:rPr>
          <w:rFonts w:eastAsia="Times New Roman"/>
          <w:color w:val="000000"/>
          <w:sz w:val="20"/>
          <w:szCs w:val="20"/>
        </w:rPr>
        <w:t>e proposed that injunctions should not be an available remedy for infringement of standard-essential patents and have made proposals that could severely limit damage awards and other remedies by courts for patent infringement (e.g., by limiting the base up</w:t>
      </w:r>
      <w:r>
        <w:rPr>
          <w:rFonts w:eastAsia="Times New Roman"/>
          <w:color w:val="000000"/>
          <w:sz w:val="20"/>
          <w:szCs w:val="20"/>
        </w:rPr>
        <w:t>on which the royalty rate may be applied). A number of these strategies are purportedly based on interpretations of the policies of certain SDOs concerning the licensing of patents that are or may be essential to industry standards and on our (or other com</w:t>
      </w:r>
      <w:r>
        <w:rPr>
          <w:rFonts w:eastAsia="Times New Roman"/>
          <w:color w:val="000000"/>
          <w:sz w:val="20"/>
          <w:szCs w:val="20"/>
        </w:rPr>
        <w:t xml:space="preserve">panies’) alleged failure to abide by these policies. </w:t>
      </w:r>
    </w:p>
    <w:p w14:paraId="3FAE504A" w14:textId="77777777" w:rsidR="00000000" w:rsidRDefault="009B6C69">
      <w:pPr>
        <w:ind w:firstLine="360"/>
        <w:divId w:val="1502814423"/>
        <w:rPr>
          <w:rFonts w:eastAsia="Times New Roman"/>
        </w:rPr>
      </w:pPr>
      <w:r>
        <w:rPr>
          <w:rFonts w:eastAsia="Times New Roman"/>
          <w:color w:val="000000"/>
          <w:sz w:val="20"/>
          <w:szCs w:val="20"/>
        </w:rPr>
        <w:t xml:space="preserve">Some SDOs, courts and governmental agencies have adopted, and may in the future adopt, some or all of these interpretations or proposals in a manner adverse to our interests, including in litigation to </w:t>
      </w:r>
      <w:r>
        <w:rPr>
          <w:rFonts w:eastAsia="Times New Roman"/>
          <w:color w:val="000000"/>
          <w:sz w:val="20"/>
          <w:szCs w:val="20"/>
        </w:rPr>
        <w:t>which we may not be a party. Further, SDOs in certain countries may attempt to modify widely accepted standards and claim the resulting standard as their own.</w:t>
      </w:r>
    </w:p>
    <w:p w14:paraId="1D4B0F90" w14:textId="77777777" w:rsidR="00000000" w:rsidRDefault="009B6C69">
      <w:pPr>
        <w:ind w:firstLine="360"/>
        <w:divId w:val="1810977227"/>
        <w:rPr>
          <w:rFonts w:eastAsia="Times New Roman"/>
        </w:rPr>
      </w:pPr>
      <w:r>
        <w:rPr>
          <w:rFonts w:eastAsia="Times New Roman"/>
          <w:color w:val="000000"/>
          <w:sz w:val="20"/>
          <w:szCs w:val="20"/>
        </w:rPr>
        <w:t>We expect that such proposals, interpretations and strategies will continue in the future, and if</w:t>
      </w:r>
      <w:r>
        <w:rPr>
          <w:rFonts w:eastAsia="Times New Roman"/>
          <w:color w:val="000000"/>
          <w:sz w:val="20"/>
          <w:szCs w:val="20"/>
        </w:rPr>
        <w:t xml:space="preserve"> successful, our business model would be harmed, either by limiting or eliminating our ability to collect royalties (or by reducing the royalties we can collect) on all or a portion of our standard-essential patent portfolio, limiting our return on investm</w:t>
      </w:r>
      <w:r>
        <w:rPr>
          <w:rFonts w:eastAsia="Times New Roman"/>
          <w:color w:val="000000"/>
          <w:sz w:val="20"/>
          <w:szCs w:val="20"/>
        </w:rPr>
        <w:t>ent with respect to new technologies, limiting our ability to seek injunctions against infringers of our standard-essential patents, constraining our ability to make licensing commitments when submitting our technologies for inclusion in future standards (</w:t>
      </w:r>
      <w:r>
        <w:rPr>
          <w:rFonts w:eastAsia="Times New Roman"/>
          <w:color w:val="000000"/>
          <w:sz w:val="20"/>
          <w:szCs w:val="20"/>
        </w:rPr>
        <w:t>which could make our technologies less likely to be included in such standards) or forcing us to work outside of SDOs or other industry groups to promote our new technologies, and our revenues, results of operations and cash flows could be negatively impac</w:t>
      </w:r>
      <w:r>
        <w:rPr>
          <w:rFonts w:eastAsia="Times New Roman"/>
          <w:color w:val="000000"/>
          <w:sz w:val="20"/>
          <w:szCs w:val="20"/>
        </w:rPr>
        <w:t xml:space="preserve">ted. In addition, the legal and other costs associated with asserting or defending our positions have been and may in the future be significant. We expect that such challenges, regardless of their merits, will continue into the foreseeable future and will </w:t>
      </w:r>
      <w:r>
        <w:rPr>
          <w:rFonts w:eastAsia="Times New Roman"/>
          <w:color w:val="000000"/>
          <w:sz w:val="20"/>
          <w:szCs w:val="20"/>
        </w:rPr>
        <w:t>require the investment of substantial management time and financial resources.</w:t>
      </w:r>
    </w:p>
    <w:p w14:paraId="63A0BCBC" w14:textId="77777777" w:rsidR="00000000" w:rsidRDefault="009B6C69">
      <w:pPr>
        <w:divId w:val="1963999566"/>
        <w:rPr>
          <w:rFonts w:eastAsia="Times New Roman"/>
        </w:rPr>
      </w:pPr>
      <w:r>
        <w:rPr>
          <w:rFonts w:eastAsia="Times New Roman"/>
          <w:b/>
          <w:bCs/>
          <w:i/>
          <w:iCs/>
          <w:color w:val="000000"/>
          <w:sz w:val="20"/>
          <w:szCs w:val="20"/>
        </w:rPr>
        <w:t>Changes in our patent licensing practices, whether due to</w:t>
      </w:r>
      <w:r>
        <w:rPr>
          <w:rFonts w:eastAsia="Times New Roman"/>
          <w:color w:val="000000"/>
          <w:sz w:val="20"/>
          <w:szCs w:val="20"/>
        </w:rPr>
        <w:t xml:space="preserve"> </w:t>
      </w:r>
      <w:r>
        <w:rPr>
          <w:rFonts w:eastAsia="Times New Roman"/>
          <w:b/>
          <w:bCs/>
          <w:i/>
          <w:iCs/>
          <w:color w:val="000000"/>
          <w:sz w:val="20"/>
          <w:szCs w:val="20"/>
        </w:rPr>
        <w:t>governmental investigations, legal challenges or otherwise, could adversely impact our business and results of operatio</w:t>
      </w:r>
      <w:r>
        <w:rPr>
          <w:rFonts w:eastAsia="Times New Roman"/>
          <w:b/>
          <w:bCs/>
          <w:i/>
          <w:iCs/>
          <w:color w:val="000000"/>
          <w:sz w:val="20"/>
          <w:szCs w:val="20"/>
        </w:rPr>
        <w:t>ns.</w:t>
      </w:r>
    </w:p>
    <w:p w14:paraId="287565B2" w14:textId="77777777" w:rsidR="00000000" w:rsidRDefault="009B6C69">
      <w:pPr>
        <w:ind w:firstLine="360"/>
        <w:divId w:val="1935360679"/>
        <w:rPr>
          <w:rFonts w:eastAsia="Times New Roman"/>
        </w:rPr>
      </w:pPr>
      <w:r>
        <w:rPr>
          <w:rFonts w:eastAsia="Times New Roman"/>
          <w:color w:val="000000"/>
          <w:sz w:val="20"/>
          <w:szCs w:val="20"/>
        </w:rPr>
        <w:t>As described in the Risk Factor below titled “</w:t>
      </w:r>
      <w:r>
        <w:rPr>
          <w:rFonts w:eastAsia="Times New Roman"/>
          <w:i/>
          <w:iCs/>
          <w:color w:val="000000"/>
          <w:sz w:val="20"/>
          <w:szCs w:val="20"/>
        </w:rPr>
        <w:t>Our business may suffer as a result of adverse rulings in governmental investigations or proceedings or other legal proceedings,</w:t>
      </w:r>
      <w:r>
        <w:rPr>
          <w:rFonts w:eastAsia="Times New Roman"/>
          <w:color w:val="000000"/>
          <w:sz w:val="20"/>
          <w:szCs w:val="20"/>
        </w:rPr>
        <w:t xml:space="preserve">” we have been in the past, currently are and may in the future be subject to </w:t>
      </w:r>
      <w:r>
        <w:rPr>
          <w:rFonts w:eastAsia="Times New Roman"/>
          <w:color w:val="000000"/>
          <w:sz w:val="20"/>
          <w:szCs w:val="20"/>
        </w:rPr>
        <w:t>various governmental investigations and/or legal proceedings challenging our patent licensing practices. Certain of these matters are described in this Annual Report in “Notes to Consolidated Financial Statements, Note 7. Commitments and Contingencies.” We</w:t>
      </w:r>
      <w:r>
        <w:rPr>
          <w:rFonts w:eastAsia="Times New Roman"/>
          <w:color w:val="000000"/>
          <w:sz w:val="20"/>
          <w:szCs w:val="20"/>
        </w:rPr>
        <w:t xml:space="preserve"> believe that one intent of certain of these governmental investigations and legal proceedings has been to reduce the amount of royalties that licensees are required to pay to us for their use of our intellectual property. </w:t>
      </w:r>
    </w:p>
    <w:p w14:paraId="3ACB18A2" w14:textId="77777777" w:rsidR="00000000" w:rsidRDefault="009B6C69">
      <w:pPr>
        <w:ind w:firstLine="360"/>
        <w:divId w:val="303589516"/>
        <w:rPr>
          <w:rFonts w:eastAsia="Times New Roman"/>
        </w:rPr>
      </w:pPr>
      <w:r>
        <w:rPr>
          <w:rFonts w:eastAsia="Times New Roman"/>
          <w:color w:val="000000"/>
          <w:sz w:val="20"/>
          <w:szCs w:val="20"/>
        </w:rPr>
        <w:t>If we were required to reduce th</w:t>
      </w:r>
      <w:r>
        <w:rPr>
          <w:rFonts w:eastAsia="Times New Roman"/>
          <w:color w:val="000000"/>
          <w:sz w:val="20"/>
          <w:szCs w:val="20"/>
        </w:rPr>
        <w:t xml:space="preserve">e royalty rates in our patent license agreements, our revenues, earnings and cash flows would be negatively impacted absent a sufficient increase in the volume of sales of devices upon which royalties are paid. </w:t>
      </w:r>
    </w:p>
    <w:p w14:paraId="1C7CD6D2" w14:textId="77777777" w:rsidR="00000000" w:rsidRDefault="009B6C69">
      <w:pPr>
        <w:jc w:val="center"/>
        <w:divId w:val="1923483913"/>
        <w:rPr>
          <w:rFonts w:eastAsia="Times New Roman"/>
        </w:rPr>
      </w:pPr>
      <w:r>
        <w:rPr>
          <w:rFonts w:eastAsia="Times New Roman"/>
          <w:color w:val="000000"/>
          <w:sz w:val="20"/>
          <w:szCs w:val="20"/>
        </w:rPr>
        <w:t>28</w:t>
      </w:r>
    </w:p>
    <w:p w14:paraId="7C49F334" w14:textId="77777777" w:rsidR="00000000" w:rsidRDefault="009B6C69">
      <w:pPr>
        <w:rPr>
          <w:rFonts w:eastAsia="Times New Roman"/>
        </w:rPr>
      </w:pPr>
      <w:r>
        <w:rPr>
          <w:rFonts w:eastAsia="Times New Roman"/>
        </w:rPr>
        <w:pict w14:anchorId="54C9C403">
          <v:rect id="_x0000_i1051" style="width:0;height:1.5pt" o:hralign="center" o:hrstd="t" o:hr="t" fillcolor="#a0a0a0" stroked="f"/>
        </w:pict>
      </w:r>
    </w:p>
    <w:p w14:paraId="3C040595" w14:textId="77777777" w:rsidR="00000000" w:rsidRDefault="009B6C69">
      <w:pPr>
        <w:divId w:val="496380546"/>
        <w:rPr>
          <w:rFonts w:eastAsia="Times New Roman"/>
        </w:rPr>
      </w:pPr>
    </w:p>
    <w:p w14:paraId="0156E9FE" w14:textId="77777777" w:rsidR="00000000" w:rsidRDefault="009B6C69">
      <w:pPr>
        <w:divId w:val="1690061182"/>
        <w:rPr>
          <w:rFonts w:eastAsia="Times New Roman"/>
        </w:rPr>
      </w:pPr>
      <w:r>
        <w:rPr>
          <w:rFonts w:eastAsia="Times New Roman"/>
          <w:color w:val="000000"/>
          <w:sz w:val="20"/>
          <w:szCs w:val="20"/>
        </w:rPr>
        <w:t>Si</w:t>
      </w:r>
      <w:r>
        <w:rPr>
          <w:rFonts w:eastAsia="Times New Roman"/>
          <w:color w:val="000000"/>
          <w:sz w:val="20"/>
          <w:szCs w:val="20"/>
        </w:rPr>
        <w:t>milarly, if we were required to reduce the base on which our royalties are calculated (e.g., license at the chipset level rather than at the device level), our revenues, earnings and cash flows would be negatively impacted unless there was a sufficient inc</w:t>
      </w:r>
      <w:r>
        <w:rPr>
          <w:rFonts w:eastAsia="Times New Roman"/>
          <w:color w:val="000000"/>
          <w:sz w:val="20"/>
          <w:szCs w:val="20"/>
        </w:rPr>
        <w:t>rease in the volume of sales of devices upon which royalties are paid or we were able to increase our royalty rates to offset the decrease in revenues resulting from such lower royalty base (assuming the absolute royalty dollars were below any relevant roy</w:t>
      </w:r>
      <w:r>
        <w:rPr>
          <w:rFonts w:eastAsia="Times New Roman"/>
          <w:color w:val="000000"/>
          <w:sz w:val="20"/>
          <w:szCs w:val="20"/>
        </w:rPr>
        <w:t>alty caps).</w:t>
      </w:r>
    </w:p>
    <w:p w14:paraId="7E5B65F9" w14:textId="77777777" w:rsidR="00000000" w:rsidRDefault="009B6C69">
      <w:pPr>
        <w:ind w:firstLine="360"/>
        <w:divId w:val="337200087"/>
        <w:rPr>
          <w:rFonts w:eastAsia="Times New Roman"/>
        </w:rPr>
      </w:pPr>
      <w:r>
        <w:rPr>
          <w:rFonts w:eastAsia="Times New Roman"/>
          <w:color w:val="000000"/>
          <w:sz w:val="20"/>
          <w:szCs w:val="20"/>
        </w:rPr>
        <w:t>If we were required to grant patent licenses to chipset manufacturers (which could lead to implementing a more complex, multi-level licensing structure in which we license certain portions of our patent portfolio to chipset manufacturers and ot</w:t>
      </w:r>
      <w:r>
        <w:rPr>
          <w:rFonts w:eastAsia="Times New Roman"/>
          <w:color w:val="000000"/>
          <w:sz w:val="20"/>
          <w:szCs w:val="20"/>
        </w:rPr>
        <w:t xml:space="preserve">her portions to OEMs), we would incur additional transaction costs, which may be significant, and we could incur delays in recognizing revenues until license negotiations were completed. In addition, our licensing revenues and earnings would be negatively </w:t>
      </w:r>
      <w:r>
        <w:rPr>
          <w:rFonts w:eastAsia="Times New Roman"/>
          <w:color w:val="000000"/>
          <w:sz w:val="20"/>
          <w:szCs w:val="20"/>
        </w:rPr>
        <w:t>impacted if we were not able to obtain, in the aggregate, equivalent revenues under such a multi-level licensing structure.</w:t>
      </w:r>
    </w:p>
    <w:p w14:paraId="13640436" w14:textId="77777777" w:rsidR="00000000" w:rsidRDefault="009B6C69">
      <w:pPr>
        <w:ind w:firstLine="360"/>
        <w:divId w:val="842554594"/>
        <w:rPr>
          <w:rFonts w:eastAsia="Times New Roman"/>
        </w:rPr>
      </w:pPr>
      <w:r>
        <w:rPr>
          <w:rFonts w:eastAsia="Times New Roman"/>
          <w:color w:val="000000"/>
          <w:sz w:val="20"/>
          <w:szCs w:val="20"/>
        </w:rPr>
        <w:t>If we were required to sell chipsets to OEMs that do not have a license to our patents, our licensing programs could be negatively i</w:t>
      </w:r>
      <w:r>
        <w:rPr>
          <w:rFonts w:eastAsia="Times New Roman"/>
          <w:color w:val="000000"/>
          <w:sz w:val="20"/>
          <w:szCs w:val="20"/>
        </w:rPr>
        <w:t>mpacted by patent exhaustion claims raised by such unlicensed OEMs (i.e., claims that our sale of chipsets to such OEMs forecloses us from asserting any patents substantially embodied by the chipsets against such OEMs). Such sales could provide OEMs with a</w:t>
      </w:r>
      <w:r>
        <w:rPr>
          <w:rFonts w:eastAsia="Times New Roman"/>
          <w:color w:val="000000"/>
          <w:sz w:val="20"/>
          <w:szCs w:val="20"/>
        </w:rPr>
        <w:t xml:space="preserve"> defense in the event we asserted our patents against them to obtain licensing revenue for those patents. This could have a material adverse effect on our licensing programs and our results of operations, cash flows and financial condition.</w:t>
      </w:r>
    </w:p>
    <w:p w14:paraId="7F024948" w14:textId="77777777" w:rsidR="00000000" w:rsidRDefault="009B6C69">
      <w:pPr>
        <w:ind w:firstLine="360"/>
        <w:divId w:val="1756240907"/>
        <w:rPr>
          <w:rFonts w:eastAsia="Times New Roman"/>
        </w:rPr>
      </w:pPr>
      <w:r>
        <w:rPr>
          <w:rFonts w:eastAsia="Times New Roman"/>
          <w:color w:val="000000"/>
          <w:sz w:val="20"/>
          <w:szCs w:val="20"/>
        </w:rPr>
        <w:t>To the extent t</w:t>
      </w:r>
      <w:r>
        <w:rPr>
          <w:rFonts w:eastAsia="Times New Roman"/>
          <w:color w:val="000000"/>
          <w:sz w:val="20"/>
          <w:szCs w:val="20"/>
        </w:rPr>
        <w:t>hat we were required to implement any of these licensing and/or business practices, including by modifying or renegotiating our existing license agreements or pursuing other commercial arrangements, we would incur additional transaction costs, which may be</w:t>
      </w:r>
      <w:r>
        <w:rPr>
          <w:rFonts w:eastAsia="Times New Roman"/>
          <w:color w:val="000000"/>
          <w:sz w:val="20"/>
          <w:szCs w:val="20"/>
        </w:rPr>
        <w:t xml:space="preserve"> significant, we could incur delays in recognizing revenues until license negotiations were completed, and our business, revenues, results of operations, cash flows and financial condition could be harmed. The impact of any such changes to our licensing pr</w:t>
      </w:r>
      <w:r>
        <w:rPr>
          <w:rFonts w:eastAsia="Times New Roman"/>
          <w:color w:val="000000"/>
          <w:sz w:val="20"/>
          <w:szCs w:val="20"/>
        </w:rPr>
        <w:t>actices could vary widely and by jurisdiction, depending on the specific outcomes and the geographic scope of such outcomes. In addition, if we were required to make modifications to our licensing practices in one jurisdiction, licensees or governmental ag</w:t>
      </w:r>
      <w:r>
        <w:rPr>
          <w:rFonts w:eastAsia="Times New Roman"/>
          <w:color w:val="000000"/>
          <w:sz w:val="20"/>
          <w:szCs w:val="20"/>
        </w:rPr>
        <w:t>encies in other jurisdictions may attempt to obtain similar outcomes for themselves or for such other jurisdictions, as applicable, which could result in increased legal costs and further harm to our business, revenues, results of operations, cash flows an</w:t>
      </w:r>
      <w:r>
        <w:rPr>
          <w:rFonts w:eastAsia="Times New Roman"/>
          <w:color w:val="000000"/>
          <w:sz w:val="20"/>
          <w:szCs w:val="20"/>
        </w:rPr>
        <w:t>d financial condition.</w:t>
      </w:r>
    </w:p>
    <w:p w14:paraId="15C23BCE" w14:textId="77777777" w:rsidR="00000000" w:rsidRDefault="009B6C69">
      <w:pPr>
        <w:divId w:val="1404260504"/>
        <w:rPr>
          <w:rFonts w:eastAsia="Times New Roman"/>
        </w:rPr>
      </w:pPr>
      <w:r>
        <w:rPr>
          <w:rFonts w:eastAsia="Times New Roman"/>
          <w:b/>
          <w:bCs/>
          <w:color w:val="000000"/>
          <w:sz w:val="20"/>
          <w:szCs w:val="20"/>
        </w:rPr>
        <w:t>RISKS RELATED TO REGULATORY AND LEGAL CHALLENGES</w:t>
      </w:r>
    </w:p>
    <w:p w14:paraId="577D0FFF" w14:textId="77777777" w:rsidR="00000000" w:rsidRDefault="009B6C69">
      <w:pPr>
        <w:divId w:val="1703940617"/>
        <w:rPr>
          <w:rFonts w:eastAsia="Times New Roman"/>
        </w:rPr>
      </w:pPr>
      <w:r>
        <w:rPr>
          <w:rFonts w:eastAsia="Times New Roman"/>
          <w:b/>
          <w:bCs/>
          <w:i/>
          <w:iCs/>
          <w:color w:val="000000"/>
          <w:sz w:val="20"/>
          <w:szCs w:val="20"/>
        </w:rPr>
        <w:t>Our business may suffer as a result of adverse rulings in governmental investigations or proceedings or other legal proceedings.</w:t>
      </w:r>
    </w:p>
    <w:p w14:paraId="73DB9262" w14:textId="77777777" w:rsidR="00000000" w:rsidRDefault="009B6C69">
      <w:pPr>
        <w:ind w:firstLine="360"/>
        <w:divId w:val="1823741053"/>
        <w:rPr>
          <w:rFonts w:eastAsia="Times New Roman"/>
        </w:rPr>
      </w:pPr>
      <w:r>
        <w:rPr>
          <w:rFonts w:eastAsia="Times New Roman"/>
          <w:color w:val="000000"/>
          <w:sz w:val="20"/>
          <w:szCs w:val="20"/>
        </w:rPr>
        <w:t>We have been in the past and currently are subject to v</w:t>
      </w:r>
      <w:r>
        <w:rPr>
          <w:rFonts w:eastAsia="Times New Roman"/>
          <w:color w:val="000000"/>
          <w:sz w:val="20"/>
          <w:szCs w:val="20"/>
        </w:rPr>
        <w:t>arious governmental investigations and proceedings. Certain of these matters are described in this Annual Report in “Notes to Consolidated Financial Statements, Note 7. Commitments and Contingencies.” Key allegations or findings in those matters include or</w:t>
      </w:r>
      <w:r>
        <w:rPr>
          <w:rFonts w:eastAsia="Times New Roman"/>
          <w:color w:val="000000"/>
          <w:sz w:val="20"/>
          <w:szCs w:val="20"/>
        </w:rPr>
        <w:t xml:space="preserve"> have in the past included, among others: that we violate FRAND licensing commitments by refusing to grant licenses to chipset manufacturers; that our royalty rates are too high; that the base on which our royalties are calculated should be something less </w:t>
      </w:r>
      <w:r>
        <w:rPr>
          <w:rFonts w:eastAsia="Times New Roman"/>
          <w:color w:val="000000"/>
          <w:sz w:val="20"/>
          <w:szCs w:val="20"/>
        </w:rPr>
        <w:t>than the wholesale (i.e., licensee’s) selling price of the applicable device (minus certain permitted deductions); that we unlawfully require customers to execute a patent license before we sell them cellular modem chipsets; that we have entered into exclu</w:t>
      </w:r>
      <w:r>
        <w:rPr>
          <w:rFonts w:eastAsia="Times New Roman"/>
          <w:color w:val="000000"/>
          <w:sz w:val="20"/>
          <w:szCs w:val="20"/>
        </w:rPr>
        <w:t>sive agreements with chipset customers that foreclose competition; that we leverage our position in baseband chipsets in the RFFE space; and that we violate antitrust laws and engage in anticompetitive conduct and unfair methods of competition. We may beco</w:t>
      </w:r>
      <w:r>
        <w:rPr>
          <w:rFonts w:eastAsia="Times New Roman"/>
          <w:color w:val="000000"/>
          <w:sz w:val="20"/>
          <w:szCs w:val="20"/>
        </w:rPr>
        <w:t xml:space="preserve">me subject to other litigation or governmental investigations or proceedings in the future. </w:t>
      </w:r>
    </w:p>
    <w:p w14:paraId="498BB742" w14:textId="77777777" w:rsidR="00000000" w:rsidRDefault="009B6C69">
      <w:pPr>
        <w:ind w:firstLine="360"/>
        <w:divId w:val="469828522"/>
        <w:rPr>
          <w:rFonts w:eastAsia="Times New Roman"/>
        </w:rPr>
      </w:pPr>
      <w:r>
        <w:rPr>
          <w:rFonts w:eastAsia="Times New Roman"/>
          <w:color w:val="000000"/>
          <w:sz w:val="20"/>
          <w:szCs w:val="20"/>
        </w:rPr>
        <w:t>Unfavorable resolutions of one or more of these matters have had and could in the future have a material adverse effect on our business, revenues, results of operations, cash flows and financial condition. Depending on the matter, various remedies that cou</w:t>
      </w:r>
      <w:r>
        <w:rPr>
          <w:rFonts w:eastAsia="Times New Roman"/>
          <w:color w:val="000000"/>
          <w:sz w:val="20"/>
          <w:szCs w:val="20"/>
        </w:rPr>
        <w:t xml:space="preserve">ld result from an unfavorable resolution include, among others: the loss of our ability to enforce one or more of our patents; injunctions; monetary damages, fines or other orders to pay money; the issuance of orders to cease certain conduct or modify our </w:t>
      </w:r>
      <w:r>
        <w:rPr>
          <w:rFonts w:eastAsia="Times New Roman"/>
          <w:color w:val="000000"/>
          <w:sz w:val="20"/>
          <w:szCs w:val="20"/>
        </w:rPr>
        <w:t>business practices, such as requiring us to reduce our royalty rates, reduce the base on which our royalties are calculated, grant patent licenses to chipset manufacturers, sell chipsets to unlicensed OEMs or modify or renegotiate some or all of our existi</w:t>
      </w:r>
      <w:r>
        <w:rPr>
          <w:rFonts w:eastAsia="Times New Roman"/>
          <w:color w:val="000000"/>
          <w:sz w:val="20"/>
          <w:szCs w:val="20"/>
        </w:rPr>
        <w:t>ng license agreements; and determinations that some or all of our license agreements are invalid or unenforceable. In addition, a governmental body in a particular country or region may successfully assert and impose remedies with effects that extend beyon</w:t>
      </w:r>
      <w:r>
        <w:rPr>
          <w:rFonts w:eastAsia="Times New Roman"/>
          <w:color w:val="000000"/>
          <w:sz w:val="20"/>
          <w:szCs w:val="20"/>
        </w:rPr>
        <w:t>d the borders of that country or region. If some or all of our license agreements are declared invalid or unenforceable and/or we are required to renegotiate these license agreements, we may not receive, or may not be able to recognize, some or any licensi</w:t>
      </w:r>
      <w:r>
        <w:rPr>
          <w:rFonts w:eastAsia="Times New Roman"/>
          <w:color w:val="000000"/>
          <w:sz w:val="20"/>
          <w:szCs w:val="20"/>
        </w:rPr>
        <w:t>ng or royalty revenues under the impacted license agreements unless and until we enter into new license agreements; and even licensees whose license agreements are not impacted may demand to renegotiate their agreements or invoke the dispute resolution pro</w:t>
      </w:r>
      <w:r>
        <w:rPr>
          <w:rFonts w:eastAsia="Times New Roman"/>
          <w:color w:val="000000"/>
          <w:sz w:val="20"/>
          <w:szCs w:val="20"/>
        </w:rPr>
        <w:t>vision in their agreements, and we may not be able to recognize some or any revenues under such agreements. The renegotiation of license agreements could result in terms that are less favorable to us than existing terms, or lead to arbitration or litigatio</w:t>
      </w:r>
      <w:r>
        <w:rPr>
          <w:rFonts w:eastAsia="Times New Roman"/>
          <w:color w:val="000000"/>
          <w:sz w:val="20"/>
          <w:szCs w:val="20"/>
        </w:rPr>
        <w:t>n to resolve the licensing terms, which could also be less favorable to us than existing terms, and each of which could take months or years. Licensees may underreport, underpay, not report or not pay royalties owed to us pending the conclusion of such neg</w:t>
      </w:r>
      <w:r>
        <w:rPr>
          <w:rFonts w:eastAsia="Times New Roman"/>
          <w:color w:val="000000"/>
          <w:sz w:val="20"/>
          <w:szCs w:val="20"/>
        </w:rPr>
        <w:t>otiations, arbitration or litigation. In addition, we may be sued for alleged overpayments of past royalties paid to us, including private antitrust actions seeking treble damages under U.S. antitrust laws.</w:t>
      </w:r>
    </w:p>
    <w:p w14:paraId="100229FC" w14:textId="77777777" w:rsidR="00000000" w:rsidRDefault="009B6C69">
      <w:pPr>
        <w:ind w:firstLine="360"/>
        <w:divId w:val="634339521"/>
        <w:rPr>
          <w:rFonts w:eastAsia="Times New Roman"/>
        </w:rPr>
      </w:pPr>
      <w:r>
        <w:rPr>
          <w:rFonts w:eastAsia="Times New Roman"/>
          <w:color w:val="000000"/>
          <w:sz w:val="20"/>
          <w:szCs w:val="20"/>
        </w:rPr>
        <w:t>The occurrence of any of the above could have a m</w:t>
      </w:r>
      <w:r>
        <w:rPr>
          <w:rFonts w:eastAsia="Times New Roman"/>
          <w:color w:val="000000"/>
          <w:sz w:val="20"/>
          <w:szCs w:val="20"/>
        </w:rPr>
        <w:t xml:space="preserve">aterial adverse effect on our business, revenues, results of operations, cash flows and financial condition, and our stock price could decline, possibly significantly, in which case we may have to </w:t>
      </w:r>
    </w:p>
    <w:p w14:paraId="3E115534" w14:textId="77777777" w:rsidR="00000000" w:rsidRDefault="009B6C69">
      <w:pPr>
        <w:jc w:val="center"/>
        <w:divId w:val="1421952645"/>
        <w:rPr>
          <w:rFonts w:eastAsia="Times New Roman"/>
        </w:rPr>
      </w:pPr>
      <w:r>
        <w:rPr>
          <w:rFonts w:eastAsia="Times New Roman"/>
          <w:color w:val="000000"/>
          <w:sz w:val="20"/>
          <w:szCs w:val="20"/>
        </w:rPr>
        <w:t>29</w:t>
      </w:r>
    </w:p>
    <w:p w14:paraId="39FE8F9F" w14:textId="77777777" w:rsidR="00000000" w:rsidRDefault="009B6C69">
      <w:pPr>
        <w:rPr>
          <w:rFonts w:eastAsia="Times New Roman"/>
        </w:rPr>
      </w:pPr>
      <w:r>
        <w:rPr>
          <w:rFonts w:eastAsia="Times New Roman"/>
        </w:rPr>
        <w:pict w14:anchorId="5B718F17">
          <v:rect id="_x0000_i1052" style="width:0;height:1.5pt" o:hralign="center" o:hrstd="t" o:hr="t" fillcolor="#a0a0a0" stroked="f"/>
        </w:pict>
      </w:r>
    </w:p>
    <w:p w14:paraId="75D89788" w14:textId="77777777" w:rsidR="00000000" w:rsidRDefault="009B6C69">
      <w:pPr>
        <w:divId w:val="1339233475"/>
        <w:rPr>
          <w:rFonts w:eastAsia="Times New Roman"/>
        </w:rPr>
      </w:pPr>
    </w:p>
    <w:p w14:paraId="113A3545" w14:textId="77777777" w:rsidR="00000000" w:rsidRDefault="009B6C69">
      <w:pPr>
        <w:divId w:val="1458841359"/>
        <w:rPr>
          <w:rFonts w:eastAsia="Times New Roman"/>
        </w:rPr>
      </w:pPr>
      <w:r>
        <w:rPr>
          <w:rFonts w:eastAsia="Times New Roman"/>
          <w:color w:val="000000"/>
          <w:sz w:val="20"/>
          <w:szCs w:val="20"/>
        </w:rPr>
        <w:t>significantly cu</w:t>
      </w:r>
      <w:r>
        <w:rPr>
          <w:rFonts w:eastAsia="Times New Roman"/>
          <w:color w:val="000000"/>
          <w:sz w:val="20"/>
          <w:szCs w:val="20"/>
        </w:rPr>
        <w:t>t costs and other uses of cash, including in research and development, significantly impairing our ability to maintain product and technology leadership and invest in next generation technologies. Further, depending on the breadth and severity of the circu</w:t>
      </w:r>
      <w:r>
        <w:rPr>
          <w:rFonts w:eastAsia="Times New Roman"/>
          <w:color w:val="000000"/>
          <w:sz w:val="20"/>
          <w:szCs w:val="20"/>
        </w:rPr>
        <w:t>mstances above, we may have to reduce, suspend or eliminate our capital return programs, and our ability to timely pay our indebtedness may be impacted. These challenges have required, and may in the future require, the investment of significant management</w:t>
      </w:r>
      <w:r>
        <w:rPr>
          <w:rFonts w:eastAsia="Times New Roman"/>
          <w:color w:val="000000"/>
          <w:sz w:val="20"/>
          <w:szCs w:val="20"/>
        </w:rPr>
        <w:t xml:space="preserve"> time and attention and have resulted, and may in the future result, in significant legal costs.</w:t>
      </w:r>
    </w:p>
    <w:p w14:paraId="011A4B19" w14:textId="77777777" w:rsidR="00000000" w:rsidRDefault="009B6C69">
      <w:pPr>
        <w:divId w:val="284847801"/>
        <w:rPr>
          <w:rFonts w:eastAsia="Times New Roman"/>
        </w:rPr>
      </w:pPr>
      <w:r>
        <w:rPr>
          <w:rFonts w:eastAsia="Times New Roman"/>
          <w:b/>
          <w:bCs/>
          <w:color w:val="000000"/>
          <w:sz w:val="20"/>
          <w:szCs w:val="20"/>
        </w:rPr>
        <w:t>RISKS RELATED TO INDUSTRY DYNAMICS AND COMPETITION</w:t>
      </w:r>
    </w:p>
    <w:p w14:paraId="68BFA5F1" w14:textId="77777777" w:rsidR="00000000" w:rsidRDefault="009B6C69">
      <w:pPr>
        <w:divId w:val="1767338624"/>
        <w:rPr>
          <w:rFonts w:eastAsia="Times New Roman"/>
        </w:rPr>
      </w:pPr>
      <w:r>
        <w:rPr>
          <w:rFonts w:eastAsia="Times New Roman"/>
          <w:b/>
          <w:bCs/>
          <w:i/>
          <w:iCs/>
          <w:color w:val="000000"/>
          <w:sz w:val="20"/>
          <w:szCs w:val="20"/>
        </w:rPr>
        <w:t>Our revenues depend on our customers’ and licensees’ sales of products and services based on CDMA, OFDMA and</w:t>
      </w:r>
      <w:r>
        <w:rPr>
          <w:rFonts w:eastAsia="Times New Roman"/>
          <w:b/>
          <w:bCs/>
          <w:i/>
          <w:iCs/>
          <w:color w:val="000000"/>
          <w:sz w:val="20"/>
          <w:szCs w:val="20"/>
        </w:rPr>
        <w:t xml:space="preserve"> other communications technologies, including 5G, and customer demand for our products based on these technologies.</w:t>
      </w:r>
    </w:p>
    <w:p w14:paraId="1B4E00AC" w14:textId="77777777" w:rsidR="00000000" w:rsidRDefault="009B6C69">
      <w:pPr>
        <w:ind w:firstLine="360"/>
        <w:divId w:val="1206479656"/>
        <w:rPr>
          <w:rFonts w:eastAsia="Times New Roman"/>
        </w:rPr>
      </w:pPr>
      <w:r>
        <w:rPr>
          <w:rFonts w:eastAsia="Times New Roman"/>
          <w:color w:val="000000"/>
          <w:sz w:val="20"/>
          <w:szCs w:val="20"/>
        </w:rPr>
        <w:t>We develop, patent and commercialize technology and products based on CDMA, OFDMA and other communications technologies, which are primarily</w:t>
      </w:r>
      <w:r>
        <w:rPr>
          <w:rFonts w:eastAsia="Times New Roman"/>
          <w:color w:val="000000"/>
          <w:sz w:val="20"/>
          <w:szCs w:val="20"/>
        </w:rPr>
        <w:t xml:space="preserve"> wireless. We depend on our customers and licensees to develop devices and services based on these technologies to drive consumer demand for new 3G/4G/5G multimode and single-mode devices, and to establish the selling prices for such devices. Further, the </w:t>
      </w:r>
      <w:r>
        <w:rPr>
          <w:rFonts w:eastAsia="Times New Roman"/>
          <w:color w:val="000000"/>
          <w:sz w:val="20"/>
          <w:szCs w:val="20"/>
        </w:rPr>
        <w:t>timing of our shipments of our products is dependent on the timing of our customers’ and licensees’ deployments of new devices and services based on these technologies. Increasingly, we also depend on operators of wireless networks, our customers and licen</w:t>
      </w:r>
      <w:r>
        <w:rPr>
          <w:rFonts w:eastAsia="Times New Roman"/>
          <w:color w:val="000000"/>
          <w:sz w:val="20"/>
          <w:szCs w:val="20"/>
        </w:rPr>
        <w:t>sees and other third parties to incorporate these technologies into new device types and into industries and applications beyond mobile handsets, such as automotive and IoT, among others. Commercial deployments of 5G networks and devices have begun and are</w:t>
      </w:r>
      <w:r>
        <w:rPr>
          <w:rFonts w:eastAsia="Times New Roman"/>
          <w:color w:val="000000"/>
          <w:sz w:val="20"/>
          <w:szCs w:val="20"/>
        </w:rPr>
        <w:t xml:space="preserve"> expected to continue for the foreseeable future. However, the timing and scale of such deployments, in certain regions, have been delayed due to the COVID-19 pandemic and may be further delayed for reasons that are beyond our control.</w:t>
      </w:r>
    </w:p>
    <w:p w14:paraId="1A7C7791" w14:textId="77777777" w:rsidR="00000000" w:rsidRDefault="009B6C69">
      <w:pPr>
        <w:ind w:firstLine="360"/>
        <w:divId w:val="2126121778"/>
        <w:rPr>
          <w:rFonts w:eastAsia="Times New Roman"/>
        </w:rPr>
      </w:pPr>
      <w:r>
        <w:rPr>
          <w:rFonts w:eastAsia="Times New Roman"/>
          <w:color w:val="000000"/>
          <w:sz w:val="20"/>
          <w:szCs w:val="20"/>
        </w:rPr>
        <w:t>Our revenues and gro</w:t>
      </w:r>
      <w:r>
        <w:rPr>
          <w:rFonts w:eastAsia="Times New Roman"/>
          <w:color w:val="000000"/>
          <w:sz w:val="20"/>
          <w:szCs w:val="20"/>
        </w:rPr>
        <w:t>wth in revenues could be negatively impacted, our business may be harmed and our substantial investments in these technologies may not provide us an adequate return, if: our customers’ and licensees’ revenues and sales of products, particularly premium-tie</w:t>
      </w:r>
      <w:r>
        <w:rPr>
          <w:rFonts w:eastAsia="Times New Roman"/>
          <w:color w:val="000000"/>
          <w:sz w:val="20"/>
          <w:szCs w:val="20"/>
        </w:rPr>
        <w:t>r products, and services using these technologies, and average selling prices of such products, decline due to, for example, the maturity of smartphone penetration in developed regions, including China; we do not continue to maintain our intellectual prope</w:t>
      </w:r>
      <w:r>
        <w:rPr>
          <w:rFonts w:eastAsia="Times New Roman"/>
          <w:color w:val="000000"/>
          <w:sz w:val="20"/>
          <w:szCs w:val="20"/>
        </w:rPr>
        <w:t xml:space="preserve">rty and technical leadership in 5G, including in ongoing 5G standardization efforts; we are unable to drive the adoption of our products into networks and devices, including devices beyond mobile handsets; or consumers’ rates of replacement of smartphones </w:t>
      </w:r>
      <w:r>
        <w:rPr>
          <w:rFonts w:eastAsia="Times New Roman"/>
          <w:color w:val="000000"/>
          <w:sz w:val="20"/>
          <w:szCs w:val="20"/>
        </w:rPr>
        <w:t>and other devices decline.</w:t>
      </w:r>
    </w:p>
    <w:p w14:paraId="3403A82E" w14:textId="77777777" w:rsidR="00000000" w:rsidRDefault="009B6C69">
      <w:pPr>
        <w:divId w:val="15428783"/>
        <w:rPr>
          <w:rFonts w:eastAsia="Times New Roman"/>
        </w:rPr>
      </w:pPr>
      <w:r>
        <w:rPr>
          <w:rFonts w:eastAsia="Times New Roman"/>
          <w:b/>
          <w:bCs/>
          <w:i/>
          <w:iCs/>
          <w:color w:val="000000"/>
          <w:sz w:val="20"/>
          <w:szCs w:val="20"/>
        </w:rPr>
        <w:t>Our industry is subject to intense competition in an environment of rapid technological change. Our success depends in part on our ability to adapt to such change and compete effectively; and such change and competition could res</w:t>
      </w:r>
      <w:r>
        <w:rPr>
          <w:rFonts w:eastAsia="Times New Roman"/>
          <w:b/>
          <w:bCs/>
          <w:i/>
          <w:iCs/>
          <w:color w:val="000000"/>
          <w:sz w:val="20"/>
          <w:szCs w:val="20"/>
        </w:rPr>
        <w:t>ult in decreased demand for our products and technologies or declining average selling prices for our products or those of our customers or licensees.</w:t>
      </w:r>
    </w:p>
    <w:p w14:paraId="0B57B086" w14:textId="77777777" w:rsidR="00000000" w:rsidRDefault="009B6C69">
      <w:pPr>
        <w:ind w:firstLine="360"/>
        <w:divId w:val="772744573"/>
        <w:rPr>
          <w:rFonts w:eastAsia="Times New Roman"/>
        </w:rPr>
      </w:pPr>
      <w:r>
        <w:rPr>
          <w:rFonts w:eastAsia="Times New Roman"/>
          <w:color w:val="000000"/>
          <w:sz w:val="20"/>
          <w:szCs w:val="20"/>
        </w:rPr>
        <w:t>Our products and technologies face significant competition. Competition may intensify as our current comp</w:t>
      </w:r>
      <w:r>
        <w:rPr>
          <w:rFonts w:eastAsia="Times New Roman"/>
          <w:color w:val="000000"/>
          <w:sz w:val="20"/>
          <w:szCs w:val="20"/>
        </w:rPr>
        <w:t>etitors expand their product offerings, improve their products or reduce the prices of their products as part of a strategy to maintain existing business and customers or attract new business and customers, as new opportunities develop, and as new competit</w:t>
      </w:r>
      <w:r>
        <w:rPr>
          <w:rFonts w:eastAsia="Times New Roman"/>
          <w:color w:val="000000"/>
          <w:sz w:val="20"/>
          <w:szCs w:val="20"/>
        </w:rPr>
        <w:t>ors enter the industry. Competition in wireless communications is affected by various factors that include, among others: OEM concentrations; vertical integration; competition in certain geographic regions; government intervention or support of national in</w:t>
      </w:r>
      <w:r>
        <w:rPr>
          <w:rFonts w:eastAsia="Times New Roman"/>
          <w:color w:val="000000"/>
          <w:sz w:val="20"/>
          <w:szCs w:val="20"/>
        </w:rPr>
        <w:t>dustries or competitors; the ability to maintain product differentiation in light of evolving industry standards and speed of technological change (including the transition to smaller geometry process technologies and the demand for always on, always conne</w:t>
      </w:r>
      <w:r>
        <w:rPr>
          <w:rFonts w:eastAsia="Times New Roman"/>
          <w:color w:val="000000"/>
          <w:sz w:val="20"/>
          <w:szCs w:val="20"/>
        </w:rPr>
        <w:t>cted capabilities); access to capacity in the supply chain; and value-added features that drive selling prices and consumer demand for new 3G/4G/5G multimode and single-mode devices.</w:t>
      </w:r>
    </w:p>
    <w:p w14:paraId="3E1BC6EB" w14:textId="77777777" w:rsidR="00000000" w:rsidRDefault="009B6C69">
      <w:pPr>
        <w:ind w:firstLine="360"/>
        <w:divId w:val="934557614"/>
        <w:rPr>
          <w:rFonts w:eastAsia="Times New Roman"/>
        </w:rPr>
      </w:pPr>
      <w:r>
        <w:rPr>
          <w:rFonts w:eastAsia="Times New Roman"/>
          <w:color w:val="000000"/>
          <w:sz w:val="20"/>
          <w:szCs w:val="20"/>
        </w:rPr>
        <w:t>We anticipate that additional competitors will introduce products as a re</w:t>
      </w:r>
      <w:r>
        <w:rPr>
          <w:rFonts w:eastAsia="Times New Roman"/>
          <w:color w:val="000000"/>
          <w:sz w:val="20"/>
          <w:szCs w:val="20"/>
        </w:rPr>
        <w:t>sult of growth opportunities in wireless communications, the trend toward global expansion by foreign and domestic competitors, and technological and public policy changes. Additionally, the semiconductor industry has experienced and may continue to experi</w:t>
      </w:r>
      <w:r>
        <w:rPr>
          <w:rFonts w:eastAsia="Times New Roman"/>
          <w:color w:val="000000"/>
          <w:sz w:val="20"/>
          <w:szCs w:val="20"/>
        </w:rPr>
        <w:t>ence consolidation, which could result in significant changes to the competitive landscape. For example, if any key supplier of technologies and intellectual property to the semiconductor industry was sold to one of our competitors, it could negatively aff</w:t>
      </w:r>
      <w:r>
        <w:rPr>
          <w:rFonts w:eastAsia="Times New Roman"/>
          <w:color w:val="000000"/>
          <w:sz w:val="20"/>
          <w:szCs w:val="20"/>
        </w:rPr>
        <w:t>ect our ability to procure or license such technologies and intellectual property in the future, at all or upon acceptable terms which could have wide-ranging impacts on our business and operations.</w:t>
      </w:r>
    </w:p>
    <w:p w14:paraId="4AAAEEBA" w14:textId="77777777" w:rsidR="00000000" w:rsidRDefault="009B6C69">
      <w:pPr>
        <w:ind w:firstLine="360"/>
        <w:divId w:val="430055590"/>
        <w:rPr>
          <w:rFonts w:eastAsia="Times New Roman"/>
        </w:rPr>
      </w:pPr>
      <w:r>
        <w:rPr>
          <w:rFonts w:eastAsia="Times New Roman"/>
          <w:color w:val="000000"/>
          <w:sz w:val="20"/>
          <w:szCs w:val="20"/>
        </w:rPr>
        <w:t>We expect that our future success will depend on, among o</w:t>
      </w:r>
      <w:r>
        <w:rPr>
          <w:rFonts w:eastAsia="Times New Roman"/>
          <w:color w:val="000000"/>
          <w:sz w:val="20"/>
          <w:szCs w:val="20"/>
        </w:rPr>
        <w:t>ther factors, our ability to:</w:t>
      </w:r>
    </w:p>
    <w:p w14:paraId="1A9528BE" w14:textId="77777777" w:rsidR="00000000" w:rsidRDefault="009B6C69">
      <w:pPr>
        <w:ind w:hanging="360"/>
        <w:divId w:val="19429795"/>
        <w:rPr>
          <w:rFonts w:eastAsia="Times New Roman"/>
        </w:rPr>
      </w:pPr>
      <w:r>
        <w:rPr>
          <w:rFonts w:eastAsia="Times New Roman"/>
          <w:color w:val="000000"/>
          <w:sz w:val="20"/>
          <w:szCs w:val="20"/>
        </w:rPr>
        <w:t xml:space="preserve">•differentiate our integrated circuit products with innovative technologies across multiple products and features (e.g., modem, RFFE, including millimeter wave (mmWave), graphics and other processors, camera and connectivity) </w:t>
      </w:r>
      <w:r>
        <w:rPr>
          <w:rFonts w:eastAsia="Times New Roman"/>
          <w:color w:val="000000"/>
          <w:sz w:val="20"/>
          <w:szCs w:val="20"/>
        </w:rPr>
        <w:t>and with smaller geometry process technologies that drive both performance and lower power consumption;</w:t>
      </w:r>
    </w:p>
    <w:p w14:paraId="6748CC53" w14:textId="77777777" w:rsidR="00000000" w:rsidRDefault="009B6C69">
      <w:pPr>
        <w:ind w:hanging="360"/>
        <w:divId w:val="179979286"/>
        <w:rPr>
          <w:rFonts w:eastAsia="Times New Roman"/>
        </w:rPr>
      </w:pPr>
      <w:r>
        <w:rPr>
          <w:rFonts w:eastAsia="Times New Roman"/>
          <w:color w:val="000000"/>
          <w:sz w:val="20"/>
          <w:szCs w:val="20"/>
        </w:rPr>
        <w:t>•</w:t>
      </w:r>
      <w:r>
        <w:rPr>
          <w:rFonts w:eastAsia="Times New Roman"/>
          <w:color w:val="000000"/>
          <w:sz w:val="20"/>
          <w:szCs w:val="20"/>
        </w:rPr>
        <w:t>develop and offer integrated circuit products at competitive cost and price points and to effectively cover all geographic regions and all device tiers;</w:t>
      </w:r>
    </w:p>
    <w:p w14:paraId="6ED37B0B" w14:textId="77777777" w:rsidR="00000000" w:rsidRDefault="009B6C69">
      <w:pPr>
        <w:ind w:hanging="360"/>
        <w:divId w:val="760957259"/>
        <w:rPr>
          <w:rFonts w:eastAsia="Times New Roman"/>
        </w:rPr>
      </w:pPr>
      <w:r>
        <w:rPr>
          <w:rFonts w:eastAsia="Times New Roman"/>
          <w:color w:val="000000"/>
          <w:sz w:val="20"/>
          <w:szCs w:val="20"/>
        </w:rPr>
        <w:t>•continue to be a leader in mobile, and drive the adoption of our technologies and integrated circuit p</w:t>
      </w:r>
      <w:r>
        <w:rPr>
          <w:rFonts w:eastAsia="Times New Roman"/>
          <w:color w:val="000000"/>
          <w:sz w:val="20"/>
          <w:szCs w:val="20"/>
        </w:rPr>
        <w:t>roducts, including RFFE, into the most popular device models and across a broad spectrum of devices in mobile, such as smartphones, tablets, laptops and other mobile computing devices;</w:t>
      </w:r>
    </w:p>
    <w:p w14:paraId="42244E9B" w14:textId="77777777" w:rsidR="00000000" w:rsidRDefault="009B6C69">
      <w:pPr>
        <w:ind w:hanging="360"/>
        <w:divId w:val="1413355010"/>
        <w:rPr>
          <w:rFonts w:eastAsia="Times New Roman"/>
        </w:rPr>
      </w:pPr>
      <w:r>
        <w:rPr>
          <w:rFonts w:eastAsia="Times New Roman"/>
          <w:color w:val="000000"/>
          <w:sz w:val="20"/>
          <w:szCs w:val="20"/>
        </w:rPr>
        <w:t>•increase or accelerate adoption of our technologies and products in in</w:t>
      </w:r>
      <w:r>
        <w:rPr>
          <w:rFonts w:eastAsia="Times New Roman"/>
          <w:color w:val="000000"/>
          <w:sz w:val="20"/>
          <w:szCs w:val="20"/>
        </w:rPr>
        <w:t>dustries and applications outside of mobile handsets, including automotive and IoT;</w:t>
      </w:r>
    </w:p>
    <w:p w14:paraId="05E862A9" w14:textId="77777777" w:rsidR="00000000" w:rsidRDefault="009B6C69">
      <w:pPr>
        <w:jc w:val="center"/>
        <w:divId w:val="1769228436"/>
        <w:rPr>
          <w:rFonts w:eastAsia="Times New Roman"/>
        </w:rPr>
      </w:pPr>
      <w:r>
        <w:rPr>
          <w:rFonts w:eastAsia="Times New Roman"/>
          <w:color w:val="000000"/>
          <w:sz w:val="20"/>
          <w:szCs w:val="20"/>
        </w:rPr>
        <w:t>30</w:t>
      </w:r>
    </w:p>
    <w:p w14:paraId="3F1D9269" w14:textId="77777777" w:rsidR="00000000" w:rsidRDefault="009B6C69">
      <w:pPr>
        <w:rPr>
          <w:rFonts w:eastAsia="Times New Roman"/>
        </w:rPr>
      </w:pPr>
      <w:r>
        <w:rPr>
          <w:rFonts w:eastAsia="Times New Roman"/>
        </w:rPr>
        <w:pict w14:anchorId="2E8B43B1">
          <v:rect id="_x0000_i1053" style="width:0;height:1.5pt" o:hralign="center" o:hrstd="t" o:hr="t" fillcolor="#a0a0a0" stroked="f"/>
        </w:pict>
      </w:r>
    </w:p>
    <w:p w14:paraId="6C8695A4" w14:textId="77777777" w:rsidR="00000000" w:rsidRDefault="009B6C69">
      <w:pPr>
        <w:divId w:val="992442835"/>
        <w:rPr>
          <w:rFonts w:eastAsia="Times New Roman"/>
        </w:rPr>
      </w:pPr>
    </w:p>
    <w:p w14:paraId="0227AA12" w14:textId="77777777" w:rsidR="00000000" w:rsidRDefault="009B6C69">
      <w:pPr>
        <w:ind w:hanging="360"/>
        <w:divId w:val="1545559365"/>
        <w:rPr>
          <w:rFonts w:eastAsia="Times New Roman"/>
        </w:rPr>
      </w:pPr>
      <w:r>
        <w:rPr>
          <w:rFonts w:eastAsia="Times New Roman"/>
          <w:color w:val="000000"/>
          <w:sz w:val="20"/>
          <w:szCs w:val="20"/>
        </w:rPr>
        <w:t xml:space="preserve">•maintain or accelerate demand for our integrated circuit products at the premium device tier, while also driving the adoption of </w:t>
      </w:r>
      <w:r>
        <w:rPr>
          <w:rFonts w:eastAsia="Times New Roman"/>
          <w:color w:val="000000"/>
          <w:sz w:val="20"/>
          <w:szCs w:val="20"/>
        </w:rPr>
        <w:t>our products into high, mid- and low-tier devices across all regions;</w:t>
      </w:r>
    </w:p>
    <w:p w14:paraId="46B420D2" w14:textId="77777777" w:rsidR="00000000" w:rsidRDefault="009B6C69">
      <w:pPr>
        <w:ind w:hanging="360"/>
        <w:divId w:val="884872412"/>
        <w:rPr>
          <w:rFonts w:eastAsia="Times New Roman"/>
        </w:rPr>
      </w:pPr>
      <w:r>
        <w:rPr>
          <w:rFonts w:eastAsia="Times New Roman"/>
          <w:color w:val="000000"/>
          <w:sz w:val="20"/>
          <w:szCs w:val="20"/>
        </w:rPr>
        <w:t>•remain a leader in 5G technology development, standardization, intellectual property creation and licensing, and develop, commercialize and remain a leading supplier of 5G integrated ci</w:t>
      </w:r>
      <w:r>
        <w:rPr>
          <w:rFonts w:eastAsia="Times New Roman"/>
          <w:color w:val="000000"/>
          <w:sz w:val="20"/>
          <w:szCs w:val="20"/>
        </w:rPr>
        <w:t xml:space="preserve">rcuit products, including RFFE products; </w:t>
      </w:r>
    </w:p>
    <w:p w14:paraId="075BFF8C" w14:textId="77777777" w:rsidR="00000000" w:rsidRDefault="009B6C69">
      <w:pPr>
        <w:ind w:hanging="360"/>
        <w:divId w:val="1148400772"/>
        <w:rPr>
          <w:rFonts w:eastAsia="Times New Roman"/>
        </w:rPr>
      </w:pPr>
      <w:r>
        <w:rPr>
          <w:rFonts w:eastAsia="Times New Roman"/>
          <w:color w:val="000000"/>
          <w:sz w:val="20"/>
          <w:szCs w:val="20"/>
        </w:rPr>
        <w:t>•maintain access to sufficient capacity in the supply chain relative to our competitors to meet customer demand;</w:t>
      </w:r>
    </w:p>
    <w:p w14:paraId="6F674D83" w14:textId="77777777" w:rsidR="00000000" w:rsidRDefault="009B6C69">
      <w:pPr>
        <w:ind w:hanging="360"/>
        <w:divId w:val="890115502"/>
        <w:rPr>
          <w:rFonts w:eastAsia="Times New Roman"/>
        </w:rPr>
      </w:pPr>
      <w:r>
        <w:rPr>
          <w:rFonts w:eastAsia="Times New Roman"/>
          <w:color w:val="000000"/>
          <w:sz w:val="20"/>
          <w:szCs w:val="20"/>
        </w:rPr>
        <w:t>•create standalone value and contribute to the success of our existing businesses through acquisition</w:t>
      </w:r>
      <w:r>
        <w:rPr>
          <w:rFonts w:eastAsia="Times New Roman"/>
          <w:color w:val="000000"/>
          <w:sz w:val="20"/>
          <w:szCs w:val="20"/>
        </w:rPr>
        <w:t xml:space="preserve">s, joint ventures and other strategic transactions, and by developing customer, licensee, vendor, distributor and other channel relationships in new industries and applications; </w:t>
      </w:r>
    </w:p>
    <w:p w14:paraId="69158882" w14:textId="77777777" w:rsidR="00000000" w:rsidRDefault="009B6C69">
      <w:pPr>
        <w:ind w:hanging="360"/>
        <w:divId w:val="1311866450"/>
        <w:rPr>
          <w:rFonts w:eastAsia="Times New Roman"/>
        </w:rPr>
      </w:pPr>
      <w:r>
        <w:rPr>
          <w:rFonts w:eastAsia="Times New Roman"/>
          <w:color w:val="000000"/>
          <w:sz w:val="20"/>
          <w:szCs w:val="20"/>
        </w:rPr>
        <w:t>•identify potential acquisition targets that will grow or sustain our busines</w:t>
      </w:r>
      <w:r>
        <w:rPr>
          <w:rFonts w:eastAsia="Times New Roman"/>
          <w:color w:val="000000"/>
          <w:sz w:val="20"/>
          <w:szCs w:val="20"/>
        </w:rPr>
        <w:t xml:space="preserve">s or address strategic needs, reach agreement on terms acceptable to us, close the transactions and effectively integrate these new businesses, products, technologies and employees; </w:t>
      </w:r>
    </w:p>
    <w:p w14:paraId="7A22CF0C" w14:textId="77777777" w:rsidR="00000000" w:rsidRDefault="009B6C69">
      <w:pPr>
        <w:ind w:hanging="360"/>
        <w:divId w:val="1204555920"/>
        <w:rPr>
          <w:rFonts w:eastAsia="Times New Roman"/>
        </w:rPr>
      </w:pPr>
      <w:r>
        <w:rPr>
          <w:rFonts w:eastAsia="Times New Roman"/>
          <w:color w:val="000000"/>
          <w:sz w:val="20"/>
          <w:szCs w:val="20"/>
        </w:rPr>
        <w:t xml:space="preserve">•provide leading products and technologies to OEMs, high level operating </w:t>
      </w:r>
      <w:r>
        <w:rPr>
          <w:rFonts w:eastAsia="Times New Roman"/>
          <w:color w:val="000000"/>
          <w:sz w:val="20"/>
          <w:szCs w:val="20"/>
        </w:rPr>
        <w:t>systems (HLOS) providers, operators, cloud providers and other industry participants as competitors, new industry entrants and other factors continue to affect the industry landscape;</w:t>
      </w:r>
    </w:p>
    <w:p w14:paraId="246DE7D0" w14:textId="77777777" w:rsidR="00000000" w:rsidRDefault="009B6C69">
      <w:pPr>
        <w:ind w:hanging="360"/>
        <w:divId w:val="45108918"/>
        <w:rPr>
          <w:rFonts w:eastAsia="Times New Roman"/>
        </w:rPr>
      </w:pPr>
      <w:r>
        <w:rPr>
          <w:rFonts w:eastAsia="Times New Roman"/>
          <w:color w:val="000000"/>
          <w:sz w:val="20"/>
          <w:szCs w:val="20"/>
        </w:rPr>
        <w:t xml:space="preserve">•be a </w:t>
      </w:r>
      <w:r>
        <w:rPr>
          <w:rFonts w:eastAsia="Times New Roman"/>
          <w:color w:val="000000"/>
          <w:sz w:val="20"/>
          <w:szCs w:val="20"/>
        </w:rPr>
        <w:t>preferred partner and sustain preferred relationships providing integrated circuit products that support multiple operating system and infrastructure platforms to industry participants that effectively commercialize new devices using these platforms; and</w:t>
      </w:r>
    </w:p>
    <w:p w14:paraId="2762D222" w14:textId="77777777" w:rsidR="00000000" w:rsidRDefault="009B6C69">
      <w:pPr>
        <w:ind w:hanging="360"/>
        <w:divId w:val="770199389"/>
        <w:rPr>
          <w:rFonts w:eastAsia="Times New Roman"/>
        </w:rPr>
      </w:pPr>
      <w:r>
        <w:rPr>
          <w:rFonts w:eastAsia="Times New Roman"/>
          <w:color w:val="000000"/>
          <w:sz w:val="20"/>
          <w:szCs w:val="20"/>
        </w:rPr>
        <w:t>•</w:t>
      </w:r>
      <w:r>
        <w:rPr>
          <w:rFonts w:eastAsia="Times New Roman"/>
          <w:color w:val="000000"/>
          <w:sz w:val="20"/>
          <w:szCs w:val="20"/>
        </w:rPr>
        <w:t>continue to develop brand recognition to effectively compete against better known companies in computing and other consumer driven segments and to deepen our presence in significant emerging regions and China.</w:t>
      </w:r>
    </w:p>
    <w:p w14:paraId="15242557" w14:textId="77777777" w:rsidR="00000000" w:rsidRDefault="009B6C69">
      <w:pPr>
        <w:ind w:firstLine="360"/>
        <w:divId w:val="957877880"/>
        <w:rPr>
          <w:rFonts w:eastAsia="Times New Roman"/>
        </w:rPr>
      </w:pPr>
      <w:r>
        <w:rPr>
          <w:rFonts w:eastAsia="Times New Roman"/>
          <w:color w:val="000000"/>
          <w:sz w:val="20"/>
          <w:szCs w:val="20"/>
        </w:rPr>
        <w:t>We compete with many different semiconductor c</w:t>
      </w:r>
      <w:r>
        <w:rPr>
          <w:rFonts w:eastAsia="Times New Roman"/>
          <w:color w:val="000000"/>
          <w:sz w:val="20"/>
          <w:szCs w:val="20"/>
        </w:rPr>
        <w:t xml:space="preserve">ompanies, ranging from multinational companies with integrated research and development, manufacturing, sales and marketing organizations across a broad spectrum of product lines, to companies that are focused on a single application, industry or standard </w:t>
      </w:r>
      <w:r>
        <w:rPr>
          <w:rFonts w:eastAsia="Times New Roman"/>
          <w:color w:val="000000"/>
          <w:sz w:val="20"/>
          <w:szCs w:val="20"/>
        </w:rPr>
        <w:t xml:space="preserve">product, including those that produce products for mobile handsets, automotive or IoT, among others. Most of these competitors compete with us with respect to some, but not all, of our businesses or product lines. Companies that design integrated circuits </w:t>
      </w:r>
      <w:r>
        <w:rPr>
          <w:rFonts w:eastAsia="Times New Roman"/>
          <w:color w:val="000000"/>
          <w:sz w:val="20"/>
          <w:szCs w:val="20"/>
        </w:rPr>
        <w:t>based on CDMA, OFDMA, Wi-Fi or their derivatives are generally competitors or potential competitors. Examples (some of which are strategic partners of ours in other areas) include Apple, Broadcom, MediaTek, Nvidia, NXP Semiconductors, Qorvo, Samsung, Skywo</w:t>
      </w:r>
      <w:r>
        <w:rPr>
          <w:rFonts w:eastAsia="Times New Roman"/>
          <w:color w:val="000000"/>
          <w:sz w:val="20"/>
          <w:szCs w:val="20"/>
        </w:rPr>
        <w:t xml:space="preserve">rks, Texas Instruments and UNISOC. Some of these current and potential competitors may have advantages over us that include, among others: motivation by our customers in certain circumstances to use our competitors’ integrated circuit products, to utilize </w:t>
      </w:r>
      <w:r>
        <w:rPr>
          <w:rFonts w:eastAsia="Times New Roman"/>
          <w:color w:val="000000"/>
          <w:sz w:val="20"/>
          <w:szCs w:val="20"/>
        </w:rPr>
        <w:t>their own internally-developed integrated circuit products and/or sell such products to others, or to utilize alternative technologies; lower cost structures or a willingness and ability to accept lower prices or lower margins for their products, particula</w:t>
      </w:r>
      <w:r>
        <w:rPr>
          <w:rFonts w:eastAsia="Times New Roman"/>
          <w:color w:val="000000"/>
          <w:sz w:val="20"/>
          <w:szCs w:val="20"/>
        </w:rPr>
        <w:t xml:space="preserve">rly in China; foreign government support of other technologies, competitors or OEMs that sell devices that do not contain our integrated circuit products; better known brand names; ownership and control of manufacturing facilities and greater expertise in </w:t>
      </w:r>
      <w:r>
        <w:rPr>
          <w:rFonts w:eastAsia="Times New Roman"/>
          <w:color w:val="000000"/>
          <w:sz w:val="20"/>
          <w:szCs w:val="20"/>
        </w:rPr>
        <w:t>manufacturing processes; the development and sale of infrastructure equipment for wireless networks, which may enable such competitors to better optimize their integrated circuit products for performance on those networks; more extensive relationships with</w:t>
      </w:r>
      <w:r>
        <w:rPr>
          <w:rFonts w:eastAsia="Times New Roman"/>
          <w:color w:val="000000"/>
          <w:sz w:val="20"/>
          <w:szCs w:val="20"/>
        </w:rPr>
        <w:t xml:space="preserve"> local distribution companies and OEMs in certain geographic regions (such as China); more experience in industries and applications beyond mobile handsets (such as automotive and IoT); and a more established presence in certain regions. </w:t>
      </w:r>
    </w:p>
    <w:p w14:paraId="26B93CEB" w14:textId="77777777" w:rsidR="00000000" w:rsidRDefault="009B6C69">
      <w:pPr>
        <w:ind w:firstLine="360"/>
        <w:divId w:val="765148241"/>
        <w:rPr>
          <w:rFonts w:eastAsia="Times New Roman"/>
        </w:rPr>
      </w:pPr>
      <w:r>
        <w:rPr>
          <w:rFonts w:eastAsia="Times New Roman"/>
          <w:color w:val="000000"/>
          <w:sz w:val="20"/>
          <w:szCs w:val="20"/>
        </w:rPr>
        <w:t>In addition, cert</w:t>
      </w:r>
      <w:r>
        <w:rPr>
          <w:rFonts w:eastAsia="Times New Roman"/>
          <w:color w:val="000000"/>
          <w:sz w:val="20"/>
          <w:szCs w:val="20"/>
        </w:rPr>
        <w:t>ain of our largest integrated circuit customers have in the past utilized, currently utilize and may in the future utilize our competitors’ integrated circuit products in some or all of their devices, rather than our products. Further, certain of those cus</w:t>
      </w:r>
      <w:r>
        <w:rPr>
          <w:rFonts w:eastAsia="Times New Roman"/>
          <w:color w:val="000000"/>
          <w:sz w:val="20"/>
          <w:szCs w:val="20"/>
        </w:rPr>
        <w:t xml:space="preserve">tomers have developed, are developing or may develop their own integrated circuit products (effectively making them competitors), which they have in the past utilized, currently utilize and may in the future utilize in some or all of their devices, rather </w:t>
      </w:r>
      <w:r>
        <w:rPr>
          <w:rFonts w:eastAsia="Times New Roman"/>
          <w:color w:val="000000"/>
          <w:sz w:val="20"/>
          <w:szCs w:val="20"/>
        </w:rPr>
        <w:t>than our products. See also the Risk Factor titled “</w:t>
      </w:r>
      <w:r>
        <w:rPr>
          <w:rFonts w:eastAsia="Times New Roman"/>
          <w:i/>
          <w:iCs/>
          <w:color w:val="000000"/>
          <w:sz w:val="20"/>
          <w:szCs w:val="20"/>
        </w:rPr>
        <w:t>Our business, particularly our semiconductor business, may suffer as a result of our customers vertically integrating (i.e., developing their own integrated circuit products)</w:t>
      </w:r>
      <w:r>
        <w:rPr>
          <w:rFonts w:eastAsia="Times New Roman"/>
          <w:color w:val="000000"/>
          <w:sz w:val="20"/>
          <w:szCs w:val="20"/>
        </w:rPr>
        <w:t xml:space="preserve">.” </w:t>
      </w:r>
    </w:p>
    <w:p w14:paraId="2B62D3B2" w14:textId="77777777" w:rsidR="00000000" w:rsidRDefault="009B6C69">
      <w:pPr>
        <w:ind w:firstLine="360"/>
        <w:divId w:val="105009492"/>
        <w:rPr>
          <w:rFonts w:eastAsia="Times New Roman"/>
        </w:rPr>
      </w:pPr>
      <w:r>
        <w:rPr>
          <w:rFonts w:eastAsia="Times New Roman"/>
          <w:color w:val="000000"/>
          <w:sz w:val="20"/>
          <w:szCs w:val="20"/>
        </w:rPr>
        <w:t>Further, political actions</w:t>
      </w:r>
      <w:r>
        <w:rPr>
          <w:rFonts w:eastAsia="Times New Roman"/>
          <w:color w:val="000000"/>
          <w:sz w:val="20"/>
          <w:szCs w:val="20"/>
        </w:rPr>
        <w:t>, including trade and/or national security protection policies, or other actions by governments, particularly the U.S. and Chinese governments, have in the past, currently are and could in the future limit or prevent us from transacting business with certa</w:t>
      </w:r>
      <w:r>
        <w:rPr>
          <w:rFonts w:eastAsia="Times New Roman"/>
          <w:color w:val="000000"/>
          <w:sz w:val="20"/>
          <w:szCs w:val="20"/>
        </w:rPr>
        <w:t>in of our customers or suppliers; limit, prevent or discourage certain of our customers or suppliers from transacting business with us; or make it more expensive to do so. This could advantage our competitors by enabling them with increased sales, economie</w:t>
      </w:r>
      <w:r>
        <w:rPr>
          <w:rFonts w:eastAsia="Times New Roman"/>
          <w:color w:val="000000"/>
          <w:sz w:val="20"/>
          <w:szCs w:val="20"/>
        </w:rPr>
        <w:t>s of scale, operating income and/or cash flows, and/or enabling critical technology transfer, allowing them to increase their investments in technology development, research and development, and commercialization of products. See also the Risk Factor title</w:t>
      </w:r>
      <w:r>
        <w:rPr>
          <w:rFonts w:eastAsia="Times New Roman"/>
          <w:color w:val="000000"/>
          <w:sz w:val="20"/>
          <w:szCs w:val="20"/>
        </w:rPr>
        <w:t>d “</w:t>
      </w:r>
      <w:r>
        <w:rPr>
          <w:rFonts w:eastAsia="Times New Roman"/>
          <w:i/>
          <w:iCs/>
          <w:color w:val="000000"/>
          <w:sz w:val="20"/>
          <w:szCs w:val="20"/>
        </w:rPr>
        <w:t>A significant portion of our business is concentrated in China, and the risks of such concentration are exacerbated by U.S./China trade and national security tensions.</w:t>
      </w:r>
      <w:r>
        <w:rPr>
          <w:rFonts w:eastAsia="Times New Roman"/>
          <w:color w:val="000000"/>
          <w:sz w:val="20"/>
          <w:szCs w:val="20"/>
        </w:rPr>
        <w:t>”</w:t>
      </w:r>
    </w:p>
    <w:p w14:paraId="096022B8" w14:textId="77777777" w:rsidR="00000000" w:rsidRDefault="009B6C69">
      <w:pPr>
        <w:ind w:firstLine="360"/>
        <w:divId w:val="708804438"/>
        <w:rPr>
          <w:rFonts w:eastAsia="Times New Roman"/>
        </w:rPr>
      </w:pPr>
      <w:r>
        <w:rPr>
          <w:rFonts w:eastAsia="Times New Roman"/>
          <w:color w:val="000000"/>
          <w:sz w:val="20"/>
          <w:szCs w:val="20"/>
        </w:rPr>
        <w:t>Competition in any or all product tiers may result in the loss of business or custom</w:t>
      </w:r>
      <w:r>
        <w:rPr>
          <w:rFonts w:eastAsia="Times New Roman"/>
          <w:color w:val="000000"/>
          <w:sz w:val="20"/>
          <w:szCs w:val="20"/>
        </w:rPr>
        <w:t>ers, which would negatively impact our business, revenues, results of operations, cash flows and financial condition. Such competition may also reduce average selling prices for our chipset products or the products of our customers and licensees. Certain o</w:t>
      </w:r>
      <w:r>
        <w:rPr>
          <w:rFonts w:eastAsia="Times New Roman"/>
          <w:color w:val="000000"/>
          <w:sz w:val="20"/>
          <w:szCs w:val="20"/>
        </w:rPr>
        <w:t>f these dynamics are particularly pronounced in emerging regions and China where competitors may have lower cost structures or may have a willingness and ability to accept lower prices or lower margins on their products. Reductions in the average selling p</w:t>
      </w:r>
      <w:r>
        <w:rPr>
          <w:rFonts w:eastAsia="Times New Roman"/>
          <w:color w:val="000000"/>
          <w:sz w:val="20"/>
          <w:szCs w:val="20"/>
        </w:rPr>
        <w:t xml:space="preserve">rices of our chipset products, without a corresponding increase in volumes, would negatively impact our revenues, and without </w:t>
      </w:r>
    </w:p>
    <w:p w14:paraId="48209228" w14:textId="77777777" w:rsidR="00000000" w:rsidRDefault="009B6C69">
      <w:pPr>
        <w:jc w:val="center"/>
        <w:divId w:val="986056006"/>
        <w:rPr>
          <w:rFonts w:eastAsia="Times New Roman"/>
        </w:rPr>
      </w:pPr>
      <w:r>
        <w:rPr>
          <w:rFonts w:eastAsia="Times New Roman"/>
          <w:color w:val="000000"/>
          <w:sz w:val="20"/>
          <w:szCs w:val="20"/>
        </w:rPr>
        <w:t>31</w:t>
      </w:r>
    </w:p>
    <w:p w14:paraId="2493F3E8" w14:textId="77777777" w:rsidR="00000000" w:rsidRDefault="009B6C69">
      <w:pPr>
        <w:rPr>
          <w:rFonts w:eastAsia="Times New Roman"/>
        </w:rPr>
      </w:pPr>
      <w:r>
        <w:rPr>
          <w:rFonts w:eastAsia="Times New Roman"/>
        </w:rPr>
        <w:pict w14:anchorId="2FB0AB14">
          <v:rect id="_x0000_i1054" style="width:0;height:1.5pt" o:hralign="center" o:hrstd="t" o:hr="t" fillcolor="#a0a0a0" stroked="f"/>
        </w:pict>
      </w:r>
    </w:p>
    <w:p w14:paraId="5B00C9EC" w14:textId="77777777" w:rsidR="00000000" w:rsidRDefault="009B6C69">
      <w:pPr>
        <w:divId w:val="2081100819"/>
        <w:rPr>
          <w:rFonts w:eastAsia="Times New Roman"/>
        </w:rPr>
      </w:pPr>
    </w:p>
    <w:p w14:paraId="484F36E1" w14:textId="77777777" w:rsidR="00000000" w:rsidRDefault="009B6C69">
      <w:pPr>
        <w:divId w:val="2073691342"/>
        <w:rPr>
          <w:rFonts w:eastAsia="Times New Roman"/>
        </w:rPr>
      </w:pPr>
      <w:r>
        <w:rPr>
          <w:rFonts w:eastAsia="Times New Roman"/>
          <w:color w:val="000000"/>
          <w:sz w:val="20"/>
          <w:szCs w:val="20"/>
        </w:rPr>
        <w:t>corresponding decreases in average unit costs, would negatively impact our margins. In a</w:t>
      </w:r>
      <w:r>
        <w:rPr>
          <w:rFonts w:eastAsia="Times New Roman"/>
          <w:color w:val="000000"/>
          <w:sz w:val="20"/>
          <w:szCs w:val="20"/>
        </w:rPr>
        <w:t>ddition, reductions in the average selling prices of our licensees’ products, unless offset by an increase in volumes, would generally decrease total royalties payable to us, negatively impacting our licensing revenues.</w:t>
      </w:r>
    </w:p>
    <w:p w14:paraId="21F92EE8" w14:textId="77777777" w:rsidR="00000000" w:rsidRDefault="009B6C69">
      <w:pPr>
        <w:divId w:val="1626735380"/>
        <w:rPr>
          <w:rFonts w:eastAsia="Times New Roman"/>
        </w:rPr>
      </w:pPr>
      <w:r>
        <w:rPr>
          <w:rFonts w:eastAsia="Times New Roman"/>
          <w:b/>
          <w:bCs/>
          <w:color w:val="000000"/>
          <w:sz w:val="20"/>
          <w:szCs w:val="20"/>
        </w:rPr>
        <w:t xml:space="preserve">RISKS RELATED TO PRODUCT DEFECTS OR </w:t>
      </w:r>
      <w:r>
        <w:rPr>
          <w:rFonts w:eastAsia="Times New Roman"/>
          <w:b/>
          <w:bCs/>
          <w:color w:val="000000"/>
          <w:sz w:val="20"/>
          <w:szCs w:val="20"/>
        </w:rPr>
        <w:t>SECURITY VULNERABILITIES</w:t>
      </w:r>
    </w:p>
    <w:p w14:paraId="6F893399" w14:textId="77777777" w:rsidR="00000000" w:rsidRDefault="009B6C69">
      <w:pPr>
        <w:divId w:val="674263889"/>
        <w:rPr>
          <w:rFonts w:eastAsia="Times New Roman"/>
        </w:rPr>
      </w:pPr>
      <w:r>
        <w:rPr>
          <w:rFonts w:eastAsia="Times New Roman"/>
          <w:b/>
          <w:bCs/>
          <w:i/>
          <w:iCs/>
          <w:color w:val="000000"/>
          <w:sz w:val="20"/>
          <w:szCs w:val="20"/>
        </w:rPr>
        <w:t>Failures in our products, or in the products of our customers or licensees, including those resulting from security vulnerabilities, defects or errors, could harm our business.</w:t>
      </w:r>
    </w:p>
    <w:p w14:paraId="7D8D730F" w14:textId="77777777" w:rsidR="00000000" w:rsidRDefault="009B6C69">
      <w:pPr>
        <w:ind w:firstLine="360"/>
        <w:divId w:val="334457534"/>
        <w:rPr>
          <w:rFonts w:eastAsia="Times New Roman"/>
        </w:rPr>
      </w:pPr>
      <w:r>
        <w:rPr>
          <w:rFonts w:eastAsia="Times New Roman"/>
          <w:color w:val="000000"/>
          <w:sz w:val="20"/>
          <w:szCs w:val="20"/>
        </w:rPr>
        <w:t>Our products are complex and may contain defects, erro</w:t>
      </w:r>
      <w:r>
        <w:rPr>
          <w:rFonts w:eastAsia="Times New Roman"/>
          <w:color w:val="000000"/>
          <w:sz w:val="20"/>
          <w:szCs w:val="20"/>
        </w:rPr>
        <w:t>rs or security vulnerabilities, or experience failures or unsatisfactory performance, due to any number of issues, including issues in materials, design, fabrication, packaging and/or use within a system. Development of products in new domains of technolog</w:t>
      </w:r>
      <w:r>
        <w:rPr>
          <w:rFonts w:eastAsia="Times New Roman"/>
          <w:color w:val="000000"/>
          <w:sz w:val="20"/>
          <w:szCs w:val="20"/>
        </w:rPr>
        <w:t>y, and the migration to integrated circuit technologies with smaller geometric feature sizes, increases complexity and adds risk to manufacturing yields and reliability, and increases the likelihood of product defects, errors or security vulnerabilities. D</w:t>
      </w:r>
      <w:r>
        <w:rPr>
          <w:rFonts w:eastAsia="Times New Roman"/>
          <w:color w:val="000000"/>
          <w:sz w:val="20"/>
          <w:szCs w:val="20"/>
        </w:rPr>
        <w:t>efects, errors, security vulnerabilities or other unintended functionality could also be introduced into our products by cyber-attacks or other actions by malicious actors, either directly or through third-party products or software used in our products or</w:t>
      </w:r>
      <w:r>
        <w:rPr>
          <w:rFonts w:eastAsia="Times New Roman"/>
          <w:color w:val="000000"/>
          <w:sz w:val="20"/>
          <w:szCs w:val="20"/>
        </w:rPr>
        <w:t xml:space="preserve"> IT infrastructure (including applications). Further, because of the complexity of our products, defects, errors or security vulnerabilities might only be detected when the products are in use. Risks associated with product or technology defects, errors or</w:t>
      </w:r>
      <w:r>
        <w:rPr>
          <w:rFonts w:eastAsia="Times New Roman"/>
          <w:color w:val="000000"/>
          <w:sz w:val="20"/>
          <w:szCs w:val="20"/>
        </w:rPr>
        <w:t xml:space="preserve"> security vulnerabilities are exacerbated by the fact that our customers typically integrate our products into consumer and other devices.</w:t>
      </w:r>
    </w:p>
    <w:p w14:paraId="3683F7AB" w14:textId="77777777" w:rsidR="00000000" w:rsidRDefault="009B6C69">
      <w:pPr>
        <w:ind w:firstLine="360"/>
        <w:divId w:val="695544688"/>
        <w:rPr>
          <w:rFonts w:eastAsia="Times New Roman"/>
        </w:rPr>
      </w:pPr>
      <w:r>
        <w:rPr>
          <w:rFonts w:eastAsia="Times New Roman"/>
          <w:color w:val="000000"/>
          <w:sz w:val="20"/>
          <w:szCs w:val="20"/>
        </w:rPr>
        <w:t>The use of devices containing our products to interact with untrusted systems or otherwise access untrusted content c</w:t>
      </w:r>
      <w:r>
        <w:rPr>
          <w:rFonts w:eastAsia="Times New Roman"/>
          <w:color w:val="000000"/>
          <w:sz w:val="20"/>
          <w:szCs w:val="20"/>
        </w:rPr>
        <w:t>reates a risk of exposing the system hardware and software in those devices to malicious attacks. Further, security vulnerabilities in our products or the technologies we use could expose our customers, or end users of our customers’ products, to hackers o</w:t>
      </w:r>
      <w:r>
        <w:rPr>
          <w:rFonts w:eastAsia="Times New Roman"/>
          <w:color w:val="000000"/>
          <w:sz w:val="20"/>
          <w:szCs w:val="20"/>
        </w:rPr>
        <w:t>r other unscrupulous third parties who develop and deploy malware that could attack our products or our customers’ products or IT infrastructure. Such attacks could result in the disruption of our customers’ businesses or the misappropriation, theft, misus</w:t>
      </w:r>
      <w:r>
        <w:rPr>
          <w:rFonts w:eastAsia="Times New Roman"/>
          <w:color w:val="000000"/>
          <w:sz w:val="20"/>
          <w:szCs w:val="20"/>
        </w:rPr>
        <w:t xml:space="preserve">e, disclosure, loss or destruction of the technology or intellectual property, or the proprietary, confidential or personal information, of our customers, their employees or the end users of our customers’ devices. While we continue to focus on this issue </w:t>
      </w:r>
      <w:r>
        <w:rPr>
          <w:rFonts w:eastAsia="Times New Roman"/>
          <w:color w:val="000000"/>
          <w:sz w:val="20"/>
          <w:szCs w:val="20"/>
        </w:rPr>
        <w:t>and take measures to safeguard our products from cybersecurity threats, device capabilities continue to evolve, enabling more elaborate functionality and applications, and increasing the risk of security failures, and techniques used to perpetrate cybersec</w:t>
      </w:r>
      <w:r>
        <w:rPr>
          <w:rFonts w:eastAsia="Times New Roman"/>
          <w:color w:val="000000"/>
          <w:sz w:val="20"/>
          <w:szCs w:val="20"/>
        </w:rPr>
        <w:t>urity attacks are increasingly sophisticated and constantly evolving. See also the Risk Factor titled “</w:t>
      </w:r>
      <w:r>
        <w:rPr>
          <w:rFonts w:eastAsia="Times New Roman"/>
          <w:i/>
          <w:iCs/>
          <w:color w:val="000000"/>
          <w:sz w:val="20"/>
          <w:szCs w:val="20"/>
        </w:rPr>
        <w:t>Our business and operations could suffer in the event of security breaches of our IT systems, or other misappropriation of our technology, intellectual p</w:t>
      </w:r>
      <w:r>
        <w:rPr>
          <w:rFonts w:eastAsia="Times New Roman"/>
          <w:i/>
          <w:iCs/>
          <w:color w:val="000000"/>
          <w:sz w:val="20"/>
          <w:szCs w:val="20"/>
        </w:rPr>
        <w:t>roperty or other proprietary or confidential information</w:t>
      </w:r>
      <w:r>
        <w:rPr>
          <w:rFonts w:eastAsia="Times New Roman"/>
          <w:color w:val="000000"/>
          <w:sz w:val="20"/>
          <w:szCs w:val="20"/>
        </w:rPr>
        <w:t>.”</w:t>
      </w:r>
    </w:p>
    <w:p w14:paraId="7FC12047" w14:textId="77777777" w:rsidR="00000000" w:rsidRDefault="009B6C69">
      <w:pPr>
        <w:ind w:firstLine="360"/>
        <w:divId w:val="225920447"/>
        <w:rPr>
          <w:rFonts w:eastAsia="Times New Roman"/>
        </w:rPr>
      </w:pPr>
      <w:r>
        <w:rPr>
          <w:rFonts w:eastAsia="Times New Roman"/>
          <w:color w:val="000000"/>
          <w:sz w:val="20"/>
          <w:szCs w:val="20"/>
        </w:rPr>
        <w:t>Our products may be responsible for critical functions in our customers’ products and networks. Failure of our products to perform to specifications, meet certain regulatory or industry standards (</w:t>
      </w:r>
      <w:r>
        <w:rPr>
          <w:rFonts w:eastAsia="Times New Roman"/>
          <w:color w:val="000000"/>
          <w:sz w:val="20"/>
          <w:szCs w:val="20"/>
        </w:rPr>
        <w:t>including product safety and information security standards, which may differ by region, geography and industry, and which are particularly stringent in the automotive industry), or other product defects, errors or security vulnerabilities, could lead to s</w:t>
      </w:r>
      <w:r>
        <w:rPr>
          <w:rFonts w:eastAsia="Times New Roman"/>
          <w:color w:val="000000"/>
          <w:sz w:val="20"/>
          <w:szCs w:val="20"/>
        </w:rPr>
        <w:t>ubstantial damage to the products we sell to our customers, the devices into which our products are integrated and the end users of such devices, and potentially to our customers’ IT infrastructure. Such defects, errors or security vulnerabilities could gi</w:t>
      </w:r>
      <w:r>
        <w:rPr>
          <w:rFonts w:eastAsia="Times New Roman"/>
          <w:color w:val="000000"/>
          <w:sz w:val="20"/>
          <w:szCs w:val="20"/>
        </w:rPr>
        <w:t>ve rise to significant costs, including costs related to developing solutions, recalling products, repairing or replacing defective products, writing down defective inventory or indemnification obligations under our agreements, and could result in the loss</w:t>
      </w:r>
      <w:r>
        <w:rPr>
          <w:rFonts w:eastAsia="Times New Roman"/>
          <w:color w:val="000000"/>
          <w:sz w:val="20"/>
          <w:szCs w:val="20"/>
        </w:rPr>
        <w:t xml:space="preserve"> of sales and divert the attention of our engineering personnel from our product development efforts. In addition, defects, errors or security vulnerabilities in our products could result in failure to achieve market acceptance, a loss of design wins, a sh</w:t>
      </w:r>
      <w:r>
        <w:rPr>
          <w:rFonts w:eastAsia="Times New Roman"/>
          <w:color w:val="000000"/>
          <w:sz w:val="20"/>
          <w:szCs w:val="20"/>
        </w:rPr>
        <w:t>ifting of business to our competitors, and litigation or regulatory action against us, and could harm our reputation, our relationships with customers and partners and our ability to attract new customers, as well as the perceptions of our brand. Other pot</w:t>
      </w:r>
      <w:r>
        <w:rPr>
          <w:rFonts w:eastAsia="Times New Roman"/>
          <w:color w:val="000000"/>
          <w:sz w:val="20"/>
          <w:szCs w:val="20"/>
        </w:rPr>
        <w:t>ential adverse impacts of product defects, errors or security vulnerabilities include shipment delays, write-offs of property, plant and equipment and intangible assets, and losses on unfavorable purchase commitments. In addition, defects, errors or securi</w:t>
      </w:r>
      <w:r>
        <w:rPr>
          <w:rFonts w:eastAsia="Times New Roman"/>
          <w:color w:val="000000"/>
          <w:sz w:val="20"/>
          <w:szCs w:val="20"/>
        </w:rPr>
        <w:t>ty vulnerabilities in the products of our customers or licensees could cause a delay or decrease in demand for the products into which our products are integrated, and thus for our products.</w:t>
      </w:r>
    </w:p>
    <w:p w14:paraId="2F0036BC" w14:textId="77777777" w:rsidR="00000000" w:rsidRDefault="009B6C69">
      <w:pPr>
        <w:ind w:firstLine="360"/>
        <w:divId w:val="1345404701"/>
        <w:rPr>
          <w:rFonts w:eastAsia="Times New Roman"/>
        </w:rPr>
      </w:pPr>
      <w:r>
        <w:rPr>
          <w:rFonts w:eastAsia="Times New Roman"/>
          <w:color w:val="000000"/>
          <w:sz w:val="20"/>
          <w:szCs w:val="20"/>
        </w:rPr>
        <w:t>In addition, the occurrence of defects, errors or security vulner</w:t>
      </w:r>
      <w:r>
        <w:rPr>
          <w:rFonts w:eastAsia="Times New Roman"/>
          <w:color w:val="000000"/>
          <w:sz w:val="20"/>
          <w:szCs w:val="20"/>
        </w:rPr>
        <w:t>abilities may give rise to product liability claims, particularly if such defects, errors or security vulnerabilities in our products or the technology we use, or the products into which they are integrated, result in personal injury or death, and could re</w:t>
      </w:r>
      <w:r>
        <w:rPr>
          <w:rFonts w:eastAsia="Times New Roman"/>
          <w:color w:val="000000"/>
          <w:sz w:val="20"/>
          <w:szCs w:val="20"/>
        </w:rPr>
        <w:t>sult in significant costs, expenses and losses. If a product liability claim is brought against us, the cost of defending the claim could be significant, and could divert the attention of our technical and management personnel and harm our business, even i</w:t>
      </w:r>
      <w:r>
        <w:rPr>
          <w:rFonts w:eastAsia="Times New Roman"/>
          <w:color w:val="000000"/>
          <w:sz w:val="20"/>
          <w:szCs w:val="20"/>
        </w:rPr>
        <w:t>f we are successful. We may be named in product liability claims even if there is no evidence that our products caused the damage in question, and even though we may have indemnity from our customers, and such claims could result in significant costs and e</w:t>
      </w:r>
      <w:r>
        <w:rPr>
          <w:rFonts w:eastAsia="Times New Roman"/>
          <w:color w:val="000000"/>
          <w:sz w:val="20"/>
          <w:szCs w:val="20"/>
        </w:rPr>
        <w:t xml:space="preserve">xpenses. We may also be required to indemnify and/or defend our customers from product liability claims relating to our products. Further, our business liability insurance may be inadequate, may not cover the claims, and future coverage may be unavailable </w:t>
      </w:r>
      <w:r>
        <w:rPr>
          <w:rFonts w:eastAsia="Times New Roman"/>
          <w:color w:val="000000"/>
          <w:sz w:val="20"/>
          <w:szCs w:val="20"/>
        </w:rPr>
        <w:t>on acceptable terms, which could adversely impact our financial results. The above is exacerbated by the fact that our products may be used, and perform critical functions, in various high-risk applications such as: automobiles, including ADAS/AD functions</w:t>
      </w:r>
      <w:r>
        <w:rPr>
          <w:rFonts w:eastAsia="Times New Roman"/>
          <w:color w:val="000000"/>
          <w:sz w:val="20"/>
          <w:szCs w:val="20"/>
        </w:rPr>
        <w:t>; cameras and artificial intelligence, including home and enterprise security; home automation, including smoke and noxious gas detectors; medical condition monitoring; location and asset tracking and management, including wearables for child safety and el</w:t>
      </w:r>
      <w:r>
        <w:rPr>
          <w:rFonts w:eastAsia="Times New Roman"/>
          <w:color w:val="000000"/>
          <w:sz w:val="20"/>
          <w:szCs w:val="20"/>
        </w:rPr>
        <w:t>derly health; robotics, including public safety drones and autonomous municipality vehicles; and extended reality (XR) for treatment of phobias or PTSD, early detection of disorders or special needs, among others.</w:t>
      </w:r>
    </w:p>
    <w:p w14:paraId="3640965A" w14:textId="77777777" w:rsidR="00000000" w:rsidRDefault="009B6C69">
      <w:pPr>
        <w:jc w:val="center"/>
        <w:divId w:val="1768187411"/>
        <w:rPr>
          <w:rFonts w:eastAsia="Times New Roman"/>
        </w:rPr>
      </w:pPr>
      <w:r>
        <w:rPr>
          <w:rFonts w:eastAsia="Times New Roman"/>
          <w:color w:val="000000"/>
          <w:sz w:val="20"/>
          <w:szCs w:val="20"/>
        </w:rPr>
        <w:t>32</w:t>
      </w:r>
    </w:p>
    <w:p w14:paraId="66D4BC2E" w14:textId="77777777" w:rsidR="00000000" w:rsidRDefault="009B6C69">
      <w:pPr>
        <w:rPr>
          <w:rFonts w:eastAsia="Times New Roman"/>
        </w:rPr>
      </w:pPr>
      <w:r>
        <w:rPr>
          <w:rFonts w:eastAsia="Times New Roman"/>
        </w:rPr>
        <w:pict w14:anchorId="279FE693">
          <v:rect id="_x0000_i1055" style="width:0;height:1.5pt" o:hralign="center" o:hrstd="t" o:hr="t" fillcolor="#a0a0a0" stroked="f"/>
        </w:pict>
      </w:r>
    </w:p>
    <w:p w14:paraId="0A44277A" w14:textId="77777777" w:rsidR="00000000" w:rsidRDefault="009B6C69">
      <w:pPr>
        <w:divId w:val="271206892"/>
        <w:rPr>
          <w:rFonts w:eastAsia="Times New Roman"/>
        </w:rPr>
      </w:pPr>
    </w:p>
    <w:p w14:paraId="73AB22F9" w14:textId="77777777" w:rsidR="00000000" w:rsidRDefault="009B6C69">
      <w:pPr>
        <w:ind w:firstLine="360"/>
        <w:divId w:val="1556697910"/>
        <w:rPr>
          <w:rFonts w:eastAsia="Times New Roman"/>
        </w:rPr>
      </w:pPr>
      <w:r>
        <w:rPr>
          <w:rFonts w:eastAsia="Times New Roman"/>
          <w:color w:val="000000"/>
          <w:sz w:val="20"/>
          <w:szCs w:val="20"/>
        </w:rPr>
        <w:t>Accordingly, defects, errors or security vulnerabilities in our products or the technologies we use could have an adverse impact on us, on our customers and the end users of our customers’ products. If any of these risks materialize, there could be a mater</w:t>
      </w:r>
      <w:r>
        <w:rPr>
          <w:rFonts w:eastAsia="Times New Roman"/>
          <w:color w:val="000000"/>
          <w:sz w:val="20"/>
          <w:szCs w:val="20"/>
        </w:rPr>
        <w:t>ial adverse effect on our business, results of operations and financial condition.</w:t>
      </w:r>
    </w:p>
    <w:p w14:paraId="07699861" w14:textId="77777777" w:rsidR="00000000" w:rsidRDefault="009B6C69">
      <w:pPr>
        <w:divId w:val="1641299802"/>
        <w:rPr>
          <w:rFonts w:eastAsia="Times New Roman"/>
        </w:rPr>
      </w:pPr>
      <w:r>
        <w:rPr>
          <w:rFonts w:eastAsia="Times New Roman"/>
          <w:b/>
          <w:bCs/>
          <w:color w:val="000000"/>
          <w:sz w:val="20"/>
          <w:szCs w:val="20"/>
        </w:rPr>
        <w:t>RISKS RELATED TO INTELLECTUAL PROPERTY</w:t>
      </w:r>
    </w:p>
    <w:p w14:paraId="790786B2" w14:textId="77777777" w:rsidR="00000000" w:rsidRDefault="009B6C69">
      <w:pPr>
        <w:divId w:val="131338246"/>
        <w:rPr>
          <w:rFonts w:eastAsia="Times New Roman"/>
        </w:rPr>
      </w:pPr>
      <w:r>
        <w:rPr>
          <w:rFonts w:eastAsia="Times New Roman"/>
          <w:b/>
          <w:bCs/>
          <w:i/>
          <w:iCs/>
          <w:color w:val="000000"/>
          <w:sz w:val="20"/>
          <w:szCs w:val="20"/>
        </w:rPr>
        <w:t>The enforcement and protection of our intellectual property may be expensive, could fail to prevent misappropriation or unauthorized u</w:t>
      </w:r>
      <w:r>
        <w:rPr>
          <w:rFonts w:eastAsia="Times New Roman"/>
          <w:b/>
          <w:bCs/>
          <w:i/>
          <w:iCs/>
          <w:color w:val="000000"/>
          <w:sz w:val="20"/>
          <w:szCs w:val="20"/>
        </w:rPr>
        <w:t>se of our intellectual property, could result in the loss of our ability to enforce one or more patents, and could be adversely affected by changes in patent laws, by laws in certain foreign jurisdictions that may not effectively protect our intellectual p</w:t>
      </w:r>
      <w:r>
        <w:rPr>
          <w:rFonts w:eastAsia="Times New Roman"/>
          <w:b/>
          <w:bCs/>
          <w:i/>
          <w:iCs/>
          <w:color w:val="000000"/>
          <w:sz w:val="20"/>
          <w:szCs w:val="20"/>
        </w:rPr>
        <w:t>roperty and by ineffective enforcement of laws in such jurisdictions.</w:t>
      </w:r>
    </w:p>
    <w:p w14:paraId="30C7431E" w14:textId="77777777" w:rsidR="00000000" w:rsidRDefault="009B6C69">
      <w:pPr>
        <w:ind w:firstLine="360"/>
        <w:divId w:val="858815651"/>
        <w:rPr>
          <w:rFonts w:eastAsia="Times New Roman"/>
        </w:rPr>
      </w:pPr>
      <w:r>
        <w:rPr>
          <w:rFonts w:eastAsia="Times New Roman"/>
          <w:color w:val="000000"/>
          <w:sz w:val="20"/>
          <w:szCs w:val="20"/>
        </w:rPr>
        <w:t>We rely primarily on patent, copyright, trademark and trade secret laws, as well as nondisclosure and confidentiality agreements, international treaties and other methods, to protect our intellectual property, including our patent portfolio. Policing unaut</w:t>
      </w:r>
      <w:r>
        <w:rPr>
          <w:rFonts w:eastAsia="Times New Roman"/>
          <w:color w:val="000000"/>
          <w:sz w:val="20"/>
          <w:szCs w:val="20"/>
        </w:rPr>
        <w:t>horized use of our products, technologies and intellectual property is difficult and time consuming. The steps we have taken have not always prevented, and we cannot be certain the steps we take in the future will prevent, the misappropriation or unauthori</w:t>
      </w:r>
      <w:r>
        <w:rPr>
          <w:rFonts w:eastAsia="Times New Roman"/>
          <w:color w:val="000000"/>
          <w:sz w:val="20"/>
          <w:szCs w:val="20"/>
        </w:rPr>
        <w:t>zed use of our products, technologies or intellectual property, particularly in foreign countries where the laws may not protect our rights as fully or as readily as U.S. laws or where the enforcement of such laws may be lacking or ineffective. See also th</w:t>
      </w:r>
      <w:r>
        <w:rPr>
          <w:rFonts w:eastAsia="Times New Roman"/>
          <w:color w:val="000000"/>
          <w:sz w:val="20"/>
          <w:szCs w:val="20"/>
        </w:rPr>
        <w:t xml:space="preserve">e Risk Factor titled </w:t>
      </w:r>
      <w:r>
        <w:rPr>
          <w:rFonts w:eastAsia="Times New Roman"/>
          <w:i/>
          <w:iCs/>
          <w:color w:val="000000"/>
          <w:sz w:val="20"/>
          <w:szCs w:val="20"/>
        </w:rPr>
        <w:t>“Our business and operations could suffer in the event of security breaches of our IT systems, or other misappropriation of our technology, intellectual property or other proprietary or confidential information.”</w:t>
      </w:r>
    </w:p>
    <w:p w14:paraId="67669177" w14:textId="77777777" w:rsidR="00000000" w:rsidRDefault="009B6C69">
      <w:pPr>
        <w:ind w:firstLine="360"/>
        <w:divId w:val="833228322"/>
        <w:rPr>
          <w:rFonts w:eastAsia="Times New Roman"/>
        </w:rPr>
      </w:pPr>
      <w:r>
        <w:rPr>
          <w:rFonts w:eastAsia="Times New Roman"/>
          <w:color w:val="000000"/>
          <w:sz w:val="20"/>
          <w:szCs w:val="20"/>
        </w:rPr>
        <w:t>Some industry particip</w:t>
      </w:r>
      <w:r>
        <w:rPr>
          <w:rFonts w:eastAsia="Times New Roman"/>
          <w:color w:val="000000"/>
          <w:sz w:val="20"/>
          <w:szCs w:val="20"/>
        </w:rPr>
        <w:t xml:space="preserve">ants who have a vested interest in devaluing patents in general, or standard-essential patents in particular, have mounted attacks on certain patent systems, increasing the likelihood of changes to established patent laws. We cannot predict with certainty </w:t>
      </w:r>
      <w:r>
        <w:rPr>
          <w:rFonts w:eastAsia="Times New Roman"/>
          <w:color w:val="000000"/>
          <w:sz w:val="20"/>
          <w:szCs w:val="20"/>
        </w:rPr>
        <w:t>the long-term effects of any potential changes. In the United States, there is continued discussion regarding potential patent law changes, and there is current and potential future litigation regarding patents, the outcomes of which could be detrimental t</w:t>
      </w:r>
      <w:r>
        <w:rPr>
          <w:rFonts w:eastAsia="Times New Roman"/>
          <w:color w:val="000000"/>
          <w:sz w:val="20"/>
          <w:szCs w:val="20"/>
        </w:rPr>
        <w:t xml:space="preserve">o our licensing business. Further, the laws in certain foreign countries in which our patents are or may be licensed, or our products are or may be manufactured or sold, including certain countries in Asia, may not protect our intellectual property rights </w:t>
      </w:r>
      <w:r>
        <w:rPr>
          <w:rFonts w:eastAsia="Times New Roman"/>
          <w:color w:val="000000"/>
          <w:sz w:val="20"/>
          <w:szCs w:val="20"/>
        </w:rPr>
        <w:t>to the same extent as the laws in the United States. In addition, we cannot be certain that the laws and policies of any country or the practices of any standards bodies, foreign or domestic, with respect to intellectual property enforcement or licensing o</w:t>
      </w:r>
      <w:r>
        <w:rPr>
          <w:rFonts w:eastAsia="Times New Roman"/>
          <w:color w:val="000000"/>
          <w:sz w:val="20"/>
          <w:szCs w:val="20"/>
        </w:rPr>
        <w:t>r the adoption of standards, will not be changed in the future in ways that are detrimental to our licensing programs or to the sale or use of our products or technologies.</w:t>
      </w:r>
    </w:p>
    <w:p w14:paraId="64E76B94" w14:textId="77777777" w:rsidR="00000000" w:rsidRDefault="009B6C69">
      <w:pPr>
        <w:ind w:firstLine="360"/>
        <w:divId w:val="1169367554"/>
        <w:rPr>
          <w:rFonts w:eastAsia="Times New Roman"/>
        </w:rPr>
      </w:pPr>
      <w:r>
        <w:rPr>
          <w:rFonts w:eastAsia="Times New Roman"/>
          <w:color w:val="000000"/>
          <w:sz w:val="20"/>
          <w:szCs w:val="20"/>
        </w:rPr>
        <w:t>We have had and may in the future have difficulty in certain circumstances in prote</w:t>
      </w:r>
      <w:r>
        <w:rPr>
          <w:rFonts w:eastAsia="Times New Roman"/>
          <w:color w:val="000000"/>
          <w:sz w:val="20"/>
          <w:szCs w:val="20"/>
        </w:rPr>
        <w:t>cting or enforcing our intellectual property and contracts, including collecting royalties for use of our patent portfolio due to, among others: refusal by certain licensees to report and pay all or a portion of the royalties they owe to us; policies or po</w:t>
      </w:r>
      <w:r>
        <w:rPr>
          <w:rFonts w:eastAsia="Times New Roman"/>
          <w:color w:val="000000"/>
          <w:sz w:val="20"/>
          <w:szCs w:val="20"/>
        </w:rPr>
        <w:t>litical actions of governments, including trade protection and national security policies; challenges to our licensing practices under competition laws; adoption of mandatory licensing provisions by foreign jurisdictions; failure of foreign courts to recog</w:t>
      </w:r>
      <w:r>
        <w:rPr>
          <w:rFonts w:eastAsia="Times New Roman"/>
          <w:color w:val="000000"/>
          <w:sz w:val="20"/>
          <w:szCs w:val="20"/>
        </w:rPr>
        <w:t>nize and enforce judgments of contract breach and damages issued by courts in the United States; and challenges before competition agencies to our licensing business or the pricing and integration of additional features and functionality into our chipset p</w:t>
      </w:r>
      <w:r>
        <w:rPr>
          <w:rFonts w:eastAsia="Times New Roman"/>
          <w:color w:val="000000"/>
          <w:sz w:val="20"/>
          <w:szCs w:val="20"/>
        </w:rPr>
        <w:t>roducts. See also the Risk Factors titled “</w:t>
      </w:r>
      <w:r>
        <w:rPr>
          <w:rFonts w:eastAsia="Times New Roman"/>
          <w:i/>
          <w:iCs/>
          <w:color w:val="000000"/>
          <w:sz w:val="20"/>
          <w:szCs w:val="20"/>
        </w:rPr>
        <w:t>Efforts by some original equipment manufacturers (OEMs) to avoid paying fair and reasonable royalties for the use of our intellectual property may require the investment of substantial management time and financia</w:t>
      </w:r>
      <w:r>
        <w:rPr>
          <w:rFonts w:eastAsia="Times New Roman"/>
          <w:i/>
          <w:iCs/>
          <w:color w:val="000000"/>
          <w:sz w:val="20"/>
          <w:szCs w:val="20"/>
        </w:rPr>
        <w:t>l resources and may result in legal decisions or actions by governments, courts, regulators or agencies, Standards Development Organizations (SDOs) or other industry organizations that harm our business</w:t>
      </w:r>
      <w:r>
        <w:rPr>
          <w:rFonts w:eastAsia="Times New Roman"/>
          <w:color w:val="000000"/>
          <w:sz w:val="20"/>
          <w:szCs w:val="20"/>
        </w:rPr>
        <w:t>” and “</w:t>
      </w:r>
      <w:r>
        <w:rPr>
          <w:rFonts w:eastAsia="Times New Roman"/>
          <w:i/>
          <w:iCs/>
          <w:color w:val="000000"/>
          <w:sz w:val="20"/>
          <w:szCs w:val="20"/>
        </w:rPr>
        <w:t xml:space="preserve">Our business may suffer as a result of adverse </w:t>
      </w:r>
      <w:r>
        <w:rPr>
          <w:rFonts w:eastAsia="Times New Roman"/>
          <w:i/>
          <w:iCs/>
          <w:color w:val="000000"/>
          <w:sz w:val="20"/>
          <w:szCs w:val="20"/>
        </w:rPr>
        <w:t>rulings in governmental investigations or proceedings or other legal proceedings</w:t>
      </w:r>
      <w:r>
        <w:rPr>
          <w:rFonts w:eastAsia="Times New Roman"/>
          <w:color w:val="000000"/>
          <w:sz w:val="20"/>
          <w:szCs w:val="20"/>
        </w:rPr>
        <w:t>.”</w:t>
      </w:r>
    </w:p>
    <w:p w14:paraId="1D16F571" w14:textId="77777777" w:rsidR="00000000" w:rsidRDefault="009B6C69">
      <w:pPr>
        <w:ind w:firstLine="360"/>
        <w:divId w:val="1045562490"/>
        <w:rPr>
          <w:rFonts w:eastAsia="Times New Roman"/>
        </w:rPr>
      </w:pPr>
      <w:r>
        <w:rPr>
          <w:rFonts w:eastAsia="Times New Roman"/>
          <w:color w:val="000000"/>
          <w:sz w:val="20"/>
          <w:szCs w:val="20"/>
        </w:rPr>
        <w:t>We have engaged in litigation and arbitration in the past and may need to further litigate or arbitrate in the future to enforce our contract and intellectual property right</w:t>
      </w:r>
      <w:r>
        <w:rPr>
          <w:rFonts w:eastAsia="Times New Roman"/>
          <w:color w:val="000000"/>
          <w:sz w:val="20"/>
          <w:szCs w:val="20"/>
        </w:rPr>
        <w:t>s, protect our trade secrets or determine the validity and scope of proprietary rights of others. As a result of any such litigation or arbitration, we could lose our ability to enforce one or more patents, portions of our license agreements could be deter</w:t>
      </w:r>
      <w:r>
        <w:rPr>
          <w:rFonts w:eastAsia="Times New Roman"/>
          <w:color w:val="000000"/>
          <w:sz w:val="20"/>
          <w:szCs w:val="20"/>
        </w:rPr>
        <w:t>mined to be invalid or unenforceable (which may in turn result in other licensees either not complying with their existing license agreements or initiating litigation or arbitration), license terms (including but not limited to royalty rates for the use of</w:t>
      </w:r>
      <w:r>
        <w:rPr>
          <w:rFonts w:eastAsia="Times New Roman"/>
          <w:color w:val="000000"/>
          <w:sz w:val="20"/>
          <w:szCs w:val="20"/>
        </w:rPr>
        <w:t xml:space="preserve"> our intellectual property) could be imposed that are less favorable to us than existing terms, and we could incur substantial costs. Any action we take to enforce our contract or intellectual property rights could be costly and could absorb significant ma</w:t>
      </w:r>
      <w:r>
        <w:rPr>
          <w:rFonts w:eastAsia="Times New Roman"/>
          <w:color w:val="000000"/>
          <w:sz w:val="20"/>
          <w:szCs w:val="20"/>
        </w:rPr>
        <w:t>nagement time and attention, which, in turn, could negatively impact our results of operations and cash flows. Further, even a positive resolution to our enforcement efforts may take time to conclude, which may reduce our revenues and cash resources availa</w:t>
      </w:r>
      <w:r>
        <w:rPr>
          <w:rFonts w:eastAsia="Times New Roman"/>
          <w:color w:val="000000"/>
          <w:sz w:val="20"/>
          <w:szCs w:val="20"/>
        </w:rPr>
        <w:t xml:space="preserve">ble for other purposes, such as research and development, in the periods prior to conclusion. </w:t>
      </w:r>
    </w:p>
    <w:p w14:paraId="14D2C060" w14:textId="77777777" w:rsidR="00000000" w:rsidRDefault="009B6C69">
      <w:pPr>
        <w:ind w:firstLine="360"/>
        <w:divId w:val="1041318425"/>
        <w:rPr>
          <w:rFonts w:eastAsia="Times New Roman"/>
        </w:rPr>
      </w:pPr>
      <w:r>
        <w:rPr>
          <w:rFonts w:eastAsia="Times New Roman"/>
          <w:color w:val="000000"/>
          <w:sz w:val="20"/>
          <w:szCs w:val="20"/>
        </w:rPr>
        <w:t>Additionally, although our license agreements generally provide us with the right to audit the books and records of licensees, audits can be expensive, time cons</w:t>
      </w:r>
      <w:r>
        <w:rPr>
          <w:rFonts w:eastAsia="Times New Roman"/>
          <w:color w:val="000000"/>
          <w:sz w:val="20"/>
          <w:szCs w:val="20"/>
        </w:rPr>
        <w:t>uming, incomplete and subject to dispute. Further, certain licensees may not comply with the obligation to provide full access to their books and records. To the extent we do not aggressively enforce our rights under our license agreements, licensees may n</w:t>
      </w:r>
      <w:r>
        <w:rPr>
          <w:rFonts w:eastAsia="Times New Roman"/>
          <w:color w:val="000000"/>
          <w:sz w:val="20"/>
          <w:szCs w:val="20"/>
        </w:rPr>
        <w:t>ot comply with their existing license agreements, and to the extent we do not aggressively pursue unlicensed companies to enter into license agreements with us for their use of our intellectual property, other unlicensed companies may not enter into licens</w:t>
      </w:r>
      <w:r>
        <w:rPr>
          <w:rFonts w:eastAsia="Times New Roman"/>
          <w:color w:val="000000"/>
          <w:sz w:val="20"/>
          <w:szCs w:val="20"/>
        </w:rPr>
        <w:t xml:space="preserve">e agreements. </w:t>
      </w:r>
    </w:p>
    <w:p w14:paraId="742AF1EC" w14:textId="77777777" w:rsidR="00000000" w:rsidRDefault="009B6C69">
      <w:pPr>
        <w:ind w:firstLine="360"/>
        <w:divId w:val="1280529931"/>
        <w:rPr>
          <w:rFonts w:eastAsia="Times New Roman"/>
        </w:rPr>
      </w:pPr>
      <w:r>
        <w:rPr>
          <w:rFonts w:eastAsia="Times New Roman"/>
          <w:color w:val="000000"/>
          <w:sz w:val="20"/>
          <w:szCs w:val="20"/>
        </w:rPr>
        <w:t>See also the Risk Factors titled “</w:t>
      </w:r>
      <w:r>
        <w:rPr>
          <w:rFonts w:eastAsia="Times New Roman"/>
          <w:i/>
          <w:iCs/>
          <w:color w:val="000000"/>
          <w:sz w:val="20"/>
          <w:szCs w:val="20"/>
        </w:rPr>
        <w:t>Efforts by some original equipment manufacturers (OEMs) to avoid paying fair and reasonable royalties for the use of our intellectual property may require the investment of substantial management time and financial resources and may result in legal decisio</w:t>
      </w:r>
      <w:r>
        <w:rPr>
          <w:rFonts w:eastAsia="Times New Roman"/>
          <w:i/>
          <w:iCs/>
          <w:color w:val="000000"/>
          <w:sz w:val="20"/>
          <w:szCs w:val="20"/>
        </w:rPr>
        <w:t>ns or actions by governments, courts, regulators or agencies, Standards Development Organizations (SDOs) or other industry organizations that harm our business</w:t>
      </w:r>
      <w:r>
        <w:rPr>
          <w:rFonts w:eastAsia="Times New Roman"/>
          <w:color w:val="000000"/>
          <w:sz w:val="20"/>
          <w:szCs w:val="20"/>
        </w:rPr>
        <w:t>” and</w:t>
      </w:r>
      <w:r>
        <w:rPr>
          <w:rFonts w:eastAsia="Times New Roman"/>
          <w:i/>
          <w:iCs/>
          <w:color w:val="000000"/>
          <w:sz w:val="20"/>
          <w:szCs w:val="20"/>
        </w:rPr>
        <w:t xml:space="preserve"> “Our business and </w:t>
      </w:r>
    </w:p>
    <w:p w14:paraId="2E8FDCC7" w14:textId="77777777" w:rsidR="00000000" w:rsidRDefault="009B6C69">
      <w:pPr>
        <w:jc w:val="center"/>
        <w:divId w:val="399140157"/>
        <w:rPr>
          <w:rFonts w:eastAsia="Times New Roman"/>
        </w:rPr>
      </w:pPr>
      <w:r>
        <w:rPr>
          <w:rFonts w:eastAsia="Times New Roman"/>
          <w:color w:val="000000"/>
          <w:sz w:val="20"/>
          <w:szCs w:val="20"/>
        </w:rPr>
        <w:t>33</w:t>
      </w:r>
    </w:p>
    <w:p w14:paraId="60158373" w14:textId="77777777" w:rsidR="00000000" w:rsidRDefault="009B6C69">
      <w:pPr>
        <w:rPr>
          <w:rFonts w:eastAsia="Times New Roman"/>
        </w:rPr>
      </w:pPr>
      <w:r>
        <w:rPr>
          <w:rFonts w:eastAsia="Times New Roman"/>
        </w:rPr>
        <w:pict w14:anchorId="3C5D53BE">
          <v:rect id="_x0000_i1056" style="width:0;height:1.5pt" o:hralign="center" o:hrstd="t" o:hr="t" fillcolor="#a0a0a0" stroked="f"/>
        </w:pict>
      </w:r>
    </w:p>
    <w:p w14:paraId="3460C5B8" w14:textId="77777777" w:rsidR="00000000" w:rsidRDefault="009B6C69">
      <w:pPr>
        <w:divId w:val="690301792"/>
        <w:rPr>
          <w:rFonts w:eastAsia="Times New Roman"/>
        </w:rPr>
      </w:pPr>
    </w:p>
    <w:p w14:paraId="7F8DEFBE" w14:textId="77777777" w:rsidR="00000000" w:rsidRDefault="009B6C69">
      <w:pPr>
        <w:divId w:val="1220437662"/>
        <w:rPr>
          <w:rFonts w:eastAsia="Times New Roman"/>
        </w:rPr>
      </w:pPr>
      <w:r>
        <w:rPr>
          <w:rFonts w:eastAsia="Times New Roman"/>
          <w:i/>
          <w:iCs/>
          <w:color w:val="000000"/>
          <w:sz w:val="20"/>
          <w:szCs w:val="20"/>
        </w:rPr>
        <w:t>operations could suffer in the</w:t>
      </w:r>
      <w:r>
        <w:rPr>
          <w:rFonts w:eastAsia="Times New Roman"/>
          <w:i/>
          <w:iCs/>
          <w:color w:val="000000"/>
          <w:sz w:val="20"/>
          <w:szCs w:val="20"/>
        </w:rPr>
        <w:t xml:space="preserve"> event of security breaches of our IT systems, or other misappropriation of our technology, intellectual property or other proprietary or confidential information.”</w:t>
      </w:r>
    </w:p>
    <w:p w14:paraId="03334C4E" w14:textId="77777777" w:rsidR="00000000" w:rsidRDefault="009B6C69">
      <w:pPr>
        <w:divId w:val="1800024559"/>
        <w:rPr>
          <w:rFonts w:eastAsia="Times New Roman"/>
        </w:rPr>
      </w:pPr>
      <w:r>
        <w:rPr>
          <w:rFonts w:eastAsia="Times New Roman"/>
          <w:b/>
          <w:bCs/>
          <w:i/>
          <w:iCs/>
          <w:color w:val="000000"/>
          <w:sz w:val="20"/>
          <w:szCs w:val="20"/>
        </w:rPr>
        <w:t>Claims by other companies that we infringe their intellectual property could adversely affe</w:t>
      </w:r>
      <w:r>
        <w:rPr>
          <w:rFonts w:eastAsia="Times New Roman"/>
          <w:b/>
          <w:bCs/>
          <w:i/>
          <w:iCs/>
          <w:color w:val="000000"/>
          <w:sz w:val="20"/>
          <w:szCs w:val="20"/>
        </w:rPr>
        <w:t>ct our business.</w:t>
      </w:r>
    </w:p>
    <w:p w14:paraId="6202FE9C" w14:textId="77777777" w:rsidR="00000000" w:rsidRDefault="009B6C69">
      <w:pPr>
        <w:ind w:firstLine="360"/>
        <w:divId w:val="676273223"/>
        <w:rPr>
          <w:rFonts w:eastAsia="Times New Roman"/>
        </w:rPr>
      </w:pPr>
      <w:r>
        <w:rPr>
          <w:rFonts w:eastAsia="Times New Roman"/>
          <w:color w:val="000000"/>
          <w:sz w:val="20"/>
          <w:szCs w:val="20"/>
        </w:rPr>
        <w:t>From time to time, companies have asserted, and may again assert, patent, copyright or other intellectual property claims against us relating to our technologies or products, including those we have acquired from other companies. These cla</w:t>
      </w:r>
      <w:r>
        <w:rPr>
          <w:rFonts w:eastAsia="Times New Roman"/>
          <w:color w:val="000000"/>
          <w:sz w:val="20"/>
          <w:szCs w:val="20"/>
        </w:rPr>
        <w:t>ims have resulted and may again result in our involvement in litigation, and we are currently involved in such litigation, including those described in this Annual Report in “Notes to Consolidated Financial Statements, Note 7. Commitments and Contingencies</w:t>
      </w:r>
      <w:r>
        <w:rPr>
          <w:rFonts w:eastAsia="Times New Roman"/>
          <w:color w:val="000000"/>
          <w:sz w:val="20"/>
          <w:szCs w:val="20"/>
        </w:rPr>
        <w:t>.” We may not prevail in such litigation given, among other factors, the complex technical issues and inherent uncertainties in intellectual property litigation. If any of our products were found to infringe another company’s intellectual property, we coul</w:t>
      </w:r>
      <w:r>
        <w:rPr>
          <w:rFonts w:eastAsia="Times New Roman"/>
          <w:color w:val="000000"/>
          <w:sz w:val="20"/>
          <w:szCs w:val="20"/>
        </w:rPr>
        <w:t>d be subject to an injunction or be required to redesign our products, or to license such intellectual property or pay damages or other compensation to such other company (any of which could be costly). If we are unable to redesign our products, license su</w:t>
      </w:r>
      <w:r>
        <w:rPr>
          <w:rFonts w:eastAsia="Times New Roman"/>
          <w:color w:val="000000"/>
          <w:sz w:val="20"/>
          <w:szCs w:val="20"/>
        </w:rPr>
        <w:t>ch intellectual property used in our products or otherwise distribute our products (e.g., through a licensed supplier), we could be prohibited from making and selling our products. Similarly, our suppliers could be found to infringe another company’s intel</w:t>
      </w:r>
      <w:r>
        <w:rPr>
          <w:rFonts w:eastAsia="Times New Roman"/>
          <w:color w:val="000000"/>
          <w:sz w:val="20"/>
          <w:szCs w:val="20"/>
        </w:rPr>
        <w:t>lectual property, and such suppliers could then be enjoined from providing products or services to us.</w:t>
      </w:r>
    </w:p>
    <w:p w14:paraId="27EEA24F" w14:textId="77777777" w:rsidR="00000000" w:rsidRDefault="009B6C69">
      <w:pPr>
        <w:ind w:firstLine="360"/>
        <w:divId w:val="1313481417"/>
        <w:rPr>
          <w:rFonts w:eastAsia="Times New Roman"/>
        </w:rPr>
      </w:pPr>
      <w:r>
        <w:rPr>
          <w:rFonts w:eastAsia="Times New Roman"/>
          <w:color w:val="000000"/>
          <w:sz w:val="20"/>
          <w:szCs w:val="20"/>
        </w:rPr>
        <w:t>In any potential dispute involving us and another company’s patents or other intellectual property, our chipset foundries, semiconductor assembly and tes</w:t>
      </w:r>
      <w:r>
        <w:rPr>
          <w:rFonts w:eastAsia="Times New Roman"/>
          <w:color w:val="000000"/>
          <w:sz w:val="20"/>
          <w:szCs w:val="20"/>
        </w:rPr>
        <w:t>t providers and customers could also become the targets of litigation. We are contingently liable under certain product sales, services, license and other agreements to indemnify certain customers, chipset foundries and semiconductor assembly and test serv</w:t>
      </w:r>
      <w:r>
        <w:rPr>
          <w:rFonts w:eastAsia="Times New Roman"/>
          <w:color w:val="000000"/>
          <w:sz w:val="20"/>
          <w:szCs w:val="20"/>
        </w:rPr>
        <w:t>ice providers against certain types of liability and damages arising from qualifying claims of patent infringement by products sold by us, or by intellectual property provided by us to our chipset foundries and semiconductor assembly and test service provi</w:t>
      </w:r>
      <w:r>
        <w:rPr>
          <w:rFonts w:eastAsia="Times New Roman"/>
          <w:color w:val="000000"/>
          <w:sz w:val="20"/>
          <w:szCs w:val="20"/>
        </w:rPr>
        <w:t>ders. Reimbursements under indemnification arrangements could have an adverse effect on our results of operations and cash flows. Furthermore, any such litigation could severely disrupt the supply of our products and the businesses of our chipset customers</w:t>
      </w:r>
      <w:r>
        <w:rPr>
          <w:rFonts w:eastAsia="Times New Roman"/>
          <w:color w:val="000000"/>
          <w:sz w:val="20"/>
          <w:szCs w:val="20"/>
        </w:rPr>
        <w:t xml:space="preserve"> and their customers, which in turn could harm our relationships with them and could result in a decline in our chipset sales or a reduction in our licensees’ sales, causing a corresponding decline in our chipset or licensing revenues. Any claims, regardle</w:t>
      </w:r>
      <w:r>
        <w:rPr>
          <w:rFonts w:eastAsia="Times New Roman"/>
          <w:color w:val="000000"/>
          <w:sz w:val="20"/>
          <w:szCs w:val="20"/>
        </w:rPr>
        <w:t>ss of their merit, could be time consuming to address, result in costly litigation, divert the efforts of our technical and management personnel and/or cause product release or shipment delays, any of which could have an adverse effect on our results of op</w:t>
      </w:r>
      <w:r>
        <w:rPr>
          <w:rFonts w:eastAsia="Times New Roman"/>
          <w:color w:val="000000"/>
          <w:sz w:val="20"/>
          <w:szCs w:val="20"/>
        </w:rPr>
        <w:t>erations and cash flows.</w:t>
      </w:r>
    </w:p>
    <w:p w14:paraId="08D56FF1" w14:textId="77777777" w:rsidR="00000000" w:rsidRDefault="009B6C69">
      <w:pPr>
        <w:ind w:firstLine="360"/>
        <w:divId w:val="2117676564"/>
        <w:rPr>
          <w:rFonts w:eastAsia="Times New Roman"/>
        </w:rPr>
      </w:pPr>
      <w:r>
        <w:rPr>
          <w:rFonts w:eastAsia="Times New Roman"/>
          <w:color w:val="000000"/>
          <w:sz w:val="20"/>
          <w:szCs w:val="20"/>
        </w:rPr>
        <w:t>We may continue to be involved in litigation and may have to appear in front of administrative bodies (such as the United States International Trade Commission) to defend against patent assertions against our products by companies,</w:t>
      </w:r>
      <w:r>
        <w:rPr>
          <w:rFonts w:eastAsia="Times New Roman"/>
          <w:color w:val="000000"/>
          <w:sz w:val="20"/>
          <w:szCs w:val="20"/>
        </w:rPr>
        <w:t xml:space="preserve"> some of whom are attempting to gain competitive advantage or leverage in licensing negotiations. We may not be successful in such proceedings, and if we are not, the range of possible outcomes is very broad and may include, for example, monetary damages o</w:t>
      </w:r>
      <w:r>
        <w:rPr>
          <w:rFonts w:eastAsia="Times New Roman"/>
          <w:color w:val="000000"/>
          <w:sz w:val="20"/>
          <w:szCs w:val="20"/>
        </w:rPr>
        <w:t>r fines or other orders to pay money, royalty payments, injunctions on the sale of certain of our integrated circuit products (or on the sale of our customers’ devices using such products) or the issuance of orders to cease certain conduct or modify our bu</w:t>
      </w:r>
      <w:r>
        <w:rPr>
          <w:rFonts w:eastAsia="Times New Roman"/>
          <w:color w:val="000000"/>
          <w:sz w:val="20"/>
          <w:szCs w:val="20"/>
        </w:rPr>
        <w:t>siness practices. Further, a governmental body in a particular country or region may assert, and may be successful in imposing, remedies with effects that extend beyond the borders of that country or region. In addition, a negative outcome in any such proc</w:t>
      </w:r>
      <w:r>
        <w:rPr>
          <w:rFonts w:eastAsia="Times New Roman"/>
          <w:color w:val="000000"/>
          <w:sz w:val="20"/>
          <w:szCs w:val="20"/>
        </w:rPr>
        <w:t>eeding could severely disrupt the business of our customers and their wireless operator customers, which in turn could harm our relationships with them and could result in a decline in our chipset sales or a reduction in our licensees’ sales, causing corre</w:t>
      </w:r>
      <w:r>
        <w:rPr>
          <w:rFonts w:eastAsia="Times New Roman"/>
          <w:color w:val="000000"/>
          <w:sz w:val="20"/>
          <w:szCs w:val="20"/>
        </w:rPr>
        <w:t>sponding declines in our chipset or licensing revenues.</w:t>
      </w:r>
    </w:p>
    <w:p w14:paraId="7F342FB6" w14:textId="77777777" w:rsidR="00000000" w:rsidRDefault="009B6C69">
      <w:pPr>
        <w:divId w:val="1264341989"/>
        <w:rPr>
          <w:rFonts w:eastAsia="Times New Roman"/>
        </w:rPr>
      </w:pPr>
      <w:r>
        <w:rPr>
          <w:rFonts w:eastAsia="Times New Roman"/>
          <w:b/>
          <w:bCs/>
          <w:i/>
          <w:iCs/>
          <w:color w:val="000000"/>
          <w:sz w:val="20"/>
          <w:szCs w:val="20"/>
        </w:rPr>
        <w:t>Our use of open source software may harm our business.</w:t>
      </w:r>
    </w:p>
    <w:p w14:paraId="10175E0B" w14:textId="77777777" w:rsidR="00000000" w:rsidRDefault="009B6C69">
      <w:pPr>
        <w:ind w:firstLine="360"/>
        <w:divId w:val="465900228"/>
        <w:rPr>
          <w:rFonts w:eastAsia="Times New Roman"/>
        </w:rPr>
      </w:pPr>
      <w:r>
        <w:rPr>
          <w:rFonts w:eastAsia="Times New Roman"/>
          <w:color w:val="000000"/>
          <w:sz w:val="20"/>
          <w:szCs w:val="20"/>
        </w:rPr>
        <w:t>Certain of our software and our suppliers’ software may contain or may be derived from “open source” software, and we have seen, and believe that</w:t>
      </w:r>
      <w:r>
        <w:rPr>
          <w:rFonts w:eastAsia="Times New Roman"/>
          <w:color w:val="000000"/>
          <w:sz w:val="20"/>
          <w:szCs w:val="20"/>
        </w:rPr>
        <w:t xml:space="preserve"> we will continue to see, customers request that we develop products, including software associated with our integrated circuit products, that incorporate open source software elements and operate in an open source environment, which, under certain open so</w:t>
      </w:r>
      <w:r>
        <w:rPr>
          <w:rFonts w:eastAsia="Times New Roman"/>
          <w:color w:val="000000"/>
          <w:sz w:val="20"/>
          <w:szCs w:val="20"/>
        </w:rPr>
        <w:t>urce licenses, may offer accessibility to a portion of our products’ source code and may expose our related intellectual property to adverse licensing conditions. Licensing of such software may impose certain obligations on us if we were to distribute deri</w:t>
      </w:r>
      <w:r>
        <w:rPr>
          <w:rFonts w:eastAsia="Times New Roman"/>
          <w:color w:val="000000"/>
          <w:sz w:val="20"/>
          <w:szCs w:val="20"/>
        </w:rPr>
        <w:t>vative works of that software. For example, these obligations may require us to make source code for the derivative works available to our customers in a manner that allows them to make such source code available to their customers or license such derivati</w:t>
      </w:r>
      <w:r>
        <w:rPr>
          <w:rFonts w:eastAsia="Times New Roman"/>
          <w:color w:val="000000"/>
          <w:sz w:val="20"/>
          <w:szCs w:val="20"/>
        </w:rPr>
        <w:t>ve works under a particular type of license that is different than what we customarily use to license our software. Furthermore, in the course of product development, we may make contributions to third-party open source projects that could subject our inte</w:t>
      </w:r>
      <w:r>
        <w:rPr>
          <w:rFonts w:eastAsia="Times New Roman"/>
          <w:color w:val="000000"/>
          <w:sz w:val="20"/>
          <w:szCs w:val="20"/>
        </w:rPr>
        <w:t>llectual property to adverse licensing conditions. For example, to encourage the growth of a software ecosystem that is interoperable with our products, we may need to contribute certain implementations under the open source licensing terms that govern suc</w:t>
      </w:r>
      <w:r>
        <w:rPr>
          <w:rFonts w:eastAsia="Times New Roman"/>
          <w:color w:val="000000"/>
          <w:sz w:val="20"/>
          <w:szCs w:val="20"/>
        </w:rPr>
        <w:t>h projects, which may adversely impact our associated intellectual property. Developing open source products, while adequately protecting the intellectual property upon which our licensing programs depends, may prove burdensome and time-consuming under cer</w:t>
      </w:r>
      <w:r>
        <w:rPr>
          <w:rFonts w:eastAsia="Times New Roman"/>
          <w:color w:val="000000"/>
          <w:sz w:val="20"/>
          <w:szCs w:val="20"/>
        </w:rPr>
        <w:t>tain circumstances, thereby placing us at a competitive disadvantage, and we may not adequately protect our intellectual property. Also, our use and our customers’ use of open source software may subject our products and our customers’ products to governme</w:t>
      </w:r>
      <w:r>
        <w:rPr>
          <w:rFonts w:eastAsia="Times New Roman"/>
          <w:color w:val="000000"/>
          <w:sz w:val="20"/>
          <w:szCs w:val="20"/>
        </w:rPr>
        <w:t>ntal and third-party scrutiny and delays in product certification, which could cause customers to view our products as less desirable than our competitors’ products.</w:t>
      </w:r>
    </w:p>
    <w:p w14:paraId="6B7F8876" w14:textId="77777777" w:rsidR="00000000" w:rsidRDefault="009B6C69">
      <w:pPr>
        <w:jc w:val="center"/>
        <w:divId w:val="1854412610"/>
        <w:rPr>
          <w:rFonts w:eastAsia="Times New Roman"/>
        </w:rPr>
      </w:pPr>
      <w:r>
        <w:rPr>
          <w:rFonts w:eastAsia="Times New Roman"/>
          <w:color w:val="000000"/>
          <w:sz w:val="20"/>
          <w:szCs w:val="20"/>
        </w:rPr>
        <w:t>34</w:t>
      </w:r>
    </w:p>
    <w:p w14:paraId="16A3071D" w14:textId="77777777" w:rsidR="00000000" w:rsidRDefault="009B6C69">
      <w:pPr>
        <w:rPr>
          <w:rFonts w:eastAsia="Times New Roman"/>
        </w:rPr>
      </w:pPr>
      <w:r>
        <w:rPr>
          <w:rFonts w:eastAsia="Times New Roman"/>
        </w:rPr>
        <w:pict w14:anchorId="63627EA8">
          <v:rect id="_x0000_i1057" style="width:0;height:1.5pt" o:hralign="center" o:hrstd="t" o:hr="t" fillcolor="#a0a0a0" stroked="f"/>
        </w:pict>
      </w:r>
    </w:p>
    <w:p w14:paraId="07549AE9" w14:textId="77777777" w:rsidR="00000000" w:rsidRDefault="009B6C69">
      <w:pPr>
        <w:divId w:val="723019746"/>
        <w:rPr>
          <w:rFonts w:eastAsia="Times New Roman"/>
        </w:rPr>
      </w:pPr>
    </w:p>
    <w:p w14:paraId="53C79909" w14:textId="77777777" w:rsidR="00000000" w:rsidRDefault="009B6C69">
      <w:pPr>
        <w:divId w:val="2011443908"/>
        <w:rPr>
          <w:rFonts w:eastAsia="Times New Roman"/>
        </w:rPr>
      </w:pPr>
      <w:r>
        <w:rPr>
          <w:rFonts w:eastAsia="Times New Roman"/>
          <w:b/>
          <w:bCs/>
          <w:color w:val="000000"/>
          <w:sz w:val="20"/>
          <w:szCs w:val="20"/>
        </w:rPr>
        <w:t>GENERAL RISK FACTORS</w:t>
      </w:r>
    </w:p>
    <w:p w14:paraId="2B46D78C" w14:textId="77777777" w:rsidR="00000000" w:rsidRDefault="009B6C69">
      <w:pPr>
        <w:divId w:val="461386555"/>
        <w:rPr>
          <w:rFonts w:eastAsia="Times New Roman"/>
        </w:rPr>
      </w:pPr>
      <w:r>
        <w:rPr>
          <w:rFonts w:eastAsia="Times New Roman"/>
          <w:b/>
          <w:bCs/>
          <w:i/>
          <w:iCs/>
          <w:color w:val="000000"/>
          <w:sz w:val="20"/>
          <w:szCs w:val="20"/>
        </w:rPr>
        <w:t>The COVID-19 pandemic, or a</w:t>
      </w:r>
      <w:r>
        <w:rPr>
          <w:rFonts w:eastAsia="Times New Roman"/>
          <w:b/>
          <w:bCs/>
          <w:i/>
          <w:iCs/>
          <w:color w:val="000000"/>
          <w:sz w:val="20"/>
          <w:szCs w:val="20"/>
        </w:rPr>
        <w:t xml:space="preserve"> similar health crisis, may impact our business or results of operations in the future.</w:t>
      </w:r>
    </w:p>
    <w:p w14:paraId="57C7D134" w14:textId="77777777" w:rsidR="00000000" w:rsidRDefault="009B6C69">
      <w:pPr>
        <w:ind w:firstLine="360"/>
        <w:divId w:val="1953201742"/>
        <w:rPr>
          <w:rFonts w:eastAsia="Times New Roman"/>
        </w:rPr>
      </w:pPr>
      <w:r>
        <w:rPr>
          <w:rFonts w:eastAsia="Times New Roman"/>
          <w:color w:val="000000"/>
          <w:sz w:val="20"/>
          <w:szCs w:val="20"/>
        </w:rPr>
        <w:t xml:space="preserve">The COVID-19 pandemic resulted in significant economic uncertainty, significant declines in business and consumer confidence and global demand in the wireless industry </w:t>
      </w:r>
      <w:r>
        <w:rPr>
          <w:rFonts w:eastAsia="Times New Roman"/>
          <w:color w:val="000000"/>
          <w:sz w:val="20"/>
          <w:szCs w:val="20"/>
        </w:rPr>
        <w:t>(among others) and a global economic slowdown, which negatively affected our financial results over certain periods. Specifically, throughout most of calendar 2020 and into early calendar 2021, the decline in demand for smartphones and other consumer devic</w:t>
      </w:r>
      <w:r>
        <w:rPr>
          <w:rFonts w:eastAsia="Times New Roman"/>
          <w:color w:val="000000"/>
          <w:sz w:val="20"/>
          <w:szCs w:val="20"/>
        </w:rPr>
        <w:t>es sold by our customers or licensees resulted in decreased demand for our integrated circuit products and a decrease in the royalties we earned on the licensing of our intellectual property. Similarly, during calendar 2022, spikes in COVID-19 cases in cer</w:t>
      </w:r>
      <w:r>
        <w:rPr>
          <w:rFonts w:eastAsia="Times New Roman"/>
          <w:color w:val="000000"/>
          <w:sz w:val="20"/>
          <w:szCs w:val="20"/>
        </w:rPr>
        <w:t>tain parts of China have led the Chinese government to impose lockdowns, which have adversely affected consumer demand in the region and may continue to impact demand in the future.</w:t>
      </w:r>
    </w:p>
    <w:p w14:paraId="27B18C56" w14:textId="77777777" w:rsidR="00000000" w:rsidRDefault="009B6C69">
      <w:pPr>
        <w:ind w:firstLine="360"/>
        <w:divId w:val="312301382"/>
        <w:rPr>
          <w:rFonts w:eastAsia="Times New Roman"/>
        </w:rPr>
      </w:pPr>
      <w:r>
        <w:rPr>
          <w:rFonts w:eastAsia="Times New Roman"/>
          <w:color w:val="000000"/>
          <w:sz w:val="20"/>
          <w:szCs w:val="20"/>
        </w:rPr>
        <w:t>The COVID-19 pandemic also caused us to modify our workforce practices, su</w:t>
      </w:r>
      <w:r>
        <w:rPr>
          <w:rFonts w:eastAsia="Times New Roman"/>
          <w:color w:val="000000"/>
          <w:sz w:val="20"/>
          <w:szCs w:val="20"/>
        </w:rPr>
        <w:t xml:space="preserve">ch as having the vast majority of our employees work from home. While we have generally reopened our offices and are currently operating under a hybrid work model, we could be negatively affected in the future if, among others, a significant number of our </w:t>
      </w:r>
      <w:r>
        <w:rPr>
          <w:rFonts w:eastAsia="Times New Roman"/>
          <w:color w:val="000000"/>
          <w:sz w:val="20"/>
          <w:szCs w:val="20"/>
        </w:rPr>
        <w:t>employees, or employees who perform critical functions, become ill and/or are quarantined as the result of exposure to COVID-19, or a similar health crisis, or if government policies restrict the ability of those employees to perform their critical functio</w:t>
      </w:r>
      <w:r>
        <w:rPr>
          <w:rFonts w:eastAsia="Times New Roman"/>
          <w:color w:val="000000"/>
          <w:sz w:val="20"/>
          <w:szCs w:val="20"/>
        </w:rPr>
        <w:t>ns. See also the Risk Factor titled “</w:t>
      </w:r>
      <w:r>
        <w:rPr>
          <w:rFonts w:eastAsia="Times New Roman"/>
          <w:i/>
          <w:iCs/>
          <w:color w:val="000000"/>
          <w:sz w:val="20"/>
          <w:szCs w:val="20"/>
        </w:rPr>
        <w:t>We may not be able to attract and retain qualified employees, and our attempts to operate under a hybrid work model may not be successful.</w:t>
      </w:r>
      <w:r>
        <w:rPr>
          <w:rFonts w:eastAsia="Times New Roman"/>
          <w:color w:val="000000"/>
          <w:sz w:val="20"/>
          <w:szCs w:val="20"/>
        </w:rPr>
        <w:t>”</w:t>
      </w:r>
    </w:p>
    <w:p w14:paraId="61618DEA" w14:textId="77777777" w:rsidR="00000000" w:rsidRDefault="009B6C69">
      <w:pPr>
        <w:ind w:firstLine="360"/>
        <w:divId w:val="675501123"/>
        <w:rPr>
          <w:rFonts w:eastAsia="Times New Roman"/>
        </w:rPr>
      </w:pPr>
      <w:r>
        <w:rPr>
          <w:rFonts w:eastAsia="Times New Roman"/>
          <w:color w:val="000000"/>
          <w:sz w:val="20"/>
          <w:szCs w:val="20"/>
        </w:rPr>
        <w:t>The COVID-19 pandemic, or a similar health crisis that may arise in the future,</w:t>
      </w:r>
      <w:r>
        <w:rPr>
          <w:rFonts w:eastAsia="Times New Roman"/>
          <w:color w:val="000000"/>
          <w:sz w:val="20"/>
          <w:szCs w:val="20"/>
        </w:rPr>
        <w:t xml:space="preserve"> could impact our business, results of operations and financial condition in the manner described above, and/or through delayed, reduced or cancelled customer orders; disruptions or delays in our supply chain; the inability of our customers or licensees to</w:t>
      </w:r>
      <w:r>
        <w:rPr>
          <w:rFonts w:eastAsia="Times New Roman"/>
          <w:color w:val="000000"/>
          <w:sz w:val="20"/>
          <w:szCs w:val="20"/>
        </w:rPr>
        <w:t xml:space="preserve"> purchase or pay for our products or technologies; the insolvency of key suppliers, customers or licensees; delays in reporting or payments from our customers or licensees; or failures by other counterparties. The degree to which the COVID-19 pandemic, or </w:t>
      </w:r>
      <w:r>
        <w:rPr>
          <w:rFonts w:eastAsia="Times New Roman"/>
          <w:color w:val="000000"/>
          <w:sz w:val="20"/>
          <w:szCs w:val="20"/>
        </w:rPr>
        <w:t>a similar health crisis, may impact our future business, results of operations and financial condition will depend on future developments, which are uncertain, including but not limited to the duration of the pandemic or other health crisis; spikes in case</w:t>
      </w:r>
      <w:r>
        <w:rPr>
          <w:rFonts w:eastAsia="Times New Roman"/>
          <w:color w:val="000000"/>
          <w:sz w:val="20"/>
          <w:szCs w:val="20"/>
        </w:rPr>
        <w:t>s in various geographic regions; the emergence, spread and severity of new virus or disease variants; the availability, adoption and efficacy of vaccines or other medical treatments; and government responses and other actions to limit the spread of the vir</w:t>
      </w:r>
      <w:r>
        <w:rPr>
          <w:rFonts w:eastAsia="Times New Roman"/>
          <w:color w:val="000000"/>
          <w:sz w:val="20"/>
          <w:szCs w:val="20"/>
        </w:rPr>
        <w:t>us or disease or to mitigate resulting negative economic effects. We are similarly unable to predict the extent to which COVID-19 or similar health crisis may impact our customers, licensees, suppliers and other partners and their financial conditions, but</w:t>
      </w:r>
      <w:r>
        <w:rPr>
          <w:rFonts w:eastAsia="Times New Roman"/>
          <w:color w:val="000000"/>
          <w:sz w:val="20"/>
          <w:szCs w:val="20"/>
        </w:rPr>
        <w:t xml:space="preserve"> adverse effects on these parties could also adversely affect us. To the extent the COVID-19 pandemic or a similar health crisis adversely affects our business, results of operations or financial condition, it may also have the effect of exacerbating the o</w:t>
      </w:r>
      <w:r>
        <w:rPr>
          <w:rFonts w:eastAsia="Times New Roman"/>
          <w:color w:val="000000"/>
          <w:sz w:val="20"/>
          <w:szCs w:val="20"/>
        </w:rPr>
        <w:t>ther risks discussed in this “Risk Factors” section.</w:t>
      </w:r>
    </w:p>
    <w:p w14:paraId="768E3F91" w14:textId="77777777" w:rsidR="00000000" w:rsidRDefault="009B6C69">
      <w:pPr>
        <w:divId w:val="725026670"/>
        <w:rPr>
          <w:rFonts w:eastAsia="Times New Roman"/>
        </w:rPr>
      </w:pPr>
      <w:r>
        <w:rPr>
          <w:rFonts w:eastAsia="Times New Roman"/>
          <w:b/>
          <w:bCs/>
          <w:i/>
          <w:iCs/>
          <w:color w:val="000000"/>
          <w:sz w:val="20"/>
          <w:szCs w:val="20"/>
        </w:rPr>
        <w:t>We operate in the highly cyclical semiconductor industry, which is subject to significant downturns. We are also susceptible to declines in global, regional and local economic conditions generally. Our s</w:t>
      </w:r>
      <w:r>
        <w:rPr>
          <w:rFonts w:eastAsia="Times New Roman"/>
          <w:b/>
          <w:bCs/>
          <w:i/>
          <w:iCs/>
          <w:color w:val="000000"/>
          <w:sz w:val="20"/>
          <w:szCs w:val="20"/>
        </w:rPr>
        <w:t>tock price and financial results are subject to substantial quarterly and annual fluctuations due to these dynamics, among others.</w:t>
      </w:r>
    </w:p>
    <w:p w14:paraId="4A299DA7" w14:textId="77777777" w:rsidR="00000000" w:rsidRDefault="009B6C69">
      <w:pPr>
        <w:ind w:firstLine="360"/>
        <w:divId w:val="413094752"/>
        <w:rPr>
          <w:rFonts w:eastAsia="Times New Roman"/>
        </w:rPr>
      </w:pPr>
      <w:r>
        <w:rPr>
          <w:rFonts w:eastAsia="Times New Roman"/>
          <w:color w:val="000000"/>
          <w:sz w:val="20"/>
          <w:szCs w:val="20"/>
        </w:rPr>
        <w:t>The semiconductor industry is highly cyclical, volatile, subject to downturns and characterized by constant and rapid technol</w:t>
      </w:r>
      <w:r>
        <w:rPr>
          <w:rFonts w:eastAsia="Times New Roman"/>
          <w:color w:val="000000"/>
          <w:sz w:val="20"/>
          <w:szCs w:val="20"/>
        </w:rPr>
        <w:t>ogical change, price erosion, evolving technical standards, frequent new product introductions, short product life cycles and fluctuations in product supply and demand. Periods of downturns have been characterized by diminished demand for end-user products</w:t>
      </w:r>
      <w:r>
        <w:rPr>
          <w:rFonts w:eastAsia="Times New Roman"/>
          <w:color w:val="000000"/>
          <w:sz w:val="20"/>
          <w:szCs w:val="20"/>
        </w:rPr>
        <w:t>, high inventory levels, excess or obsolete inventory adjustments or reserves, underutilization of manufacturing capacity, changes in revenue mix and erosion of average selling prices. We expect our business to continue to be subject to such cyclical downt</w:t>
      </w:r>
      <w:r>
        <w:rPr>
          <w:rFonts w:eastAsia="Times New Roman"/>
          <w:color w:val="000000"/>
          <w:sz w:val="20"/>
          <w:szCs w:val="20"/>
        </w:rPr>
        <w:t>urns. During such downturns, our revenues may decline, and our results of operations and financial condition may be adversely impacted. We are currently seeing and expect to continue to see weakness in the macroeconomic environment (negatively impacting co</w:t>
      </w:r>
      <w:r>
        <w:rPr>
          <w:rFonts w:eastAsia="Times New Roman"/>
          <w:color w:val="000000"/>
          <w:sz w:val="20"/>
          <w:szCs w:val="20"/>
        </w:rPr>
        <w:t>nsumer demand for smartphones and other devices that incorporate our products and technologies) and elevated inventory levels at our customers (negatively impacting the volume of chipsets they purchase from us until such inventory is depleted). Until these</w:t>
      </w:r>
      <w:r>
        <w:rPr>
          <w:rFonts w:eastAsia="Times New Roman"/>
          <w:color w:val="000000"/>
          <w:sz w:val="20"/>
          <w:szCs w:val="20"/>
        </w:rPr>
        <w:t xml:space="preserve"> conditions improve, we expect that both of these dynamics will have a negative impact on our revenues, results of operations and cash flows.</w:t>
      </w:r>
    </w:p>
    <w:p w14:paraId="3991F2CC" w14:textId="77777777" w:rsidR="00000000" w:rsidRDefault="009B6C69">
      <w:pPr>
        <w:ind w:firstLine="360"/>
        <w:divId w:val="957763061"/>
        <w:rPr>
          <w:rFonts w:eastAsia="Times New Roman"/>
        </w:rPr>
      </w:pPr>
      <w:r>
        <w:rPr>
          <w:rFonts w:eastAsia="Times New Roman"/>
          <w:color w:val="000000"/>
          <w:sz w:val="20"/>
          <w:szCs w:val="20"/>
        </w:rPr>
        <w:t>A decline in global, regional or local economic conditions, such as we are currently seeing, or a slow-down in eco</w:t>
      </w:r>
      <w:r>
        <w:rPr>
          <w:rFonts w:eastAsia="Times New Roman"/>
          <w:color w:val="000000"/>
          <w:sz w:val="20"/>
          <w:szCs w:val="20"/>
        </w:rPr>
        <w:t>nomic growth, particularly in geographic regions with high concentrations of wireless voice and data users or high concentrations of our customers or licensees, could also have adverse, wide-ranging effects on our business and financial results, including:</w:t>
      </w:r>
      <w:r>
        <w:rPr>
          <w:rFonts w:eastAsia="Times New Roman"/>
          <w:color w:val="000000"/>
          <w:sz w:val="20"/>
          <w:szCs w:val="20"/>
        </w:rPr>
        <w:t xml:space="preserve"> a decrease in demand for our products and technologies; a decrease in demand for the products and services of our customers or licensees; the inability of our suppliers to deliver on their supply commitments to us, our inability to supply our products to </w:t>
      </w:r>
      <w:r>
        <w:rPr>
          <w:rFonts w:eastAsia="Times New Roman"/>
          <w:color w:val="000000"/>
          <w:sz w:val="20"/>
          <w:szCs w:val="20"/>
        </w:rPr>
        <w:t>our customers and/or the inability of our customers or licensees to supply their products to end users; the insolvency of key suppliers, customers or licensees; delays in reporting or payments from our customers or licensees; failures by counterparties; an</w:t>
      </w:r>
      <w:r>
        <w:rPr>
          <w:rFonts w:eastAsia="Times New Roman"/>
          <w:color w:val="000000"/>
          <w:sz w:val="20"/>
          <w:szCs w:val="20"/>
        </w:rPr>
        <w:t>d/or negative effects on wireless device inventories. In addition, our customers’ and licensees’ ability to purchase or pay for our products and intellectual property and network operators’ ability to upgrade their wireless networks could be adversely affe</w:t>
      </w:r>
      <w:r>
        <w:rPr>
          <w:rFonts w:eastAsia="Times New Roman"/>
          <w:color w:val="000000"/>
          <w:sz w:val="20"/>
          <w:szCs w:val="20"/>
        </w:rPr>
        <w:t>cted, potentially leading to a reduction, cancellation or delay of orders for our products. Acts of war, terrorism or other geopolitical conflicts may also result in or contribute to declining economic conditions, disruptions to global supply chains and in</w:t>
      </w:r>
      <w:r>
        <w:rPr>
          <w:rFonts w:eastAsia="Times New Roman"/>
          <w:color w:val="000000"/>
          <w:sz w:val="20"/>
          <w:szCs w:val="20"/>
        </w:rPr>
        <w:t>creased volatility in financial markets, among other effects. Further, inflationary pressure may increase our costs, including employee compensation costs, reduce demand for our products or those of our customers or licensees due to increased prices of tho</w:t>
      </w:r>
      <w:r>
        <w:rPr>
          <w:rFonts w:eastAsia="Times New Roman"/>
          <w:color w:val="000000"/>
          <w:sz w:val="20"/>
          <w:szCs w:val="20"/>
        </w:rPr>
        <w:t xml:space="preserve">se products, or result in employee attrition to the extent our compensation does not keep up with inflation, particularly if our competitors’ compensation does. </w:t>
      </w:r>
    </w:p>
    <w:p w14:paraId="2F1C61DD" w14:textId="77777777" w:rsidR="00000000" w:rsidRDefault="009B6C69">
      <w:pPr>
        <w:jc w:val="center"/>
        <w:divId w:val="1182233452"/>
        <w:rPr>
          <w:rFonts w:eastAsia="Times New Roman"/>
        </w:rPr>
      </w:pPr>
      <w:r>
        <w:rPr>
          <w:rFonts w:eastAsia="Times New Roman"/>
          <w:color w:val="000000"/>
          <w:sz w:val="20"/>
          <w:szCs w:val="20"/>
        </w:rPr>
        <w:t>35</w:t>
      </w:r>
    </w:p>
    <w:p w14:paraId="6EE32862" w14:textId="77777777" w:rsidR="00000000" w:rsidRDefault="009B6C69">
      <w:pPr>
        <w:rPr>
          <w:rFonts w:eastAsia="Times New Roman"/>
        </w:rPr>
      </w:pPr>
      <w:r>
        <w:rPr>
          <w:rFonts w:eastAsia="Times New Roman"/>
        </w:rPr>
        <w:pict w14:anchorId="54A1DCAE">
          <v:rect id="_x0000_i1058" style="width:0;height:1.5pt" o:hralign="center" o:hrstd="t" o:hr="t" fillcolor="#a0a0a0" stroked="f"/>
        </w:pict>
      </w:r>
    </w:p>
    <w:p w14:paraId="1B913449" w14:textId="77777777" w:rsidR="00000000" w:rsidRDefault="009B6C69">
      <w:pPr>
        <w:divId w:val="774206465"/>
        <w:rPr>
          <w:rFonts w:eastAsia="Times New Roman"/>
        </w:rPr>
      </w:pPr>
    </w:p>
    <w:p w14:paraId="2C8F9196" w14:textId="77777777" w:rsidR="00000000" w:rsidRDefault="009B6C69">
      <w:pPr>
        <w:ind w:firstLine="360"/>
        <w:divId w:val="1291322227"/>
        <w:rPr>
          <w:rFonts w:eastAsia="Times New Roman"/>
        </w:rPr>
      </w:pPr>
      <w:r>
        <w:rPr>
          <w:rFonts w:eastAsia="Times New Roman"/>
          <w:color w:val="000000"/>
          <w:sz w:val="20"/>
          <w:szCs w:val="20"/>
        </w:rPr>
        <w:t>Our stock price and financial results have fluctuate</w:t>
      </w:r>
      <w:r>
        <w:rPr>
          <w:rFonts w:eastAsia="Times New Roman"/>
          <w:color w:val="000000"/>
          <w:sz w:val="20"/>
          <w:szCs w:val="20"/>
        </w:rPr>
        <w:t>d in the past and are likely to fluctuate in the future. Factors that may have a significant impact on the market price of our stock and our financial results include those identified above and throughout this Risk Factors section, as well as: volatility o</w:t>
      </w:r>
      <w:r>
        <w:rPr>
          <w:rFonts w:eastAsia="Times New Roman"/>
          <w:color w:val="000000"/>
          <w:sz w:val="20"/>
          <w:szCs w:val="20"/>
        </w:rPr>
        <w:t xml:space="preserve">f the stock market in general and technology and semiconductor companies in particular; announcements concerning us, our suppliers, our competitors or our customers or licensees, including any announcement concerning the initiation of, or any developments </w:t>
      </w:r>
      <w:r>
        <w:rPr>
          <w:rFonts w:eastAsia="Times New Roman"/>
          <w:color w:val="000000"/>
          <w:sz w:val="20"/>
          <w:szCs w:val="20"/>
        </w:rPr>
        <w:t xml:space="preserve">in, any lawsuit or governmental investigation or proceeding against us; and variations between our actual financial results or guidance and expectations of securities analysts or investors, among others. In the past, securities class action litigation has </w:t>
      </w:r>
      <w:r>
        <w:rPr>
          <w:rFonts w:eastAsia="Times New Roman"/>
          <w:color w:val="000000"/>
          <w:sz w:val="20"/>
          <w:szCs w:val="20"/>
        </w:rPr>
        <w:t>been brought against companies following periods of volatility in the market price of their securities, among other reasons. We are and may in the future be the target of securities litigation. Securities litigation could result in substantial uninsured co</w:t>
      </w:r>
      <w:r>
        <w:rPr>
          <w:rFonts w:eastAsia="Times New Roman"/>
          <w:color w:val="000000"/>
          <w:sz w:val="20"/>
          <w:szCs w:val="20"/>
        </w:rPr>
        <w:t>sts and divert management’s attention and our resources. Certain legal matters, including certain securities litigation brought against us, are described in this Annual Report in “Notes to Consolidated Financial Statements, Note 7. Commitments and Continge</w:t>
      </w:r>
      <w:r>
        <w:rPr>
          <w:rFonts w:eastAsia="Times New Roman"/>
          <w:color w:val="000000"/>
          <w:sz w:val="20"/>
          <w:szCs w:val="20"/>
        </w:rPr>
        <w:t>ncies.”</w:t>
      </w:r>
    </w:p>
    <w:p w14:paraId="1AD102C2" w14:textId="77777777" w:rsidR="00000000" w:rsidRDefault="009B6C69">
      <w:pPr>
        <w:divId w:val="1777216660"/>
        <w:rPr>
          <w:rFonts w:eastAsia="Times New Roman"/>
        </w:rPr>
      </w:pPr>
      <w:r>
        <w:rPr>
          <w:rFonts w:eastAsia="Times New Roman"/>
          <w:b/>
          <w:bCs/>
          <w:i/>
          <w:iCs/>
          <w:color w:val="000000"/>
          <w:sz w:val="20"/>
          <w:szCs w:val="20"/>
        </w:rPr>
        <w:t>Our business may suffer due to the impact of, or our failure to comply with, the various existing, new or amended laws, regulations, policies or standards to which we are subject.</w:t>
      </w:r>
    </w:p>
    <w:p w14:paraId="5F638918" w14:textId="77777777" w:rsidR="00000000" w:rsidRDefault="009B6C69">
      <w:pPr>
        <w:ind w:firstLine="360"/>
        <w:divId w:val="1111901699"/>
        <w:rPr>
          <w:rFonts w:eastAsia="Times New Roman"/>
        </w:rPr>
      </w:pPr>
      <w:r>
        <w:rPr>
          <w:rFonts w:eastAsia="Times New Roman"/>
          <w:color w:val="000000"/>
          <w:sz w:val="20"/>
          <w:szCs w:val="20"/>
        </w:rPr>
        <w:t>Our business and products, and those of our customers and licensees,</w:t>
      </w:r>
      <w:r>
        <w:rPr>
          <w:rFonts w:eastAsia="Times New Roman"/>
          <w:color w:val="000000"/>
          <w:sz w:val="20"/>
          <w:szCs w:val="20"/>
        </w:rPr>
        <w:t xml:space="preserve"> are subject to various laws, rules and regulations globally, as well as government policies and the specifications of international, national and regional communications standards bodies (collectively, Regulations). These include, among others, Regulation</w:t>
      </w:r>
      <w:r>
        <w:rPr>
          <w:rFonts w:eastAsia="Times New Roman"/>
          <w:color w:val="000000"/>
          <w:sz w:val="20"/>
          <w:szCs w:val="20"/>
        </w:rPr>
        <w:t>s related to: patent licensing practices; antitrust, competition and competitive business practices; the flow of funds out of certain countries (e.g., China); cybersecurity; imports and exports, such as the U.S. Export Administration Regulations administer</w:t>
      </w:r>
      <w:r>
        <w:rPr>
          <w:rFonts w:eastAsia="Times New Roman"/>
          <w:color w:val="000000"/>
          <w:sz w:val="20"/>
          <w:szCs w:val="20"/>
        </w:rPr>
        <w:t>ed by the U.S. Department of Commerce; protection of intellectual property; trade and trade protection including tariffs; foreign policy and national security; environmental protection (including climate change), health and safety; supply chain, responsibl</w:t>
      </w:r>
      <w:r>
        <w:rPr>
          <w:rFonts w:eastAsia="Times New Roman"/>
          <w:color w:val="000000"/>
          <w:sz w:val="20"/>
          <w:szCs w:val="20"/>
        </w:rPr>
        <w:t>e sourcing, including the use of conflict minerals, and human rights; spectrum availability and license issuance; adoption of standards; taxation; privacy and data protection; labor, employment and human capital; corporate governance; public disclosure; au</w:t>
      </w:r>
      <w:r>
        <w:rPr>
          <w:rFonts w:eastAsia="Times New Roman"/>
          <w:color w:val="000000"/>
          <w:sz w:val="20"/>
          <w:szCs w:val="20"/>
        </w:rPr>
        <w:t>tomotive industry safety and quality standards; and business conduct. Compliance with, or changes in the interpretation of, existing Regulations, the adoption of new Regulations, changes in the oversight of our activities by governments or standards bodies</w:t>
      </w:r>
      <w:r>
        <w:rPr>
          <w:rFonts w:eastAsia="Times New Roman"/>
          <w:color w:val="000000"/>
          <w:sz w:val="20"/>
          <w:szCs w:val="20"/>
        </w:rPr>
        <w:t>, or rulings in court, regulatory, administrative or other proceedings relating to such Regulations, among others, could have an adverse effect on our business and results of operations.</w:t>
      </w:r>
      <w:r>
        <w:rPr>
          <w:rFonts w:eastAsia="Times New Roman"/>
          <w:i/>
          <w:iCs/>
          <w:color w:val="000000"/>
          <w:sz w:val="20"/>
          <w:szCs w:val="20"/>
        </w:rPr>
        <w:t xml:space="preserve"> </w:t>
      </w:r>
      <w:r>
        <w:rPr>
          <w:rFonts w:eastAsia="Times New Roman"/>
          <w:color w:val="000000"/>
          <w:sz w:val="20"/>
          <w:szCs w:val="20"/>
        </w:rPr>
        <w:t>See also the Risk Factors titled “</w:t>
      </w:r>
      <w:r>
        <w:rPr>
          <w:rFonts w:eastAsia="Times New Roman"/>
          <w:i/>
          <w:iCs/>
          <w:color w:val="000000"/>
          <w:sz w:val="20"/>
          <w:szCs w:val="20"/>
        </w:rPr>
        <w:t>Our business may suffer as a result of adverse rulings in governmental investigations or proceedings or other legal proceedings,”</w:t>
      </w:r>
      <w:r>
        <w:rPr>
          <w:rFonts w:eastAsia="Times New Roman"/>
          <w:color w:val="000000"/>
          <w:sz w:val="20"/>
          <w:szCs w:val="20"/>
        </w:rPr>
        <w:t xml:space="preserve"> “</w:t>
      </w:r>
      <w:r>
        <w:rPr>
          <w:rFonts w:eastAsia="Times New Roman"/>
          <w:i/>
          <w:iCs/>
          <w:color w:val="000000"/>
          <w:sz w:val="20"/>
          <w:szCs w:val="20"/>
        </w:rPr>
        <w:t>Changes in our patent licensing practices, whether due to governmental investigations, legal challenges or otherwise, could a</w:t>
      </w:r>
      <w:r>
        <w:rPr>
          <w:rFonts w:eastAsia="Times New Roman"/>
          <w:i/>
          <w:iCs/>
          <w:color w:val="000000"/>
          <w:sz w:val="20"/>
          <w:szCs w:val="20"/>
        </w:rPr>
        <w:t>dversely impact our business and results of operations,” “A significant portion of our business is concentrated in China, and the risks of such concentration are exacerbated by U.S./China trade and national security tensions,”</w:t>
      </w:r>
      <w:r>
        <w:rPr>
          <w:rFonts w:eastAsia="Times New Roman"/>
          <w:color w:val="000000"/>
          <w:sz w:val="20"/>
          <w:szCs w:val="20"/>
        </w:rPr>
        <w:t xml:space="preserve"> “</w:t>
      </w:r>
      <w:r>
        <w:rPr>
          <w:rFonts w:eastAsia="Times New Roman"/>
          <w:i/>
          <w:iCs/>
          <w:color w:val="000000"/>
          <w:sz w:val="20"/>
          <w:szCs w:val="20"/>
        </w:rPr>
        <w:t>There are numerous risks ass</w:t>
      </w:r>
      <w:r>
        <w:rPr>
          <w:rFonts w:eastAsia="Times New Roman"/>
          <w:i/>
          <w:iCs/>
          <w:color w:val="000000"/>
          <w:sz w:val="20"/>
          <w:szCs w:val="20"/>
        </w:rPr>
        <w:t xml:space="preserve">ociated with the operation and control of our manufacturing facilities, including a higher portion of fixed costs relative to a fabless model; environmental compliance and liability; impacts related to climate change; exposure to natural disasters, health </w:t>
      </w:r>
      <w:r>
        <w:rPr>
          <w:rFonts w:eastAsia="Times New Roman"/>
          <w:i/>
          <w:iCs/>
          <w:color w:val="000000"/>
          <w:sz w:val="20"/>
          <w:szCs w:val="20"/>
        </w:rPr>
        <w:t>crises, geopolitical conflicts and cyber-attacks; timely supply of equipment and materials; and various manufacturing issues,” and “Tax liabilities could adversely affect our results of operations.”</w:t>
      </w:r>
    </w:p>
    <w:p w14:paraId="088F358A" w14:textId="77777777" w:rsidR="00000000" w:rsidRDefault="009B6C69">
      <w:pPr>
        <w:ind w:firstLine="360"/>
        <w:divId w:val="203834170"/>
        <w:rPr>
          <w:rFonts w:eastAsia="Times New Roman"/>
        </w:rPr>
      </w:pPr>
      <w:r>
        <w:rPr>
          <w:rFonts w:eastAsia="Times New Roman"/>
          <w:color w:val="000000"/>
          <w:sz w:val="20"/>
          <w:szCs w:val="20"/>
        </w:rPr>
        <w:t>Regulations are complex and changing (which may create uncertainty regarding compliance), are subject to varying interpretations, and their application in practice may evolve over time. As a result, our efforts to comply with Regulations may fail, particul</w:t>
      </w:r>
      <w:r>
        <w:rPr>
          <w:rFonts w:eastAsia="Times New Roman"/>
          <w:color w:val="000000"/>
          <w:sz w:val="20"/>
          <w:szCs w:val="20"/>
        </w:rPr>
        <w:t>arly if there is ambiguity as to how they should be applied in practice. Failure to comply with any Regulation may adversely affect our business, results of operations and cash flows. New Regulations, or evolving interpretations thereof, may cause us to in</w:t>
      </w:r>
      <w:r>
        <w:rPr>
          <w:rFonts w:eastAsia="Times New Roman"/>
          <w:color w:val="000000"/>
          <w:sz w:val="20"/>
          <w:szCs w:val="20"/>
        </w:rPr>
        <w:t>cur higher costs as we revise current practices, policies or procedures; may divert management time and attention to compliance activities; and may negatively impact our ability to conduct business in certain jurisdictions.</w:t>
      </w:r>
    </w:p>
    <w:p w14:paraId="79059E1C" w14:textId="77777777" w:rsidR="00000000" w:rsidRDefault="009B6C69">
      <w:pPr>
        <w:divId w:val="298078326"/>
        <w:rPr>
          <w:rFonts w:eastAsia="Times New Roman"/>
        </w:rPr>
      </w:pPr>
      <w:r>
        <w:rPr>
          <w:rFonts w:eastAsia="Times New Roman"/>
          <w:b/>
          <w:bCs/>
          <w:i/>
          <w:iCs/>
          <w:color w:val="000000"/>
          <w:sz w:val="20"/>
          <w:szCs w:val="20"/>
        </w:rPr>
        <w:t xml:space="preserve">There are risks associated with </w:t>
      </w:r>
      <w:r>
        <w:rPr>
          <w:rFonts w:eastAsia="Times New Roman"/>
          <w:b/>
          <w:bCs/>
          <w:i/>
          <w:iCs/>
          <w:color w:val="000000"/>
          <w:sz w:val="20"/>
          <w:szCs w:val="20"/>
        </w:rPr>
        <w:t>our debt.</w:t>
      </w:r>
    </w:p>
    <w:p w14:paraId="678F941A" w14:textId="77777777" w:rsidR="00000000" w:rsidRDefault="009B6C69">
      <w:pPr>
        <w:ind w:firstLine="360"/>
        <w:divId w:val="1737701274"/>
        <w:rPr>
          <w:rFonts w:eastAsia="Times New Roman"/>
        </w:rPr>
      </w:pPr>
      <w:r>
        <w:rPr>
          <w:rFonts w:eastAsia="Times New Roman"/>
          <w:color w:val="000000"/>
          <w:sz w:val="20"/>
          <w:szCs w:val="20"/>
        </w:rPr>
        <w:t>Our outstanding debt and any additional debt we incur may have negative consequences on our business, including, among others: requiring us to use cash to pay the principal of and interest on our debt, thereby reducing the amount of cash availabl</w:t>
      </w:r>
      <w:r>
        <w:rPr>
          <w:rFonts w:eastAsia="Times New Roman"/>
          <w:color w:val="000000"/>
          <w:sz w:val="20"/>
          <w:szCs w:val="20"/>
        </w:rPr>
        <w:t xml:space="preserve">e for other purposes; limiting our ability to obtain additional financing for working capital, capital expenditures, acquisitions, stock repurchases, dividends, general corporate or other purposes; and limiting our flexibility in planning for, or reacting </w:t>
      </w:r>
      <w:r>
        <w:rPr>
          <w:rFonts w:eastAsia="Times New Roman"/>
          <w:color w:val="000000"/>
          <w:sz w:val="20"/>
          <w:szCs w:val="20"/>
        </w:rPr>
        <w:t>to, changes in our business, industries or the market. Our ability to make payments of principal and interest on our indebtedness depends upon our future performance, which is subject to economic and political conditions, industry cycles and financial, bus</w:t>
      </w:r>
      <w:r>
        <w:rPr>
          <w:rFonts w:eastAsia="Times New Roman"/>
          <w:color w:val="000000"/>
          <w:sz w:val="20"/>
          <w:szCs w:val="20"/>
        </w:rPr>
        <w:t>iness and other factors, many of which are beyond our control. If we are unable to generate sufficient cash flow from operations to service our debt, we may be required to, among others: refinance or restructure all or a portion of our debt; reduce or dela</w:t>
      </w:r>
      <w:r>
        <w:rPr>
          <w:rFonts w:eastAsia="Times New Roman"/>
          <w:color w:val="000000"/>
          <w:sz w:val="20"/>
          <w:szCs w:val="20"/>
        </w:rPr>
        <w:t>y planned capital or operating expenditures; reduce, suspend or eliminate our dividend payments and/or our stock repurchase program; or sell selected assets. Such measures might not be sufficient to enable us to service our debt. In addition, any such refi</w:t>
      </w:r>
      <w:r>
        <w:rPr>
          <w:rFonts w:eastAsia="Times New Roman"/>
          <w:color w:val="000000"/>
          <w:sz w:val="20"/>
          <w:szCs w:val="20"/>
        </w:rPr>
        <w:t xml:space="preserve">nancing, restructuring or sale of assets might not be available on economically favorable terms or at all, and if prevailing interest rates at the time of any such refinancing or restructuring are higher than our current rates, interest expense related to </w:t>
      </w:r>
      <w:r>
        <w:rPr>
          <w:rFonts w:eastAsia="Times New Roman"/>
          <w:color w:val="000000"/>
          <w:sz w:val="20"/>
          <w:szCs w:val="20"/>
        </w:rPr>
        <w:t xml:space="preserve">such refinancing or restructuring would increase. Further, if there are adverse changes in the ratings assigned to our debt securities by credit rating agencies, our borrowing costs, our ability to access debt financing in the future and the terms of such </w:t>
      </w:r>
      <w:r>
        <w:rPr>
          <w:rFonts w:eastAsia="Times New Roman"/>
          <w:color w:val="000000"/>
          <w:sz w:val="20"/>
          <w:szCs w:val="20"/>
        </w:rPr>
        <w:t>debt could be adversely affected.</w:t>
      </w:r>
    </w:p>
    <w:p w14:paraId="0A319412" w14:textId="77777777" w:rsidR="00000000" w:rsidRDefault="009B6C69">
      <w:pPr>
        <w:divId w:val="953558185"/>
        <w:rPr>
          <w:rFonts w:eastAsia="Times New Roman"/>
        </w:rPr>
      </w:pPr>
      <w:r>
        <w:rPr>
          <w:rFonts w:eastAsia="Times New Roman"/>
          <w:b/>
          <w:bCs/>
          <w:i/>
          <w:iCs/>
          <w:color w:val="000000"/>
          <w:sz w:val="20"/>
          <w:szCs w:val="20"/>
        </w:rPr>
        <w:t>Tax liabilities could adversely affect our results of operations.</w:t>
      </w:r>
    </w:p>
    <w:p w14:paraId="2B0A3C39" w14:textId="77777777" w:rsidR="00000000" w:rsidRDefault="009B6C69">
      <w:pPr>
        <w:ind w:firstLine="360"/>
        <w:divId w:val="1945770703"/>
        <w:rPr>
          <w:rFonts w:eastAsia="Times New Roman"/>
        </w:rPr>
      </w:pPr>
      <w:r>
        <w:rPr>
          <w:rFonts w:eastAsia="Times New Roman"/>
          <w:color w:val="000000"/>
          <w:sz w:val="20"/>
          <w:szCs w:val="20"/>
        </w:rPr>
        <w:t>We are subject to income taxes in the United States and numerous foreign jurisdictions. Significant judgment is required in determining our provision for in</w:t>
      </w:r>
      <w:r>
        <w:rPr>
          <w:rFonts w:eastAsia="Times New Roman"/>
          <w:color w:val="000000"/>
          <w:sz w:val="20"/>
          <w:szCs w:val="20"/>
        </w:rPr>
        <w:t xml:space="preserve">come taxes. We regularly are subject to examination of our tax returns and reports by taxing authorities in the United States federal jurisdiction and various state and foreign jurisdictions, most notably in </w:t>
      </w:r>
    </w:p>
    <w:p w14:paraId="42B52DB3" w14:textId="77777777" w:rsidR="00000000" w:rsidRDefault="009B6C69">
      <w:pPr>
        <w:jc w:val="center"/>
        <w:divId w:val="295185089"/>
        <w:rPr>
          <w:rFonts w:eastAsia="Times New Roman"/>
        </w:rPr>
      </w:pPr>
      <w:r>
        <w:rPr>
          <w:rFonts w:eastAsia="Times New Roman"/>
          <w:color w:val="000000"/>
          <w:sz w:val="20"/>
          <w:szCs w:val="20"/>
        </w:rPr>
        <w:t>36</w:t>
      </w:r>
    </w:p>
    <w:p w14:paraId="3BA70172" w14:textId="77777777" w:rsidR="00000000" w:rsidRDefault="009B6C69">
      <w:pPr>
        <w:rPr>
          <w:rFonts w:eastAsia="Times New Roman"/>
        </w:rPr>
      </w:pPr>
      <w:r>
        <w:rPr>
          <w:rFonts w:eastAsia="Times New Roman"/>
        </w:rPr>
        <w:pict w14:anchorId="609BDD65">
          <v:rect id="_x0000_i1059" style="width:0;height:1.5pt" o:hralign="center" o:hrstd="t" o:hr="t" fillcolor="#a0a0a0" stroked="f"/>
        </w:pict>
      </w:r>
    </w:p>
    <w:p w14:paraId="10EF4EF4" w14:textId="77777777" w:rsidR="00000000" w:rsidRDefault="009B6C69">
      <w:pPr>
        <w:divId w:val="32048652"/>
        <w:rPr>
          <w:rFonts w:eastAsia="Times New Roman"/>
        </w:rPr>
      </w:pPr>
    </w:p>
    <w:p w14:paraId="47B4A6A1" w14:textId="77777777" w:rsidR="00000000" w:rsidRDefault="009B6C69">
      <w:pPr>
        <w:divId w:val="1653826240"/>
        <w:rPr>
          <w:rFonts w:eastAsia="Times New Roman"/>
        </w:rPr>
      </w:pPr>
      <w:r>
        <w:rPr>
          <w:rFonts w:eastAsia="Times New Roman"/>
          <w:color w:val="000000"/>
          <w:sz w:val="20"/>
          <w:szCs w:val="20"/>
        </w:rPr>
        <w:t>countr</w:t>
      </w:r>
      <w:r>
        <w:rPr>
          <w:rFonts w:eastAsia="Times New Roman"/>
          <w:color w:val="000000"/>
          <w:sz w:val="20"/>
          <w:szCs w:val="20"/>
        </w:rPr>
        <w:t>ies where we earn a routine return and the tax authorities believe substantial value-add activities are performed, as well as countries where we own intellectual property. The final determination of tax audits and any related legal proceedings could materi</w:t>
      </w:r>
      <w:r>
        <w:rPr>
          <w:rFonts w:eastAsia="Times New Roman"/>
          <w:color w:val="000000"/>
          <w:sz w:val="20"/>
          <w:szCs w:val="20"/>
        </w:rPr>
        <w:t>ally differ from amounts reflected in our income tax provisions and accruals. In such case, our income tax provision, results of operations and cash flows in the period or periods in which that determination is made could be negatively affected.</w:t>
      </w:r>
    </w:p>
    <w:p w14:paraId="78694CF8" w14:textId="77777777" w:rsidR="00000000" w:rsidRDefault="009B6C69">
      <w:pPr>
        <w:ind w:firstLine="360"/>
        <w:divId w:val="220558040"/>
        <w:rPr>
          <w:rFonts w:eastAsia="Times New Roman"/>
        </w:rPr>
      </w:pPr>
      <w:r>
        <w:rPr>
          <w:rFonts w:eastAsia="Times New Roman"/>
          <w:color w:val="000000"/>
          <w:sz w:val="20"/>
          <w:szCs w:val="20"/>
        </w:rPr>
        <w:t xml:space="preserve">Tax rules </w:t>
      </w:r>
      <w:r>
        <w:rPr>
          <w:rFonts w:eastAsia="Times New Roman"/>
          <w:color w:val="000000"/>
          <w:sz w:val="20"/>
          <w:szCs w:val="20"/>
        </w:rPr>
        <w:t>may change in a manner that adversely affects our future reported results of operations or the way we conduct our business. Most of our income is taxable in the United States with a significant portion qualifying for preferential treatment as FDII (foreign</w:t>
      </w:r>
      <w:r>
        <w:rPr>
          <w:rFonts w:eastAsia="Times New Roman"/>
          <w:color w:val="000000"/>
          <w:sz w:val="20"/>
          <w:szCs w:val="20"/>
        </w:rPr>
        <w:t xml:space="preserve">-derived intangible income). Beginning in fiscal 2027, the effective tax rate for FDII increases from 13% to 16%. Further, if U.S. tax rates increase and/or the FDII deduction is eliminated or reduced, our provision for income taxes, results of operations </w:t>
      </w:r>
      <w:r>
        <w:rPr>
          <w:rFonts w:eastAsia="Times New Roman"/>
          <w:color w:val="000000"/>
          <w:sz w:val="20"/>
          <w:szCs w:val="20"/>
        </w:rPr>
        <w:t xml:space="preserve">and cash flows would be adversely (potentially materially) affected. Also, if our customers move manufacturing operations to the United States, our FDII deduction may be reduced. </w:t>
      </w:r>
    </w:p>
    <w:p w14:paraId="7ABAC82A" w14:textId="77777777" w:rsidR="00000000" w:rsidRDefault="009B6C69">
      <w:pPr>
        <w:ind w:firstLine="360"/>
        <w:divId w:val="1649166119"/>
        <w:rPr>
          <w:rFonts w:eastAsia="Times New Roman"/>
        </w:rPr>
      </w:pPr>
      <w:r>
        <w:rPr>
          <w:rFonts w:eastAsia="Times New Roman"/>
          <w:color w:val="000000"/>
          <w:sz w:val="20"/>
          <w:szCs w:val="20"/>
        </w:rPr>
        <w:t>Further changes in the tax laws of foreign jurisdictions could arise as a re</w:t>
      </w:r>
      <w:r>
        <w:rPr>
          <w:rFonts w:eastAsia="Times New Roman"/>
          <w:color w:val="000000"/>
          <w:sz w:val="20"/>
          <w:szCs w:val="20"/>
        </w:rPr>
        <w:t xml:space="preserve">sult of the base erosion and profit shifting (BEPS) project that was undertaken by the Organization for Economic Co-operation and Development (OECD). The OECD, which represents a coalition of member countries, recommended changes to numerous long-standing </w:t>
      </w:r>
      <w:r>
        <w:rPr>
          <w:rFonts w:eastAsia="Times New Roman"/>
          <w:color w:val="000000"/>
          <w:sz w:val="20"/>
          <w:szCs w:val="20"/>
        </w:rPr>
        <w:t>tax principles related to transfer pricing and continues to develop new proposals including allocating greater taxing rights to countries where customers are located and establishing a minimum tax on global income. These changes, as adopted by countries, m</w:t>
      </w:r>
      <w:r>
        <w:rPr>
          <w:rFonts w:eastAsia="Times New Roman"/>
          <w:color w:val="000000"/>
          <w:sz w:val="20"/>
          <w:szCs w:val="20"/>
        </w:rPr>
        <w:t>ay increase tax uncertainty and may adversely affect our provision for income taxes, results of operations and cash flows.</w:t>
      </w:r>
    </w:p>
    <w:p w14:paraId="6A9E000C" w14:textId="77777777" w:rsidR="00000000" w:rsidRDefault="009B6C69">
      <w:pPr>
        <w:divId w:val="1048988400"/>
        <w:rPr>
          <w:rFonts w:eastAsia="Times New Roman"/>
        </w:rPr>
      </w:pPr>
      <w:r>
        <w:rPr>
          <w:rFonts w:eastAsia="Times New Roman"/>
          <w:b/>
          <w:bCs/>
          <w:color w:val="000000"/>
          <w:sz w:val="20"/>
          <w:szCs w:val="20"/>
        </w:rPr>
        <w:t>Item 1B. Unresolved Staff Comments</w:t>
      </w:r>
    </w:p>
    <w:p w14:paraId="4A74B1E3" w14:textId="77777777" w:rsidR="00000000" w:rsidRDefault="009B6C69">
      <w:pPr>
        <w:ind w:firstLine="360"/>
        <w:divId w:val="63963992"/>
        <w:rPr>
          <w:rFonts w:eastAsia="Times New Roman"/>
        </w:rPr>
      </w:pPr>
      <w:r>
        <w:rPr>
          <w:rFonts w:eastAsia="Times New Roman"/>
          <w:color w:val="000000"/>
          <w:sz w:val="20"/>
          <w:szCs w:val="20"/>
        </w:rPr>
        <w:t>None.</w:t>
      </w:r>
    </w:p>
    <w:p w14:paraId="79D93005" w14:textId="77777777" w:rsidR="00000000" w:rsidRDefault="009B6C69">
      <w:pPr>
        <w:divId w:val="1320771006"/>
        <w:rPr>
          <w:rFonts w:eastAsia="Times New Roman"/>
        </w:rPr>
      </w:pPr>
      <w:r>
        <w:rPr>
          <w:rFonts w:eastAsia="Times New Roman"/>
          <w:b/>
          <w:bCs/>
          <w:color w:val="000000"/>
          <w:sz w:val="20"/>
          <w:szCs w:val="20"/>
        </w:rPr>
        <w:t>Item 2. Properties</w:t>
      </w:r>
    </w:p>
    <w:p w14:paraId="1C1438DD" w14:textId="77777777" w:rsidR="00000000" w:rsidRDefault="009B6C69">
      <w:pPr>
        <w:ind w:firstLine="360"/>
        <w:divId w:val="1940134706"/>
        <w:rPr>
          <w:rFonts w:eastAsia="Times New Roman"/>
        </w:rPr>
      </w:pPr>
      <w:r>
        <w:rPr>
          <w:rFonts w:eastAsia="Times New Roman"/>
          <w:color w:val="000000"/>
          <w:sz w:val="20"/>
          <w:szCs w:val="20"/>
        </w:rPr>
        <w:t>At September 25, 2022, we occupied the following facilities (square foota</w:t>
      </w:r>
      <w:r>
        <w:rPr>
          <w:rFonts w:eastAsia="Times New Roman"/>
          <w:color w:val="000000"/>
          <w:sz w:val="20"/>
          <w:szCs w:val="20"/>
        </w:rPr>
        <w:t>ge in millions)</w:t>
      </w:r>
      <w:r>
        <w:rPr>
          <w:rFonts w:eastAsia="Times New Roman"/>
          <w:color w:val="000000"/>
          <w:sz w:val="18"/>
          <w:szCs w:val="18"/>
        </w:rPr>
        <w:t>:</w:t>
      </w:r>
    </w:p>
    <w:tbl>
      <w:tblPr>
        <w:tblW w:w="4985" w:type="pct"/>
        <w:tblCellMar>
          <w:top w:w="15" w:type="dxa"/>
          <w:left w:w="15" w:type="dxa"/>
          <w:bottom w:w="15" w:type="dxa"/>
          <w:right w:w="15" w:type="dxa"/>
        </w:tblCellMar>
        <w:tblLook w:val="04A0" w:firstRow="1" w:lastRow="0" w:firstColumn="1" w:lastColumn="0" w:noHBand="0" w:noVBand="1"/>
      </w:tblPr>
      <w:tblGrid>
        <w:gridCol w:w="60"/>
        <w:gridCol w:w="5043"/>
        <w:gridCol w:w="36"/>
        <w:gridCol w:w="61"/>
        <w:gridCol w:w="887"/>
        <w:gridCol w:w="36"/>
        <w:gridCol w:w="36"/>
        <w:gridCol w:w="36"/>
        <w:gridCol w:w="36"/>
        <w:gridCol w:w="67"/>
        <w:gridCol w:w="868"/>
        <w:gridCol w:w="36"/>
        <w:gridCol w:w="36"/>
        <w:gridCol w:w="36"/>
        <w:gridCol w:w="36"/>
        <w:gridCol w:w="48"/>
        <w:gridCol w:w="887"/>
        <w:gridCol w:w="36"/>
      </w:tblGrid>
      <w:tr w:rsidR="00000000" w14:paraId="5726C25B" w14:textId="77777777">
        <w:trPr>
          <w:divId w:val="362831558"/>
        </w:trPr>
        <w:tc>
          <w:tcPr>
            <w:tcW w:w="50" w:type="pct"/>
            <w:vAlign w:val="center"/>
            <w:hideMark/>
          </w:tcPr>
          <w:p w14:paraId="4ED6324D" w14:textId="77777777" w:rsidR="00000000" w:rsidRDefault="009B6C69">
            <w:pPr>
              <w:ind w:firstLine="360"/>
              <w:rPr>
                <w:rFonts w:eastAsia="Times New Roman"/>
              </w:rPr>
            </w:pPr>
          </w:p>
        </w:tc>
        <w:tc>
          <w:tcPr>
            <w:tcW w:w="3056" w:type="pct"/>
            <w:vAlign w:val="center"/>
            <w:hideMark/>
          </w:tcPr>
          <w:p w14:paraId="0A54A0C6" w14:textId="77777777" w:rsidR="00000000" w:rsidRDefault="009B6C69">
            <w:pPr>
              <w:spacing w:after="100"/>
              <w:rPr>
                <w:rFonts w:eastAsia="Times New Roman"/>
                <w:sz w:val="20"/>
                <w:szCs w:val="20"/>
              </w:rPr>
            </w:pPr>
          </w:p>
        </w:tc>
        <w:tc>
          <w:tcPr>
            <w:tcW w:w="5" w:type="pct"/>
            <w:vAlign w:val="center"/>
            <w:hideMark/>
          </w:tcPr>
          <w:p w14:paraId="6BA87583" w14:textId="77777777" w:rsidR="00000000" w:rsidRDefault="009B6C69">
            <w:pPr>
              <w:spacing w:after="100"/>
              <w:rPr>
                <w:rFonts w:eastAsia="Times New Roman"/>
                <w:sz w:val="20"/>
                <w:szCs w:val="20"/>
              </w:rPr>
            </w:pPr>
          </w:p>
        </w:tc>
        <w:tc>
          <w:tcPr>
            <w:tcW w:w="50" w:type="pct"/>
            <w:vAlign w:val="center"/>
            <w:hideMark/>
          </w:tcPr>
          <w:p w14:paraId="38B11B86" w14:textId="77777777" w:rsidR="00000000" w:rsidRDefault="009B6C69">
            <w:pPr>
              <w:spacing w:after="100"/>
              <w:rPr>
                <w:rFonts w:eastAsia="Times New Roman"/>
                <w:sz w:val="20"/>
                <w:szCs w:val="20"/>
              </w:rPr>
            </w:pPr>
          </w:p>
        </w:tc>
        <w:tc>
          <w:tcPr>
            <w:tcW w:w="549" w:type="pct"/>
            <w:vAlign w:val="center"/>
            <w:hideMark/>
          </w:tcPr>
          <w:p w14:paraId="7D79C41C" w14:textId="77777777" w:rsidR="00000000" w:rsidRDefault="009B6C69">
            <w:pPr>
              <w:spacing w:after="100"/>
              <w:rPr>
                <w:rFonts w:eastAsia="Times New Roman"/>
                <w:sz w:val="20"/>
                <w:szCs w:val="20"/>
              </w:rPr>
            </w:pPr>
          </w:p>
        </w:tc>
        <w:tc>
          <w:tcPr>
            <w:tcW w:w="5" w:type="pct"/>
            <w:vAlign w:val="center"/>
            <w:hideMark/>
          </w:tcPr>
          <w:p w14:paraId="43655D9C" w14:textId="77777777" w:rsidR="00000000" w:rsidRDefault="009B6C69">
            <w:pPr>
              <w:spacing w:after="100"/>
              <w:rPr>
                <w:rFonts w:eastAsia="Times New Roman"/>
                <w:sz w:val="20"/>
                <w:szCs w:val="20"/>
              </w:rPr>
            </w:pPr>
          </w:p>
        </w:tc>
        <w:tc>
          <w:tcPr>
            <w:tcW w:w="5" w:type="pct"/>
            <w:vAlign w:val="center"/>
            <w:hideMark/>
          </w:tcPr>
          <w:p w14:paraId="22C4F1D4" w14:textId="77777777" w:rsidR="00000000" w:rsidRDefault="009B6C69">
            <w:pPr>
              <w:spacing w:after="100"/>
              <w:rPr>
                <w:rFonts w:eastAsia="Times New Roman"/>
                <w:sz w:val="20"/>
                <w:szCs w:val="20"/>
              </w:rPr>
            </w:pPr>
          </w:p>
        </w:tc>
        <w:tc>
          <w:tcPr>
            <w:tcW w:w="27" w:type="pct"/>
            <w:vAlign w:val="center"/>
            <w:hideMark/>
          </w:tcPr>
          <w:p w14:paraId="787E28C8" w14:textId="77777777" w:rsidR="00000000" w:rsidRDefault="009B6C69">
            <w:pPr>
              <w:spacing w:after="100"/>
              <w:rPr>
                <w:rFonts w:eastAsia="Times New Roman"/>
                <w:sz w:val="20"/>
                <w:szCs w:val="20"/>
              </w:rPr>
            </w:pPr>
          </w:p>
        </w:tc>
        <w:tc>
          <w:tcPr>
            <w:tcW w:w="5" w:type="pct"/>
            <w:vAlign w:val="center"/>
            <w:hideMark/>
          </w:tcPr>
          <w:p w14:paraId="1AEF6789" w14:textId="77777777" w:rsidR="00000000" w:rsidRDefault="009B6C69">
            <w:pPr>
              <w:spacing w:after="100"/>
              <w:rPr>
                <w:rFonts w:eastAsia="Times New Roman"/>
                <w:sz w:val="20"/>
                <w:szCs w:val="20"/>
              </w:rPr>
            </w:pPr>
          </w:p>
        </w:tc>
        <w:tc>
          <w:tcPr>
            <w:tcW w:w="50" w:type="pct"/>
            <w:vAlign w:val="center"/>
            <w:hideMark/>
          </w:tcPr>
          <w:p w14:paraId="6D63B561" w14:textId="77777777" w:rsidR="00000000" w:rsidRDefault="009B6C69">
            <w:pPr>
              <w:spacing w:after="100"/>
              <w:rPr>
                <w:rFonts w:eastAsia="Times New Roman"/>
                <w:sz w:val="20"/>
                <w:szCs w:val="20"/>
              </w:rPr>
            </w:pPr>
          </w:p>
        </w:tc>
        <w:tc>
          <w:tcPr>
            <w:tcW w:w="549" w:type="pct"/>
            <w:vAlign w:val="center"/>
            <w:hideMark/>
          </w:tcPr>
          <w:p w14:paraId="25323670" w14:textId="77777777" w:rsidR="00000000" w:rsidRDefault="009B6C69">
            <w:pPr>
              <w:spacing w:after="100"/>
              <w:rPr>
                <w:rFonts w:eastAsia="Times New Roman"/>
                <w:sz w:val="20"/>
                <w:szCs w:val="20"/>
              </w:rPr>
            </w:pPr>
          </w:p>
        </w:tc>
        <w:tc>
          <w:tcPr>
            <w:tcW w:w="5" w:type="pct"/>
            <w:vAlign w:val="center"/>
            <w:hideMark/>
          </w:tcPr>
          <w:p w14:paraId="125F2541" w14:textId="77777777" w:rsidR="00000000" w:rsidRDefault="009B6C69">
            <w:pPr>
              <w:spacing w:after="100"/>
              <w:rPr>
                <w:rFonts w:eastAsia="Times New Roman"/>
                <w:sz w:val="20"/>
                <w:szCs w:val="20"/>
              </w:rPr>
            </w:pPr>
          </w:p>
        </w:tc>
        <w:tc>
          <w:tcPr>
            <w:tcW w:w="5" w:type="pct"/>
            <w:vAlign w:val="center"/>
            <w:hideMark/>
          </w:tcPr>
          <w:p w14:paraId="6724FBCA" w14:textId="77777777" w:rsidR="00000000" w:rsidRDefault="009B6C69">
            <w:pPr>
              <w:spacing w:after="100"/>
              <w:rPr>
                <w:rFonts w:eastAsia="Times New Roman"/>
                <w:sz w:val="20"/>
                <w:szCs w:val="20"/>
              </w:rPr>
            </w:pPr>
          </w:p>
        </w:tc>
        <w:tc>
          <w:tcPr>
            <w:tcW w:w="27" w:type="pct"/>
            <w:vAlign w:val="center"/>
            <w:hideMark/>
          </w:tcPr>
          <w:p w14:paraId="10DC51AC" w14:textId="77777777" w:rsidR="00000000" w:rsidRDefault="009B6C69">
            <w:pPr>
              <w:spacing w:after="100"/>
              <w:rPr>
                <w:rFonts w:eastAsia="Times New Roman"/>
                <w:sz w:val="20"/>
                <w:szCs w:val="20"/>
              </w:rPr>
            </w:pPr>
          </w:p>
        </w:tc>
        <w:tc>
          <w:tcPr>
            <w:tcW w:w="5" w:type="pct"/>
            <w:vAlign w:val="center"/>
            <w:hideMark/>
          </w:tcPr>
          <w:p w14:paraId="6F35EC6D" w14:textId="77777777" w:rsidR="00000000" w:rsidRDefault="009B6C69">
            <w:pPr>
              <w:spacing w:after="100"/>
              <w:rPr>
                <w:rFonts w:eastAsia="Times New Roman"/>
                <w:sz w:val="20"/>
                <w:szCs w:val="20"/>
              </w:rPr>
            </w:pPr>
          </w:p>
        </w:tc>
        <w:tc>
          <w:tcPr>
            <w:tcW w:w="50" w:type="pct"/>
            <w:vAlign w:val="center"/>
            <w:hideMark/>
          </w:tcPr>
          <w:p w14:paraId="02BC139A" w14:textId="77777777" w:rsidR="00000000" w:rsidRDefault="009B6C69">
            <w:pPr>
              <w:spacing w:after="100"/>
              <w:rPr>
                <w:rFonts w:eastAsia="Times New Roman"/>
                <w:sz w:val="20"/>
                <w:szCs w:val="20"/>
              </w:rPr>
            </w:pPr>
          </w:p>
        </w:tc>
        <w:tc>
          <w:tcPr>
            <w:tcW w:w="549" w:type="pct"/>
            <w:vAlign w:val="center"/>
            <w:hideMark/>
          </w:tcPr>
          <w:p w14:paraId="0448B41F" w14:textId="77777777" w:rsidR="00000000" w:rsidRDefault="009B6C69">
            <w:pPr>
              <w:spacing w:after="100"/>
              <w:rPr>
                <w:rFonts w:eastAsia="Times New Roman"/>
                <w:sz w:val="20"/>
                <w:szCs w:val="20"/>
              </w:rPr>
            </w:pPr>
          </w:p>
        </w:tc>
        <w:tc>
          <w:tcPr>
            <w:tcW w:w="5" w:type="pct"/>
            <w:vAlign w:val="center"/>
            <w:hideMark/>
          </w:tcPr>
          <w:p w14:paraId="7432AD14" w14:textId="77777777" w:rsidR="00000000" w:rsidRDefault="009B6C69">
            <w:pPr>
              <w:spacing w:after="100"/>
              <w:rPr>
                <w:rFonts w:eastAsia="Times New Roman"/>
                <w:sz w:val="20"/>
                <w:szCs w:val="20"/>
              </w:rPr>
            </w:pPr>
          </w:p>
        </w:tc>
      </w:tr>
      <w:tr w:rsidR="00000000" w14:paraId="007C7593" w14:textId="77777777">
        <w:trPr>
          <w:divId w:val="362831558"/>
        </w:trPr>
        <w:tc>
          <w:tcPr>
            <w:tcW w:w="0" w:type="auto"/>
            <w:gridSpan w:val="3"/>
            <w:tcMar>
              <w:top w:w="0" w:type="dxa"/>
              <w:left w:w="20" w:type="dxa"/>
              <w:bottom w:w="0" w:type="dxa"/>
              <w:right w:w="20" w:type="dxa"/>
            </w:tcMar>
            <w:vAlign w:val="center"/>
            <w:hideMark/>
          </w:tcPr>
          <w:p w14:paraId="04FAEF8F"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9C4F3E7" w14:textId="77777777" w:rsidR="00000000" w:rsidRDefault="009B6C69">
            <w:pPr>
              <w:spacing w:after="100"/>
              <w:jc w:val="center"/>
              <w:rPr>
                <w:rFonts w:eastAsia="Times New Roman"/>
              </w:rPr>
            </w:pPr>
            <w:r>
              <w:rPr>
                <w:rFonts w:eastAsia="Times New Roman"/>
                <w:b/>
                <w:bCs/>
                <w:color w:val="000000"/>
                <w:sz w:val="18"/>
                <w:szCs w:val="18"/>
              </w:rPr>
              <w:t>United States</w:t>
            </w:r>
          </w:p>
        </w:tc>
        <w:tc>
          <w:tcPr>
            <w:tcW w:w="0" w:type="auto"/>
            <w:gridSpan w:val="3"/>
            <w:tcMar>
              <w:top w:w="0" w:type="dxa"/>
              <w:left w:w="20" w:type="dxa"/>
              <w:bottom w:w="0" w:type="dxa"/>
              <w:right w:w="20" w:type="dxa"/>
            </w:tcMar>
            <w:vAlign w:val="center"/>
            <w:hideMark/>
          </w:tcPr>
          <w:p w14:paraId="03CDAC2E"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4530A3A" w14:textId="77777777" w:rsidR="00000000" w:rsidRDefault="009B6C69">
            <w:pPr>
              <w:spacing w:after="100"/>
              <w:jc w:val="center"/>
              <w:rPr>
                <w:rFonts w:eastAsia="Times New Roman"/>
              </w:rPr>
            </w:pPr>
            <w:r>
              <w:rPr>
                <w:rFonts w:eastAsia="Times New Roman"/>
                <w:b/>
                <w:bCs/>
                <w:color w:val="000000"/>
                <w:sz w:val="18"/>
                <w:szCs w:val="18"/>
              </w:rPr>
              <w:t>Other Countries</w:t>
            </w:r>
          </w:p>
        </w:tc>
        <w:tc>
          <w:tcPr>
            <w:tcW w:w="0" w:type="auto"/>
            <w:gridSpan w:val="3"/>
            <w:tcMar>
              <w:top w:w="0" w:type="dxa"/>
              <w:left w:w="20" w:type="dxa"/>
              <w:bottom w:w="0" w:type="dxa"/>
              <w:right w:w="20" w:type="dxa"/>
            </w:tcMar>
            <w:vAlign w:val="center"/>
            <w:hideMark/>
          </w:tcPr>
          <w:p w14:paraId="00BBF850"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631D31A" w14:textId="77777777" w:rsidR="00000000" w:rsidRDefault="009B6C69">
            <w:pPr>
              <w:spacing w:after="100"/>
              <w:jc w:val="center"/>
              <w:rPr>
                <w:rFonts w:eastAsia="Times New Roman"/>
              </w:rPr>
            </w:pPr>
            <w:r>
              <w:rPr>
                <w:rFonts w:eastAsia="Times New Roman"/>
                <w:b/>
                <w:bCs/>
                <w:color w:val="000000"/>
                <w:sz w:val="18"/>
                <w:szCs w:val="18"/>
              </w:rPr>
              <w:t>Total</w:t>
            </w:r>
          </w:p>
        </w:tc>
      </w:tr>
      <w:tr w:rsidR="00000000" w14:paraId="734EB8A7" w14:textId="77777777">
        <w:trPr>
          <w:divId w:val="362831558"/>
        </w:trPr>
        <w:tc>
          <w:tcPr>
            <w:tcW w:w="0" w:type="auto"/>
            <w:gridSpan w:val="3"/>
            <w:shd w:val="clear" w:color="auto" w:fill="CCEEFF"/>
            <w:tcMar>
              <w:top w:w="30" w:type="dxa"/>
              <w:left w:w="20" w:type="dxa"/>
              <w:bottom w:w="30" w:type="dxa"/>
              <w:right w:w="20" w:type="dxa"/>
            </w:tcMar>
            <w:vAlign w:val="bottom"/>
            <w:hideMark/>
          </w:tcPr>
          <w:p w14:paraId="41B74146" w14:textId="77777777" w:rsidR="00000000" w:rsidRDefault="009B6C69">
            <w:pPr>
              <w:spacing w:after="100"/>
              <w:rPr>
                <w:rFonts w:eastAsia="Times New Roman"/>
              </w:rPr>
            </w:pPr>
            <w:r>
              <w:rPr>
                <w:rFonts w:eastAsia="Times New Roman"/>
                <w:color w:val="000000"/>
                <w:sz w:val="18"/>
                <w:szCs w:val="18"/>
              </w:rPr>
              <w:t>Owned facilities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4FEF1A" w14:textId="77777777" w:rsidR="00000000" w:rsidRDefault="009B6C69">
            <w:pPr>
              <w:spacing w:after="100"/>
              <w:jc w:val="right"/>
              <w:rPr>
                <w:rFonts w:eastAsia="Times New Roman"/>
              </w:rPr>
            </w:pPr>
            <w:r>
              <w:rPr>
                <w:rFonts w:eastAsia="Times New Roman"/>
                <w:color w:val="000000"/>
                <w:sz w:val="18"/>
                <w:szCs w:val="18"/>
              </w:rPr>
              <w:t>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948120"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2A89CF"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F5943A" w14:textId="77777777" w:rsidR="00000000" w:rsidRDefault="009B6C69">
            <w:pPr>
              <w:spacing w:after="100"/>
              <w:jc w:val="right"/>
              <w:rPr>
                <w:rFonts w:eastAsia="Times New Roman"/>
              </w:rPr>
            </w:pPr>
            <w:r>
              <w:rPr>
                <w:rFonts w:eastAsia="Times New Roman"/>
                <w:color w:val="000000"/>
                <w:sz w:val="18"/>
                <w:szCs w:val="18"/>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44609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3A73CB"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79252A" w14:textId="77777777" w:rsidR="00000000" w:rsidRDefault="009B6C69">
            <w:pPr>
              <w:spacing w:after="100"/>
              <w:jc w:val="right"/>
              <w:rPr>
                <w:rFonts w:eastAsia="Times New Roman"/>
              </w:rPr>
            </w:pPr>
            <w:r>
              <w:rPr>
                <w:rFonts w:eastAsia="Times New Roman"/>
                <w:color w:val="000000"/>
                <w:sz w:val="18"/>
                <w:szCs w:val="18"/>
              </w:rPr>
              <w:t>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937DD2" w14:textId="77777777" w:rsidR="00000000" w:rsidRDefault="009B6C69">
            <w:pPr>
              <w:spacing w:after="100"/>
              <w:jc w:val="right"/>
              <w:rPr>
                <w:rFonts w:eastAsia="Times New Roman"/>
              </w:rPr>
            </w:pPr>
          </w:p>
        </w:tc>
      </w:tr>
      <w:tr w:rsidR="00000000" w14:paraId="694B0DDF" w14:textId="77777777">
        <w:trPr>
          <w:divId w:val="362831558"/>
        </w:trPr>
        <w:tc>
          <w:tcPr>
            <w:tcW w:w="0" w:type="auto"/>
            <w:gridSpan w:val="3"/>
            <w:shd w:val="clear" w:color="auto" w:fill="FFFFFF"/>
            <w:tcMar>
              <w:top w:w="30" w:type="dxa"/>
              <w:left w:w="20" w:type="dxa"/>
              <w:bottom w:w="30" w:type="dxa"/>
              <w:right w:w="20" w:type="dxa"/>
            </w:tcMar>
            <w:vAlign w:val="bottom"/>
            <w:hideMark/>
          </w:tcPr>
          <w:p w14:paraId="2E0ED6EE" w14:textId="77777777" w:rsidR="00000000" w:rsidRDefault="009B6C69">
            <w:pPr>
              <w:spacing w:after="100"/>
              <w:rPr>
                <w:rFonts w:eastAsia="Times New Roman"/>
              </w:rPr>
            </w:pPr>
            <w:r>
              <w:rPr>
                <w:rFonts w:eastAsia="Times New Roman"/>
                <w:color w:val="000000"/>
                <w:sz w:val="18"/>
                <w:szCs w:val="18"/>
              </w:rPr>
              <w:t>Leased facilities</w:t>
            </w:r>
          </w:p>
        </w:tc>
        <w:tc>
          <w:tcPr>
            <w:tcW w:w="0" w:type="auto"/>
            <w:gridSpan w:val="2"/>
            <w:shd w:val="clear" w:color="auto" w:fill="FFFFFF"/>
            <w:tcMar>
              <w:top w:w="30" w:type="dxa"/>
              <w:left w:w="20" w:type="dxa"/>
              <w:bottom w:w="30" w:type="dxa"/>
              <w:right w:w="0" w:type="dxa"/>
            </w:tcMar>
            <w:vAlign w:val="bottom"/>
            <w:hideMark/>
          </w:tcPr>
          <w:p w14:paraId="0A583078" w14:textId="77777777" w:rsidR="00000000" w:rsidRDefault="009B6C69">
            <w:pPr>
              <w:spacing w:after="100"/>
              <w:jc w:val="right"/>
              <w:rPr>
                <w:rFonts w:eastAsia="Times New Roman"/>
              </w:rPr>
            </w:pPr>
            <w:r>
              <w:rPr>
                <w:rFonts w:eastAsia="Times New Roman"/>
                <w:color w:val="000000"/>
                <w:sz w:val="18"/>
                <w:szCs w:val="18"/>
              </w:rPr>
              <w:t>0.8 </w:t>
            </w:r>
          </w:p>
        </w:tc>
        <w:tc>
          <w:tcPr>
            <w:tcW w:w="0" w:type="auto"/>
            <w:shd w:val="clear" w:color="auto" w:fill="FFFFFF"/>
            <w:tcMar>
              <w:top w:w="30" w:type="dxa"/>
              <w:left w:w="0" w:type="dxa"/>
              <w:bottom w:w="30" w:type="dxa"/>
              <w:right w:w="20" w:type="dxa"/>
            </w:tcMar>
            <w:vAlign w:val="bottom"/>
            <w:hideMark/>
          </w:tcPr>
          <w:p w14:paraId="7448346C"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0025B"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371EEC" w14:textId="77777777" w:rsidR="00000000" w:rsidRDefault="009B6C69">
            <w:pPr>
              <w:spacing w:after="100"/>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bottom"/>
            <w:hideMark/>
          </w:tcPr>
          <w:p w14:paraId="13AA109D"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4C1872"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52BD35" w14:textId="77777777" w:rsidR="00000000" w:rsidRDefault="009B6C69">
            <w:pPr>
              <w:spacing w:after="100"/>
              <w:jc w:val="right"/>
              <w:rPr>
                <w:rFonts w:eastAsia="Times New Roman"/>
              </w:rPr>
            </w:pPr>
            <w:r>
              <w:rPr>
                <w:rFonts w:eastAsia="Times New Roman"/>
                <w:color w:val="000000"/>
                <w:sz w:val="18"/>
                <w:szCs w:val="18"/>
              </w:rPr>
              <w:t>7.5 </w:t>
            </w:r>
          </w:p>
        </w:tc>
        <w:tc>
          <w:tcPr>
            <w:tcW w:w="0" w:type="auto"/>
            <w:shd w:val="clear" w:color="auto" w:fill="FFFFFF"/>
            <w:tcMar>
              <w:top w:w="30" w:type="dxa"/>
              <w:left w:w="0" w:type="dxa"/>
              <w:bottom w:w="30" w:type="dxa"/>
              <w:right w:w="20" w:type="dxa"/>
            </w:tcMar>
            <w:vAlign w:val="bottom"/>
            <w:hideMark/>
          </w:tcPr>
          <w:p w14:paraId="29317465" w14:textId="77777777" w:rsidR="00000000" w:rsidRDefault="009B6C69">
            <w:pPr>
              <w:spacing w:after="100"/>
              <w:jc w:val="right"/>
              <w:rPr>
                <w:rFonts w:eastAsia="Times New Roman"/>
              </w:rPr>
            </w:pPr>
          </w:p>
        </w:tc>
      </w:tr>
      <w:tr w:rsidR="00000000" w14:paraId="4AC3FF75" w14:textId="77777777">
        <w:trPr>
          <w:divId w:val="362831558"/>
        </w:trPr>
        <w:tc>
          <w:tcPr>
            <w:tcW w:w="0" w:type="auto"/>
            <w:gridSpan w:val="3"/>
            <w:shd w:val="clear" w:color="auto" w:fill="CCEEFF"/>
            <w:tcMar>
              <w:top w:w="30" w:type="dxa"/>
              <w:left w:w="155" w:type="dxa"/>
              <w:bottom w:w="30" w:type="dxa"/>
              <w:right w:w="20" w:type="dxa"/>
            </w:tcMar>
            <w:vAlign w:val="bottom"/>
            <w:hideMark/>
          </w:tcPr>
          <w:p w14:paraId="7F601347" w14:textId="77777777" w:rsidR="00000000" w:rsidRDefault="009B6C69">
            <w:pPr>
              <w:spacing w:after="100"/>
              <w:rPr>
                <w:rFonts w:eastAsia="Times New Roman"/>
              </w:rPr>
            </w:pPr>
            <w:r>
              <w:rPr>
                <w:rFonts w:eastAsia="Times New Roman"/>
                <w:color w:val="000000"/>
                <w:sz w:val="18"/>
                <w:szCs w:val="18"/>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D080E2" w14:textId="77777777" w:rsidR="00000000" w:rsidRDefault="009B6C69">
            <w:pPr>
              <w:spacing w:after="100"/>
              <w:jc w:val="right"/>
              <w:rPr>
                <w:rFonts w:eastAsia="Times New Roman"/>
              </w:rPr>
            </w:pPr>
            <w:r>
              <w:rPr>
                <w:rFonts w:eastAsia="Times New Roman"/>
                <w:color w:val="000000"/>
                <w:sz w:val="18"/>
                <w:szCs w:val="18"/>
              </w:rPr>
              <w:t>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0ED1BC5"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4F1AD9" w14:textId="77777777" w:rsidR="00000000" w:rsidRDefault="009B6C6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C5DF35" w14:textId="77777777" w:rsidR="00000000" w:rsidRDefault="009B6C69">
            <w:pPr>
              <w:spacing w:after="100"/>
              <w:jc w:val="right"/>
              <w:rPr>
                <w:rFonts w:eastAsia="Times New Roman"/>
              </w:rPr>
            </w:pPr>
            <w:r>
              <w:rPr>
                <w:rFonts w:eastAsia="Times New Roman"/>
                <w:color w:val="000000"/>
                <w:sz w:val="18"/>
                <w:szCs w:val="18"/>
              </w:rPr>
              <w:t>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10CF25"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E77E95" w14:textId="77777777" w:rsidR="00000000" w:rsidRDefault="009B6C6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CEFE031" w14:textId="77777777" w:rsidR="00000000" w:rsidRDefault="009B6C69">
            <w:pPr>
              <w:spacing w:after="100"/>
              <w:jc w:val="right"/>
              <w:rPr>
                <w:rFonts w:eastAsia="Times New Roman"/>
              </w:rPr>
            </w:pPr>
            <w:r>
              <w:rPr>
                <w:rFonts w:eastAsia="Times New Roman"/>
                <w:color w:val="000000"/>
                <w:sz w:val="18"/>
                <w:szCs w:val="18"/>
              </w:rPr>
              <w:t>12.6 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97864E8" w14:textId="77777777" w:rsidR="00000000" w:rsidRDefault="009B6C69">
            <w:pPr>
              <w:spacing w:after="100"/>
              <w:jc w:val="right"/>
              <w:rPr>
                <w:rFonts w:eastAsia="Times New Roman"/>
              </w:rPr>
            </w:pPr>
          </w:p>
        </w:tc>
      </w:tr>
    </w:tbl>
    <w:p w14:paraId="5C2C09EA" w14:textId="77777777" w:rsidR="00000000" w:rsidRDefault="009B6C69">
      <w:pPr>
        <w:ind w:firstLine="360"/>
        <w:divId w:val="1672181191"/>
        <w:rPr>
          <w:rFonts w:eastAsia="Times New Roman"/>
        </w:rPr>
      </w:pPr>
      <w:r>
        <w:rPr>
          <w:rFonts w:eastAsia="Times New Roman"/>
          <w:color w:val="000000"/>
          <w:sz w:val="20"/>
          <w:szCs w:val="20"/>
        </w:rPr>
        <w:t>Our headquarters and certain of our research and development and network management hub operations are located in San Diego, California. We also operate leased manufacturing facilities in China, Germany and Singapore, and we own and lease properties around</w:t>
      </w:r>
      <w:r>
        <w:rPr>
          <w:rFonts w:eastAsia="Times New Roman"/>
          <w:color w:val="000000"/>
          <w:sz w:val="20"/>
          <w:szCs w:val="20"/>
        </w:rPr>
        <w:t xml:space="preserve"> the world for use as sales and administrative offices and research and development centers, primarily in the United States, India and China. Our facility leases expire at varying dates through 2032, not including renewals that are at our option. Several o</w:t>
      </w:r>
      <w:r>
        <w:rPr>
          <w:rFonts w:eastAsia="Times New Roman"/>
          <w:color w:val="000000"/>
          <w:sz w:val="20"/>
          <w:szCs w:val="20"/>
        </w:rPr>
        <w:t xml:space="preserve">ther owned and leased facilities are under construction totaling approximately 2.3 million additional square feet, primarily related to the construction of new facilities in India. We do not identify or allocate facilities by operating segment. </w:t>
      </w:r>
    </w:p>
    <w:p w14:paraId="20852AC1" w14:textId="77777777" w:rsidR="00000000" w:rsidRDefault="009B6C69">
      <w:pPr>
        <w:ind w:firstLine="360"/>
        <w:divId w:val="1831291440"/>
        <w:rPr>
          <w:rFonts w:eastAsia="Times New Roman"/>
        </w:rPr>
      </w:pPr>
      <w:r>
        <w:rPr>
          <w:rFonts w:eastAsia="Times New Roman"/>
          <w:color w:val="000000"/>
          <w:sz w:val="20"/>
          <w:szCs w:val="20"/>
        </w:rPr>
        <w:t>Informatio</w:t>
      </w:r>
      <w:r>
        <w:rPr>
          <w:rFonts w:eastAsia="Times New Roman"/>
          <w:color w:val="000000"/>
          <w:sz w:val="20"/>
          <w:szCs w:val="20"/>
        </w:rPr>
        <w:t>n related to our additional capital requirements is provided in this Annual Report in “Part II, Item 7. Management’s Discussion and Analysis of Financial Condition and Results of Operations” in the “Liquidity and Capital Resources” section under the headin</w:t>
      </w:r>
      <w:r>
        <w:rPr>
          <w:rFonts w:eastAsia="Times New Roman"/>
          <w:color w:val="000000"/>
          <w:sz w:val="20"/>
          <w:szCs w:val="20"/>
        </w:rPr>
        <w:t xml:space="preserve">g “Additional Capital Requirements.” Additional information on net property, plant and equipment by geography is provided in this Annual Report in “Notes to Consolidated Financial Statements, Note 8. Segment Information.” </w:t>
      </w:r>
    </w:p>
    <w:p w14:paraId="2FC5F24D" w14:textId="77777777" w:rsidR="00000000" w:rsidRDefault="009B6C69">
      <w:pPr>
        <w:divId w:val="540823171"/>
        <w:rPr>
          <w:rFonts w:eastAsia="Times New Roman"/>
        </w:rPr>
      </w:pPr>
      <w:r>
        <w:rPr>
          <w:rFonts w:eastAsia="Times New Roman"/>
          <w:b/>
          <w:bCs/>
          <w:color w:val="000000"/>
          <w:sz w:val="20"/>
          <w:szCs w:val="20"/>
        </w:rPr>
        <w:t>Item 3. Legal and Regulatory Proc</w:t>
      </w:r>
      <w:r>
        <w:rPr>
          <w:rFonts w:eastAsia="Times New Roman"/>
          <w:b/>
          <w:bCs/>
          <w:color w:val="000000"/>
          <w:sz w:val="20"/>
          <w:szCs w:val="20"/>
        </w:rPr>
        <w:t>eedings</w:t>
      </w:r>
    </w:p>
    <w:p w14:paraId="57ED32B0" w14:textId="77777777" w:rsidR="00000000" w:rsidRDefault="009B6C69">
      <w:pPr>
        <w:ind w:firstLine="360"/>
        <w:divId w:val="180895284"/>
        <w:rPr>
          <w:rFonts w:eastAsia="Times New Roman"/>
        </w:rPr>
      </w:pPr>
      <w:r>
        <w:rPr>
          <w:rFonts w:eastAsia="Times New Roman"/>
          <w:color w:val="000000"/>
          <w:sz w:val="20"/>
          <w:szCs w:val="20"/>
        </w:rPr>
        <w:t>Information regarding legal and regulatory proceedings is provided in this Annual Report in “Notes to Consolidated Financial Statements, Note 7. Commitments and Contingencies.” We are also engaged in numerous other legal actions arising in the ordi</w:t>
      </w:r>
      <w:r>
        <w:rPr>
          <w:rFonts w:eastAsia="Times New Roman"/>
          <w:color w:val="000000"/>
          <w:sz w:val="20"/>
          <w:szCs w:val="20"/>
        </w:rPr>
        <w:t>nary course of our business (for example, proceedings relating to employment matters or the initiation or defense of proceedings relating to intellectual property rights), and while there can be no assurance, we believe that the ultimate outcome of these o</w:t>
      </w:r>
      <w:r>
        <w:rPr>
          <w:rFonts w:eastAsia="Times New Roman"/>
          <w:color w:val="000000"/>
          <w:sz w:val="20"/>
          <w:szCs w:val="20"/>
        </w:rPr>
        <w:t>ther legal actions will not have a material adverse effect on our business, results of operations, financial condition or cash flows.</w:t>
      </w:r>
    </w:p>
    <w:p w14:paraId="41BE650D" w14:textId="77777777" w:rsidR="00000000" w:rsidRDefault="009B6C69">
      <w:pPr>
        <w:divId w:val="1607038569"/>
        <w:rPr>
          <w:rFonts w:eastAsia="Times New Roman"/>
        </w:rPr>
      </w:pPr>
      <w:r>
        <w:rPr>
          <w:rFonts w:eastAsia="Times New Roman"/>
          <w:b/>
          <w:bCs/>
          <w:color w:val="000000"/>
          <w:sz w:val="20"/>
          <w:szCs w:val="20"/>
        </w:rPr>
        <w:t>Item 4. Mine Safety Disclosures</w:t>
      </w:r>
    </w:p>
    <w:p w14:paraId="403778C4" w14:textId="77777777" w:rsidR="00000000" w:rsidRDefault="009B6C69">
      <w:pPr>
        <w:ind w:firstLine="360"/>
        <w:divId w:val="1426882268"/>
        <w:rPr>
          <w:rFonts w:eastAsia="Times New Roman"/>
        </w:rPr>
      </w:pPr>
      <w:r>
        <w:rPr>
          <w:rFonts w:eastAsia="Times New Roman"/>
          <w:color w:val="000000"/>
          <w:sz w:val="20"/>
          <w:szCs w:val="20"/>
        </w:rPr>
        <w:t>Not applicable.</w:t>
      </w:r>
    </w:p>
    <w:p w14:paraId="2B20D743" w14:textId="77777777" w:rsidR="00000000" w:rsidRDefault="009B6C69">
      <w:pPr>
        <w:jc w:val="center"/>
        <w:divId w:val="1909418623"/>
        <w:rPr>
          <w:rFonts w:eastAsia="Times New Roman"/>
        </w:rPr>
      </w:pPr>
      <w:r>
        <w:rPr>
          <w:rFonts w:eastAsia="Times New Roman"/>
          <w:color w:val="000000"/>
          <w:sz w:val="20"/>
          <w:szCs w:val="20"/>
        </w:rPr>
        <w:t>37</w:t>
      </w:r>
    </w:p>
    <w:p w14:paraId="25EEF9F0" w14:textId="77777777" w:rsidR="00000000" w:rsidRDefault="009B6C69">
      <w:pPr>
        <w:rPr>
          <w:rFonts w:eastAsia="Times New Roman"/>
        </w:rPr>
      </w:pPr>
      <w:r>
        <w:rPr>
          <w:rFonts w:eastAsia="Times New Roman"/>
        </w:rPr>
        <w:pict w14:anchorId="568951E4">
          <v:rect id="_x0000_i1060" style="width:0;height:1.5pt" o:hralign="center" o:hrstd="t" o:hr="t" fillcolor="#a0a0a0" stroked="f"/>
        </w:pict>
      </w:r>
    </w:p>
    <w:p w14:paraId="5BF7226F" w14:textId="77777777" w:rsidR="00000000" w:rsidRDefault="009B6C69">
      <w:pPr>
        <w:divId w:val="1196503481"/>
        <w:rPr>
          <w:rFonts w:eastAsia="Times New Roman"/>
        </w:rPr>
      </w:pPr>
    </w:p>
    <w:p w14:paraId="32F0E9A5" w14:textId="77777777" w:rsidR="00000000" w:rsidRDefault="009B6C69">
      <w:pPr>
        <w:jc w:val="center"/>
        <w:divId w:val="592400805"/>
        <w:rPr>
          <w:rFonts w:eastAsia="Times New Roman"/>
        </w:rPr>
      </w:pPr>
      <w:r>
        <w:rPr>
          <w:rFonts w:eastAsia="Times New Roman"/>
          <w:b/>
          <w:bCs/>
          <w:color w:val="000000"/>
          <w:sz w:val="20"/>
          <w:szCs w:val="20"/>
        </w:rPr>
        <w:t>PART II</w:t>
      </w:r>
    </w:p>
    <w:p w14:paraId="5F40394E" w14:textId="77777777" w:rsidR="00000000" w:rsidRDefault="009B6C69">
      <w:pPr>
        <w:divId w:val="974221032"/>
        <w:rPr>
          <w:rFonts w:eastAsia="Times New Roman"/>
        </w:rPr>
      </w:pPr>
      <w:r>
        <w:rPr>
          <w:rFonts w:eastAsia="Times New Roman"/>
          <w:b/>
          <w:bCs/>
          <w:color w:val="000000"/>
          <w:sz w:val="20"/>
          <w:szCs w:val="20"/>
        </w:rPr>
        <w:t>Item 5. Market for Regis</w:t>
      </w:r>
      <w:r>
        <w:rPr>
          <w:rFonts w:eastAsia="Times New Roman"/>
          <w:b/>
          <w:bCs/>
          <w:color w:val="000000"/>
          <w:sz w:val="20"/>
          <w:szCs w:val="20"/>
        </w:rPr>
        <w:t>trant’s Common Equity, Related Stockholder Matters and Issuer Purchases of Equity Securities</w:t>
      </w:r>
    </w:p>
    <w:p w14:paraId="3DE3416C" w14:textId="77777777" w:rsidR="00000000" w:rsidRDefault="009B6C69">
      <w:pPr>
        <w:divId w:val="1587495564"/>
        <w:rPr>
          <w:rFonts w:eastAsia="Times New Roman"/>
        </w:rPr>
      </w:pPr>
      <w:r>
        <w:rPr>
          <w:rFonts w:eastAsia="Times New Roman"/>
          <w:b/>
          <w:bCs/>
          <w:color w:val="000000"/>
          <w:sz w:val="20"/>
          <w:szCs w:val="20"/>
        </w:rPr>
        <w:t>Market Information and Dividends</w:t>
      </w:r>
    </w:p>
    <w:p w14:paraId="5251AF24" w14:textId="77777777" w:rsidR="00000000" w:rsidRDefault="009B6C69">
      <w:pPr>
        <w:ind w:firstLine="360"/>
        <w:divId w:val="195309961"/>
        <w:rPr>
          <w:rFonts w:eastAsia="Times New Roman"/>
        </w:rPr>
      </w:pPr>
      <w:r>
        <w:rPr>
          <w:rFonts w:eastAsia="Times New Roman"/>
          <w:color w:val="000000"/>
          <w:sz w:val="20"/>
          <w:szCs w:val="20"/>
        </w:rPr>
        <w:t>Our common stock is traded on the NASDAQ Global Select Market (NASDAQ) under the symbol “QCOM.” At October 31, 2022, there were 6,</w:t>
      </w:r>
      <w:r>
        <w:rPr>
          <w:rFonts w:eastAsia="Times New Roman"/>
          <w:color w:val="000000"/>
          <w:sz w:val="20"/>
          <w:szCs w:val="20"/>
        </w:rPr>
        <w:t xml:space="preserve">349 holders of record of our common stock. </w:t>
      </w:r>
    </w:p>
    <w:p w14:paraId="22B8C8EE" w14:textId="77777777" w:rsidR="00000000" w:rsidRDefault="009B6C69">
      <w:pPr>
        <w:ind w:firstLine="360"/>
        <w:divId w:val="1763405602"/>
        <w:rPr>
          <w:rFonts w:eastAsia="Times New Roman"/>
        </w:rPr>
      </w:pPr>
      <w:r>
        <w:rPr>
          <w:rFonts w:eastAsia="Times New Roman"/>
          <w:color w:val="000000"/>
          <w:sz w:val="20"/>
          <w:szCs w:val="20"/>
        </w:rPr>
        <w:t>We currently intend to continue to pay quarterly cash dividends, subject to capital availability and our view that cash dividends are in the best interests of our stockholders. Future dividends may be affected by</w:t>
      </w:r>
      <w:r>
        <w:rPr>
          <w:rFonts w:eastAsia="Times New Roman"/>
          <w:color w:val="000000"/>
          <w:sz w:val="20"/>
          <w:szCs w:val="20"/>
        </w:rPr>
        <w:t>, among other items, our views on potential future capital availability and requirements, including those relating to research and development, creation and expansion of sales and distribution channels, investments and acquisitions, legal and regulatory ri</w:t>
      </w:r>
      <w:r>
        <w:rPr>
          <w:rFonts w:eastAsia="Times New Roman"/>
          <w:color w:val="000000"/>
          <w:sz w:val="20"/>
          <w:szCs w:val="20"/>
        </w:rPr>
        <w:t>sks, withholding of payments by one or more of our significant licensees and/or customers, fines and/or adverse rulings by government agencies, courts or arbitrators in legal or regulatory matters, stock repurchase programs, debt issuances, changes in fede</w:t>
      </w:r>
      <w:r>
        <w:rPr>
          <w:rFonts w:eastAsia="Times New Roman"/>
          <w:color w:val="000000"/>
          <w:sz w:val="20"/>
          <w:szCs w:val="20"/>
        </w:rPr>
        <w:t>ral, state or foreign income tax law, trade and/or national security protection policies, volatility in economies and financial markets or other macroeconomic conditions, and changes to our business model.</w:t>
      </w:r>
    </w:p>
    <w:p w14:paraId="26010590" w14:textId="77777777" w:rsidR="00000000" w:rsidRDefault="009B6C69">
      <w:pPr>
        <w:divId w:val="517233216"/>
        <w:rPr>
          <w:rFonts w:eastAsia="Times New Roman"/>
        </w:rPr>
      </w:pPr>
      <w:r>
        <w:rPr>
          <w:rFonts w:eastAsia="Times New Roman"/>
          <w:b/>
          <w:bCs/>
          <w:color w:val="000000"/>
          <w:sz w:val="20"/>
          <w:szCs w:val="20"/>
        </w:rPr>
        <w:t>Issuer Purchases of Equity Securities</w:t>
      </w:r>
    </w:p>
    <w:p w14:paraId="103F3A82" w14:textId="77777777" w:rsidR="00000000" w:rsidRDefault="009B6C69">
      <w:pPr>
        <w:ind w:firstLine="360"/>
        <w:divId w:val="1960138391"/>
        <w:rPr>
          <w:rFonts w:eastAsia="Times New Roman"/>
        </w:rPr>
      </w:pPr>
      <w:r>
        <w:rPr>
          <w:rFonts w:eastAsia="Times New Roman"/>
          <w:color w:val="000000"/>
          <w:sz w:val="20"/>
          <w:szCs w:val="20"/>
        </w:rPr>
        <w:t>Our purchase</w:t>
      </w:r>
      <w:r>
        <w:rPr>
          <w:rFonts w:eastAsia="Times New Roman"/>
          <w:color w:val="000000"/>
          <w:sz w:val="20"/>
          <w:szCs w:val="20"/>
        </w:rPr>
        <w:t>s of our equity securities in the fourth quarter of fiscal 2022 were:</w:t>
      </w:r>
    </w:p>
    <w:tbl>
      <w:tblPr>
        <w:tblW w:w="4992" w:type="pct"/>
        <w:tblCellMar>
          <w:top w:w="15" w:type="dxa"/>
          <w:left w:w="15" w:type="dxa"/>
          <w:bottom w:w="15" w:type="dxa"/>
          <w:right w:w="15" w:type="dxa"/>
        </w:tblCellMar>
        <w:tblLook w:val="04A0" w:firstRow="1" w:lastRow="0" w:firstColumn="1" w:lastColumn="0" w:noHBand="0" w:noVBand="1"/>
      </w:tblPr>
      <w:tblGrid>
        <w:gridCol w:w="50"/>
        <w:gridCol w:w="3090"/>
        <w:gridCol w:w="38"/>
        <w:gridCol w:w="56"/>
        <w:gridCol w:w="1142"/>
        <w:gridCol w:w="36"/>
        <w:gridCol w:w="36"/>
        <w:gridCol w:w="36"/>
        <w:gridCol w:w="36"/>
        <w:gridCol w:w="111"/>
        <w:gridCol w:w="729"/>
        <w:gridCol w:w="36"/>
        <w:gridCol w:w="36"/>
        <w:gridCol w:w="36"/>
        <w:gridCol w:w="36"/>
        <w:gridCol w:w="62"/>
        <w:gridCol w:w="1087"/>
        <w:gridCol w:w="36"/>
        <w:gridCol w:w="36"/>
        <w:gridCol w:w="36"/>
        <w:gridCol w:w="36"/>
        <w:gridCol w:w="111"/>
        <w:gridCol w:w="1349"/>
        <w:gridCol w:w="36"/>
      </w:tblGrid>
      <w:tr w:rsidR="00000000" w14:paraId="047FF033" w14:textId="77777777">
        <w:trPr>
          <w:divId w:val="554506477"/>
        </w:trPr>
        <w:tc>
          <w:tcPr>
            <w:tcW w:w="50" w:type="pct"/>
            <w:vAlign w:val="center"/>
            <w:hideMark/>
          </w:tcPr>
          <w:p w14:paraId="64B454DB" w14:textId="77777777" w:rsidR="00000000" w:rsidRDefault="009B6C69">
            <w:pPr>
              <w:ind w:firstLine="360"/>
              <w:rPr>
                <w:rFonts w:eastAsia="Times New Roman"/>
              </w:rPr>
            </w:pPr>
          </w:p>
        </w:tc>
        <w:tc>
          <w:tcPr>
            <w:tcW w:w="1882" w:type="pct"/>
            <w:vAlign w:val="center"/>
            <w:hideMark/>
          </w:tcPr>
          <w:p w14:paraId="75284845" w14:textId="77777777" w:rsidR="00000000" w:rsidRDefault="009B6C69">
            <w:pPr>
              <w:spacing w:after="100"/>
              <w:rPr>
                <w:rFonts w:eastAsia="Times New Roman"/>
                <w:sz w:val="20"/>
                <w:szCs w:val="20"/>
              </w:rPr>
            </w:pPr>
          </w:p>
        </w:tc>
        <w:tc>
          <w:tcPr>
            <w:tcW w:w="5" w:type="pct"/>
            <w:vAlign w:val="center"/>
            <w:hideMark/>
          </w:tcPr>
          <w:p w14:paraId="256982CB" w14:textId="77777777" w:rsidR="00000000" w:rsidRDefault="009B6C69">
            <w:pPr>
              <w:spacing w:after="100"/>
              <w:rPr>
                <w:rFonts w:eastAsia="Times New Roman"/>
                <w:sz w:val="20"/>
                <w:szCs w:val="20"/>
              </w:rPr>
            </w:pPr>
          </w:p>
        </w:tc>
        <w:tc>
          <w:tcPr>
            <w:tcW w:w="50" w:type="pct"/>
            <w:vAlign w:val="center"/>
            <w:hideMark/>
          </w:tcPr>
          <w:p w14:paraId="5BCB65CF" w14:textId="77777777" w:rsidR="00000000" w:rsidRDefault="009B6C69">
            <w:pPr>
              <w:spacing w:after="100"/>
              <w:rPr>
                <w:rFonts w:eastAsia="Times New Roman"/>
                <w:sz w:val="20"/>
                <w:szCs w:val="20"/>
              </w:rPr>
            </w:pPr>
          </w:p>
        </w:tc>
        <w:tc>
          <w:tcPr>
            <w:tcW w:w="712" w:type="pct"/>
            <w:vAlign w:val="center"/>
            <w:hideMark/>
          </w:tcPr>
          <w:p w14:paraId="250D9BA7" w14:textId="77777777" w:rsidR="00000000" w:rsidRDefault="009B6C69">
            <w:pPr>
              <w:spacing w:after="100"/>
              <w:rPr>
                <w:rFonts w:eastAsia="Times New Roman"/>
                <w:sz w:val="20"/>
                <w:szCs w:val="20"/>
              </w:rPr>
            </w:pPr>
          </w:p>
        </w:tc>
        <w:tc>
          <w:tcPr>
            <w:tcW w:w="5" w:type="pct"/>
            <w:vAlign w:val="center"/>
            <w:hideMark/>
          </w:tcPr>
          <w:p w14:paraId="16192D43" w14:textId="77777777" w:rsidR="00000000" w:rsidRDefault="009B6C69">
            <w:pPr>
              <w:spacing w:after="100"/>
              <w:rPr>
                <w:rFonts w:eastAsia="Times New Roman"/>
                <w:sz w:val="20"/>
                <w:szCs w:val="20"/>
              </w:rPr>
            </w:pPr>
          </w:p>
        </w:tc>
        <w:tc>
          <w:tcPr>
            <w:tcW w:w="5" w:type="pct"/>
            <w:vAlign w:val="center"/>
            <w:hideMark/>
          </w:tcPr>
          <w:p w14:paraId="5EEA23C7" w14:textId="77777777" w:rsidR="00000000" w:rsidRDefault="009B6C69">
            <w:pPr>
              <w:spacing w:after="100"/>
              <w:rPr>
                <w:rFonts w:eastAsia="Times New Roman"/>
                <w:sz w:val="20"/>
                <w:szCs w:val="20"/>
              </w:rPr>
            </w:pPr>
          </w:p>
        </w:tc>
        <w:tc>
          <w:tcPr>
            <w:tcW w:w="27" w:type="pct"/>
            <w:vAlign w:val="center"/>
            <w:hideMark/>
          </w:tcPr>
          <w:p w14:paraId="576B6B39" w14:textId="77777777" w:rsidR="00000000" w:rsidRDefault="009B6C69">
            <w:pPr>
              <w:spacing w:after="100"/>
              <w:rPr>
                <w:rFonts w:eastAsia="Times New Roman"/>
                <w:sz w:val="20"/>
                <w:szCs w:val="20"/>
              </w:rPr>
            </w:pPr>
          </w:p>
        </w:tc>
        <w:tc>
          <w:tcPr>
            <w:tcW w:w="5" w:type="pct"/>
            <w:vAlign w:val="center"/>
            <w:hideMark/>
          </w:tcPr>
          <w:p w14:paraId="4EFD530E" w14:textId="77777777" w:rsidR="00000000" w:rsidRDefault="009B6C69">
            <w:pPr>
              <w:spacing w:after="100"/>
              <w:rPr>
                <w:rFonts w:eastAsia="Times New Roman"/>
                <w:sz w:val="20"/>
                <w:szCs w:val="20"/>
              </w:rPr>
            </w:pPr>
          </w:p>
        </w:tc>
        <w:tc>
          <w:tcPr>
            <w:tcW w:w="50" w:type="pct"/>
            <w:vAlign w:val="center"/>
            <w:hideMark/>
          </w:tcPr>
          <w:p w14:paraId="676828C2" w14:textId="77777777" w:rsidR="00000000" w:rsidRDefault="009B6C69">
            <w:pPr>
              <w:spacing w:after="100"/>
              <w:rPr>
                <w:rFonts w:eastAsia="Times New Roman"/>
                <w:sz w:val="20"/>
                <w:szCs w:val="20"/>
              </w:rPr>
            </w:pPr>
          </w:p>
        </w:tc>
        <w:tc>
          <w:tcPr>
            <w:tcW w:w="474" w:type="pct"/>
            <w:vAlign w:val="center"/>
            <w:hideMark/>
          </w:tcPr>
          <w:p w14:paraId="21F0912A" w14:textId="77777777" w:rsidR="00000000" w:rsidRDefault="009B6C69">
            <w:pPr>
              <w:spacing w:after="100"/>
              <w:rPr>
                <w:rFonts w:eastAsia="Times New Roman"/>
                <w:sz w:val="20"/>
                <w:szCs w:val="20"/>
              </w:rPr>
            </w:pPr>
          </w:p>
        </w:tc>
        <w:tc>
          <w:tcPr>
            <w:tcW w:w="5" w:type="pct"/>
            <w:vAlign w:val="center"/>
            <w:hideMark/>
          </w:tcPr>
          <w:p w14:paraId="24FDC74F" w14:textId="77777777" w:rsidR="00000000" w:rsidRDefault="009B6C69">
            <w:pPr>
              <w:spacing w:after="100"/>
              <w:rPr>
                <w:rFonts w:eastAsia="Times New Roman"/>
                <w:sz w:val="20"/>
                <w:szCs w:val="20"/>
              </w:rPr>
            </w:pPr>
          </w:p>
        </w:tc>
        <w:tc>
          <w:tcPr>
            <w:tcW w:w="5" w:type="pct"/>
            <w:vAlign w:val="center"/>
            <w:hideMark/>
          </w:tcPr>
          <w:p w14:paraId="36D3ED61" w14:textId="77777777" w:rsidR="00000000" w:rsidRDefault="009B6C69">
            <w:pPr>
              <w:spacing w:after="100"/>
              <w:rPr>
                <w:rFonts w:eastAsia="Times New Roman"/>
                <w:sz w:val="20"/>
                <w:szCs w:val="20"/>
              </w:rPr>
            </w:pPr>
          </w:p>
        </w:tc>
        <w:tc>
          <w:tcPr>
            <w:tcW w:w="27" w:type="pct"/>
            <w:vAlign w:val="center"/>
            <w:hideMark/>
          </w:tcPr>
          <w:p w14:paraId="7B46673E" w14:textId="77777777" w:rsidR="00000000" w:rsidRDefault="009B6C69">
            <w:pPr>
              <w:spacing w:after="100"/>
              <w:rPr>
                <w:rFonts w:eastAsia="Times New Roman"/>
                <w:sz w:val="20"/>
                <w:szCs w:val="20"/>
              </w:rPr>
            </w:pPr>
          </w:p>
        </w:tc>
        <w:tc>
          <w:tcPr>
            <w:tcW w:w="5" w:type="pct"/>
            <w:vAlign w:val="center"/>
            <w:hideMark/>
          </w:tcPr>
          <w:p w14:paraId="56F3C0E4" w14:textId="77777777" w:rsidR="00000000" w:rsidRDefault="009B6C69">
            <w:pPr>
              <w:spacing w:after="100"/>
              <w:rPr>
                <w:rFonts w:eastAsia="Times New Roman"/>
                <w:sz w:val="20"/>
                <w:szCs w:val="20"/>
              </w:rPr>
            </w:pPr>
          </w:p>
        </w:tc>
        <w:tc>
          <w:tcPr>
            <w:tcW w:w="50" w:type="pct"/>
            <w:vAlign w:val="center"/>
            <w:hideMark/>
          </w:tcPr>
          <w:p w14:paraId="603BBEF9" w14:textId="77777777" w:rsidR="00000000" w:rsidRDefault="009B6C69">
            <w:pPr>
              <w:spacing w:after="100"/>
              <w:rPr>
                <w:rFonts w:eastAsia="Times New Roman"/>
                <w:sz w:val="20"/>
                <w:szCs w:val="20"/>
              </w:rPr>
            </w:pPr>
          </w:p>
        </w:tc>
        <w:tc>
          <w:tcPr>
            <w:tcW w:w="697" w:type="pct"/>
            <w:vAlign w:val="center"/>
            <w:hideMark/>
          </w:tcPr>
          <w:p w14:paraId="6F1A2F9F" w14:textId="77777777" w:rsidR="00000000" w:rsidRDefault="009B6C69">
            <w:pPr>
              <w:spacing w:after="100"/>
              <w:rPr>
                <w:rFonts w:eastAsia="Times New Roman"/>
                <w:sz w:val="20"/>
                <w:szCs w:val="20"/>
              </w:rPr>
            </w:pPr>
          </w:p>
        </w:tc>
        <w:tc>
          <w:tcPr>
            <w:tcW w:w="5" w:type="pct"/>
            <w:vAlign w:val="center"/>
            <w:hideMark/>
          </w:tcPr>
          <w:p w14:paraId="5AA1C672" w14:textId="77777777" w:rsidR="00000000" w:rsidRDefault="009B6C69">
            <w:pPr>
              <w:spacing w:after="100"/>
              <w:rPr>
                <w:rFonts w:eastAsia="Times New Roman"/>
                <w:sz w:val="20"/>
                <w:szCs w:val="20"/>
              </w:rPr>
            </w:pPr>
          </w:p>
        </w:tc>
        <w:tc>
          <w:tcPr>
            <w:tcW w:w="5" w:type="pct"/>
            <w:vAlign w:val="center"/>
            <w:hideMark/>
          </w:tcPr>
          <w:p w14:paraId="0B46DB9C" w14:textId="77777777" w:rsidR="00000000" w:rsidRDefault="009B6C69">
            <w:pPr>
              <w:spacing w:after="100"/>
              <w:rPr>
                <w:rFonts w:eastAsia="Times New Roman"/>
                <w:sz w:val="20"/>
                <w:szCs w:val="20"/>
              </w:rPr>
            </w:pPr>
          </w:p>
        </w:tc>
        <w:tc>
          <w:tcPr>
            <w:tcW w:w="27" w:type="pct"/>
            <w:vAlign w:val="center"/>
            <w:hideMark/>
          </w:tcPr>
          <w:p w14:paraId="38639B22" w14:textId="77777777" w:rsidR="00000000" w:rsidRDefault="009B6C69">
            <w:pPr>
              <w:spacing w:after="100"/>
              <w:rPr>
                <w:rFonts w:eastAsia="Times New Roman"/>
                <w:sz w:val="20"/>
                <w:szCs w:val="20"/>
              </w:rPr>
            </w:pPr>
          </w:p>
        </w:tc>
        <w:tc>
          <w:tcPr>
            <w:tcW w:w="5" w:type="pct"/>
            <w:vAlign w:val="center"/>
            <w:hideMark/>
          </w:tcPr>
          <w:p w14:paraId="60432850" w14:textId="77777777" w:rsidR="00000000" w:rsidRDefault="009B6C69">
            <w:pPr>
              <w:spacing w:after="100"/>
              <w:rPr>
                <w:rFonts w:eastAsia="Times New Roman"/>
                <w:sz w:val="20"/>
                <w:szCs w:val="20"/>
              </w:rPr>
            </w:pPr>
          </w:p>
        </w:tc>
        <w:tc>
          <w:tcPr>
            <w:tcW w:w="50" w:type="pct"/>
            <w:vAlign w:val="center"/>
            <w:hideMark/>
          </w:tcPr>
          <w:p w14:paraId="0B6E716A" w14:textId="77777777" w:rsidR="00000000" w:rsidRDefault="009B6C69">
            <w:pPr>
              <w:spacing w:after="100"/>
              <w:rPr>
                <w:rFonts w:eastAsia="Times New Roman"/>
                <w:sz w:val="20"/>
                <w:szCs w:val="20"/>
              </w:rPr>
            </w:pPr>
          </w:p>
        </w:tc>
        <w:tc>
          <w:tcPr>
            <w:tcW w:w="846" w:type="pct"/>
            <w:vAlign w:val="center"/>
            <w:hideMark/>
          </w:tcPr>
          <w:p w14:paraId="270195A6" w14:textId="77777777" w:rsidR="00000000" w:rsidRDefault="009B6C69">
            <w:pPr>
              <w:spacing w:after="100"/>
              <w:rPr>
                <w:rFonts w:eastAsia="Times New Roman"/>
                <w:sz w:val="20"/>
                <w:szCs w:val="20"/>
              </w:rPr>
            </w:pPr>
          </w:p>
        </w:tc>
        <w:tc>
          <w:tcPr>
            <w:tcW w:w="5" w:type="pct"/>
            <w:vAlign w:val="center"/>
            <w:hideMark/>
          </w:tcPr>
          <w:p w14:paraId="02D6C63E" w14:textId="77777777" w:rsidR="00000000" w:rsidRDefault="009B6C69">
            <w:pPr>
              <w:spacing w:after="100"/>
              <w:rPr>
                <w:rFonts w:eastAsia="Times New Roman"/>
                <w:sz w:val="20"/>
                <w:szCs w:val="20"/>
              </w:rPr>
            </w:pPr>
          </w:p>
        </w:tc>
      </w:tr>
      <w:tr w:rsidR="00000000" w14:paraId="5032E1D2" w14:textId="77777777">
        <w:trPr>
          <w:divId w:val="554506477"/>
        </w:trPr>
        <w:tc>
          <w:tcPr>
            <w:tcW w:w="0" w:type="auto"/>
            <w:gridSpan w:val="3"/>
            <w:tcMar>
              <w:top w:w="0" w:type="dxa"/>
              <w:left w:w="20" w:type="dxa"/>
              <w:bottom w:w="0" w:type="dxa"/>
              <w:right w:w="20" w:type="dxa"/>
            </w:tcMar>
            <w:vAlign w:val="center"/>
            <w:hideMark/>
          </w:tcPr>
          <w:p w14:paraId="3B2E866F"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2E819C0" w14:textId="77777777" w:rsidR="00000000" w:rsidRDefault="009B6C69">
            <w:pPr>
              <w:spacing w:after="100"/>
              <w:jc w:val="center"/>
              <w:rPr>
                <w:rFonts w:eastAsia="Times New Roman"/>
              </w:rPr>
            </w:pPr>
            <w:r>
              <w:rPr>
                <w:rFonts w:eastAsia="Times New Roman"/>
                <w:b/>
                <w:bCs/>
                <w:color w:val="000000"/>
                <w:sz w:val="18"/>
                <w:szCs w:val="18"/>
              </w:rPr>
              <w:t>Total Number of</w:t>
            </w:r>
          </w:p>
          <w:p w14:paraId="1D307F3E" w14:textId="77777777" w:rsidR="00000000" w:rsidRDefault="009B6C69">
            <w:pPr>
              <w:spacing w:after="100"/>
              <w:jc w:val="center"/>
              <w:rPr>
                <w:rFonts w:eastAsia="Times New Roman"/>
              </w:rPr>
            </w:pPr>
            <w:r>
              <w:rPr>
                <w:rFonts w:eastAsia="Times New Roman"/>
                <w:b/>
                <w:bCs/>
                <w:color w:val="000000"/>
                <w:sz w:val="18"/>
                <w:szCs w:val="18"/>
              </w:rPr>
              <w:t>Shares Purchased</w:t>
            </w:r>
          </w:p>
        </w:tc>
        <w:tc>
          <w:tcPr>
            <w:tcW w:w="0" w:type="auto"/>
            <w:gridSpan w:val="3"/>
            <w:tcMar>
              <w:top w:w="0" w:type="dxa"/>
              <w:left w:w="20" w:type="dxa"/>
              <w:bottom w:w="0" w:type="dxa"/>
              <w:right w:w="20" w:type="dxa"/>
            </w:tcMar>
            <w:vAlign w:val="center"/>
            <w:hideMark/>
          </w:tcPr>
          <w:p w14:paraId="688E329C"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2386749" w14:textId="77777777" w:rsidR="00000000" w:rsidRDefault="009B6C69">
            <w:pPr>
              <w:spacing w:after="100"/>
              <w:jc w:val="center"/>
              <w:rPr>
                <w:rFonts w:eastAsia="Times New Roman"/>
              </w:rPr>
            </w:pPr>
            <w:r>
              <w:rPr>
                <w:rFonts w:eastAsia="Times New Roman"/>
                <w:b/>
                <w:bCs/>
                <w:color w:val="000000"/>
                <w:sz w:val="18"/>
                <w:szCs w:val="18"/>
              </w:rPr>
              <w:t xml:space="preserve">Average Price Paid Per Share </w:t>
            </w:r>
            <w:r>
              <w:rPr>
                <w:rFonts w:eastAsia="Times New Roman"/>
                <w:b/>
                <w:bCs/>
                <w:color w:val="000000"/>
                <w:sz w:val="18"/>
                <w:szCs w:val="18"/>
              </w:rPr>
              <w:br/>
              <w:t>(1)</w:t>
            </w:r>
          </w:p>
        </w:tc>
        <w:tc>
          <w:tcPr>
            <w:tcW w:w="0" w:type="auto"/>
            <w:gridSpan w:val="3"/>
            <w:tcMar>
              <w:top w:w="0" w:type="dxa"/>
              <w:left w:w="20" w:type="dxa"/>
              <w:bottom w:w="0" w:type="dxa"/>
              <w:right w:w="20" w:type="dxa"/>
            </w:tcMar>
            <w:vAlign w:val="center"/>
            <w:hideMark/>
          </w:tcPr>
          <w:p w14:paraId="38DF227A"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33A7CAF" w14:textId="77777777" w:rsidR="00000000" w:rsidRDefault="009B6C69">
            <w:pPr>
              <w:spacing w:after="100"/>
              <w:jc w:val="center"/>
              <w:rPr>
                <w:rFonts w:eastAsia="Times New Roman"/>
              </w:rPr>
            </w:pPr>
            <w:r>
              <w:rPr>
                <w:rFonts w:eastAsia="Times New Roman"/>
                <w:b/>
                <w:bCs/>
                <w:color w:val="000000"/>
                <w:sz w:val="18"/>
                <w:szCs w:val="18"/>
              </w:rPr>
              <w:t>Total Number of Shares Purchased as Part of Publicly Announced Plans or Programs</w:t>
            </w:r>
          </w:p>
        </w:tc>
        <w:tc>
          <w:tcPr>
            <w:tcW w:w="0" w:type="auto"/>
            <w:gridSpan w:val="3"/>
            <w:tcMar>
              <w:top w:w="0" w:type="dxa"/>
              <w:left w:w="20" w:type="dxa"/>
              <w:bottom w:w="0" w:type="dxa"/>
              <w:right w:w="20" w:type="dxa"/>
            </w:tcMar>
            <w:vAlign w:val="center"/>
            <w:hideMark/>
          </w:tcPr>
          <w:p w14:paraId="55CE21A9"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FEE334C" w14:textId="77777777" w:rsidR="00000000" w:rsidRDefault="009B6C69">
            <w:pPr>
              <w:spacing w:after="100"/>
              <w:jc w:val="center"/>
              <w:rPr>
                <w:rFonts w:eastAsia="Times New Roman"/>
              </w:rPr>
            </w:pPr>
            <w:r>
              <w:rPr>
                <w:rFonts w:eastAsia="Times New Roman"/>
                <w:b/>
                <w:bCs/>
                <w:color w:val="000000"/>
                <w:sz w:val="18"/>
                <w:szCs w:val="18"/>
              </w:rPr>
              <w:t>Approximate Dollar Value of Shares that May Yet Be</w:t>
            </w:r>
            <w:r>
              <w:rPr>
                <w:rFonts w:eastAsia="Times New Roman"/>
                <w:b/>
                <w:bCs/>
                <w:color w:val="000000"/>
                <w:sz w:val="18"/>
                <w:szCs w:val="18"/>
              </w:rPr>
              <w:br/>
              <w:t xml:space="preserve">Purchased Under the Plans or Programs </w:t>
            </w:r>
            <w:r>
              <w:rPr>
                <w:rFonts w:eastAsia="Times New Roman"/>
                <w:b/>
                <w:bCs/>
                <w:color w:val="000000"/>
                <w:sz w:val="18"/>
                <w:szCs w:val="18"/>
              </w:rPr>
              <w:br/>
              <w:t>(2)</w:t>
            </w:r>
          </w:p>
        </w:tc>
      </w:tr>
      <w:tr w:rsidR="00000000" w14:paraId="297F2E36" w14:textId="77777777">
        <w:trPr>
          <w:divId w:val="554506477"/>
        </w:trPr>
        <w:tc>
          <w:tcPr>
            <w:tcW w:w="0" w:type="auto"/>
            <w:gridSpan w:val="3"/>
            <w:tcMar>
              <w:top w:w="0" w:type="dxa"/>
              <w:left w:w="20" w:type="dxa"/>
              <w:bottom w:w="0" w:type="dxa"/>
              <w:right w:w="20" w:type="dxa"/>
            </w:tcMar>
            <w:vAlign w:val="center"/>
            <w:hideMark/>
          </w:tcPr>
          <w:p w14:paraId="4B0E0EC1"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58D74E" w14:textId="77777777" w:rsidR="00000000" w:rsidRDefault="009B6C69">
            <w:pPr>
              <w:spacing w:after="100"/>
              <w:jc w:val="center"/>
              <w:rPr>
                <w:rFonts w:eastAsia="Times New Roman"/>
              </w:rPr>
            </w:pPr>
            <w:r>
              <w:rPr>
                <w:rFonts w:eastAsia="Times New Roman"/>
                <w:b/>
                <w:bCs/>
                <w:color w:val="000000"/>
                <w:sz w:val="18"/>
                <w:szCs w:val="18"/>
              </w:rPr>
              <w:t>(In thousands)</w:t>
            </w:r>
          </w:p>
        </w:tc>
        <w:tc>
          <w:tcPr>
            <w:tcW w:w="0" w:type="auto"/>
            <w:gridSpan w:val="3"/>
            <w:tcMar>
              <w:top w:w="0" w:type="dxa"/>
              <w:left w:w="20" w:type="dxa"/>
              <w:bottom w:w="0" w:type="dxa"/>
              <w:right w:w="20" w:type="dxa"/>
            </w:tcMar>
            <w:vAlign w:val="center"/>
            <w:hideMark/>
          </w:tcPr>
          <w:p w14:paraId="6C48B954" w14:textId="77777777" w:rsidR="00000000" w:rsidRDefault="009B6C69">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CFABE3B"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60BADE" w14:textId="77777777" w:rsidR="00000000" w:rsidRDefault="009B6C6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BEDC3E4" w14:textId="77777777" w:rsidR="00000000" w:rsidRDefault="009B6C69">
            <w:pPr>
              <w:spacing w:after="100"/>
              <w:jc w:val="center"/>
              <w:rPr>
                <w:rFonts w:eastAsia="Times New Roman"/>
              </w:rPr>
            </w:pPr>
            <w:r>
              <w:rPr>
                <w:rFonts w:eastAsia="Times New Roman"/>
                <w:b/>
                <w:bCs/>
                <w:color w:val="000000"/>
                <w:sz w:val="18"/>
                <w:szCs w:val="18"/>
              </w:rPr>
              <w:t>(In thousands)</w:t>
            </w:r>
          </w:p>
        </w:tc>
        <w:tc>
          <w:tcPr>
            <w:tcW w:w="0" w:type="auto"/>
            <w:gridSpan w:val="3"/>
            <w:tcMar>
              <w:top w:w="0" w:type="dxa"/>
              <w:left w:w="20" w:type="dxa"/>
              <w:bottom w:w="0" w:type="dxa"/>
              <w:right w:w="20" w:type="dxa"/>
            </w:tcMar>
            <w:vAlign w:val="center"/>
            <w:hideMark/>
          </w:tcPr>
          <w:p w14:paraId="1B80FBBD"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464984" w14:textId="77777777" w:rsidR="00000000" w:rsidRDefault="009B6C69">
            <w:pPr>
              <w:spacing w:after="100"/>
              <w:jc w:val="center"/>
              <w:rPr>
                <w:rFonts w:eastAsia="Times New Roman"/>
              </w:rPr>
            </w:pPr>
            <w:r>
              <w:rPr>
                <w:rFonts w:eastAsia="Times New Roman"/>
                <w:b/>
                <w:bCs/>
                <w:color w:val="000000"/>
                <w:sz w:val="18"/>
                <w:szCs w:val="18"/>
              </w:rPr>
              <w:t>(In millions)</w:t>
            </w:r>
          </w:p>
        </w:tc>
      </w:tr>
      <w:tr w:rsidR="00000000" w14:paraId="37DA34CF" w14:textId="77777777">
        <w:trPr>
          <w:divId w:val="554506477"/>
        </w:trPr>
        <w:tc>
          <w:tcPr>
            <w:tcW w:w="0" w:type="auto"/>
            <w:gridSpan w:val="3"/>
            <w:shd w:val="clear" w:color="auto" w:fill="CCEEFF"/>
            <w:tcMar>
              <w:top w:w="30" w:type="dxa"/>
              <w:left w:w="20" w:type="dxa"/>
              <w:bottom w:w="30" w:type="dxa"/>
              <w:right w:w="20" w:type="dxa"/>
            </w:tcMar>
            <w:vAlign w:val="bottom"/>
            <w:hideMark/>
          </w:tcPr>
          <w:p w14:paraId="0F1C9E9E" w14:textId="77777777" w:rsidR="00000000" w:rsidRDefault="009B6C69">
            <w:pPr>
              <w:spacing w:after="100"/>
              <w:rPr>
                <w:rFonts w:eastAsia="Times New Roman"/>
              </w:rPr>
            </w:pPr>
            <w:r>
              <w:rPr>
                <w:rFonts w:eastAsia="Times New Roman"/>
                <w:color w:val="000000"/>
                <w:sz w:val="18"/>
                <w:szCs w:val="18"/>
              </w:rPr>
              <w:t>June 27, 2022 to July 24, 2022</w:t>
            </w:r>
          </w:p>
        </w:tc>
        <w:tc>
          <w:tcPr>
            <w:tcW w:w="0" w:type="auto"/>
            <w:gridSpan w:val="2"/>
            <w:shd w:val="clear" w:color="auto" w:fill="CCEEFF"/>
            <w:tcMar>
              <w:top w:w="30" w:type="dxa"/>
              <w:left w:w="20" w:type="dxa"/>
              <w:bottom w:w="30" w:type="dxa"/>
              <w:right w:w="0" w:type="dxa"/>
            </w:tcMar>
            <w:vAlign w:val="bottom"/>
            <w:hideMark/>
          </w:tcPr>
          <w:p w14:paraId="57FDD46F"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FCB99A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D1F0F7"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115D2AE"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D40115E"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DE6EBF2"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F68C3A"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6E5F1D"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C43D7C5"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B95A2F"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EC5B110"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126938C" w14:textId="77777777" w:rsidR="00000000" w:rsidRDefault="009B6C69">
            <w:pPr>
              <w:spacing w:after="100"/>
              <w:jc w:val="right"/>
              <w:rPr>
                <w:rFonts w:eastAsia="Times New Roman"/>
              </w:rPr>
            </w:pPr>
            <w:r>
              <w:rPr>
                <w:rFonts w:eastAsia="Times New Roman"/>
                <w:color w:val="000000"/>
                <w:sz w:val="18"/>
                <w:szCs w:val="18"/>
              </w:rPr>
              <w:t>8,619 </w:t>
            </w:r>
          </w:p>
        </w:tc>
        <w:tc>
          <w:tcPr>
            <w:tcW w:w="0" w:type="auto"/>
            <w:shd w:val="clear" w:color="auto" w:fill="CCEEFF"/>
            <w:tcMar>
              <w:top w:w="30" w:type="dxa"/>
              <w:left w:w="0" w:type="dxa"/>
              <w:bottom w:w="30" w:type="dxa"/>
              <w:right w:w="20" w:type="dxa"/>
            </w:tcMar>
            <w:vAlign w:val="bottom"/>
            <w:hideMark/>
          </w:tcPr>
          <w:p w14:paraId="2FF72885" w14:textId="77777777" w:rsidR="00000000" w:rsidRDefault="009B6C69">
            <w:pPr>
              <w:spacing w:after="100"/>
              <w:jc w:val="right"/>
              <w:rPr>
                <w:rFonts w:eastAsia="Times New Roman"/>
              </w:rPr>
            </w:pPr>
          </w:p>
        </w:tc>
      </w:tr>
      <w:tr w:rsidR="00000000" w14:paraId="5AE77D30" w14:textId="77777777">
        <w:trPr>
          <w:divId w:val="554506477"/>
        </w:trPr>
        <w:tc>
          <w:tcPr>
            <w:tcW w:w="0" w:type="auto"/>
            <w:gridSpan w:val="3"/>
            <w:shd w:val="clear" w:color="auto" w:fill="FFFFFF"/>
            <w:tcMar>
              <w:top w:w="30" w:type="dxa"/>
              <w:left w:w="20" w:type="dxa"/>
              <w:bottom w:w="30" w:type="dxa"/>
              <w:right w:w="20" w:type="dxa"/>
            </w:tcMar>
            <w:vAlign w:val="bottom"/>
            <w:hideMark/>
          </w:tcPr>
          <w:p w14:paraId="4928AF68" w14:textId="77777777" w:rsidR="00000000" w:rsidRDefault="009B6C69">
            <w:pPr>
              <w:spacing w:after="100"/>
              <w:rPr>
                <w:rFonts w:eastAsia="Times New Roman"/>
              </w:rPr>
            </w:pPr>
            <w:r>
              <w:rPr>
                <w:rFonts w:eastAsia="Times New Roman"/>
                <w:color w:val="000000"/>
                <w:sz w:val="18"/>
                <w:szCs w:val="18"/>
              </w:rPr>
              <w:t>July 25, 2022 to August 21, 2022</w:t>
            </w:r>
          </w:p>
        </w:tc>
        <w:tc>
          <w:tcPr>
            <w:tcW w:w="0" w:type="auto"/>
            <w:gridSpan w:val="2"/>
            <w:shd w:val="clear" w:color="auto" w:fill="FFFFFF"/>
            <w:tcMar>
              <w:top w:w="30" w:type="dxa"/>
              <w:left w:w="20" w:type="dxa"/>
              <w:bottom w:w="30" w:type="dxa"/>
              <w:right w:w="0" w:type="dxa"/>
            </w:tcMar>
            <w:vAlign w:val="bottom"/>
            <w:hideMark/>
          </w:tcPr>
          <w:p w14:paraId="38DE0A30" w14:textId="77777777" w:rsidR="00000000" w:rsidRDefault="009B6C69">
            <w:pPr>
              <w:spacing w:after="100"/>
              <w:jc w:val="right"/>
              <w:rPr>
                <w:rFonts w:eastAsia="Times New Roman"/>
              </w:rPr>
            </w:pPr>
            <w:r>
              <w:rPr>
                <w:rFonts w:eastAsia="Times New Roman"/>
                <w:color w:val="000000"/>
                <w:sz w:val="18"/>
                <w:szCs w:val="18"/>
              </w:rPr>
              <w:t>3,366 </w:t>
            </w:r>
          </w:p>
        </w:tc>
        <w:tc>
          <w:tcPr>
            <w:tcW w:w="0" w:type="auto"/>
            <w:shd w:val="clear" w:color="auto" w:fill="FFFFFF"/>
            <w:tcMar>
              <w:top w:w="30" w:type="dxa"/>
              <w:left w:w="0" w:type="dxa"/>
              <w:bottom w:w="30" w:type="dxa"/>
              <w:right w:w="20" w:type="dxa"/>
            </w:tcMar>
            <w:vAlign w:val="bottom"/>
            <w:hideMark/>
          </w:tcPr>
          <w:p w14:paraId="3939B25F"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7CC5AB"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B8252F" w14:textId="77777777" w:rsidR="00000000" w:rsidRDefault="009B6C69">
            <w:pPr>
              <w:spacing w:after="100"/>
              <w:jc w:val="right"/>
              <w:rPr>
                <w:rFonts w:eastAsia="Times New Roman"/>
              </w:rPr>
            </w:pPr>
            <w:r>
              <w:rPr>
                <w:rFonts w:eastAsia="Times New Roman"/>
                <w:color w:val="000000"/>
                <w:sz w:val="18"/>
                <w:szCs w:val="18"/>
              </w:rPr>
              <w:t>148.53 </w:t>
            </w:r>
          </w:p>
        </w:tc>
        <w:tc>
          <w:tcPr>
            <w:tcW w:w="0" w:type="auto"/>
            <w:shd w:val="clear" w:color="auto" w:fill="FFFFFF"/>
            <w:tcMar>
              <w:top w:w="30" w:type="dxa"/>
              <w:left w:w="0" w:type="dxa"/>
              <w:bottom w:w="30" w:type="dxa"/>
              <w:right w:w="20" w:type="dxa"/>
            </w:tcMar>
            <w:vAlign w:val="bottom"/>
            <w:hideMark/>
          </w:tcPr>
          <w:p w14:paraId="097763D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3E6BA0"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B3B344" w14:textId="77777777" w:rsidR="00000000" w:rsidRDefault="009B6C69">
            <w:pPr>
              <w:spacing w:after="100"/>
              <w:jc w:val="right"/>
              <w:rPr>
                <w:rFonts w:eastAsia="Times New Roman"/>
              </w:rPr>
            </w:pPr>
            <w:r>
              <w:rPr>
                <w:rFonts w:eastAsia="Times New Roman"/>
                <w:color w:val="000000"/>
                <w:sz w:val="18"/>
                <w:szCs w:val="18"/>
              </w:rPr>
              <w:t>3,366 </w:t>
            </w:r>
          </w:p>
        </w:tc>
        <w:tc>
          <w:tcPr>
            <w:tcW w:w="0" w:type="auto"/>
            <w:shd w:val="clear" w:color="auto" w:fill="FFFFFF"/>
            <w:tcMar>
              <w:top w:w="30" w:type="dxa"/>
              <w:left w:w="0" w:type="dxa"/>
              <w:bottom w:w="30" w:type="dxa"/>
              <w:right w:w="20" w:type="dxa"/>
            </w:tcMar>
            <w:vAlign w:val="bottom"/>
            <w:hideMark/>
          </w:tcPr>
          <w:p w14:paraId="6DF0FEE2"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6F135F"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46F350" w14:textId="77777777" w:rsidR="00000000" w:rsidRDefault="009B6C69">
            <w:pPr>
              <w:spacing w:after="100"/>
              <w:jc w:val="right"/>
              <w:rPr>
                <w:rFonts w:eastAsia="Times New Roman"/>
              </w:rPr>
            </w:pPr>
            <w:r>
              <w:rPr>
                <w:rFonts w:eastAsia="Times New Roman"/>
                <w:color w:val="000000"/>
                <w:sz w:val="18"/>
                <w:szCs w:val="18"/>
              </w:rPr>
              <w:t>8,119 </w:t>
            </w:r>
          </w:p>
        </w:tc>
        <w:tc>
          <w:tcPr>
            <w:tcW w:w="0" w:type="auto"/>
            <w:shd w:val="clear" w:color="auto" w:fill="FFFFFF"/>
            <w:tcMar>
              <w:top w:w="30" w:type="dxa"/>
              <w:left w:w="0" w:type="dxa"/>
              <w:bottom w:w="30" w:type="dxa"/>
              <w:right w:w="20" w:type="dxa"/>
            </w:tcMar>
            <w:vAlign w:val="bottom"/>
            <w:hideMark/>
          </w:tcPr>
          <w:p w14:paraId="15F108B3" w14:textId="77777777" w:rsidR="00000000" w:rsidRDefault="009B6C69">
            <w:pPr>
              <w:spacing w:after="100"/>
              <w:jc w:val="right"/>
              <w:rPr>
                <w:rFonts w:eastAsia="Times New Roman"/>
              </w:rPr>
            </w:pPr>
          </w:p>
        </w:tc>
      </w:tr>
      <w:tr w:rsidR="00000000" w14:paraId="39887B1F" w14:textId="77777777">
        <w:trPr>
          <w:divId w:val="554506477"/>
        </w:trPr>
        <w:tc>
          <w:tcPr>
            <w:tcW w:w="0" w:type="auto"/>
            <w:gridSpan w:val="3"/>
            <w:shd w:val="clear" w:color="auto" w:fill="CCEEFF"/>
            <w:tcMar>
              <w:top w:w="30" w:type="dxa"/>
              <w:left w:w="20" w:type="dxa"/>
              <w:bottom w:w="30" w:type="dxa"/>
              <w:right w:w="20" w:type="dxa"/>
            </w:tcMar>
            <w:vAlign w:val="bottom"/>
            <w:hideMark/>
          </w:tcPr>
          <w:p w14:paraId="7DBA832F" w14:textId="77777777" w:rsidR="00000000" w:rsidRDefault="009B6C69">
            <w:pPr>
              <w:spacing w:after="100"/>
              <w:rPr>
                <w:rFonts w:eastAsia="Times New Roman"/>
              </w:rPr>
            </w:pPr>
            <w:r>
              <w:rPr>
                <w:rFonts w:eastAsia="Times New Roman"/>
                <w:color w:val="000000"/>
                <w:sz w:val="18"/>
                <w:szCs w:val="18"/>
              </w:rPr>
              <w:t>August 22, 2022 to September 25, 2022</w:t>
            </w:r>
          </w:p>
        </w:tc>
        <w:tc>
          <w:tcPr>
            <w:tcW w:w="0" w:type="auto"/>
            <w:gridSpan w:val="2"/>
            <w:shd w:val="clear" w:color="auto" w:fill="CCEEFF"/>
            <w:tcMar>
              <w:top w:w="30" w:type="dxa"/>
              <w:left w:w="20" w:type="dxa"/>
              <w:bottom w:w="30" w:type="dxa"/>
              <w:right w:w="0" w:type="dxa"/>
            </w:tcMar>
            <w:vAlign w:val="bottom"/>
            <w:hideMark/>
          </w:tcPr>
          <w:p w14:paraId="77479FBA"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1C793F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833149"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0681DB"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8B07B35"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73997D"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D4265A"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BD031A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0D76CF"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93C44F" w14:textId="77777777" w:rsidR="00000000" w:rsidRDefault="009B6C69">
            <w:pPr>
              <w:spacing w:after="100"/>
              <w:jc w:val="right"/>
              <w:rPr>
                <w:rFonts w:eastAsia="Times New Roman"/>
              </w:rPr>
            </w:pPr>
            <w:r>
              <w:rPr>
                <w:rFonts w:eastAsia="Times New Roman"/>
                <w:color w:val="000000"/>
                <w:sz w:val="18"/>
                <w:szCs w:val="18"/>
              </w:rPr>
              <w:t>8,119 </w:t>
            </w:r>
          </w:p>
        </w:tc>
        <w:tc>
          <w:tcPr>
            <w:tcW w:w="0" w:type="auto"/>
            <w:shd w:val="clear" w:color="auto" w:fill="CCEEFF"/>
            <w:tcMar>
              <w:top w:w="30" w:type="dxa"/>
              <w:left w:w="0" w:type="dxa"/>
              <w:bottom w:w="30" w:type="dxa"/>
              <w:right w:w="20" w:type="dxa"/>
            </w:tcMar>
            <w:vAlign w:val="bottom"/>
            <w:hideMark/>
          </w:tcPr>
          <w:p w14:paraId="77DECDC2" w14:textId="77777777" w:rsidR="00000000" w:rsidRDefault="009B6C69">
            <w:pPr>
              <w:spacing w:after="100"/>
              <w:jc w:val="right"/>
              <w:rPr>
                <w:rFonts w:eastAsia="Times New Roman"/>
              </w:rPr>
            </w:pPr>
          </w:p>
        </w:tc>
      </w:tr>
      <w:tr w:rsidR="00000000" w14:paraId="18FA6F5F" w14:textId="77777777">
        <w:trPr>
          <w:divId w:val="554506477"/>
        </w:trPr>
        <w:tc>
          <w:tcPr>
            <w:tcW w:w="0" w:type="auto"/>
            <w:gridSpan w:val="3"/>
            <w:vAlign w:val="center"/>
            <w:hideMark/>
          </w:tcPr>
          <w:p w14:paraId="43E8209D" w14:textId="77777777" w:rsidR="00000000" w:rsidRDefault="009B6C69">
            <w:pPr>
              <w:spacing w:after="100"/>
              <w:jc w:val="right"/>
              <w:rPr>
                <w:rFonts w:eastAsia="Times New Roman"/>
                <w:sz w:val="20"/>
                <w:szCs w:val="20"/>
              </w:rPr>
            </w:pPr>
          </w:p>
        </w:tc>
        <w:tc>
          <w:tcPr>
            <w:tcW w:w="0" w:type="auto"/>
            <w:gridSpan w:val="3"/>
            <w:vAlign w:val="center"/>
            <w:hideMark/>
          </w:tcPr>
          <w:p w14:paraId="3B380465" w14:textId="77777777" w:rsidR="00000000" w:rsidRDefault="009B6C69">
            <w:pPr>
              <w:spacing w:after="100"/>
              <w:rPr>
                <w:rFonts w:eastAsia="Times New Roman"/>
                <w:sz w:val="20"/>
                <w:szCs w:val="20"/>
              </w:rPr>
            </w:pPr>
          </w:p>
        </w:tc>
        <w:tc>
          <w:tcPr>
            <w:tcW w:w="0" w:type="auto"/>
            <w:gridSpan w:val="3"/>
            <w:vAlign w:val="center"/>
            <w:hideMark/>
          </w:tcPr>
          <w:p w14:paraId="6F0D7CF7" w14:textId="77777777" w:rsidR="00000000" w:rsidRDefault="009B6C69">
            <w:pPr>
              <w:spacing w:after="100"/>
              <w:rPr>
                <w:rFonts w:eastAsia="Times New Roman"/>
                <w:sz w:val="20"/>
                <w:szCs w:val="20"/>
              </w:rPr>
            </w:pPr>
          </w:p>
        </w:tc>
        <w:tc>
          <w:tcPr>
            <w:tcW w:w="0" w:type="auto"/>
            <w:gridSpan w:val="3"/>
            <w:vAlign w:val="center"/>
            <w:hideMark/>
          </w:tcPr>
          <w:p w14:paraId="73800D9B" w14:textId="77777777" w:rsidR="00000000" w:rsidRDefault="009B6C69">
            <w:pPr>
              <w:spacing w:after="100"/>
              <w:rPr>
                <w:rFonts w:eastAsia="Times New Roman"/>
                <w:sz w:val="20"/>
                <w:szCs w:val="20"/>
              </w:rPr>
            </w:pPr>
          </w:p>
        </w:tc>
        <w:tc>
          <w:tcPr>
            <w:tcW w:w="0" w:type="auto"/>
            <w:gridSpan w:val="3"/>
            <w:vAlign w:val="center"/>
            <w:hideMark/>
          </w:tcPr>
          <w:p w14:paraId="1296F982" w14:textId="77777777" w:rsidR="00000000" w:rsidRDefault="009B6C69">
            <w:pPr>
              <w:spacing w:after="100"/>
              <w:rPr>
                <w:rFonts w:eastAsia="Times New Roman"/>
                <w:sz w:val="20"/>
                <w:szCs w:val="20"/>
              </w:rPr>
            </w:pPr>
          </w:p>
        </w:tc>
        <w:tc>
          <w:tcPr>
            <w:tcW w:w="0" w:type="auto"/>
            <w:gridSpan w:val="3"/>
            <w:vAlign w:val="center"/>
            <w:hideMark/>
          </w:tcPr>
          <w:p w14:paraId="44EEAFFE" w14:textId="77777777" w:rsidR="00000000" w:rsidRDefault="009B6C69">
            <w:pPr>
              <w:spacing w:after="100"/>
              <w:rPr>
                <w:rFonts w:eastAsia="Times New Roman"/>
                <w:sz w:val="20"/>
                <w:szCs w:val="20"/>
              </w:rPr>
            </w:pPr>
          </w:p>
        </w:tc>
        <w:tc>
          <w:tcPr>
            <w:tcW w:w="0" w:type="auto"/>
            <w:gridSpan w:val="3"/>
            <w:vAlign w:val="center"/>
            <w:hideMark/>
          </w:tcPr>
          <w:p w14:paraId="13E26CDB" w14:textId="77777777" w:rsidR="00000000" w:rsidRDefault="009B6C69">
            <w:pPr>
              <w:spacing w:after="100"/>
              <w:rPr>
                <w:rFonts w:eastAsia="Times New Roman"/>
                <w:sz w:val="20"/>
                <w:szCs w:val="20"/>
              </w:rPr>
            </w:pPr>
          </w:p>
        </w:tc>
        <w:tc>
          <w:tcPr>
            <w:tcW w:w="0" w:type="auto"/>
            <w:gridSpan w:val="3"/>
            <w:vAlign w:val="center"/>
            <w:hideMark/>
          </w:tcPr>
          <w:p w14:paraId="7076CF45" w14:textId="77777777" w:rsidR="00000000" w:rsidRDefault="009B6C69">
            <w:pPr>
              <w:spacing w:after="100"/>
              <w:rPr>
                <w:rFonts w:eastAsia="Times New Roman"/>
                <w:sz w:val="20"/>
                <w:szCs w:val="20"/>
              </w:rPr>
            </w:pPr>
          </w:p>
        </w:tc>
      </w:tr>
      <w:tr w:rsidR="00000000" w14:paraId="3794E57A" w14:textId="77777777">
        <w:trPr>
          <w:divId w:val="554506477"/>
        </w:trPr>
        <w:tc>
          <w:tcPr>
            <w:tcW w:w="0" w:type="auto"/>
            <w:gridSpan w:val="3"/>
            <w:vAlign w:val="center"/>
            <w:hideMark/>
          </w:tcPr>
          <w:p w14:paraId="5A8F592A" w14:textId="77777777" w:rsidR="00000000" w:rsidRDefault="009B6C69">
            <w:pPr>
              <w:spacing w:after="100"/>
              <w:rPr>
                <w:rFonts w:eastAsia="Times New Roman"/>
                <w:sz w:val="20"/>
                <w:szCs w:val="20"/>
              </w:rPr>
            </w:pPr>
          </w:p>
        </w:tc>
        <w:tc>
          <w:tcPr>
            <w:tcW w:w="0" w:type="auto"/>
            <w:gridSpan w:val="3"/>
            <w:vAlign w:val="center"/>
            <w:hideMark/>
          </w:tcPr>
          <w:p w14:paraId="485C8F4D" w14:textId="77777777" w:rsidR="00000000" w:rsidRDefault="009B6C69">
            <w:pPr>
              <w:spacing w:after="100"/>
              <w:rPr>
                <w:rFonts w:eastAsia="Times New Roman"/>
                <w:sz w:val="20"/>
                <w:szCs w:val="20"/>
              </w:rPr>
            </w:pPr>
          </w:p>
        </w:tc>
        <w:tc>
          <w:tcPr>
            <w:tcW w:w="0" w:type="auto"/>
            <w:gridSpan w:val="3"/>
            <w:vAlign w:val="center"/>
            <w:hideMark/>
          </w:tcPr>
          <w:p w14:paraId="21F25E28" w14:textId="77777777" w:rsidR="00000000" w:rsidRDefault="009B6C69">
            <w:pPr>
              <w:spacing w:after="100"/>
              <w:rPr>
                <w:rFonts w:eastAsia="Times New Roman"/>
                <w:sz w:val="20"/>
                <w:szCs w:val="20"/>
              </w:rPr>
            </w:pPr>
          </w:p>
        </w:tc>
        <w:tc>
          <w:tcPr>
            <w:tcW w:w="0" w:type="auto"/>
            <w:gridSpan w:val="3"/>
            <w:vAlign w:val="center"/>
            <w:hideMark/>
          </w:tcPr>
          <w:p w14:paraId="6A12EE8F" w14:textId="77777777" w:rsidR="00000000" w:rsidRDefault="009B6C69">
            <w:pPr>
              <w:spacing w:after="100"/>
              <w:rPr>
                <w:rFonts w:eastAsia="Times New Roman"/>
                <w:sz w:val="20"/>
                <w:szCs w:val="20"/>
              </w:rPr>
            </w:pPr>
          </w:p>
        </w:tc>
        <w:tc>
          <w:tcPr>
            <w:tcW w:w="0" w:type="auto"/>
            <w:gridSpan w:val="3"/>
            <w:vAlign w:val="center"/>
            <w:hideMark/>
          </w:tcPr>
          <w:p w14:paraId="7356CF78" w14:textId="77777777" w:rsidR="00000000" w:rsidRDefault="009B6C69">
            <w:pPr>
              <w:spacing w:after="100"/>
              <w:rPr>
                <w:rFonts w:eastAsia="Times New Roman"/>
                <w:sz w:val="20"/>
                <w:szCs w:val="20"/>
              </w:rPr>
            </w:pPr>
          </w:p>
        </w:tc>
        <w:tc>
          <w:tcPr>
            <w:tcW w:w="0" w:type="auto"/>
            <w:gridSpan w:val="3"/>
            <w:vAlign w:val="center"/>
            <w:hideMark/>
          </w:tcPr>
          <w:p w14:paraId="64622188" w14:textId="77777777" w:rsidR="00000000" w:rsidRDefault="009B6C69">
            <w:pPr>
              <w:spacing w:after="100"/>
              <w:rPr>
                <w:rFonts w:eastAsia="Times New Roman"/>
                <w:sz w:val="20"/>
                <w:szCs w:val="20"/>
              </w:rPr>
            </w:pPr>
          </w:p>
        </w:tc>
        <w:tc>
          <w:tcPr>
            <w:tcW w:w="0" w:type="auto"/>
            <w:gridSpan w:val="3"/>
            <w:vAlign w:val="center"/>
            <w:hideMark/>
          </w:tcPr>
          <w:p w14:paraId="23AD50D3" w14:textId="77777777" w:rsidR="00000000" w:rsidRDefault="009B6C69">
            <w:pPr>
              <w:spacing w:after="100"/>
              <w:rPr>
                <w:rFonts w:eastAsia="Times New Roman"/>
                <w:sz w:val="20"/>
                <w:szCs w:val="20"/>
              </w:rPr>
            </w:pPr>
          </w:p>
        </w:tc>
        <w:tc>
          <w:tcPr>
            <w:tcW w:w="0" w:type="auto"/>
            <w:gridSpan w:val="3"/>
            <w:vAlign w:val="center"/>
            <w:hideMark/>
          </w:tcPr>
          <w:p w14:paraId="4B027024" w14:textId="77777777" w:rsidR="00000000" w:rsidRDefault="009B6C69">
            <w:pPr>
              <w:spacing w:after="100"/>
              <w:rPr>
                <w:rFonts w:eastAsia="Times New Roman"/>
                <w:sz w:val="20"/>
                <w:szCs w:val="20"/>
              </w:rPr>
            </w:pPr>
          </w:p>
        </w:tc>
      </w:tr>
      <w:tr w:rsidR="00000000" w14:paraId="6945F042" w14:textId="77777777">
        <w:trPr>
          <w:divId w:val="554506477"/>
        </w:trPr>
        <w:tc>
          <w:tcPr>
            <w:tcW w:w="0" w:type="auto"/>
            <w:gridSpan w:val="3"/>
            <w:shd w:val="clear" w:color="auto" w:fill="FFFFFF"/>
            <w:tcMar>
              <w:top w:w="30" w:type="dxa"/>
              <w:left w:w="20" w:type="dxa"/>
              <w:bottom w:w="30" w:type="dxa"/>
              <w:right w:w="20" w:type="dxa"/>
            </w:tcMar>
            <w:vAlign w:val="bottom"/>
            <w:hideMark/>
          </w:tcPr>
          <w:p w14:paraId="66344F56" w14:textId="77777777" w:rsidR="00000000" w:rsidRDefault="009B6C69">
            <w:pPr>
              <w:spacing w:after="100"/>
              <w:rPr>
                <w:rFonts w:eastAsia="Times New Roman"/>
              </w:rPr>
            </w:pPr>
            <w:r>
              <w:rPr>
                <w:rFonts w:eastAsia="Times New Roman"/>
                <w:color w:val="000000"/>
                <w:sz w:val="18"/>
                <w:szCs w:val="18"/>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FD48429" w14:textId="77777777" w:rsidR="00000000" w:rsidRDefault="009B6C69">
            <w:pPr>
              <w:spacing w:after="100"/>
              <w:jc w:val="right"/>
              <w:rPr>
                <w:rFonts w:eastAsia="Times New Roman"/>
              </w:rPr>
            </w:pPr>
            <w:r>
              <w:rPr>
                <w:rFonts w:eastAsia="Times New Roman"/>
                <w:color w:val="000000"/>
                <w:sz w:val="18"/>
                <w:szCs w:val="18"/>
              </w:rPr>
              <w:t>3,366 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6DF04A5"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C1E937" w14:textId="77777777" w:rsidR="00000000" w:rsidRDefault="009B6C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1C8A18"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EA8D84" w14:textId="77777777" w:rsidR="00000000" w:rsidRDefault="009B6C69">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C43CFC8" w14:textId="77777777" w:rsidR="00000000" w:rsidRDefault="009B6C69">
            <w:pPr>
              <w:spacing w:after="100"/>
              <w:jc w:val="right"/>
              <w:rPr>
                <w:rFonts w:eastAsia="Times New Roman"/>
              </w:rPr>
            </w:pPr>
            <w:r>
              <w:rPr>
                <w:rFonts w:eastAsia="Times New Roman"/>
                <w:color w:val="000000"/>
                <w:sz w:val="18"/>
                <w:szCs w:val="18"/>
              </w:rPr>
              <w:t>3,366 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86E26E"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A96755" w14:textId="77777777" w:rsidR="00000000" w:rsidRDefault="009B6C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EE0BC3" w14:textId="77777777" w:rsidR="00000000" w:rsidRDefault="009B6C69">
            <w:pPr>
              <w:spacing w:after="100"/>
              <w:rPr>
                <w:rFonts w:eastAsia="Times New Roman"/>
                <w:sz w:val="20"/>
                <w:szCs w:val="20"/>
              </w:rPr>
            </w:pPr>
          </w:p>
        </w:tc>
      </w:tr>
    </w:tbl>
    <w:p w14:paraId="3B1F0B90" w14:textId="77777777" w:rsidR="00000000" w:rsidRDefault="009B6C69">
      <w:pPr>
        <w:divId w:val="1350065067"/>
        <w:rPr>
          <w:rFonts w:eastAsia="Times New Roman"/>
        </w:rPr>
      </w:pPr>
      <w:r>
        <w:rPr>
          <w:rFonts w:eastAsia="Times New Roman"/>
          <w:color w:val="000000"/>
          <w:sz w:val="18"/>
          <w:szCs w:val="18"/>
        </w:rPr>
        <w:t>(1) Average Price Paid Per Share excludes cash paid for commissions.</w:t>
      </w:r>
    </w:p>
    <w:p w14:paraId="310B6942" w14:textId="77777777" w:rsidR="00000000" w:rsidRDefault="009B6C69">
      <w:pPr>
        <w:ind w:hanging="270"/>
        <w:divId w:val="1279263342"/>
        <w:rPr>
          <w:rFonts w:eastAsia="Times New Roman"/>
        </w:rPr>
      </w:pPr>
      <w:r>
        <w:rPr>
          <w:rFonts w:eastAsia="Times New Roman"/>
          <w:color w:val="000000"/>
          <w:sz w:val="18"/>
          <w:szCs w:val="18"/>
        </w:rPr>
        <w:t>(2) On October </w:t>
      </w:r>
      <w:r>
        <w:rPr>
          <w:rFonts w:eastAsia="Times New Roman"/>
          <w:color w:val="000000"/>
          <w:sz w:val="18"/>
          <w:szCs w:val="18"/>
        </w:rPr>
        <w:t>12, 2021, we announced a stock repurchase program authorizing us to repurchase up to $10.0 billion of our common stock. At September 25, 2022, $8.1 billion remained authorized for repurchase. The stock repurchase program has no expiration date</w:t>
      </w:r>
      <w:r>
        <w:rPr>
          <w:rFonts w:eastAsia="Times New Roman"/>
          <w:color w:val="000000"/>
          <w:sz w:val="20"/>
          <w:szCs w:val="20"/>
        </w:rPr>
        <w:t>.</w:t>
      </w:r>
      <w:r>
        <w:rPr>
          <w:rFonts w:eastAsia="Times New Roman"/>
          <w:color w:val="000000"/>
          <w:sz w:val="18"/>
          <w:szCs w:val="18"/>
        </w:rPr>
        <w:t xml:space="preserve"> Shares with</w:t>
      </w:r>
      <w:r>
        <w:rPr>
          <w:rFonts w:eastAsia="Times New Roman"/>
          <w:color w:val="000000"/>
          <w:sz w:val="18"/>
          <w:szCs w:val="18"/>
        </w:rPr>
        <w:t>held to satisfy statutory tax withholding requirements related to the vesting of share-based awards are not issued or considered stock repurchases under our stock repurchase program and, therefore, are excluded from the table above.</w:t>
      </w:r>
    </w:p>
    <w:p w14:paraId="1DD1C991" w14:textId="77777777" w:rsidR="00000000" w:rsidRDefault="009B6C69">
      <w:pPr>
        <w:divId w:val="820539865"/>
        <w:rPr>
          <w:rFonts w:eastAsia="Times New Roman"/>
        </w:rPr>
      </w:pPr>
      <w:r>
        <w:rPr>
          <w:rFonts w:eastAsia="Times New Roman"/>
          <w:b/>
          <w:bCs/>
          <w:color w:val="000000"/>
          <w:sz w:val="20"/>
          <w:szCs w:val="20"/>
        </w:rPr>
        <w:t>Unregistered Sales of E</w:t>
      </w:r>
      <w:r>
        <w:rPr>
          <w:rFonts w:eastAsia="Times New Roman"/>
          <w:b/>
          <w:bCs/>
          <w:color w:val="000000"/>
          <w:sz w:val="20"/>
          <w:szCs w:val="20"/>
        </w:rPr>
        <w:t>quity Securities</w:t>
      </w:r>
    </w:p>
    <w:p w14:paraId="142E892F" w14:textId="77777777" w:rsidR="00000000" w:rsidRDefault="009B6C69">
      <w:pPr>
        <w:ind w:firstLine="360"/>
        <w:divId w:val="682515587"/>
        <w:rPr>
          <w:rFonts w:eastAsia="Times New Roman"/>
        </w:rPr>
      </w:pPr>
      <w:r>
        <w:rPr>
          <w:rFonts w:eastAsia="Times New Roman"/>
          <w:color w:val="000000"/>
          <w:sz w:val="20"/>
          <w:szCs w:val="20"/>
        </w:rPr>
        <w:t>In connection with our acquisition of NuVia, Inc. (Nuvia), which closed in March 2021, we are obligated to issue shares of our common stock to three specific founders of Nuvia and certain affiliated entities of such founders from time to t</w:t>
      </w:r>
      <w:r>
        <w:rPr>
          <w:rFonts w:eastAsia="Times New Roman"/>
          <w:color w:val="000000"/>
          <w:sz w:val="20"/>
          <w:szCs w:val="20"/>
        </w:rPr>
        <w:t>ime upon the satisfaction of certain conditions. During the quarter ended September 25, 2022, we issued an aggregate of 106,425 additional shares of our common stock to the founders of Nuvia and their affiliates, each of whom had advised us that he or such</w:t>
      </w:r>
      <w:r>
        <w:rPr>
          <w:rFonts w:eastAsia="Times New Roman"/>
          <w:color w:val="000000"/>
          <w:sz w:val="20"/>
          <w:szCs w:val="20"/>
        </w:rPr>
        <w:t xml:space="preserve"> entity was an accredited investor. These shares were issued in transactions not involving a public offering pursuant to the exemption from registration set forth in Section 4(a)(2) of the Securities Act.</w:t>
      </w:r>
    </w:p>
    <w:p w14:paraId="58518AD1" w14:textId="77777777" w:rsidR="00000000" w:rsidRDefault="009B6C69">
      <w:pPr>
        <w:divId w:val="883369813"/>
        <w:rPr>
          <w:rFonts w:eastAsia="Times New Roman"/>
        </w:rPr>
      </w:pPr>
      <w:r>
        <w:rPr>
          <w:rFonts w:eastAsia="Times New Roman"/>
          <w:b/>
          <w:bCs/>
          <w:color w:val="000000"/>
          <w:sz w:val="20"/>
          <w:szCs w:val="20"/>
        </w:rPr>
        <w:t>Stock Performance Graph</w:t>
      </w:r>
    </w:p>
    <w:p w14:paraId="4B475D59" w14:textId="77777777" w:rsidR="00000000" w:rsidRDefault="009B6C69">
      <w:pPr>
        <w:ind w:firstLine="360"/>
        <w:divId w:val="74866351"/>
        <w:rPr>
          <w:rFonts w:eastAsia="Times New Roman"/>
        </w:rPr>
      </w:pPr>
      <w:r>
        <w:rPr>
          <w:rFonts w:eastAsia="Times New Roman"/>
          <w:color w:val="000000"/>
          <w:sz w:val="20"/>
          <w:szCs w:val="20"/>
        </w:rPr>
        <w:t>The following graph compare</w:t>
      </w:r>
      <w:r>
        <w:rPr>
          <w:rFonts w:eastAsia="Times New Roman"/>
          <w:color w:val="000000"/>
          <w:sz w:val="20"/>
          <w:szCs w:val="20"/>
        </w:rPr>
        <w:t>s the cumulative total stockholder return on our common stock, the Standard &amp; Poor’s 500 Stock Index (S&amp;P 500) and the NASDAQ-100 Index (NASDAQ-100) for the five years ended September 25, 2022. The S&amp;P 500 tracks the aggregate price performance of the equi</w:t>
      </w:r>
      <w:r>
        <w:rPr>
          <w:rFonts w:eastAsia="Times New Roman"/>
          <w:color w:val="000000"/>
          <w:sz w:val="20"/>
          <w:szCs w:val="20"/>
        </w:rPr>
        <w:t>ty securities of 500 United States companies selected by Standard &amp; Poor’s Index Committee to include companies in leading industries and to reflect the United States stock market. The NASDAQ-100 tracks the aggregate price performance of the 100 largest do</w:t>
      </w:r>
      <w:r>
        <w:rPr>
          <w:rFonts w:eastAsia="Times New Roman"/>
          <w:color w:val="000000"/>
          <w:sz w:val="20"/>
          <w:szCs w:val="20"/>
        </w:rPr>
        <w:t>mestic and international non-financial securities listed on the NASDAQ Stock Market based on market capitalization. Our common stock is a component of each of the S&amp;P 500 and the NASDAQ-100.</w:t>
      </w:r>
    </w:p>
    <w:p w14:paraId="0BD50EFB" w14:textId="77777777" w:rsidR="00000000" w:rsidRDefault="009B6C69">
      <w:pPr>
        <w:ind w:firstLine="360"/>
        <w:divId w:val="343216104"/>
        <w:rPr>
          <w:rFonts w:eastAsia="Times New Roman"/>
        </w:rPr>
      </w:pPr>
      <w:r>
        <w:rPr>
          <w:rFonts w:eastAsia="Times New Roman"/>
          <w:color w:val="000000"/>
          <w:sz w:val="20"/>
          <w:szCs w:val="20"/>
        </w:rPr>
        <w:t>The total return for our stock and for each index assumes that $1</w:t>
      </w:r>
      <w:r>
        <w:rPr>
          <w:rFonts w:eastAsia="Times New Roman"/>
          <w:color w:val="000000"/>
          <w:sz w:val="20"/>
          <w:szCs w:val="20"/>
        </w:rPr>
        <w:t xml:space="preserve">00 was invested at the market close on the last trading day for our fiscal year ended September 24, 2017 and that all dividends were reinvested. All returns are reported as of our fiscal year end, which is the last Sunday in September. Stockholder returns </w:t>
      </w:r>
      <w:r>
        <w:rPr>
          <w:rFonts w:eastAsia="Times New Roman"/>
          <w:color w:val="000000"/>
          <w:sz w:val="20"/>
          <w:szCs w:val="20"/>
        </w:rPr>
        <w:t>over the indicated period are based on historical data and should not be considered indicative of future stockholder returns.</w:t>
      </w:r>
    </w:p>
    <w:p w14:paraId="07AC5907" w14:textId="77777777" w:rsidR="00000000" w:rsidRDefault="009B6C69">
      <w:pPr>
        <w:jc w:val="center"/>
        <w:divId w:val="1165970805"/>
        <w:rPr>
          <w:rFonts w:eastAsia="Times New Roman"/>
        </w:rPr>
      </w:pPr>
      <w:r>
        <w:rPr>
          <w:rFonts w:eastAsia="Times New Roman"/>
          <w:color w:val="000000"/>
          <w:sz w:val="20"/>
          <w:szCs w:val="20"/>
        </w:rPr>
        <w:t>38</w:t>
      </w:r>
    </w:p>
    <w:p w14:paraId="79E00A9A" w14:textId="77777777" w:rsidR="00000000" w:rsidRDefault="009B6C69">
      <w:pPr>
        <w:rPr>
          <w:rFonts w:eastAsia="Times New Roman"/>
        </w:rPr>
      </w:pPr>
      <w:r>
        <w:rPr>
          <w:rFonts w:eastAsia="Times New Roman"/>
        </w:rPr>
        <w:pict w14:anchorId="6D178EBD">
          <v:rect id="_x0000_i1061" style="width:0;height:1.5pt" o:hralign="center" o:hrstd="t" o:hr="t" fillcolor="#a0a0a0" stroked="f"/>
        </w:pict>
      </w:r>
    </w:p>
    <w:p w14:paraId="2303A477" w14:textId="77777777" w:rsidR="00000000" w:rsidRDefault="009B6C69">
      <w:pPr>
        <w:divId w:val="2009552977"/>
        <w:rPr>
          <w:rFonts w:eastAsia="Times New Roman"/>
        </w:rPr>
      </w:pPr>
    </w:p>
    <w:p w14:paraId="5DC94012" w14:textId="77777777" w:rsidR="00000000" w:rsidRDefault="009B6C69">
      <w:pPr>
        <w:jc w:val="center"/>
        <w:rPr>
          <w:rFonts w:eastAsia="Times New Roman"/>
        </w:rPr>
      </w:pPr>
      <w:r>
        <w:rPr>
          <w:rFonts w:eastAsia="Times New Roman"/>
          <w:noProof/>
        </w:rPr>
        <w:drawing>
          <wp:inline distT="0" distB="0" distL="0" distR="0" wp14:anchorId="3BCBCC9D" wp14:editId="147588DE">
            <wp:extent cx="304800" cy="3048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CABE063" w14:textId="77777777" w:rsidR="00000000" w:rsidRDefault="009B6C69">
      <w:pPr>
        <w:divId w:val="1852139711"/>
        <w:rPr>
          <w:rFonts w:eastAsia="Times New Roman"/>
        </w:rPr>
      </w:pPr>
      <w:r>
        <w:rPr>
          <w:rFonts w:eastAsia="Times New Roman"/>
          <w:b/>
          <w:bCs/>
          <w:color w:val="000000"/>
          <w:sz w:val="20"/>
          <w:szCs w:val="20"/>
        </w:rPr>
        <w:t>Item 6. (Reserved)</w:t>
      </w:r>
    </w:p>
    <w:p w14:paraId="38CBF462" w14:textId="77777777" w:rsidR="00000000" w:rsidRDefault="009B6C69">
      <w:pPr>
        <w:divId w:val="2142964268"/>
        <w:rPr>
          <w:rFonts w:eastAsia="Times New Roman"/>
        </w:rPr>
      </w:pPr>
      <w:r>
        <w:rPr>
          <w:rFonts w:eastAsia="Times New Roman"/>
          <w:b/>
          <w:bCs/>
          <w:color w:val="000000"/>
          <w:sz w:val="20"/>
          <w:szCs w:val="20"/>
        </w:rPr>
        <w:t>Item 7. Management</w:t>
      </w:r>
      <w:r>
        <w:rPr>
          <w:rFonts w:eastAsia="Times New Roman"/>
          <w:color w:val="000000"/>
          <w:sz w:val="20"/>
          <w:szCs w:val="20"/>
        </w:rPr>
        <w:t>’</w:t>
      </w:r>
      <w:r>
        <w:rPr>
          <w:rFonts w:eastAsia="Times New Roman"/>
          <w:b/>
          <w:bCs/>
          <w:color w:val="000000"/>
          <w:sz w:val="20"/>
          <w:szCs w:val="20"/>
        </w:rPr>
        <w:t>s Disc</w:t>
      </w:r>
      <w:r>
        <w:rPr>
          <w:rFonts w:eastAsia="Times New Roman"/>
          <w:b/>
          <w:bCs/>
          <w:color w:val="000000"/>
          <w:sz w:val="20"/>
          <w:szCs w:val="20"/>
        </w:rPr>
        <w:t>ussion and Analysis of Financial Condition and Results of Operations</w:t>
      </w:r>
    </w:p>
    <w:p w14:paraId="036B12D8" w14:textId="77777777" w:rsidR="00000000" w:rsidRDefault="009B6C69">
      <w:pPr>
        <w:ind w:firstLine="360"/>
        <w:divId w:val="1149788726"/>
        <w:rPr>
          <w:rFonts w:eastAsia="Times New Roman"/>
        </w:rPr>
      </w:pPr>
      <w:r>
        <w:rPr>
          <w:rFonts w:eastAsia="Times New Roman"/>
          <w:color w:val="000000"/>
          <w:sz w:val="20"/>
          <w:szCs w:val="20"/>
        </w:rPr>
        <w:t xml:space="preserve">In addition to historical information, the following discussion contains forward-looking statements that are subject to risks and uncertainties. Actual results may differ materially from </w:t>
      </w:r>
      <w:r>
        <w:rPr>
          <w:rFonts w:eastAsia="Times New Roman"/>
          <w:color w:val="000000"/>
          <w:sz w:val="20"/>
          <w:szCs w:val="20"/>
        </w:rPr>
        <w:t>those referred to herein due to a number of factors, including but not limited to those described in “Part I, Item 1A. Risk Factors” and elsewhere in this Annual Report.</w:t>
      </w:r>
    </w:p>
    <w:p w14:paraId="3DBEA7A2" w14:textId="77777777" w:rsidR="00000000" w:rsidRDefault="009B6C69">
      <w:pPr>
        <w:ind w:firstLine="360"/>
        <w:divId w:val="1417901484"/>
        <w:rPr>
          <w:rFonts w:eastAsia="Times New Roman"/>
        </w:rPr>
      </w:pPr>
      <w:r>
        <w:rPr>
          <w:rFonts w:eastAsia="Times New Roman"/>
          <w:color w:val="000000"/>
          <w:sz w:val="20"/>
          <w:szCs w:val="20"/>
        </w:rPr>
        <w:t>The following discussion and analysis of our financial condition and results of operat</w:t>
      </w:r>
      <w:r>
        <w:rPr>
          <w:rFonts w:eastAsia="Times New Roman"/>
          <w:color w:val="000000"/>
          <w:sz w:val="20"/>
          <w:szCs w:val="20"/>
        </w:rPr>
        <w:t>ions should be read in conjunction with our consolidated financial statements and related notes included in “Part II, Item 8. Financial Statements and Supplementary Data” of this Annual Report.</w:t>
      </w:r>
    </w:p>
    <w:p w14:paraId="5631D069" w14:textId="77777777" w:rsidR="00000000" w:rsidRDefault="009B6C69">
      <w:pPr>
        <w:ind w:firstLine="360"/>
        <w:divId w:val="2089645694"/>
        <w:rPr>
          <w:rFonts w:eastAsia="Times New Roman"/>
        </w:rPr>
      </w:pPr>
      <w:r>
        <w:rPr>
          <w:rFonts w:eastAsia="Times New Roman"/>
          <w:color w:val="000000"/>
          <w:sz w:val="20"/>
          <w:szCs w:val="20"/>
        </w:rPr>
        <w:t>The following section generally discusses fiscal 2022 and 2021</w:t>
      </w:r>
      <w:r>
        <w:rPr>
          <w:rFonts w:eastAsia="Times New Roman"/>
          <w:color w:val="000000"/>
          <w:sz w:val="20"/>
          <w:szCs w:val="20"/>
        </w:rPr>
        <w:t xml:space="preserve"> items and year-to-year comparisons between fiscal 2022 and 2021. Discussions of fiscal 2020 items and year-to-year comparisons between fiscal 2021 and 2020 that are not included in this Annual Report can be found in “Management’s Discussion and Analysis o</w:t>
      </w:r>
      <w:r>
        <w:rPr>
          <w:rFonts w:eastAsia="Times New Roman"/>
          <w:color w:val="000000"/>
          <w:sz w:val="20"/>
          <w:szCs w:val="20"/>
        </w:rPr>
        <w:t xml:space="preserve">f Financial Condition and Results of Operations” in Part II, Item 7 of our Annual Report on Form 10-K for the fiscal year ended September 26, 2021. </w:t>
      </w:r>
    </w:p>
    <w:p w14:paraId="50152ED3" w14:textId="77777777" w:rsidR="00000000" w:rsidRDefault="009B6C69">
      <w:pPr>
        <w:divId w:val="1784303847"/>
        <w:rPr>
          <w:rFonts w:eastAsia="Times New Roman"/>
        </w:rPr>
      </w:pPr>
      <w:r>
        <w:rPr>
          <w:rFonts w:eastAsia="Times New Roman"/>
          <w:b/>
          <w:bCs/>
          <w:color w:val="000000"/>
          <w:sz w:val="20"/>
          <w:szCs w:val="20"/>
        </w:rPr>
        <w:t>Our Business and Operating Segments</w:t>
      </w:r>
    </w:p>
    <w:p w14:paraId="57B236F5" w14:textId="77777777" w:rsidR="00000000" w:rsidRDefault="009B6C69">
      <w:pPr>
        <w:ind w:firstLine="360"/>
        <w:divId w:val="1417365721"/>
        <w:rPr>
          <w:rFonts w:eastAsia="Times New Roman"/>
        </w:rPr>
      </w:pPr>
      <w:r>
        <w:rPr>
          <w:rFonts w:eastAsia="Times New Roman"/>
          <w:color w:val="000000"/>
          <w:sz w:val="20"/>
          <w:szCs w:val="20"/>
        </w:rPr>
        <w:t>We develop and commercialize foundational technologies and products use</w:t>
      </w:r>
      <w:r>
        <w:rPr>
          <w:rFonts w:eastAsia="Times New Roman"/>
          <w:color w:val="000000"/>
          <w:sz w:val="20"/>
          <w:szCs w:val="20"/>
        </w:rPr>
        <w:t xml:space="preserve">d in mobile devices and other wireless products. We derive revenues principally from sales of integrated circuit products and licensing our intellectual property, including patents and other rights. </w:t>
      </w:r>
    </w:p>
    <w:p w14:paraId="6AF33AD4" w14:textId="77777777" w:rsidR="00000000" w:rsidRDefault="009B6C69">
      <w:pPr>
        <w:ind w:firstLine="360"/>
        <w:divId w:val="929316161"/>
        <w:rPr>
          <w:rFonts w:eastAsia="Times New Roman"/>
        </w:rPr>
      </w:pPr>
      <w:r>
        <w:rPr>
          <w:rFonts w:eastAsia="Times New Roman"/>
          <w:color w:val="000000"/>
          <w:sz w:val="20"/>
          <w:szCs w:val="20"/>
        </w:rPr>
        <w:t>We are organized on the basis of products and services a</w:t>
      </w:r>
      <w:r>
        <w:rPr>
          <w:rFonts w:eastAsia="Times New Roman"/>
          <w:color w:val="000000"/>
          <w:sz w:val="20"/>
          <w:szCs w:val="20"/>
        </w:rPr>
        <w:t>nd have three reportable segments. We conduct business primarily through our QCT (Qualcomm CDMA Technologies) semiconductor business and our QTL (Qualcomm Technology Licensing) licensing business. Our QSI (Qualcomm Strategic Initiatives) reportable segment</w:t>
      </w:r>
      <w:r>
        <w:rPr>
          <w:rFonts w:eastAsia="Times New Roman"/>
          <w:color w:val="000000"/>
          <w:sz w:val="20"/>
          <w:szCs w:val="20"/>
        </w:rPr>
        <w:t xml:space="preserve"> makes strategic investments. We also have nonreportable segments, including QGOV (Qualcomm Government Technologies) and our cloud AI inference processing initiative. </w:t>
      </w:r>
    </w:p>
    <w:p w14:paraId="1024D174" w14:textId="77777777" w:rsidR="00000000" w:rsidRDefault="009B6C69">
      <w:pPr>
        <w:ind w:firstLine="360"/>
        <w:divId w:val="1989436337"/>
        <w:rPr>
          <w:rFonts w:eastAsia="Times New Roman"/>
        </w:rPr>
      </w:pPr>
      <w:r>
        <w:rPr>
          <w:rFonts w:eastAsia="Times New Roman"/>
          <w:color w:val="000000"/>
          <w:sz w:val="20"/>
          <w:szCs w:val="20"/>
        </w:rPr>
        <w:t>Our reportable segments are operated by QUALCOMM Incorporated and its direct and indirec</w:t>
      </w:r>
      <w:r>
        <w:rPr>
          <w:rFonts w:eastAsia="Times New Roman"/>
          <w:color w:val="000000"/>
          <w:sz w:val="20"/>
          <w:szCs w:val="20"/>
        </w:rPr>
        <w:t xml:space="preserve">t subsidiaries. QTL is operated by QUALCOMM Incorporated, which owns the vast majority of our patent portfolio. Substantially all of our products and services businesses, including QCT, and substantially all of our engineering and research and development </w:t>
      </w:r>
      <w:r>
        <w:rPr>
          <w:rFonts w:eastAsia="Times New Roman"/>
          <w:color w:val="000000"/>
          <w:sz w:val="20"/>
          <w:szCs w:val="20"/>
        </w:rPr>
        <w:t xml:space="preserve">functions, are operated by Qualcomm Technologies, Inc. (QTI), a wholly-owned subsidiary of QUALCOMM Incorporated, and QTI’s subsidiaries. Neither QTI nor any of its subsidiaries has any right, power or authority to grant any licenses or other rights under </w:t>
      </w:r>
      <w:r>
        <w:rPr>
          <w:rFonts w:eastAsia="Times New Roman"/>
          <w:color w:val="000000"/>
          <w:sz w:val="20"/>
          <w:szCs w:val="20"/>
        </w:rPr>
        <w:t>or to any patents owned by QUALCOMM Incorporated.</w:t>
      </w:r>
    </w:p>
    <w:p w14:paraId="6F83FB1F" w14:textId="77777777" w:rsidR="00000000" w:rsidRDefault="009B6C69">
      <w:pPr>
        <w:ind w:firstLine="360"/>
        <w:divId w:val="327292667"/>
        <w:rPr>
          <w:rFonts w:eastAsia="Times New Roman"/>
        </w:rPr>
      </w:pPr>
      <w:r>
        <w:rPr>
          <w:rFonts w:eastAsia="Times New Roman"/>
          <w:color w:val="000000"/>
          <w:sz w:val="20"/>
          <w:szCs w:val="20"/>
        </w:rPr>
        <w:t xml:space="preserve">Further information regarding our business and operating segments is provided in “Part I, Item 1. Business” of this Annual Report. </w:t>
      </w:r>
    </w:p>
    <w:p w14:paraId="3545C601" w14:textId="77777777" w:rsidR="00000000" w:rsidRDefault="009B6C69">
      <w:pPr>
        <w:jc w:val="center"/>
        <w:divId w:val="871722448"/>
        <w:rPr>
          <w:rFonts w:eastAsia="Times New Roman"/>
        </w:rPr>
      </w:pPr>
      <w:r>
        <w:rPr>
          <w:rFonts w:eastAsia="Times New Roman"/>
          <w:color w:val="000000"/>
          <w:sz w:val="20"/>
          <w:szCs w:val="20"/>
        </w:rPr>
        <w:t>39</w:t>
      </w:r>
    </w:p>
    <w:p w14:paraId="50C9E403" w14:textId="77777777" w:rsidR="00000000" w:rsidRDefault="009B6C69">
      <w:pPr>
        <w:rPr>
          <w:rFonts w:eastAsia="Times New Roman"/>
        </w:rPr>
      </w:pPr>
      <w:r>
        <w:rPr>
          <w:rFonts w:eastAsia="Times New Roman"/>
        </w:rPr>
        <w:pict w14:anchorId="7C105A5A">
          <v:rect id="_x0000_i1063" style="width:0;height:1.5pt" o:hralign="center" o:hrstd="t" o:hr="t" fillcolor="#a0a0a0" stroked="f"/>
        </w:pict>
      </w:r>
    </w:p>
    <w:p w14:paraId="6C3D2426" w14:textId="77777777" w:rsidR="00000000" w:rsidRDefault="009B6C69">
      <w:pPr>
        <w:divId w:val="639578535"/>
        <w:rPr>
          <w:rFonts w:eastAsia="Times New Roman"/>
        </w:rPr>
      </w:pPr>
    </w:p>
    <w:p w14:paraId="00A0B693" w14:textId="77777777" w:rsidR="00000000" w:rsidRDefault="009B6C69">
      <w:pPr>
        <w:ind w:firstLine="360"/>
        <w:divId w:val="1858078383"/>
        <w:rPr>
          <w:rFonts w:eastAsia="Times New Roman"/>
        </w:rPr>
      </w:pPr>
      <w:r>
        <w:rPr>
          <w:rFonts w:eastAsia="Times New Roman"/>
          <w:b/>
          <w:bCs/>
          <w:i/>
          <w:iCs/>
          <w:color w:val="000000"/>
          <w:sz w:val="20"/>
          <w:szCs w:val="20"/>
        </w:rPr>
        <w:t>Seasonality.</w:t>
      </w:r>
      <w:r>
        <w:rPr>
          <w:rFonts w:eastAsia="Times New Roman"/>
          <w:color w:val="000000"/>
          <w:sz w:val="20"/>
          <w:szCs w:val="20"/>
        </w:rPr>
        <w:t xml:space="preserve"> Many of our product</w:t>
      </w:r>
      <w:r>
        <w:rPr>
          <w:rFonts w:eastAsia="Times New Roman"/>
          <w:color w:val="000000"/>
          <w:sz w:val="20"/>
          <w:szCs w:val="20"/>
        </w:rPr>
        <w:t>s and much of our intellectual property are incorporated into consumer wireless devices, which are subject to seasonality and other fluctuations in demand. Our revenues have historically fluctuated based on consumer demand for devices, as well as on the ti</w:t>
      </w:r>
      <w:r>
        <w:rPr>
          <w:rFonts w:eastAsia="Times New Roman"/>
          <w:color w:val="000000"/>
          <w:sz w:val="20"/>
          <w:szCs w:val="20"/>
        </w:rPr>
        <w:t>ming of customer/licensee device launches and/or innovation cycles (such as the transition to the next generation of wireless technologies). This has resulted in fluctuations in QCT revenues in advance of and during device launches incorporating our produc</w:t>
      </w:r>
      <w:r>
        <w:rPr>
          <w:rFonts w:eastAsia="Times New Roman"/>
          <w:color w:val="000000"/>
          <w:sz w:val="20"/>
          <w:szCs w:val="20"/>
        </w:rPr>
        <w:t>ts and in QTL revenues when licensees’ sales occur. These trends may or may not continue in the future. Further, the trends for QTL have been, and may in the future be, impacted by disputes and/or resolutions with licensees and/or governmental investigatio</w:t>
      </w:r>
      <w:r>
        <w:rPr>
          <w:rFonts w:eastAsia="Times New Roman"/>
          <w:color w:val="000000"/>
          <w:sz w:val="20"/>
          <w:szCs w:val="20"/>
        </w:rPr>
        <w:t>ns or proceedings.</w:t>
      </w:r>
    </w:p>
    <w:p w14:paraId="3088E71E" w14:textId="77777777" w:rsidR="00000000" w:rsidRDefault="009B6C69">
      <w:pPr>
        <w:divId w:val="1899970568"/>
        <w:rPr>
          <w:rFonts w:eastAsia="Times New Roman"/>
        </w:rPr>
      </w:pPr>
      <w:r>
        <w:rPr>
          <w:rFonts w:eastAsia="Times New Roman"/>
          <w:b/>
          <w:bCs/>
          <w:color w:val="000000"/>
          <w:sz w:val="20"/>
          <w:szCs w:val="20"/>
        </w:rPr>
        <w:t>Fiscal 2022 Overview and Other Recent Events</w:t>
      </w:r>
    </w:p>
    <w:p w14:paraId="0F1728D8" w14:textId="77777777" w:rsidR="00000000" w:rsidRDefault="009B6C69">
      <w:pPr>
        <w:ind w:firstLine="360"/>
        <w:divId w:val="110056980"/>
        <w:rPr>
          <w:rFonts w:eastAsia="Times New Roman"/>
        </w:rPr>
      </w:pPr>
      <w:r>
        <w:rPr>
          <w:rFonts w:eastAsia="Times New Roman"/>
          <w:color w:val="000000"/>
          <w:sz w:val="20"/>
          <w:szCs w:val="20"/>
        </w:rPr>
        <w:t>Revenues were $44.2 billion, an increase of 32% compared to revenues of $33.6 billion in fiscal 2021, with net income of $12.9 billion, an increase of 43% compared to net income of $9.0 billio</w:t>
      </w:r>
      <w:r>
        <w:rPr>
          <w:rFonts w:eastAsia="Times New Roman"/>
          <w:color w:val="000000"/>
          <w:sz w:val="20"/>
          <w:szCs w:val="20"/>
        </w:rPr>
        <w:t xml:space="preserve">n in fiscal 2021. Highlights from fiscal 2022 and other recent events included: </w:t>
      </w:r>
    </w:p>
    <w:p w14:paraId="06869544" w14:textId="77777777" w:rsidR="00000000" w:rsidRDefault="009B6C69">
      <w:pPr>
        <w:ind w:hanging="360"/>
        <w:divId w:val="1320618416"/>
        <w:rPr>
          <w:rFonts w:eastAsia="Times New Roman"/>
        </w:rPr>
      </w:pPr>
      <w:r>
        <w:rPr>
          <w:rFonts w:eastAsia="Times New Roman"/>
          <w:color w:val="000000"/>
          <w:sz w:val="20"/>
          <w:szCs w:val="20"/>
        </w:rPr>
        <w:t>•QCT revenues increased by 39% in fiscal 2022 compared to the prior year, primarily due to an increase in average selling prices and favorable mix toward higher-tier 5G produc</w:t>
      </w:r>
      <w:r>
        <w:rPr>
          <w:rFonts w:eastAsia="Times New Roman"/>
          <w:color w:val="000000"/>
          <w:sz w:val="20"/>
          <w:szCs w:val="20"/>
        </w:rPr>
        <w:t xml:space="preserve">ts along with higher integrated circuit shipments in handsets, as well as higher IoT revenues. </w:t>
      </w:r>
    </w:p>
    <w:p w14:paraId="741902AA" w14:textId="77777777" w:rsidR="00000000" w:rsidRDefault="009B6C69">
      <w:pPr>
        <w:ind w:hanging="360"/>
        <w:divId w:val="669871466"/>
        <w:rPr>
          <w:rFonts w:eastAsia="Times New Roman"/>
        </w:rPr>
      </w:pPr>
      <w:r>
        <w:rPr>
          <w:rFonts w:eastAsia="Times New Roman"/>
          <w:color w:val="000000"/>
          <w:sz w:val="20"/>
          <w:szCs w:val="20"/>
        </w:rPr>
        <w:t>•</w:t>
      </w:r>
      <w:r>
        <w:rPr>
          <w:rFonts w:eastAsia="Times New Roman"/>
          <w:color w:val="000000"/>
          <w:sz w:val="20"/>
          <w:szCs w:val="20"/>
        </w:rPr>
        <w:t>On June 15, 2022, the General Court of the European Union issued a ruling annulling in its entirety the European Commission’s (EC) 2018 decision, which previously imposed a fine of 997 million euros for which we had provided financial guarantees to satisfy</w:t>
      </w:r>
      <w:r>
        <w:rPr>
          <w:rFonts w:eastAsia="Times New Roman"/>
          <w:color w:val="000000"/>
          <w:sz w:val="20"/>
          <w:szCs w:val="20"/>
        </w:rPr>
        <w:t xml:space="preserve"> the obligation in lieu of cash payment. As a result, in the third quarter of fiscal 2022, we recorded a $1.1 billion benefit in other income and a $62 million reduction in interest expense resulting from the reversal of the accrued fine and the associated</w:t>
      </w:r>
      <w:r>
        <w:rPr>
          <w:rFonts w:eastAsia="Times New Roman"/>
          <w:color w:val="000000"/>
          <w:sz w:val="20"/>
          <w:szCs w:val="20"/>
        </w:rPr>
        <w:t xml:space="preserve"> interest previously recorded. See “Notes to Consolidated Financial Statements, Note 7. Commitments and Contingencies.”</w:t>
      </w:r>
    </w:p>
    <w:p w14:paraId="7E883BB6" w14:textId="77777777" w:rsidR="00000000" w:rsidRDefault="009B6C69">
      <w:pPr>
        <w:ind w:hanging="360"/>
        <w:divId w:val="479733857"/>
        <w:rPr>
          <w:rFonts w:eastAsia="Times New Roman"/>
        </w:rPr>
      </w:pPr>
      <w:r>
        <w:rPr>
          <w:rFonts w:ascii="Georgia" w:eastAsia="Times New Roman" w:hAnsi="Georgia"/>
          <w:color w:val="000000"/>
          <w:sz w:val="20"/>
          <w:szCs w:val="20"/>
        </w:rPr>
        <w:t>•</w:t>
      </w:r>
      <w:r>
        <w:rPr>
          <w:rFonts w:eastAsia="Times New Roman"/>
          <w:color w:val="000000"/>
          <w:sz w:val="20"/>
          <w:szCs w:val="20"/>
        </w:rPr>
        <w:t xml:space="preserve">On October 4, 2021, we and SSW Partners entered into a definitive agreement to acquire Veoneer, Inc. (Veoneer). The transaction closed </w:t>
      </w:r>
      <w:r>
        <w:rPr>
          <w:rFonts w:eastAsia="Times New Roman"/>
          <w:color w:val="000000"/>
          <w:sz w:val="20"/>
          <w:szCs w:val="20"/>
        </w:rPr>
        <w:t>on April 1, 2022. We funded substantially all of the total cash consideration paid in the transaction, which was approximately $4.7 billion. The operating results of the Non-Arriver businesses are reported as discontinued operations on a one quarter lag. A</w:t>
      </w:r>
      <w:r>
        <w:rPr>
          <w:rFonts w:eastAsia="Times New Roman"/>
          <w:color w:val="000000"/>
          <w:sz w:val="20"/>
          <w:szCs w:val="20"/>
        </w:rPr>
        <w:t xml:space="preserve">dditional information related to this acquisition is included in this Annual Report in “Notes to Consolidated Financial Statements, Note 9. Acquisitions.” </w:t>
      </w:r>
    </w:p>
    <w:p w14:paraId="4B67B8C4" w14:textId="77777777" w:rsidR="00000000" w:rsidRDefault="009B6C69">
      <w:pPr>
        <w:divId w:val="1328442018"/>
        <w:rPr>
          <w:rFonts w:eastAsia="Times New Roman"/>
        </w:rPr>
      </w:pPr>
      <w:r>
        <w:rPr>
          <w:rFonts w:eastAsia="Times New Roman"/>
          <w:b/>
          <w:bCs/>
          <w:color w:val="000000"/>
          <w:sz w:val="20"/>
          <w:szCs w:val="20"/>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907"/>
        <w:gridCol w:w="36"/>
        <w:gridCol w:w="110"/>
        <w:gridCol w:w="840"/>
        <w:gridCol w:w="36"/>
        <w:gridCol w:w="36"/>
        <w:gridCol w:w="36"/>
        <w:gridCol w:w="36"/>
        <w:gridCol w:w="110"/>
        <w:gridCol w:w="803"/>
        <w:gridCol w:w="36"/>
        <w:gridCol w:w="36"/>
        <w:gridCol w:w="36"/>
        <w:gridCol w:w="36"/>
        <w:gridCol w:w="36"/>
        <w:gridCol w:w="46"/>
        <w:gridCol w:w="110"/>
        <w:gridCol w:w="803"/>
        <w:gridCol w:w="36"/>
        <w:gridCol w:w="36"/>
        <w:gridCol w:w="36"/>
        <w:gridCol w:w="36"/>
        <w:gridCol w:w="36"/>
      </w:tblGrid>
      <w:tr w:rsidR="00000000" w14:paraId="285A7FFC" w14:textId="77777777">
        <w:trPr>
          <w:divId w:val="1328442018"/>
        </w:trPr>
        <w:tc>
          <w:tcPr>
            <w:tcW w:w="50" w:type="pct"/>
            <w:vAlign w:val="center"/>
            <w:hideMark/>
          </w:tcPr>
          <w:p w14:paraId="65281696" w14:textId="77777777" w:rsidR="00000000" w:rsidRDefault="009B6C69">
            <w:pPr>
              <w:rPr>
                <w:rFonts w:eastAsia="Times New Roman"/>
              </w:rPr>
            </w:pPr>
          </w:p>
        </w:tc>
        <w:tc>
          <w:tcPr>
            <w:tcW w:w="3062" w:type="pct"/>
            <w:vAlign w:val="center"/>
            <w:hideMark/>
          </w:tcPr>
          <w:p w14:paraId="4DF75B19" w14:textId="77777777" w:rsidR="00000000" w:rsidRDefault="009B6C69">
            <w:pPr>
              <w:spacing w:after="100"/>
              <w:rPr>
                <w:rFonts w:eastAsia="Times New Roman"/>
                <w:sz w:val="20"/>
                <w:szCs w:val="20"/>
              </w:rPr>
            </w:pPr>
          </w:p>
        </w:tc>
        <w:tc>
          <w:tcPr>
            <w:tcW w:w="5" w:type="pct"/>
            <w:vAlign w:val="center"/>
            <w:hideMark/>
          </w:tcPr>
          <w:p w14:paraId="256EA96C" w14:textId="77777777" w:rsidR="00000000" w:rsidRDefault="009B6C69">
            <w:pPr>
              <w:spacing w:after="100"/>
              <w:rPr>
                <w:rFonts w:eastAsia="Times New Roman"/>
                <w:sz w:val="20"/>
                <w:szCs w:val="20"/>
              </w:rPr>
            </w:pPr>
          </w:p>
        </w:tc>
        <w:tc>
          <w:tcPr>
            <w:tcW w:w="50" w:type="pct"/>
            <w:vAlign w:val="center"/>
            <w:hideMark/>
          </w:tcPr>
          <w:p w14:paraId="216657D2" w14:textId="77777777" w:rsidR="00000000" w:rsidRDefault="009B6C69">
            <w:pPr>
              <w:spacing w:after="100"/>
              <w:rPr>
                <w:rFonts w:eastAsia="Times New Roman"/>
                <w:sz w:val="20"/>
                <w:szCs w:val="20"/>
              </w:rPr>
            </w:pPr>
          </w:p>
        </w:tc>
        <w:tc>
          <w:tcPr>
            <w:tcW w:w="547" w:type="pct"/>
            <w:vAlign w:val="center"/>
            <w:hideMark/>
          </w:tcPr>
          <w:p w14:paraId="6E43E6FB" w14:textId="77777777" w:rsidR="00000000" w:rsidRDefault="009B6C69">
            <w:pPr>
              <w:spacing w:after="100"/>
              <w:rPr>
                <w:rFonts w:eastAsia="Times New Roman"/>
                <w:sz w:val="20"/>
                <w:szCs w:val="20"/>
              </w:rPr>
            </w:pPr>
          </w:p>
        </w:tc>
        <w:tc>
          <w:tcPr>
            <w:tcW w:w="5" w:type="pct"/>
            <w:vAlign w:val="center"/>
            <w:hideMark/>
          </w:tcPr>
          <w:p w14:paraId="3E012744" w14:textId="77777777" w:rsidR="00000000" w:rsidRDefault="009B6C69">
            <w:pPr>
              <w:spacing w:after="100"/>
              <w:rPr>
                <w:rFonts w:eastAsia="Times New Roman"/>
                <w:sz w:val="20"/>
                <w:szCs w:val="20"/>
              </w:rPr>
            </w:pPr>
          </w:p>
        </w:tc>
        <w:tc>
          <w:tcPr>
            <w:tcW w:w="5" w:type="pct"/>
            <w:vAlign w:val="center"/>
            <w:hideMark/>
          </w:tcPr>
          <w:p w14:paraId="4D4C2DC0" w14:textId="77777777" w:rsidR="00000000" w:rsidRDefault="009B6C69">
            <w:pPr>
              <w:spacing w:after="100"/>
              <w:rPr>
                <w:rFonts w:eastAsia="Times New Roman"/>
                <w:sz w:val="20"/>
                <w:szCs w:val="20"/>
              </w:rPr>
            </w:pPr>
          </w:p>
        </w:tc>
        <w:tc>
          <w:tcPr>
            <w:tcW w:w="27" w:type="pct"/>
            <w:vAlign w:val="center"/>
            <w:hideMark/>
          </w:tcPr>
          <w:p w14:paraId="7E83F49D" w14:textId="77777777" w:rsidR="00000000" w:rsidRDefault="009B6C69">
            <w:pPr>
              <w:spacing w:after="100"/>
              <w:rPr>
                <w:rFonts w:eastAsia="Times New Roman"/>
                <w:sz w:val="20"/>
                <w:szCs w:val="20"/>
              </w:rPr>
            </w:pPr>
          </w:p>
        </w:tc>
        <w:tc>
          <w:tcPr>
            <w:tcW w:w="5" w:type="pct"/>
            <w:vAlign w:val="center"/>
            <w:hideMark/>
          </w:tcPr>
          <w:p w14:paraId="274C3162" w14:textId="77777777" w:rsidR="00000000" w:rsidRDefault="009B6C69">
            <w:pPr>
              <w:spacing w:after="100"/>
              <w:rPr>
                <w:rFonts w:eastAsia="Times New Roman"/>
                <w:sz w:val="20"/>
                <w:szCs w:val="20"/>
              </w:rPr>
            </w:pPr>
          </w:p>
        </w:tc>
        <w:tc>
          <w:tcPr>
            <w:tcW w:w="50" w:type="pct"/>
            <w:vAlign w:val="center"/>
            <w:hideMark/>
          </w:tcPr>
          <w:p w14:paraId="310F4A4E" w14:textId="77777777" w:rsidR="00000000" w:rsidRDefault="009B6C69">
            <w:pPr>
              <w:spacing w:after="100"/>
              <w:rPr>
                <w:rFonts w:eastAsia="Times New Roman"/>
                <w:sz w:val="20"/>
                <w:szCs w:val="20"/>
              </w:rPr>
            </w:pPr>
          </w:p>
        </w:tc>
        <w:tc>
          <w:tcPr>
            <w:tcW w:w="547" w:type="pct"/>
            <w:vAlign w:val="center"/>
            <w:hideMark/>
          </w:tcPr>
          <w:p w14:paraId="32A253AD" w14:textId="77777777" w:rsidR="00000000" w:rsidRDefault="009B6C69">
            <w:pPr>
              <w:spacing w:after="100"/>
              <w:rPr>
                <w:rFonts w:eastAsia="Times New Roman"/>
                <w:sz w:val="20"/>
                <w:szCs w:val="20"/>
              </w:rPr>
            </w:pPr>
          </w:p>
        </w:tc>
        <w:tc>
          <w:tcPr>
            <w:tcW w:w="5" w:type="pct"/>
            <w:vAlign w:val="center"/>
            <w:hideMark/>
          </w:tcPr>
          <w:p w14:paraId="1870D650" w14:textId="77777777" w:rsidR="00000000" w:rsidRDefault="009B6C69">
            <w:pPr>
              <w:spacing w:after="100"/>
              <w:rPr>
                <w:rFonts w:eastAsia="Times New Roman"/>
                <w:sz w:val="20"/>
                <w:szCs w:val="20"/>
              </w:rPr>
            </w:pPr>
          </w:p>
        </w:tc>
        <w:tc>
          <w:tcPr>
            <w:tcW w:w="5" w:type="pct"/>
            <w:vAlign w:val="center"/>
            <w:hideMark/>
          </w:tcPr>
          <w:p w14:paraId="3BDA72F6" w14:textId="77777777" w:rsidR="00000000" w:rsidRDefault="009B6C69">
            <w:pPr>
              <w:spacing w:after="100"/>
              <w:rPr>
                <w:rFonts w:eastAsia="Times New Roman"/>
                <w:sz w:val="20"/>
                <w:szCs w:val="20"/>
              </w:rPr>
            </w:pPr>
          </w:p>
        </w:tc>
        <w:tc>
          <w:tcPr>
            <w:tcW w:w="27" w:type="pct"/>
            <w:vAlign w:val="center"/>
            <w:hideMark/>
          </w:tcPr>
          <w:p w14:paraId="46790E2D" w14:textId="77777777" w:rsidR="00000000" w:rsidRDefault="009B6C69">
            <w:pPr>
              <w:spacing w:after="100"/>
              <w:rPr>
                <w:rFonts w:eastAsia="Times New Roman"/>
                <w:sz w:val="20"/>
                <w:szCs w:val="20"/>
              </w:rPr>
            </w:pPr>
          </w:p>
        </w:tc>
        <w:tc>
          <w:tcPr>
            <w:tcW w:w="5" w:type="pct"/>
            <w:vAlign w:val="center"/>
            <w:hideMark/>
          </w:tcPr>
          <w:p w14:paraId="2D21A0C7" w14:textId="77777777" w:rsidR="00000000" w:rsidRDefault="009B6C69">
            <w:pPr>
              <w:spacing w:after="100"/>
              <w:rPr>
                <w:rFonts w:eastAsia="Times New Roman"/>
                <w:sz w:val="20"/>
                <w:szCs w:val="20"/>
              </w:rPr>
            </w:pPr>
          </w:p>
        </w:tc>
        <w:tc>
          <w:tcPr>
            <w:tcW w:w="0" w:type="auto"/>
            <w:vAlign w:val="center"/>
            <w:hideMark/>
          </w:tcPr>
          <w:p w14:paraId="7E21B041" w14:textId="77777777" w:rsidR="00000000" w:rsidRDefault="009B6C69">
            <w:pPr>
              <w:spacing w:after="100"/>
              <w:rPr>
                <w:rFonts w:eastAsia="Times New Roman"/>
                <w:sz w:val="20"/>
                <w:szCs w:val="20"/>
              </w:rPr>
            </w:pPr>
          </w:p>
        </w:tc>
        <w:tc>
          <w:tcPr>
            <w:tcW w:w="0" w:type="auto"/>
            <w:vAlign w:val="center"/>
            <w:hideMark/>
          </w:tcPr>
          <w:p w14:paraId="6D73B621" w14:textId="77777777" w:rsidR="00000000" w:rsidRDefault="009B6C69">
            <w:pPr>
              <w:spacing w:after="100"/>
              <w:rPr>
                <w:rFonts w:eastAsia="Times New Roman"/>
                <w:sz w:val="20"/>
                <w:szCs w:val="20"/>
              </w:rPr>
            </w:pPr>
          </w:p>
        </w:tc>
        <w:tc>
          <w:tcPr>
            <w:tcW w:w="50" w:type="pct"/>
            <w:vAlign w:val="center"/>
            <w:hideMark/>
          </w:tcPr>
          <w:p w14:paraId="0B1F0E65" w14:textId="77777777" w:rsidR="00000000" w:rsidRDefault="009B6C69">
            <w:pPr>
              <w:spacing w:after="100"/>
              <w:rPr>
                <w:rFonts w:eastAsia="Times New Roman"/>
                <w:sz w:val="20"/>
                <w:szCs w:val="20"/>
              </w:rPr>
            </w:pPr>
          </w:p>
        </w:tc>
        <w:tc>
          <w:tcPr>
            <w:tcW w:w="547" w:type="pct"/>
            <w:vAlign w:val="center"/>
            <w:hideMark/>
          </w:tcPr>
          <w:p w14:paraId="4177FCA7" w14:textId="77777777" w:rsidR="00000000" w:rsidRDefault="009B6C69">
            <w:pPr>
              <w:spacing w:after="100"/>
              <w:rPr>
                <w:rFonts w:eastAsia="Times New Roman"/>
                <w:sz w:val="20"/>
                <w:szCs w:val="20"/>
              </w:rPr>
            </w:pPr>
          </w:p>
        </w:tc>
        <w:tc>
          <w:tcPr>
            <w:tcW w:w="5" w:type="pct"/>
            <w:vAlign w:val="center"/>
            <w:hideMark/>
          </w:tcPr>
          <w:p w14:paraId="332462D8" w14:textId="77777777" w:rsidR="00000000" w:rsidRDefault="009B6C69">
            <w:pPr>
              <w:spacing w:after="100"/>
              <w:rPr>
                <w:rFonts w:eastAsia="Times New Roman"/>
                <w:sz w:val="20"/>
                <w:szCs w:val="20"/>
              </w:rPr>
            </w:pPr>
          </w:p>
        </w:tc>
        <w:tc>
          <w:tcPr>
            <w:tcW w:w="0" w:type="auto"/>
            <w:vAlign w:val="center"/>
            <w:hideMark/>
          </w:tcPr>
          <w:p w14:paraId="15F0B996" w14:textId="77777777" w:rsidR="00000000" w:rsidRDefault="009B6C69">
            <w:pPr>
              <w:spacing w:after="100"/>
              <w:rPr>
                <w:rFonts w:eastAsia="Times New Roman"/>
                <w:sz w:val="20"/>
                <w:szCs w:val="20"/>
              </w:rPr>
            </w:pPr>
          </w:p>
        </w:tc>
        <w:tc>
          <w:tcPr>
            <w:tcW w:w="0" w:type="auto"/>
            <w:gridSpan w:val="3"/>
            <w:vAlign w:val="center"/>
            <w:hideMark/>
          </w:tcPr>
          <w:p w14:paraId="4F0C5D0C" w14:textId="77777777" w:rsidR="00000000" w:rsidRDefault="009B6C69">
            <w:pPr>
              <w:spacing w:after="100"/>
              <w:rPr>
                <w:rFonts w:eastAsia="Times New Roman"/>
                <w:sz w:val="20"/>
                <w:szCs w:val="20"/>
              </w:rPr>
            </w:pPr>
          </w:p>
        </w:tc>
      </w:tr>
      <w:tr w:rsidR="00000000" w14:paraId="097E3122" w14:textId="77777777">
        <w:trPr>
          <w:divId w:val="1328442018"/>
        </w:trPr>
        <w:tc>
          <w:tcPr>
            <w:tcW w:w="0" w:type="auto"/>
            <w:gridSpan w:val="3"/>
            <w:tcMar>
              <w:top w:w="30" w:type="dxa"/>
              <w:left w:w="290" w:type="dxa"/>
              <w:bottom w:w="30" w:type="dxa"/>
              <w:right w:w="20" w:type="dxa"/>
            </w:tcMar>
            <w:vAlign w:val="bottom"/>
            <w:hideMark/>
          </w:tcPr>
          <w:p w14:paraId="32ECAC3B" w14:textId="77777777" w:rsidR="00000000" w:rsidRDefault="009B6C69">
            <w:pPr>
              <w:spacing w:after="100"/>
              <w:rPr>
                <w:rFonts w:eastAsia="Times New Roman"/>
              </w:rPr>
            </w:pPr>
            <w:r>
              <w:rPr>
                <w:rFonts w:eastAsia="Times New Roman"/>
                <w:b/>
                <w:bCs/>
                <w:i/>
                <w:iCs/>
                <w:color w:val="000000"/>
                <w:sz w:val="20"/>
                <w:szCs w:val="20"/>
              </w:rPr>
              <w:t>Revenues (in millions)</w:t>
            </w:r>
          </w:p>
        </w:tc>
        <w:tc>
          <w:tcPr>
            <w:tcW w:w="0" w:type="auto"/>
            <w:gridSpan w:val="12"/>
            <w:tcMar>
              <w:top w:w="0" w:type="dxa"/>
              <w:left w:w="20" w:type="dxa"/>
              <w:bottom w:w="0" w:type="dxa"/>
              <w:right w:w="20" w:type="dxa"/>
            </w:tcMar>
            <w:vAlign w:val="center"/>
            <w:hideMark/>
          </w:tcPr>
          <w:p w14:paraId="3C982A6D" w14:textId="77777777" w:rsidR="00000000" w:rsidRDefault="009B6C69">
            <w:pPr>
              <w:spacing w:after="100"/>
              <w:rPr>
                <w:rFonts w:eastAsia="Times New Roman"/>
              </w:rPr>
            </w:pPr>
          </w:p>
        </w:tc>
        <w:tc>
          <w:tcPr>
            <w:tcW w:w="0" w:type="auto"/>
            <w:vAlign w:val="center"/>
            <w:hideMark/>
          </w:tcPr>
          <w:p w14:paraId="34A06D04" w14:textId="77777777" w:rsidR="00000000" w:rsidRDefault="009B6C69">
            <w:pPr>
              <w:spacing w:after="100"/>
              <w:rPr>
                <w:rFonts w:eastAsia="Times New Roman"/>
                <w:sz w:val="20"/>
                <w:szCs w:val="20"/>
              </w:rPr>
            </w:pPr>
          </w:p>
        </w:tc>
        <w:tc>
          <w:tcPr>
            <w:tcW w:w="0" w:type="auto"/>
            <w:tcMar>
              <w:top w:w="0" w:type="dxa"/>
              <w:left w:w="20" w:type="dxa"/>
              <w:bottom w:w="0" w:type="dxa"/>
              <w:right w:w="20" w:type="dxa"/>
            </w:tcMar>
            <w:vAlign w:val="center"/>
            <w:hideMark/>
          </w:tcPr>
          <w:p w14:paraId="09830EFE" w14:textId="77777777" w:rsidR="00000000" w:rsidRDefault="009B6C69">
            <w:pPr>
              <w:spacing w:after="100"/>
              <w:rPr>
                <w:rFonts w:eastAsia="Times New Roman"/>
                <w:sz w:val="20"/>
                <w:szCs w:val="20"/>
              </w:rPr>
            </w:pPr>
          </w:p>
        </w:tc>
        <w:tc>
          <w:tcPr>
            <w:tcW w:w="0" w:type="auto"/>
            <w:gridSpan w:val="3"/>
            <w:vAlign w:val="center"/>
            <w:hideMark/>
          </w:tcPr>
          <w:p w14:paraId="03E2E644" w14:textId="77777777" w:rsidR="00000000" w:rsidRDefault="009B6C69">
            <w:pPr>
              <w:spacing w:after="100"/>
              <w:rPr>
                <w:rFonts w:eastAsia="Times New Roman"/>
                <w:sz w:val="20"/>
                <w:szCs w:val="20"/>
              </w:rPr>
            </w:pPr>
          </w:p>
        </w:tc>
        <w:tc>
          <w:tcPr>
            <w:tcW w:w="0" w:type="auto"/>
            <w:vAlign w:val="center"/>
            <w:hideMark/>
          </w:tcPr>
          <w:p w14:paraId="32A876D3" w14:textId="77777777" w:rsidR="00000000" w:rsidRDefault="009B6C69">
            <w:pPr>
              <w:spacing w:after="100"/>
              <w:rPr>
                <w:rFonts w:eastAsia="Times New Roman"/>
                <w:sz w:val="20"/>
                <w:szCs w:val="20"/>
              </w:rPr>
            </w:pPr>
          </w:p>
        </w:tc>
        <w:tc>
          <w:tcPr>
            <w:tcW w:w="0" w:type="auto"/>
            <w:vAlign w:val="center"/>
            <w:hideMark/>
          </w:tcPr>
          <w:p w14:paraId="03E3585E" w14:textId="77777777" w:rsidR="00000000" w:rsidRDefault="009B6C69">
            <w:pPr>
              <w:spacing w:after="100"/>
              <w:rPr>
                <w:rFonts w:eastAsia="Times New Roman"/>
                <w:sz w:val="20"/>
                <w:szCs w:val="20"/>
              </w:rPr>
            </w:pPr>
          </w:p>
        </w:tc>
        <w:tc>
          <w:tcPr>
            <w:tcW w:w="0" w:type="auto"/>
            <w:vAlign w:val="center"/>
            <w:hideMark/>
          </w:tcPr>
          <w:p w14:paraId="43C1CE36" w14:textId="77777777" w:rsidR="00000000" w:rsidRDefault="009B6C69">
            <w:pPr>
              <w:spacing w:after="100"/>
              <w:rPr>
                <w:rFonts w:eastAsia="Times New Roman"/>
                <w:sz w:val="20"/>
                <w:szCs w:val="20"/>
              </w:rPr>
            </w:pPr>
          </w:p>
        </w:tc>
        <w:tc>
          <w:tcPr>
            <w:tcW w:w="0" w:type="auto"/>
            <w:vAlign w:val="center"/>
            <w:hideMark/>
          </w:tcPr>
          <w:p w14:paraId="7D10D311" w14:textId="77777777" w:rsidR="00000000" w:rsidRDefault="009B6C69">
            <w:pPr>
              <w:spacing w:after="100"/>
              <w:rPr>
                <w:rFonts w:eastAsia="Times New Roman"/>
                <w:sz w:val="20"/>
                <w:szCs w:val="20"/>
              </w:rPr>
            </w:pPr>
          </w:p>
        </w:tc>
      </w:tr>
      <w:tr w:rsidR="00000000" w14:paraId="6F964EE5" w14:textId="77777777">
        <w:trPr>
          <w:divId w:val="1328442018"/>
        </w:trPr>
        <w:tc>
          <w:tcPr>
            <w:tcW w:w="0" w:type="auto"/>
            <w:gridSpan w:val="3"/>
            <w:tcMar>
              <w:top w:w="0" w:type="dxa"/>
              <w:left w:w="20" w:type="dxa"/>
              <w:bottom w:w="0" w:type="dxa"/>
              <w:right w:w="20" w:type="dxa"/>
            </w:tcMar>
            <w:vAlign w:val="center"/>
            <w:hideMark/>
          </w:tcPr>
          <w:p w14:paraId="492FA5DD"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3FAF82F"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14:paraId="0E10084E"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81B5B06"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6C7FC1FB" w14:textId="77777777" w:rsidR="00000000" w:rsidRDefault="009B6C69">
            <w:pPr>
              <w:spacing w:after="100"/>
              <w:jc w:val="center"/>
              <w:rPr>
                <w:rFonts w:eastAsia="Times New Roman"/>
              </w:rPr>
            </w:pPr>
          </w:p>
        </w:tc>
        <w:tc>
          <w:tcPr>
            <w:tcW w:w="0" w:type="auto"/>
            <w:vAlign w:val="center"/>
            <w:hideMark/>
          </w:tcPr>
          <w:p w14:paraId="7C419AFD" w14:textId="77777777" w:rsidR="00000000" w:rsidRDefault="009B6C69">
            <w:pPr>
              <w:spacing w:after="100"/>
              <w:rPr>
                <w:rFonts w:eastAsia="Times New Roman"/>
                <w:sz w:val="20"/>
                <w:szCs w:val="20"/>
              </w:rPr>
            </w:pPr>
          </w:p>
        </w:tc>
        <w:tc>
          <w:tcPr>
            <w:tcW w:w="0" w:type="auto"/>
            <w:vAlign w:val="center"/>
            <w:hideMark/>
          </w:tcPr>
          <w:p w14:paraId="7BE3CFD2"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DA8AB7D" w14:textId="77777777" w:rsidR="00000000" w:rsidRDefault="009B6C69">
            <w:pPr>
              <w:spacing w:after="100"/>
              <w:jc w:val="center"/>
              <w:rPr>
                <w:rFonts w:eastAsia="Times New Roman"/>
              </w:rPr>
            </w:pPr>
            <w:r>
              <w:rPr>
                <w:rFonts w:eastAsia="Times New Roman"/>
                <w:b/>
                <w:bCs/>
                <w:color w:val="000000"/>
                <w:sz w:val="18"/>
                <w:szCs w:val="18"/>
              </w:rPr>
              <w:t>Change</w:t>
            </w:r>
          </w:p>
        </w:tc>
        <w:tc>
          <w:tcPr>
            <w:tcW w:w="0" w:type="auto"/>
            <w:vAlign w:val="center"/>
            <w:hideMark/>
          </w:tcPr>
          <w:p w14:paraId="7AC7D284" w14:textId="77777777" w:rsidR="00000000" w:rsidRDefault="009B6C69">
            <w:pPr>
              <w:spacing w:after="100"/>
              <w:jc w:val="center"/>
              <w:rPr>
                <w:rFonts w:eastAsia="Times New Roman"/>
              </w:rPr>
            </w:pPr>
          </w:p>
        </w:tc>
        <w:tc>
          <w:tcPr>
            <w:tcW w:w="0" w:type="auto"/>
            <w:gridSpan w:val="3"/>
            <w:vAlign w:val="center"/>
            <w:hideMark/>
          </w:tcPr>
          <w:p w14:paraId="5EE418BF" w14:textId="77777777" w:rsidR="00000000" w:rsidRDefault="009B6C69">
            <w:pPr>
              <w:spacing w:after="100"/>
              <w:rPr>
                <w:rFonts w:eastAsia="Times New Roman"/>
                <w:sz w:val="20"/>
                <w:szCs w:val="20"/>
              </w:rPr>
            </w:pPr>
          </w:p>
        </w:tc>
      </w:tr>
      <w:tr w:rsidR="00000000" w14:paraId="09B05B64" w14:textId="77777777">
        <w:trPr>
          <w:divId w:val="1328442018"/>
        </w:trPr>
        <w:tc>
          <w:tcPr>
            <w:tcW w:w="0" w:type="auto"/>
            <w:gridSpan w:val="3"/>
            <w:shd w:val="clear" w:color="auto" w:fill="CCEEFF"/>
            <w:tcMar>
              <w:top w:w="30" w:type="dxa"/>
              <w:left w:w="20" w:type="dxa"/>
              <w:bottom w:w="30" w:type="dxa"/>
              <w:right w:w="20" w:type="dxa"/>
            </w:tcMar>
            <w:vAlign w:val="bottom"/>
            <w:hideMark/>
          </w:tcPr>
          <w:p w14:paraId="745D9C87" w14:textId="77777777" w:rsidR="00000000" w:rsidRDefault="009B6C69">
            <w:pPr>
              <w:spacing w:after="100"/>
              <w:rPr>
                <w:rFonts w:eastAsia="Times New Roman"/>
              </w:rPr>
            </w:pPr>
            <w:r>
              <w:rPr>
                <w:rFonts w:eastAsia="Times New Roman"/>
                <w:color w:val="000000"/>
                <w:sz w:val="18"/>
                <w:szCs w:val="18"/>
              </w:rPr>
              <w:t>Equipment and services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4AD244"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7151D8" w14:textId="77777777" w:rsidR="00000000" w:rsidRDefault="009B6C69">
            <w:pPr>
              <w:spacing w:after="100"/>
              <w:jc w:val="right"/>
              <w:rPr>
                <w:rFonts w:eastAsia="Times New Roman"/>
              </w:rPr>
            </w:pPr>
            <w:r>
              <w:rPr>
                <w:rFonts w:eastAsia="Times New Roman"/>
                <w:color w:val="000000"/>
                <w:sz w:val="18"/>
                <w:szCs w:val="18"/>
              </w:rPr>
              <w:t>37,171 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5DAED2"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08A8F3"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463317"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22D7C3" w14:textId="77777777" w:rsidR="00000000" w:rsidRDefault="009B6C69">
            <w:pPr>
              <w:spacing w:after="100"/>
              <w:jc w:val="right"/>
              <w:rPr>
                <w:rFonts w:eastAsia="Times New Roman"/>
              </w:rPr>
            </w:pPr>
            <w:r>
              <w:rPr>
                <w:rFonts w:eastAsia="Times New Roman"/>
                <w:color w:val="000000"/>
                <w:sz w:val="18"/>
                <w:szCs w:val="18"/>
              </w:rPr>
              <w:t>26,741 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BC4EF2"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2D8489" w14:textId="77777777" w:rsidR="00000000" w:rsidRDefault="009B6C69">
            <w:pPr>
              <w:spacing w:after="100"/>
              <w:jc w:val="right"/>
              <w:rPr>
                <w:rFonts w:eastAsia="Times New Roman"/>
                <w:sz w:val="20"/>
                <w:szCs w:val="20"/>
              </w:rPr>
            </w:pPr>
          </w:p>
        </w:tc>
        <w:tc>
          <w:tcPr>
            <w:tcW w:w="0" w:type="auto"/>
            <w:vAlign w:val="center"/>
            <w:hideMark/>
          </w:tcPr>
          <w:p w14:paraId="084267D2" w14:textId="77777777" w:rsidR="00000000" w:rsidRDefault="009B6C69">
            <w:pPr>
              <w:spacing w:after="100"/>
              <w:rPr>
                <w:rFonts w:eastAsia="Times New Roman"/>
                <w:sz w:val="20"/>
                <w:szCs w:val="20"/>
              </w:rPr>
            </w:pPr>
          </w:p>
        </w:tc>
        <w:tc>
          <w:tcPr>
            <w:tcW w:w="0" w:type="auto"/>
            <w:vAlign w:val="center"/>
            <w:hideMark/>
          </w:tcPr>
          <w:p w14:paraId="769593EA"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5873CA"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5EE8EB" w14:textId="77777777" w:rsidR="00000000" w:rsidRDefault="009B6C69">
            <w:pPr>
              <w:spacing w:after="100"/>
              <w:jc w:val="right"/>
              <w:rPr>
                <w:rFonts w:eastAsia="Times New Roman"/>
              </w:rPr>
            </w:pPr>
            <w:r>
              <w:rPr>
                <w:rFonts w:eastAsia="Times New Roman"/>
                <w:color w:val="000000"/>
                <w:sz w:val="18"/>
                <w:szCs w:val="18"/>
              </w:rPr>
              <w:t>10,430 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1A65B8" w14:textId="77777777" w:rsidR="00000000" w:rsidRDefault="009B6C69">
            <w:pPr>
              <w:spacing w:after="100"/>
              <w:jc w:val="right"/>
              <w:rPr>
                <w:rFonts w:eastAsia="Times New Roman"/>
              </w:rPr>
            </w:pPr>
          </w:p>
        </w:tc>
        <w:tc>
          <w:tcPr>
            <w:tcW w:w="0" w:type="auto"/>
            <w:vAlign w:val="center"/>
            <w:hideMark/>
          </w:tcPr>
          <w:p w14:paraId="3EBD48B1" w14:textId="77777777" w:rsidR="00000000" w:rsidRDefault="009B6C69">
            <w:pPr>
              <w:spacing w:after="100"/>
              <w:jc w:val="right"/>
              <w:rPr>
                <w:rFonts w:eastAsia="Times New Roman"/>
                <w:sz w:val="20"/>
                <w:szCs w:val="20"/>
              </w:rPr>
            </w:pPr>
          </w:p>
        </w:tc>
        <w:tc>
          <w:tcPr>
            <w:tcW w:w="0" w:type="auto"/>
            <w:gridSpan w:val="3"/>
            <w:vAlign w:val="center"/>
            <w:hideMark/>
          </w:tcPr>
          <w:p w14:paraId="7E9A8A16" w14:textId="77777777" w:rsidR="00000000" w:rsidRDefault="009B6C69">
            <w:pPr>
              <w:spacing w:after="100"/>
              <w:rPr>
                <w:rFonts w:eastAsia="Times New Roman"/>
                <w:sz w:val="20"/>
                <w:szCs w:val="20"/>
              </w:rPr>
            </w:pPr>
          </w:p>
        </w:tc>
      </w:tr>
      <w:tr w:rsidR="00000000" w14:paraId="269329B5" w14:textId="77777777">
        <w:trPr>
          <w:divId w:val="1328442018"/>
        </w:trPr>
        <w:tc>
          <w:tcPr>
            <w:tcW w:w="0" w:type="auto"/>
            <w:gridSpan w:val="3"/>
            <w:shd w:val="clear" w:color="auto" w:fill="FFFFFF"/>
            <w:tcMar>
              <w:top w:w="30" w:type="dxa"/>
              <w:left w:w="20" w:type="dxa"/>
              <w:bottom w:w="30" w:type="dxa"/>
              <w:right w:w="20" w:type="dxa"/>
            </w:tcMar>
            <w:vAlign w:val="bottom"/>
            <w:hideMark/>
          </w:tcPr>
          <w:p w14:paraId="4DAEC64C" w14:textId="77777777" w:rsidR="00000000" w:rsidRDefault="009B6C69">
            <w:pPr>
              <w:spacing w:after="100"/>
              <w:rPr>
                <w:rFonts w:eastAsia="Times New Roman"/>
              </w:rPr>
            </w:pPr>
            <w:r>
              <w:rPr>
                <w:rFonts w:eastAsia="Times New Roman"/>
                <w:color w:val="000000"/>
                <w:sz w:val="18"/>
                <w:szCs w:val="18"/>
              </w:rPr>
              <w:t>Licensing</w:t>
            </w:r>
          </w:p>
        </w:tc>
        <w:tc>
          <w:tcPr>
            <w:tcW w:w="0" w:type="auto"/>
            <w:gridSpan w:val="2"/>
            <w:shd w:val="clear" w:color="auto" w:fill="FFFFFF"/>
            <w:tcMar>
              <w:top w:w="30" w:type="dxa"/>
              <w:left w:w="20" w:type="dxa"/>
              <w:bottom w:w="30" w:type="dxa"/>
              <w:right w:w="0" w:type="dxa"/>
            </w:tcMar>
            <w:vAlign w:val="bottom"/>
            <w:hideMark/>
          </w:tcPr>
          <w:p w14:paraId="44FA2993" w14:textId="77777777" w:rsidR="00000000" w:rsidRDefault="009B6C69">
            <w:pPr>
              <w:spacing w:after="100"/>
              <w:jc w:val="right"/>
              <w:rPr>
                <w:rFonts w:eastAsia="Times New Roman"/>
              </w:rPr>
            </w:pPr>
            <w:r>
              <w:rPr>
                <w:rFonts w:eastAsia="Times New Roman"/>
                <w:color w:val="000000"/>
                <w:sz w:val="18"/>
                <w:szCs w:val="18"/>
              </w:rPr>
              <w:t>7,029 </w:t>
            </w:r>
          </w:p>
        </w:tc>
        <w:tc>
          <w:tcPr>
            <w:tcW w:w="0" w:type="auto"/>
            <w:shd w:val="clear" w:color="auto" w:fill="FFFFFF"/>
            <w:tcMar>
              <w:top w:w="30" w:type="dxa"/>
              <w:left w:w="0" w:type="dxa"/>
              <w:bottom w:w="30" w:type="dxa"/>
              <w:right w:w="20" w:type="dxa"/>
            </w:tcMar>
            <w:vAlign w:val="bottom"/>
            <w:hideMark/>
          </w:tcPr>
          <w:p w14:paraId="4C19CFAF"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4139E7"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5717C8" w14:textId="77777777" w:rsidR="00000000" w:rsidRDefault="009B6C69">
            <w:pPr>
              <w:spacing w:after="100"/>
              <w:jc w:val="right"/>
              <w:rPr>
                <w:rFonts w:eastAsia="Times New Roman"/>
              </w:rPr>
            </w:pPr>
            <w:r>
              <w:rPr>
                <w:rFonts w:eastAsia="Times New Roman"/>
                <w:color w:val="000000"/>
                <w:sz w:val="18"/>
                <w:szCs w:val="18"/>
              </w:rPr>
              <w:t>6,825 </w:t>
            </w:r>
          </w:p>
        </w:tc>
        <w:tc>
          <w:tcPr>
            <w:tcW w:w="0" w:type="auto"/>
            <w:shd w:val="clear" w:color="auto" w:fill="FFFFFF"/>
            <w:tcMar>
              <w:top w:w="30" w:type="dxa"/>
              <w:left w:w="0" w:type="dxa"/>
              <w:bottom w:w="30" w:type="dxa"/>
              <w:right w:w="20" w:type="dxa"/>
            </w:tcMar>
            <w:vAlign w:val="bottom"/>
            <w:hideMark/>
          </w:tcPr>
          <w:p w14:paraId="6238045C"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0C19D0" w14:textId="77777777" w:rsidR="00000000" w:rsidRDefault="009B6C69">
            <w:pPr>
              <w:spacing w:after="100"/>
              <w:jc w:val="right"/>
              <w:rPr>
                <w:rFonts w:eastAsia="Times New Roman"/>
                <w:sz w:val="20"/>
                <w:szCs w:val="20"/>
              </w:rPr>
            </w:pPr>
          </w:p>
        </w:tc>
        <w:tc>
          <w:tcPr>
            <w:tcW w:w="0" w:type="auto"/>
            <w:vAlign w:val="center"/>
            <w:hideMark/>
          </w:tcPr>
          <w:p w14:paraId="5D47099E" w14:textId="77777777" w:rsidR="00000000" w:rsidRDefault="009B6C69">
            <w:pPr>
              <w:spacing w:after="100"/>
              <w:rPr>
                <w:rFonts w:eastAsia="Times New Roman"/>
                <w:sz w:val="20"/>
                <w:szCs w:val="20"/>
              </w:rPr>
            </w:pPr>
          </w:p>
        </w:tc>
        <w:tc>
          <w:tcPr>
            <w:tcW w:w="0" w:type="auto"/>
            <w:vAlign w:val="center"/>
            <w:hideMark/>
          </w:tcPr>
          <w:p w14:paraId="0948D010"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62AB3C" w14:textId="77777777" w:rsidR="00000000" w:rsidRDefault="009B6C69">
            <w:pPr>
              <w:spacing w:after="100"/>
              <w:jc w:val="right"/>
              <w:rPr>
                <w:rFonts w:eastAsia="Times New Roman"/>
              </w:rPr>
            </w:pPr>
            <w:r>
              <w:rPr>
                <w:rFonts w:eastAsia="Times New Roman"/>
                <w:color w:val="000000"/>
                <w:sz w:val="18"/>
                <w:szCs w:val="18"/>
              </w:rPr>
              <w:t>204 </w:t>
            </w:r>
          </w:p>
        </w:tc>
        <w:tc>
          <w:tcPr>
            <w:tcW w:w="0" w:type="auto"/>
            <w:shd w:val="clear" w:color="auto" w:fill="FFFFFF"/>
            <w:tcMar>
              <w:top w:w="30" w:type="dxa"/>
              <w:left w:w="0" w:type="dxa"/>
              <w:bottom w:w="30" w:type="dxa"/>
              <w:right w:w="20" w:type="dxa"/>
            </w:tcMar>
            <w:vAlign w:val="bottom"/>
            <w:hideMark/>
          </w:tcPr>
          <w:p w14:paraId="69500A31" w14:textId="77777777" w:rsidR="00000000" w:rsidRDefault="009B6C69">
            <w:pPr>
              <w:spacing w:after="100"/>
              <w:jc w:val="right"/>
              <w:rPr>
                <w:rFonts w:eastAsia="Times New Roman"/>
              </w:rPr>
            </w:pPr>
          </w:p>
        </w:tc>
        <w:tc>
          <w:tcPr>
            <w:tcW w:w="0" w:type="auto"/>
            <w:vAlign w:val="center"/>
            <w:hideMark/>
          </w:tcPr>
          <w:p w14:paraId="3EA3DB22" w14:textId="77777777" w:rsidR="00000000" w:rsidRDefault="009B6C69">
            <w:pPr>
              <w:spacing w:after="100"/>
              <w:jc w:val="right"/>
              <w:rPr>
                <w:rFonts w:eastAsia="Times New Roman"/>
                <w:sz w:val="20"/>
                <w:szCs w:val="20"/>
              </w:rPr>
            </w:pPr>
          </w:p>
        </w:tc>
        <w:tc>
          <w:tcPr>
            <w:tcW w:w="0" w:type="auto"/>
            <w:gridSpan w:val="3"/>
            <w:vAlign w:val="center"/>
            <w:hideMark/>
          </w:tcPr>
          <w:p w14:paraId="2F1A7F52" w14:textId="77777777" w:rsidR="00000000" w:rsidRDefault="009B6C69">
            <w:pPr>
              <w:spacing w:after="100"/>
              <w:rPr>
                <w:rFonts w:eastAsia="Times New Roman"/>
                <w:sz w:val="20"/>
                <w:szCs w:val="20"/>
              </w:rPr>
            </w:pPr>
          </w:p>
        </w:tc>
      </w:tr>
      <w:tr w:rsidR="00000000" w14:paraId="21F48A8E" w14:textId="77777777">
        <w:trPr>
          <w:divId w:val="1328442018"/>
        </w:trPr>
        <w:tc>
          <w:tcPr>
            <w:tcW w:w="0" w:type="auto"/>
            <w:gridSpan w:val="3"/>
            <w:shd w:val="clear" w:color="auto" w:fill="CCEEFF"/>
            <w:tcMar>
              <w:top w:w="0" w:type="dxa"/>
              <w:left w:w="20" w:type="dxa"/>
              <w:bottom w:w="0" w:type="dxa"/>
              <w:right w:w="20" w:type="dxa"/>
            </w:tcMar>
            <w:vAlign w:val="center"/>
            <w:hideMark/>
          </w:tcPr>
          <w:p w14:paraId="76B3D214" w14:textId="77777777" w:rsidR="00000000" w:rsidRDefault="009B6C69">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8F347C"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FDD768D" w14:textId="77777777" w:rsidR="00000000" w:rsidRDefault="009B6C69">
            <w:pPr>
              <w:spacing w:after="100"/>
              <w:jc w:val="right"/>
              <w:rPr>
                <w:rFonts w:eastAsia="Times New Roman"/>
              </w:rPr>
            </w:pPr>
            <w:r>
              <w:rPr>
                <w:rFonts w:eastAsia="Times New Roman"/>
                <w:color w:val="000000"/>
                <w:sz w:val="18"/>
                <w:szCs w:val="18"/>
              </w:rPr>
              <w:t>44,200 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19E2A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18FC01"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889C4F"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AE17CC2" w14:textId="77777777" w:rsidR="00000000" w:rsidRDefault="009B6C69">
            <w:pPr>
              <w:spacing w:after="100"/>
              <w:jc w:val="right"/>
              <w:rPr>
                <w:rFonts w:eastAsia="Times New Roman"/>
              </w:rPr>
            </w:pPr>
            <w:r>
              <w:rPr>
                <w:rFonts w:eastAsia="Times New Roman"/>
                <w:color w:val="000000"/>
                <w:sz w:val="18"/>
                <w:szCs w:val="18"/>
              </w:rPr>
              <w:t>33,566 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7BF44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56D416" w14:textId="77777777" w:rsidR="00000000" w:rsidRDefault="009B6C69">
            <w:pPr>
              <w:spacing w:after="100"/>
              <w:jc w:val="right"/>
              <w:rPr>
                <w:rFonts w:eastAsia="Times New Roman"/>
                <w:sz w:val="20"/>
                <w:szCs w:val="20"/>
              </w:rPr>
            </w:pPr>
          </w:p>
        </w:tc>
        <w:tc>
          <w:tcPr>
            <w:tcW w:w="0" w:type="auto"/>
            <w:vAlign w:val="center"/>
            <w:hideMark/>
          </w:tcPr>
          <w:p w14:paraId="6312FB60" w14:textId="77777777" w:rsidR="00000000" w:rsidRDefault="009B6C69">
            <w:pPr>
              <w:spacing w:after="100"/>
              <w:rPr>
                <w:rFonts w:eastAsia="Times New Roman"/>
                <w:sz w:val="20"/>
                <w:szCs w:val="20"/>
              </w:rPr>
            </w:pPr>
          </w:p>
        </w:tc>
        <w:tc>
          <w:tcPr>
            <w:tcW w:w="0" w:type="auto"/>
            <w:vAlign w:val="center"/>
            <w:hideMark/>
          </w:tcPr>
          <w:p w14:paraId="6A42723B" w14:textId="77777777" w:rsidR="00000000" w:rsidRDefault="009B6C69">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2531E7"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7F8370C" w14:textId="77777777" w:rsidR="00000000" w:rsidRDefault="009B6C69">
            <w:pPr>
              <w:spacing w:after="100"/>
              <w:jc w:val="right"/>
              <w:rPr>
                <w:rFonts w:eastAsia="Times New Roman"/>
              </w:rPr>
            </w:pPr>
            <w:r>
              <w:rPr>
                <w:rFonts w:eastAsia="Times New Roman"/>
                <w:color w:val="000000"/>
                <w:sz w:val="18"/>
                <w:szCs w:val="18"/>
              </w:rPr>
              <w:t>10,634 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8648FD1" w14:textId="77777777" w:rsidR="00000000" w:rsidRDefault="009B6C69">
            <w:pPr>
              <w:spacing w:after="100"/>
              <w:jc w:val="right"/>
              <w:rPr>
                <w:rFonts w:eastAsia="Times New Roman"/>
              </w:rPr>
            </w:pPr>
          </w:p>
        </w:tc>
        <w:tc>
          <w:tcPr>
            <w:tcW w:w="0" w:type="auto"/>
            <w:vAlign w:val="center"/>
            <w:hideMark/>
          </w:tcPr>
          <w:p w14:paraId="54EE1134" w14:textId="77777777" w:rsidR="00000000" w:rsidRDefault="009B6C69">
            <w:pPr>
              <w:spacing w:after="100"/>
              <w:jc w:val="right"/>
              <w:rPr>
                <w:rFonts w:eastAsia="Times New Roman"/>
                <w:sz w:val="20"/>
                <w:szCs w:val="20"/>
              </w:rPr>
            </w:pPr>
          </w:p>
        </w:tc>
        <w:tc>
          <w:tcPr>
            <w:tcW w:w="0" w:type="auto"/>
            <w:gridSpan w:val="3"/>
            <w:vAlign w:val="center"/>
            <w:hideMark/>
          </w:tcPr>
          <w:p w14:paraId="4C16CE48" w14:textId="77777777" w:rsidR="00000000" w:rsidRDefault="009B6C69">
            <w:pPr>
              <w:spacing w:after="100"/>
              <w:rPr>
                <w:rFonts w:eastAsia="Times New Roman"/>
                <w:sz w:val="20"/>
                <w:szCs w:val="20"/>
              </w:rPr>
            </w:pPr>
          </w:p>
        </w:tc>
      </w:tr>
    </w:tbl>
    <w:p w14:paraId="3D7440BA" w14:textId="77777777" w:rsidR="00000000" w:rsidRDefault="009B6C69">
      <w:pPr>
        <w:divId w:val="2133330013"/>
        <w:rPr>
          <w:rFonts w:eastAsia="Times New Roman"/>
        </w:rPr>
      </w:pPr>
      <w:r>
        <w:rPr>
          <w:rFonts w:eastAsia="Times New Roman"/>
          <w:b/>
          <w:bCs/>
          <w:i/>
          <w:iCs/>
          <w:color w:val="000000"/>
          <w:sz w:val="20"/>
          <w:szCs w:val="20"/>
        </w:rPr>
        <w:t>2022 vs. 2021</w:t>
      </w:r>
    </w:p>
    <w:p w14:paraId="2FE402ED" w14:textId="77777777" w:rsidR="00000000" w:rsidRDefault="009B6C69">
      <w:pPr>
        <w:divId w:val="1964577495"/>
        <w:rPr>
          <w:rFonts w:eastAsia="Times New Roman"/>
        </w:rPr>
      </w:pPr>
      <w:r>
        <w:rPr>
          <w:rFonts w:eastAsia="Times New Roman"/>
          <w:color w:val="000000"/>
          <w:sz w:val="20"/>
          <w:szCs w:val="20"/>
        </w:rPr>
        <w:t>The increase in revenues in fiscal 2022 was primarily due to $10.4 billion in higher equipment and services revenues and $216 million in hi</w:t>
      </w:r>
      <w:r>
        <w:rPr>
          <w:rFonts w:eastAsia="Times New Roman"/>
          <w:color w:val="000000"/>
          <w:sz w:val="20"/>
          <w:szCs w:val="20"/>
        </w:rPr>
        <w:t>gher licensing revenues from our QCT segment.</w:t>
      </w:r>
    </w:p>
    <w:p w14:paraId="59511264" w14:textId="77777777" w:rsidR="00000000" w:rsidRDefault="009B6C69">
      <w:pPr>
        <w:divId w:val="124449227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830"/>
        <w:gridCol w:w="36"/>
        <w:gridCol w:w="110"/>
        <w:gridCol w:w="801"/>
        <w:gridCol w:w="170"/>
        <w:gridCol w:w="36"/>
        <w:gridCol w:w="36"/>
        <w:gridCol w:w="36"/>
        <w:gridCol w:w="110"/>
        <w:gridCol w:w="726"/>
        <w:gridCol w:w="170"/>
        <w:gridCol w:w="36"/>
        <w:gridCol w:w="36"/>
        <w:gridCol w:w="36"/>
        <w:gridCol w:w="36"/>
        <w:gridCol w:w="46"/>
        <w:gridCol w:w="111"/>
        <w:gridCol w:w="727"/>
        <w:gridCol w:w="36"/>
        <w:gridCol w:w="36"/>
        <w:gridCol w:w="36"/>
        <w:gridCol w:w="36"/>
        <w:gridCol w:w="36"/>
      </w:tblGrid>
      <w:tr w:rsidR="00000000" w14:paraId="525C24FC" w14:textId="77777777">
        <w:trPr>
          <w:divId w:val="1959868308"/>
        </w:trPr>
        <w:tc>
          <w:tcPr>
            <w:tcW w:w="50" w:type="pct"/>
            <w:vAlign w:val="center"/>
            <w:hideMark/>
          </w:tcPr>
          <w:p w14:paraId="163B6D6F" w14:textId="77777777" w:rsidR="00000000" w:rsidRDefault="009B6C69">
            <w:pPr>
              <w:rPr>
                <w:rFonts w:eastAsia="Times New Roman"/>
              </w:rPr>
            </w:pPr>
          </w:p>
        </w:tc>
        <w:tc>
          <w:tcPr>
            <w:tcW w:w="3062" w:type="pct"/>
            <w:vAlign w:val="center"/>
            <w:hideMark/>
          </w:tcPr>
          <w:p w14:paraId="00E1EC68" w14:textId="77777777" w:rsidR="00000000" w:rsidRDefault="009B6C69">
            <w:pPr>
              <w:spacing w:after="100"/>
              <w:rPr>
                <w:rFonts w:eastAsia="Times New Roman"/>
                <w:sz w:val="20"/>
                <w:szCs w:val="20"/>
              </w:rPr>
            </w:pPr>
          </w:p>
        </w:tc>
        <w:tc>
          <w:tcPr>
            <w:tcW w:w="5" w:type="pct"/>
            <w:vAlign w:val="center"/>
            <w:hideMark/>
          </w:tcPr>
          <w:p w14:paraId="76370448" w14:textId="77777777" w:rsidR="00000000" w:rsidRDefault="009B6C69">
            <w:pPr>
              <w:spacing w:after="100"/>
              <w:rPr>
                <w:rFonts w:eastAsia="Times New Roman"/>
                <w:sz w:val="20"/>
                <w:szCs w:val="20"/>
              </w:rPr>
            </w:pPr>
          </w:p>
        </w:tc>
        <w:tc>
          <w:tcPr>
            <w:tcW w:w="50" w:type="pct"/>
            <w:vAlign w:val="center"/>
            <w:hideMark/>
          </w:tcPr>
          <w:p w14:paraId="37AC2855" w14:textId="77777777" w:rsidR="00000000" w:rsidRDefault="009B6C69">
            <w:pPr>
              <w:spacing w:after="100"/>
              <w:rPr>
                <w:rFonts w:eastAsia="Times New Roman"/>
                <w:sz w:val="20"/>
                <w:szCs w:val="20"/>
              </w:rPr>
            </w:pPr>
          </w:p>
        </w:tc>
        <w:tc>
          <w:tcPr>
            <w:tcW w:w="547" w:type="pct"/>
            <w:vAlign w:val="center"/>
            <w:hideMark/>
          </w:tcPr>
          <w:p w14:paraId="629412BA" w14:textId="77777777" w:rsidR="00000000" w:rsidRDefault="009B6C69">
            <w:pPr>
              <w:spacing w:after="100"/>
              <w:rPr>
                <w:rFonts w:eastAsia="Times New Roman"/>
                <w:sz w:val="20"/>
                <w:szCs w:val="20"/>
              </w:rPr>
            </w:pPr>
          </w:p>
        </w:tc>
        <w:tc>
          <w:tcPr>
            <w:tcW w:w="5" w:type="pct"/>
            <w:vAlign w:val="center"/>
            <w:hideMark/>
          </w:tcPr>
          <w:p w14:paraId="659F5F35" w14:textId="77777777" w:rsidR="00000000" w:rsidRDefault="009B6C69">
            <w:pPr>
              <w:spacing w:after="100"/>
              <w:rPr>
                <w:rFonts w:eastAsia="Times New Roman"/>
                <w:sz w:val="20"/>
                <w:szCs w:val="20"/>
              </w:rPr>
            </w:pPr>
          </w:p>
        </w:tc>
        <w:tc>
          <w:tcPr>
            <w:tcW w:w="5" w:type="pct"/>
            <w:vAlign w:val="center"/>
            <w:hideMark/>
          </w:tcPr>
          <w:p w14:paraId="2E1454D7" w14:textId="77777777" w:rsidR="00000000" w:rsidRDefault="009B6C69">
            <w:pPr>
              <w:spacing w:after="100"/>
              <w:rPr>
                <w:rFonts w:eastAsia="Times New Roman"/>
                <w:sz w:val="20"/>
                <w:szCs w:val="20"/>
              </w:rPr>
            </w:pPr>
          </w:p>
        </w:tc>
        <w:tc>
          <w:tcPr>
            <w:tcW w:w="27" w:type="pct"/>
            <w:vAlign w:val="center"/>
            <w:hideMark/>
          </w:tcPr>
          <w:p w14:paraId="5D0774C0" w14:textId="77777777" w:rsidR="00000000" w:rsidRDefault="009B6C69">
            <w:pPr>
              <w:spacing w:after="100"/>
              <w:rPr>
                <w:rFonts w:eastAsia="Times New Roman"/>
                <w:sz w:val="20"/>
                <w:szCs w:val="20"/>
              </w:rPr>
            </w:pPr>
          </w:p>
        </w:tc>
        <w:tc>
          <w:tcPr>
            <w:tcW w:w="5" w:type="pct"/>
            <w:vAlign w:val="center"/>
            <w:hideMark/>
          </w:tcPr>
          <w:p w14:paraId="0216CFE2" w14:textId="77777777" w:rsidR="00000000" w:rsidRDefault="009B6C69">
            <w:pPr>
              <w:spacing w:after="100"/>
              <w:rPr>
                <w:rFonts w:eastAsia="Times New Roman"/>
                <w:sz w:val="20"/>
                <w:szCs w:val="20"/>
              </w:rPr>
            </w:pPr>
          </w:p>
        </w:tc>
        <w:tc>
          <w:tcPr>
            <w:tcW w:w="50" w:type="pct"/>
            <w:vAlign w:val="center"/>
            <w:hideMark/>
          </w:tcPr>
          <w:p w14:paraId="4031B451" w14:textId="77777777" w:rsidR="00000000" w:rsidRDefault="009B6C69">
            <w:pPr>
              <w:spacing w:after="100"/>
              <w:rPr>
                <w:rFonts w:eastAsia="Times New Roman"/>
                <w:sz w:val="20"/>
                <w:szCs w:val="20"/>
              </w:rPr>
            </w:pPr>
          </w:p>
        </w:tc>
        <w:tc>
          <w:tcPr>
            <w:tcW w:w="547" w:type="pct"/>
            <w:vAlign w:val="center"/>
            <w:hideMark/>
          </w:tcPr>
          <w:p w14:paraId="4DDF6F81" w14:textId="77777777" w:rsidR="00000000" w:rsidRDefault="009B6C69">
            <w:pPr>
              <w:spacing w:after="100"/>
              <w:rPr>
                <w:rFonts w:eastAsia="Times New Roman"/>
                <w:sz w:val="20"/>
                <w:szCs w:val="20"/>
              </w:rPr>
            </w:pPr>
          </w:p>
        </w:tc>
        <w:tc>
          <w:tcPr>
            <w:tcW w:w="5" w:type="pct"/>
            <w:vAlign w:val="center"/>
            <w:hideMark/>
          </w:tcPr>
          <w:p w14:paraId="0FC57DCF" w14:textId="77777777" w:rsidR="00000000" w:rsidRDefault="009B6C69">
            <w:pPr>
              <w:spacing w:after="100"/>
              <w:rPr>
                <w:rFonts w:eastAsia="Times New Roman"/>
                <w:sz w:val="20"/>
                <w:szCs w:val="20"/>
              </w:rPr>
            </w:pPr>
          </w:p>
        </w:tc>
        <w:tc>
          <w:tcPr>
            <w:tcW w:w="5" w:type="pct"/>
            <w:vAlign w:val="center"/>
            <w:hideMark/>
          </w:tcPr>
          <w:p w14:paraId="26782ECA" w14:textId="77777777" w:rsidR="00000000" w:rsidRDefault="009B6C69">
            <w:pPr>
              <w:spacing w:after="100"/>
              <w:rPr>
                <w:rFonts w:eastAsia="Times New Roman"/>
                <w:sz w:val="20"/>
                <w:szCs w:val="20"/>
              </w:rPr>
            </w:pPr>
          </w:p>
        </w:tc>
        <w:tc>
          <w:tcPr>
            <w:tcW w:w="27" w:type="pct"/>
            <w:vAlign w:val="center"/>
            <w:hideMark/>
          </w:tcPr>
          <w:p w14:paraId="6BA7C4E3" w14:textId="77777777" w:rsidR="00000000" w:rsidRDefault="009B6C69">
            <w:pPr>
              <w:spacing w:after="100"/>
              <w:rPr>
                <w:rFonts w:eastAsia="Times New Roman"/>
                <w:sz w:val="20"/>
                <w:szCs w:val="20"/>
              </w:rPr>
            </w:pPr>
          </w:p>
        </w:tc>
        <w:tc>
          <w:tcPr>
            <w:tcW w:w="5" w:type="pct"/>
            <w:vAlign w:val="center"/>
            <w:hideMark/>
          </w:tcPr>
          <w:p w14:paraId="1E391993" w14:textId="77777777" w:rsidR="00000000" w:rsidRDefault="009B6C69">
            <w:pPr>
              <w:spacing w:after="100"/>
              <w:rPr>
                <w:rFonts w:eastAsia="Times New Roman"/>
                <w:sz w:val="20"/>
                <w:szCs w:val="20"/>
              </w:rPr>
            </w:pPr>
          </w:p>
        </w:tc>
        <w:tc>
          <w:tcPr>
            <w:tcW w:w="0" w:type="auto"/>
            <w:vAlign w:val="center"/>
            <w:hideMark/>
          </w:tcPr>
          <w:p w14:paraId="0F96DF77" w14:textId="77777777" w:rsidR="00000000" w:rsidRDefault="009B6C69">
            <w:pPr>
              <w:spacing w:after="100"/>
              <w:rPr>
                <w:rFonts w:eastAsia="Times New Roman"/>
                <w:sz w:val="20"/>
                <w:szCs w:val="20"/>
              </w:rPr>
            </w:pPr>
          </w:p>
        </w:tc>
        <w:tc>
          <w:tcPr>
            <w:tcW w:w="0" w:type="auto"/>
            <w:vAlign w:val="center"/>
            <w:hideMark/>
          </w:tcPr>
          <w:p w14:paraId="2A07A183" w14:textId="77777777" w:rsidR="00000000" w:rsidRDefault="009B6C69">
            <w:pPr>
              <w:spacing w:after="100"/>
              <w:rPr>
                <w:rFonts w:eastAsia="Times New Roman"/>
                <w:sz w:val="20"/>
                <w:szCs w:val="20"/>
              </w:rPr>
            </w:pPr>
          </w:p>
        </w:tc>
        <w:tc>
          <w:tcPr>
            <w:tcW w:w="50" w:type="pct"/>
            <w:vAlign w:val="center"/>
            <w:hideMark/>
          </w:tcPr>
          <w:p w14:paraId="01CBEACC" w14:textId="77777777" w:rsidR="00000000" w:rsidRDefault="009B6C69">
            <w:pPr>
              <w:spacing w:after="100"/>
              <w:rPr>
                <w:rFonts w:eastAsia="Times New Roman"/>
                <w:sz w:val="20"/>
                <w:szCs w:val="20"/>
              </w:rPr>
            </w:pPr>
          </w:p>
        </w:tc>
        <w:tc>
          <w:tcPr>
            <w:tcW w:w="547" w:type="pct"/>
            <w:vAlign w:val="center"/>
            <w:hideMark/>
          </w:tcPr>
          <w:p w14:paraId="06FB3D2D" w14:textId="77777777" w:rsidR="00000000" w:rsidRDefault="009B6C69">
            <w:pPr>
              <w:spacing w:after="100"/>
              <w:rPr>
                <w:rFonts w:eastAsia="Times New Roman"/>
                <w:sz w:val="20"/>
                <w:szCs w:val="20"/>
              </w:rPr>
            </w:pPr>
          </w:p>
        </w:tc>
        <w:tc>
          <w:tcPr>
            <w:tcW w:w="5" w:type="pct"/>
            <w:vAlign w:val="center"/>
            <w:hideMark/>
          </w:tcPr>
          <w:p w14:paraId="6F668924" w14:textId="77777777" w:rsidR="00000000" w:rsidRDefault="009B6C69">
            <w:pPr>
              <w:spacing w:after="100"/>
              <w:rPr>
                <w:rFonts w:eastAsia="Times New Roman"/>
                <w:sz w:val="20"/>
                <w:szCs w:val="20"/>
              </w:rPr>
            </w:pPr>
          </w:p>
        </w:tc>
        <w:tc>
          <w:tcPr>
            <w:tcW w:w="0" w:type="auto"/>
            <w:vAlign w:val="center"/>
            <w:hideMark/>
          </w:tcPr>
          <w:p w14:paraId="4BA817D7" w14:textId="77777777" w:rsidR="00000000" w:rsidRDefault="009B6C69">
            <w:pPr>
              <w:spacing w:after="100"/>
              <w:rPr>
                <w:rFonts w:eastAsia="Times New Roman"/>
                <w:sz w:val="20"/>
                <w:szCs w:val="20"/>
              </w:rPr>
            </w:pPr>
          </w:p>
        </w:tc>
        <w:tc>
          <w:tcPr>
            <w:tcW w:w="0" w:type="auto"/>
            <w:gridSpan w:val="3"/>
            <w:vAlign w:val="center"/>
            <w:hideMark/>
          </w:tcPr>
          <w:p w14:paraId="0AA761B5" w14:textId="77777777" w:rsidR="00000000" w:rsidRDefault="009B6C69">
            <w:pPr>
              <w:spacing w:after="100"/>
              <w:rPr>
                <w:rFonts w:eastAsia="Times New Roman"/>
                <w:sz w:val="20"/>
                <w:szCs w:val="20"/>
              </w:rPr>
            </w:pPr>
          </w:p>
        </w:tc>
      </w:tr>
      <w:tr w:rsidR="00000000" w14:paraId="5D52892C" w14:textId="77777777">
        <w:trPr>
          <w:divId w:val="1959868308"/>
        </w:trPr>
        <w:tc>
          <w:tcPr>
            <w:tcW w:w="0" w:type="auto"/>
            <w:gridSpan w:val="15"/>
            <w:tcMar>
              <w:top w:w="30" w:type="dxa"/>
              <w:left w:w="290" w:type="dxa"/>
              <w:bottom w:w="30" w:type="dxa"/>
              <w:right w:w="20" w:type="dxa"/>
            </w:tcMar>
            <w:vAlign w:val="bottom"/>
            <w:hideMark/>
          </w:tcPr>
          <w:p w14:paraId="3403B549" w14:textId="77777777" w:rsidR="00000000" w:rsidRDefault="009B6C69">
            <w:pPr>
              <w:spacing w:after="100"/>
              <w:rPr>
                <w:rFonts w:eastAsia="Times New Roman"/>
              </w:rPr>
            </w:pPr>
            <w:r>
              <w:rPr>
                <w:rFonts w:eastAsia="Times New Roman"/>
                <w:b/>
                <w:bCs/>
                <w:i/>
                <w:iCs/>
                <w:color w:val="000000"/>
                <w:sz w:val="20"/>
                <w:szCs w:val="20"/>
              </w:rPr>
              <w:t>Costs and Expenses (in millions, except percentages)</w:t>
            </w:r>
          </w:p>
        </w:tc>
        <w:tc>
          <w:tcPr>
            <w:tcW w:w="0" w:type="auto"/>
            <w:vAlign w:val="center"/>
            <w:hideMark/>
          </w:tcPr>
          <w:p w14:paraId="0D4E6DEA" w14:textId="77777777" w:rsidR="00000000" w:rsidRDefault="009B6C69">
            <w:pPr>
              <w:spacing w:after="100"/>
              <w:rPr>
                <w:rFonts w:eastAsia="Times New Roman"/>
              </w:rPr>
            </w:pPr>
          </w:p>
        </w:tc>
        <w:tc>
          <w:tcPr>
            <w:tcW w:w="0" w:type="auto"/>
            <w:tcMar>
              <w:top w:w="0" w:type="dxa"/>
              <w:left w:w="20" w:type="dxa"/>
              <w:bottom w:w="0" w:type="dxa"/>
              <w:right w:w="20" w:type="dxa"/>
            </w:tcMar>
            <w:vAlign w:val="center"/>
            <w:hideMark/>
          </w:tcPr>
          <w:p w14:paraId="14DB6CEC" w14:textId="77777777" w:rsidR="00000000" w:rsidRDefault="009B6C69">
            <w:pPr>
              <w:spacing w:after="100"/>
              <w:rPr>
                <w:rFonts w:eastAsia="Times New Roman"/>
                <w:sz w:val="20"/>
                <w:szCs w:val="20"/>
              </w:rPr>
            </w:pPr>
          </w:p>
        </w:tc>
        <w:tc>
          <w:tcPr>
            <w:tcW w:w="0" w:type="auto"/>
            <w:gridSpan w:val="3"/>
            <w:vAlign w:val="center"/>
            <w:hideMark/>
          </w:tcPr>
          <w:p w14:paraId="40EE5514" w14:textId="77777777" w:rsidR="00000000" w:rsidRDefault="009B6C69">
            <w:pPr>
              <w:spacing w:after="100"/>
              <w:rPr>
                <w:rFonts w:eastAsia="Times New Roman"/>
                <w:sz w:val="20"/>
                <w:szCs w:val="20"/>
              </w:rPr>
            </w:pPr>
          </w:p>
        </w:tc>
        <w:tc>
          <w:tcPr>
            <w:tcW w:w="0" w:type="auto"/>
            <w:vAlign w:val="center"/>
            <w:hideMark/>
          </w:tcPr>
          <w:p w14:paraId="1242B4B7" w14:textId="77777777" w:rsidR="00000000" w:rsidRDefault="009B6C69">
            <w:pPr>
              <w:spacing w:after="100"/>
              <w:rPr>
                <w:rFonts w:eastAsia="Times New Roman"/>
                <w:sz w:val="20"/>
                <w:szCs w:val="20"/>
              </w:rPr>
            </w:pPr>
          </w:p>
        </w:tc>
        <w:tc>
          <w:tcPr>
            <w:tcW w:w="0" w:type="auto"/>
            <w:vAlign w:val="center"/>
            <w:hideMark/>
          </w:tcPr>
          <w:p w14:paraId="241B78CB" w14:textId="77777777" w:rsidR="00000000" w:rsidRDefault="009B6C69">
            <w:pPr>
              <w:spacing w:after="100"/>
              <w:rPr>
                <w:rFonts w:eastAsia="Times New Roman"/>
                <w:sz w:val="20"/>
                <w:szCs w:val="20"/>
              </w:rPr>
            </w:pPr>
          </w:p>
        </w:tc>
        <w:tc>
          <w:tcPr>
            <w:tcW w:w="0" w:type="auto"/>
            <w:vAlign w:val="center"/>
            <w:hideMark/>
          </w:tcPr>
          <w:p w14:paraId="4CF5D2F2" w14:textId="77777777" w:rsidR="00000000" w:rsidRDefault="009B6C69">
            <w:pPr>
              <w:spacing w:after="100"/>
              <w:rPr>
                <w:rFonts w:eastAsia="Times New Roman"/>
                <w:sz w:val="20"/>
                <w:szCs w:val="20"/>
              </w:rPr>
            </w:pPr>
          </w:p>
        </w:tc>
        <w:tc>
          <w:tcPr>
            <w:tcW w:w="0" w:type="auto"/>
            <w:vAlign w:val="center"/>
            <w:hideMark/>
          </w:tcPr>
          <w:p w14:paraId="0DAA6788" w14:textId="77777777" w:rsidR="00000000" w:rsidRDefault="009B6C69">
            <w:pPr>
              <w:spacing w:after="100"/>
              <w:rPr>
                <w:rFonts w:eastAsia="Times New Roman"/>
                <w:sz w:val="20"/>
                <w:szCs w:val="20"/>
              </w:rPr>
            </w:pPr>
          </w:p>
        </w:tc>
      </w:tr>
      <w:tr w:rsidR="00000000" w14:paraId="54A3C23F" w14:textId="77777777">
        <w:trPr>
          <w:divId w:val="1959868308"/>
        </w:trPr>
        <w:tc>
          <w:tcPr>
            <w:tcW w:w="0" w:type="auto"/>
            <w:gridSpan w:val="3"/>
            <w:tcMar>
              <w:top w:w="0" w:type="dxa"/>
              <w:left w:w="20" w:type="dxa"/>
              <w:bottom w:w="0" w:type="dxa"/>
              <w:right w:w="20" w:type="dxa"/>
            </w:tcMar>
            <w:vAlign w:val="center"/>
            <w:hideMark/>
          </w:tcPr>
          <w:p w14:paraId="426542BD"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1BE19C3"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14:paraId="34EF2429"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54AF5F6"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37CAB9A1" w14:textId="77777777" w:rsidR="00000000" w:rsidRDefault="009B6C69">
            <w:pPr>
              <w:spacing w:after="100"/>
              <w:jc w:val="center"/>
              <w:rPr>
                <w:rFonts w:eastAsia="Times New Roman"/>
              </w:rPr>
            </w:pPr>
          </w:p>
        </w:tc>
        <w:tc>
          <w:tcPr>
            <w:tcW w:w="0" w:type="auto"/>
            <w:vAlign w:val="center"/>
            <w:hideMark/>
          </w:tcPr>
          <w:p w14:paraId="77403877" w14:textId="77777777" w:rsidR="00000000" w:rsidRDefault="009B6C69">
            <w:pPr>
              <w:spacing w:after="100"/>
              <w:rPr>
                <w:rFonts w:eastAsia="Times New Roman"/>
                <w:sz w:val="20"/>
                <w:szCs w:val="20"/>
              </w:rPr>
            </w:pPr>
          </w:p>
        </w:tc>
        <w:tc>
          <w:tcPr>
            <w:tcW w:w="0" w:type="auto"/>
            <w:vAlign w:val="center"/>
            <w:hideMark/>
          </w:tcPr>
          <w:p w14:paraId="75C32B68"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B65307D" w14:textId="77777777" w:rsidR="00000000" w:rsidRDefault="009B6C69">
            <w:pPr>
              <w:spacing w:after="100"/>
              <w:jc w:val="center"/>
              <w:rPr>
                <w:rFonts w:eastAsia="Times New Roman"/>
              </w:rPr>
            </w:pPr>
            <w:r>
              <w:rPr>
                <w:rFonts w:eastAsia="Times New Roman"/>
                <w:b/>
                <w:bCs/>
                <w:color w:val="000000"/>
                <w:sz w:val="18"/>
                <w:szCs w:val="18"/>
              </w:rPr>
              <w:t>Change</w:t>
            </w:r>
          </w:p>
        </w:tc>
        <w:tc>
          <w:tcPr>
            <w:tcW w:w="0" w:type="auto"/>
            <w:vAlign w:val="center"/>
            <w:hideMark/>
          </w:tcPr>
          <w:p w14:paraId="5402010D" w14:textId="77777777" w:rsidR="00000000" w:rsidRDefault="009B6C69">
            <w:pPr>
              <w:spacing w:after="100"/>
              <w:jc w:val="center"/>
              <w:rPr>
                <w:rFonts w:eastAsia="Times New Roman"/>
              </w:rPr>
            </w:pPr>
          </w:p>
        </w:tc>
        <w:tc>
          <w:tcPr>
            <w:tcW w:w="0" w:type="auto"/>
            <w:gridSpan w:val="3"/>
            <w:vAlign w:val="center"/>
            <w:hideMark/>
          </w:tcPr>
          <w:p w14:paraId="6BEF4129" w14:textId="77777777" w:rsidR="00000000" w:rsidRDefault="009B6C69">
            <w:pPr>
              <w:spacing w:after="100"/>
              <w:rPr>
                <w:rFonts w:eastAsia="Times New Roman"/>
                <w:sz w:val="20"/>
                <w:szCs w:val="20"/>
              </w:rPr>
            </w:pPr>
          </w:p>
        </w:tc>
      </w:tr>
      <w:tr w:rsidR="00000000" w14:paraId="7C2D08A7" w14:textId="77777777">
        <w:trPr>
          <w:divId w:val="1959868308"/>
        </w:trPr>
        <w:tc>
          <w:tcPr>
            <w:tcW w:w="0" w:type="auto"/>
            <w:gridSpan w:val="3"/>
            <w:shd w:val="clear" w:color="auto" w:fill="CCEEFF"/>
            <w:tcMar>
              <w:top w:w="30" w:type="dxa"/>
              <w:left w:w="20" w:type="dxa"/>
              <w:bottom w:w="30" w:type="dxa"/>
              <w:right w:w="20" w:type="dxa"/>
            </w:tcMar>
            <w:vAlign w:val="bottom"/>
            <w:hideMark/>
          </w:tcPr>
          <w:p w14:paraId="295FCA92" w14:textId="77777777" w:rsidR="00000000" w:rsidRDefault="009B6C69">
            <w:pPr>
              <w:spacing w:after="100"/>
              <w:rPr>
                <w:rFonts w:eastAsia="Times New Roman"/>
              </w:rPr>
            </w:pPr>
            <w:r>
              <w:rPr>
                <w:rFonts w:eastAsia="Times New Roman"/>
                <w:color w:val="000000"/>
                <w:sz w:val="18"/>
                <w:szCs w:val="18"/>
              </w:rPr>
              <w:t>Cost of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EB1B27"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7D9863" w14:textId="77777777" w:rsidR="00000000" w:rsidRDefault="009B6C69">
            <w:pPr>
              <w:spacing w:after="100"/>
              <w:jc w:val="right"/>
              <w:rPr>
                <w:rFonts w:eastAsia="Times New Roman"/>
              </w:rPr>
            </w:pPr>
            <w:r>
              <w:rPr>
                <w:rFonts w:eastAsia="Times New Roman"/>
                <w:color w:val="000000"/>
                <w:sz w:val="18"/>
                <w:szCs w:val="18"/>
              </w:rPr>
              <w:t>18,635 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4BD30C"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EC5F54"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120FE6"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F8EA74" w14:textId="77777777" w:rsidR="00000000" w:rsidRDefault="009B6C69">
            <w:pPr>
              <w:spacing w:after="100"/>
              <w:jc w:val="right"/>
              <w:rPr>
                <w:rFonts w:eastAsia="Times New Roman"/>
              </w:rPr>
            </w:pPr>
            <w:r>
              <w:rPr>
                <w:rFonts w:eastAsia="Times New Roman"/>
                <w:color w:val="000000"/>
                <w:sz w:val="18"/>
                <w:szCs w:val="18"/>
              </w:rPr>
              <w:t>14,262 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4766B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3D5194" w14:textId="77777777" w:rsidR="00000000" w:rsidRDefault="009B6C69">
            <w:pPr>
              <w:spacing w:after="100"/>
              <w:jc w:val="right"/>
              <w:rPr>
                <w:rFonts w:eastAsia="Times New Roman"/>
                <w:sz w:val="20"/>
                <w:szCs w:val="20"/>
              </w:rPr>
            </w:pPr>
          </w:p>
        </w:tc>
        <w:tc>
          <w:tcPr>
            <w:tcW w:w="0" w:type="auto"/>
            <w:vAlign w:val="center"/>
            <w:hideMark/>
          </w:tcPr>
          <w:p w14:paraId="036F6A58" w14:textId="77777777" w:rsidR="00000000" w:rsidRDefault="009B6C69">
            <w:pPr>
              <w:spacing w:after="100"/>
              <w:rPr>
                <w:rFonts w:eastAsia="Times New Roman"/>
                <w:sz w:val="20"/>
                <w:szCs w:val="20"/>
              </w:rPr>
            </w:pPr>
          </w:p>
        </w:tc>
        <w:tc>
          <w:tcPr>
            <w:tcW w:w="0" w:type="auto"/>
            <w:vAlign w:val="center"/>
            <w:hideMark/>
          </w:tcPr>
          <w:p w14:paraId="644F61B2"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63DE8D"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5DAEDA" w14:textId="77777777" w:rsidR="00000000" w:rsidRDefault="009B6C69">
            <w:pPr>
              <w:spacing w:after="100"/>
              <w:jc w:val="right"/>
              <w:rPr>
                <w:rFonts w:eastAsia="Times New Roman"/>
              </w:rPr>
            </w:pPr>
            <w:r>
              <w:rPr>
                <w:rFonts w:eastAsia="Times New Roman"/>
                <w:color w:val="000000"/>
                <w:sz w:val="18"/>
                <w:szCs w:val="18"/>
              </w:rPr>
              <w:t>4,373 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099CB1" w14:textId="77777777" w:rsidR="00000000" w:rsidRDefault="009B6C69">
            <w:pPr>
              <w:spacing w:after="100"/>
              <w:jc w:val="right"/>
              <w:rPr>
                <w:rFonts w:eastAsia="Times New Roman"/>
              </w:rPr>
            </w:pPr>
          </w:p>
        </w:tc>
        <w:tc>
          <w:tcPr>
            <w:tcW w:w="0" w:type="auto"/>
            <w:vAlign w:val="center"/>
            <w:hideMark/>
          </w:tcPr>
          <w:p w14:paraId="42CCEE52" w14:textId="77777777" w:rsidR="00000000" w:rsidRDefault="009B6C69">
            <w:pPr>
              <w:spacing w:after="100"/>
              <w:jc w:val="right"/>
              <w:rPr>
                <w:rFonts w:eastAsia="Times New Roman"/>
                <w:sz w:val="20"/>
                <w:szCs w:val="20"/>
              </w:rPr>
            </w:pPr>
          </w:p>
        </w:tc>
        <w:tc>
          <w:tcPr>
            <w:tcW w:w="0" w:type="auto"/>
            <w:gridSpan w:val="3"/>
            <w:vAlign w:val="center"/>
            <w:hideMark/>
          </w:tcPr>
          <w:p w14:paraId="4ADF8639" w14:textId="77777777" w:rsidR="00000000" w:rsidRDefault="009B6C69">
            <w:pPr>
              <w:spacing w:after="100"/>
              <w:rPr>
                <w:rFonts w:eastAsia="Times New Roman"/>
                <w:sz w:val="20"/>
                <w:szCs w:val="20"/>
              </w:rPr>
            </w:pPr>
          </w:p>
        </w:tc>
      </w:tr>
      <w:tr w:rsidR="00000000" w14:paraId="3EB26658" w14:textId="77777777">
        <w:trPr>
          <w:divId w:val="1959868308"/>
        </w:trPr>
        <w:tc>
          <w:tcPr>
            <w:tcW w:w="0" w:type="auto"/>
            <w:gridSpan w:val="3"/>
            <w:tcMar>
              <w:top w:w="30" w:type="dxa"/>
              <w:left w:w="20" w:type="dxa"/>
              <w:bottom w:w="30" w:type="dxa"/>
              <w:right w:w="20" w:type="dxa"/>
            </w:tcMar>
            <w:vAlign w:val="bottom"/>
            <w:hideMark/>
          </w:tcPr>
          <w:p w14:paraId="66B1E79A" w14:textId="77777777" w:rsidR="00000000" w:rsidRDefault="009B6C69">
            <w:pPr>
              <w:spacing w:after="100"/>
              <w:rPr>
                <w:rFonts w:eastAsia="Times New Roman"/>
              </w:rPr>
            </w:pPr>
            <w:r>
              <w:rPr>
                <w:rFonts w:eastAsia="Times New Roman"/>
                <w:color w:val="000000"/>
                <w:sz w:val="18"/>
                <w:szCs w:val="18"/>
              </w:rPr>
              <w:t xml:space="preserve">Gross margin </w:t>
            </w:r>
          </w:p>
        </w:tc>
        <w:tc>
          <w:tcPr>
            <w:tcW w:w="0" w:type="auto"/>
            <w:gridSpan w:val="2"/>
            <w:tcMar>
              <w:top w:w="30" w:type="dxa"/>
              <w:left w:w="20" w:type="dxa"/>
              <w:bottom w:w="30" w:type="dxa"/>
              <w:right w:w="0" w:type="dxa"/>
            </w:tcMar>
            <w:vAlign w:val="bottom"/>
            <w:hideMark/>
          </w:tcPr>
          <w:p w14:paraId="520EDF61" w14:textId="77777777" w:rsidR="00000000" w:rsidRDefault="009B6C69">
            <w:pPr>
              <w:spacing w:after="100"/>
              <w:jc w:val="right"/>
              <w:rPr>
                <w:rFonts w:eastAsia="Times New Roman"/>
              </w:rPr>
            </w:pPr>
            <w:r>
              <w:rPr>
                <w:rFonts w:eastAsia="Times New Roman"/>
                <w:color w:val="000000"/>
                <w:sz w:val="18"/>
                <w:szCs w:val="18"/>
              </w:rPr>
              <w:t>58 </w:t>
            </w:r>
          </w:p>
        </w:tc>
        <w:tc>
          <w:tcPr>
            <w:tcW w:w="0" w:type="auto"/>
            <w:tcMar>
              <w:top w:w="30" w:type="dxa"/>
              <w:left w:w="0" w:type="dxa"/>
              <w:bottom w:w="30" w:type="dxa"/>
              <w:right w:w="20" w:type="dxa"/>
            </w:tcMar>
            <w:vAlign w:val="bottom"/>
            <w:hideMark/>
          </w:tcPr>
          <w:p w14:paraId="1F9C5D50" w14:textId="77777777" w:rsidR="00000000" w:rsidRDefault="009B6C69">
            <w:pPr>
              <w:spacing w:after="100"/>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4CB48E11" w14:textId="77777777" w:rsidR="00000000" w:rsidRDefault="009B6C69">
            <w:pPr>
              <w:spacing w:after="100"/>
              <w:rPr>
                <w:rFonts w:eastAsia="Times New Roman"/>
              </w:rPr>
            </w:pPr>
          </w:p>
        </w:tc>
        <w:tc>
          <w:tcPr>
            <w:tcW w:w="0" w:type="auto"/>
            <w:gridSpan w:val="2"/>
            <w:tcMar>
              <w:top w:w="30" w:type="dxa"/>
              <w:left w:w="20" w:type="dxa"/>
              <w:bottom w:w="30" w:type="dxa"/>
              <w:right w:w="0" w:type="dxa"/>
            </w:tcMar>
            <w:vAlign w:val="bottom"/>
            <w:hideMark/>
          </w:tcPr>
          <w:p w14:paraId="45BB115F" w14:textId="77777777" w:rsidR="00000000" w:rsidRDefault="009B6C69">
            <w:pPr>
              <w:spacing w:after="100"/>
              <w:jc w:val="right"/>
              <w:rPr>
                <w:rFonts w:eastAsia="Times New Roman"/>
              </w:rPr>
            </w:pPr>
            <w:r>
              <w:rPr>
                <w:rFonts w:eastAsia="Times New Roman"/>
                <w:color w:val="000000"/>
                <w:sz w:val="18"/>
                <w:szCs w:val="18"/>
              </w:rPr>
              <w:t>58 </w:t>
            </w:r>
          </w:p>
        </w:tc>
        <w:tc>
          <w:tcPr>
            <w:tcW w:w="0" w:type="auto"/>
            <w:tcMar>
              <w:top w:w="30" w:type="dxa"/>
              <w:left w:w="0" w:type="dxa"/>
              <w:bottom w:w="30" w:type="dxa"/>
              <w:right w:w="20" w:type="dxa"/>
            </w:tcMar>
            <w:vAlign w:val="bottom"/>
            <w:hideMark/>
          </w:tcPr>
          <w:p w14:paraId="34963245" w14:textId="77777777" w:rsidR="00000000" w:rsidRDefault="009B6C69">
            <w:pPr>
              <w:spacing w:after="100"/>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011342DC" w14:textId="77777777" w:rsidR="00000000" w:rsidRDefault="009B6C69">
            <w:pPr>
              <w:spacing w:after="100"/>
              <w:rPr>
                <w:rFonts w:eastAsia="Times New Roman"/>
              </w:rPr>
            </w:pPr>
          </w:p>
        </w:tc>
        <w:tc>
          <w:tcPr>
            <w:tcW w:w="0" w:type="auto"/>
            <w:vAlign w:val="center"/>
            <w:hideMark/>
          </w:tcPr>
          <w:p w14:paraId="5AF89177" w14:textId="77777777" w:rsidR="00000000" w:rsidRDefault="009B6C69">
            <w:pPr>
              <w:spacing w:after="100"/>
              <w:rPr>
                <w:rFonts w:eastAsia="Times New Roman"/>
                <w:sz w:val="20"/>
                <w:szCs w:val="20"/>
              </w:rPr>
            </w:pPr>
          </w:p>
        </w:tc>
        <w:tc>
          <w:tcPr>
            <w:tcW w:w="0" w:type="auto"/>
            <w:vAlign w:val="center"/>
            <w:hideMark/>
          </w:tcPr>
          <w:p w14:paraId="0CF16E22"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1ABC82" w14:textId="77777777" w:rsidR="00000000" w:rsidRDefault="009B6C69">
            <w:pPr>
              <w:spacing w:after="100"/>
              <w:rPr>
                <w:rFonts w:eastAsia="Times New Roman"/>
                <w:sz w:val="20"/>
                <w:szCs w:val="20"/>
              </w:rPr>
            </w:pPr>
          </w:p>
        </w:tc>
        <w:tc>
          <w:tcPr>
            <w:tcW w:w="0" w:type="auto"/>
            <w:vAlign w:val="center"/>
            <w:hideMark/>
          </w:tcPr>
          <w:p w14:paraId="0DBE9CDF" w14:textId="77777777" w:rsidR="00000000" w:rsidRDefault="009B6C69">
            <w:pPr>
              <w:spacing w:after="100"/>
              <w:rPr>
                <w:rFonts w:eastAsia="Times New Roman"/>
                <w:sz w:val="20"/>
                <w:szCs w:val="20"/>
              </w:rPr>
            </w:pPr>
          </w:p>
        </w:tc>
        <w:tc>
          <w:tcPr>
            <w:tcW w:w="0" w:type="auto"/>
            <w:gridSpan w:val="3"/>
            <w:vAlign w:val="center"/>
            <w:hideMark/>
          </w:tcPr>
          <w:p w14:paraId="6494E217" w14:textId="77777777" w:rsidR="00000000" w:rsidRDefault="009B6C69">
            <w:pPr>
              <w:spacing w:after="100"/>
              <w:rPr>
                <w:rFonts w:eastAsia="Times New Roman"/>
                <w:sz w:val="20"/>
                <w:szCs w:val="20"/>
              </w:rPr>
            </w:pPr>
          </w:p>
        </w:tc>
      </w:tr>
    </w:tbl>
    <w:p w14:paraId="5D0D1D93" w14:textId="77777777" w:rsidR="00000000" w:rsidRDefault="009B6C69">
      <w:pPr>
        <w:divId w:val="914318524"/>
        <w:rPr>
          <w:rFonts w:eastAsia="Times New Roman"/>
        </w:rPr>
      </w:pPr>
      <w:r>
        <w:rPr>
          <w:rFonts w:eastAsia="Times New Roman"/>
          <w:b/>
          <w:bCs/>
          <w:i/>
          <w:iCs/>
          <w:color w:val="000000"/>
          <w:sz w:val="20"/>
          <w:szCs w:val="20"/>
        </w:rPr>
        <w:t>2022 vs. 2021</w:t>
      </w:r>
    </w:p>
    <w:p w14:paraId="5B3487E9" w14:textId="77777777" w:rsidR="00000000" w:rsidRDefault="009B6C69">
      <w:pPr>
        <w:divId w:val="560215867"/>
        <w:rPr>
          <w:rFonts w:eastAsia="Times New Roman"/>
        </w:rPr>
      </w:pPr>
      <w:r>
        <w:rPr>
          <w:rFonts w:eastAsia="Times New Roman"/>
          <w:color w:val="000000"/>
          <w:sz w:val="20"/>
          <w:szCs w:val="20"/>
        </w:rPr>
        <w:t>Gross margin percentage remained flat in fiscal 2022 primarily due to:</w:t>
      </w:r>
    </w:p>
    <w:p w14:paraId="094EEAFC" w14:textId="77777777" w:rsidR="00000000" w:rsidRDefault="009B6C69">
      <w:pPr>
        <w:ind w:hanging="360"/>
        <w:divId w:val="1952668637"/>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increase in QCT gross margin</w:t>
      </w:r>
    </w:p>
    <w:p w14:paraId="33998A42" w14:textId="77777777" w:rsidR="00000000" w:rsidRDefault="009B6C69">
      <w:pPr>
        <w:ind w:hanging="360"/>
        <w:divId w:val="1594313429"/>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decrease in higher margin QTL licensing revenues in proportion to QCT revenues</w:t>
      </w:r>
    </w:p>
    <w:p w14:paraId="2459CF1C" w14:textId="77777777" w:rsidR="00000000" w:rsidRDefault="009B6C69">
      <w:pPr>
        <w:jc w:val="center"/>
        <w:divId w:val="1980841520"/>
        <w:rPr>
          <w:rFonts w:eastAsia="Times New Roman"/>
        </w:rPr>
      </w:pPr>
      <w:r>
        <w:rPr>
          <w:rFonts w:eastAsia="Times New Roman"/>
          <w:color w:val="000000"/>
          <w:sz w:val="20"/>
          <w:szCs w:val="20"/>
        </w:rPr>
        <w:t>40</w:t>
      </w:r>
    </w:p>
    <w:p w14:paraId="246B2370" w14:textId="77777777" w:rsidR="00000000" w:rsidRDefault="009B6C69">
      <w:pPr>
        <w:rPr>
          <w:rFonts w:eastAsia="Times New Roman"/>
        </w:rPr>
      </w:pPr>
      <w:r>
        <w:rPr>
          <w:rFonts w:eastAsia="Times New Roman"/>
        </w:rPr>
        <w:pict w14:anchorId="1A672742">
          <v:rect id="_x0000_i1064" style="width:0;height:1.5pt" o:hralign="center" o:hrstd="t" o:hr="t" fillcolor="#a0a0a0" stroked="f"/>
        </w:pict>
      </w:r>
    </w:p>
    <w:p w14:paraId="3D3B575B" w14:textId="77777777" w:rsidR="00000000" w:rsidRDefault="009B6C69">
      <w:pPr>
        <w:divId w:val="150359373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880"/>
        <w:gridCol w:w="36"/>
        <w:gridCol w:w="110"/>
        <w:gridCol w:w="811"/>
        <w:gridCol w:w="170"/>
        <w:gridCol w:w="36"/>
        <w:gridCol w:w="36"/>
        <w:gridCol w:w="36"/>
        <w:gridCol w:w="110"/>
        <w:gridCol w:w="737"/>
        <w:gridCol w:w="170"/>
        <w:gridCol w:w="36"/>
        <w:gridCol w:w="36"/>
        <w:gridCol w:w="36"/>
        <w:gridCol w:w="36"/>
        <w:gridCol w:w="36"/>
        <w:gridCol w:w="111"/>
        <w:gridCol w:w="738"/>
        <w:gridCol w:w="36"/>
        <w:gridCol w:w="36"/>
        <w:gridCol w:w="36"/>
      </w:tblGrid>
      <w:tr w:rsidR="00000000" w14:paraId="36653E9F" w14:textId="77777777">
        <w:trPr>
          <w:divId w:val="109280202"/>
        </w:trPr>
        <w:tc>
          <w:tcPr>
            <w:tcW w:w="50" w:type="pct"/>
            <w:vAlign w:val="center"/>
            <w:hideMark/>
          </w:tcPr>
          <w:p w14:paraId="28930578" w14:textId="77777777" w:rsidR="00000000" w:rsidRDefault="009B6C69">
            <w:pPr>
              <w:rPr>
                <w:rFonts w:eastAsia="Times New Roman"/>
              </w:rPr>
            </w:pPr>
          </w:p>
        </w:tc>
        <w:tc>
          <w:tcPr>
            <w:tcW w:w="3062" w:type="pct"/>
            <w:vAlign w:val="center"/>
            <w:hideMark/>
          </w:tcPr>
          <w:p w14:paraId="2B45840B" w14:textId="77777777" w:rsidR="00000000" w:rsidRDefault="009B6C69">
            <w:pPr>
              <w:spacing w:after="100"/>
              <w:rPr>
                <w:rFonts w:eastAsia="Times New Roman"/>
                <w:sz w:val="20"/>
                <w:szCs w:val="20"/>
              </w:rPr>
            </w:pPr>
          </w:p>
        </w:tc>
        <w:tc>
          <w:tcPr>
            <w:tcW w:w="5" w:type="pct"/>
            <w:vAlign w:val="center"/>
            <w:hideMark/>
          </w:tcPr>
          <w:p w14:paraId="24E75D5C" w14:textId="77777777" w:rsidR="00000000" w:rsidRDefault="009B6C69">
            <w:pPr>
              <w:spacing w:after="100"/>
              <w:rPr>
                <w:rFonts w:eastAsia="Times New Roman"/>
                <w:sz w:val="20"/>
                <w:szCs w:val="20"/>
              </w:rPr>
            </w:pPr>
          </w:p>
        </w:tc>
        <w:tc>
          <w:tcPr>
            <w:tcW w:w="50" w:type="pct"/>
            <w:vAlign w:val="center"/>
            <w:hideMark/>
          </w:tcPr>
          <w:p w14:paraId="5AF55136" w14:textId="77777777" w:rsidR="00000000" w:rsidRDefault="009B6C69">
            <w:pPr>
              <w:spacing w:after="100"/>
              <w:rPr>
                <w:rFonts w:eastAsia="Times New Roman"/>
                <w:sz w:val="20"/>
                <w:szCs w:val="20"/>
              </w:rPr>
            </w:pPr>
          </w:p>
        </w:tc>
        <w:tc>
          <w:tcPr>
            <w:tcW w:w="547" w:type="pct"/>
            <w:vAlign w:val="center"/>
            <w:hideMark/>
          </w:tcPr>
          <w:p w14:paraId="103966B4" w14:textId="77777777" w:rsidR="00000000" w:rsidRDefault="009B6C69">
            <w:pPr>
              <w:spacing w:after="100"/>
              <w:rPr>
                <w:rFonts w:eastAsia="Times New Roman"/>
                <w:sz w:val="20"/>
                <w:szCs w:val="20"/>
              </w:rPr>
            </w:pPr>
          </w:p>
        </w:tc>
        <w:tc>
          <w:tcPr>
            <w:tcW w:w="5" w:type="pct"/>
            <w:vAlign w:val="center"/>
            <w:hideMark/>
          </w:tcPr>
          <w:p w14:paraId="0525B1F4" w14:textId="77777777" w:rsidR="00000000" w:rsidRDefault="009B6C69">
            <w:pPr>
              <w:spacing w:after="100"/>
              <w:rPr>
                <w:rFonts w:eastAsia="Times New Roman"/>
                <w:sz w:val="20"/>
                <w:szCs w:val="20"/>
              </w:rPr>
            </w:pPr>
          </w:p>
        </w:tc>
        <w:tc>
          <w:tcPr>
            <w:tcW w:w="5" w:type="pct"/>
            <w:vAlign w:val="center"/>
            <w:hideMark/>
          </w:tcPr>
          <w:p w14:paraId="122897B7" w14:textId="77777777" w:rsidR="00000000" w:rsidRDefault="009B6C69">
            <w:pPr>
              <w:spacing w:after="100"/>
              <w:rPr>
                <w:rFonts w:eastAsia="Times New Roman"/>
                <w:sz w:val="20"/>
                <w:szCs w:val="20"/>
              </w:rPr>
            </w:pPr>
          </w:p>
        </w:tc>
        <w:tc>
          <w:tcPr>
            <w:tcW w:w="27" w:type="pct"/>
            <w:vAlign w:val="center"/>
            <w:hideMark/>
          </w:tcPr>
          <w:p w14:paraId="3A50F231" w14:textId="77777777" w:rsidR="00000000" w:rsidRDefault="009B6C69">
            <w:pPr>
              <w:spacing w:after="100"/>
              <w:rPr>
                <w:rFonts w:eastAsia="Times New Roman"/>
                <w:sz w:val="20"/>
                <w:szCs w:val="20"/>
              </w:rPr>
            </w:pPr>
          </w:p>
        </w:tc>
        <w:tc>
          <w:tcPr>
            <w:tcW w:w="5" w:type="pct"/>
            <w:vAlign w:val="center"/>
            <w:hideMark/>
          </w:tcPr>
          <w:p w14:paraId="4E6809CE" w14:textId="77777777" w:rsidR="00000000" w:rsidRDefault="009B6C69">
            <w:pPr>
              <w:spacing w:after="100"/>
              <w:rPr>
                <w:rFonts w:eastAsia="Times New Roman"/>
                <w:sz w:val="20"/>
                <w:szCs w:val="20"/>
              </w:rPr>
            </w:pPr>
          </w:p>
        </w:tc>
        <w:tc>
          <w:tcPr>
            <w:tcW w:w="50" w:type="pct"/>
            <w:vAlign w:val="center"/>
            <w:hideMark/>
          </w:tcPr>
          <w:p w14:paraId="084D1309" w14:textId="77777777" w:rsidR="00000000" w:rsidRDefault="009B6C69">
            <w:pPr>
              <w:spacing w:after="100"/>
              <w:rPr>
                <w:rFonts w:eastAsia="Times New Roman"/>
                <w:sz w:val="20"/>
                <w:szCs w:val="20"/>
              </w:rPr>
            </w:pPr>
          </w:p>
        </w:tc>
        <w:tc>
          <w:tcPr>
            <w:tcW w:w="547" w:type="pct"/>
            <w:vAlign w:val="center"/>
            <w:hideMark/>
          </w:tcPr>
          <w:p w14:paraId="0FDFE2AA" w14:textId="77777777" w:rsidR="00000000" w:rsidRDefault="009B6C69">
            <w:pPr>
              <w:spacing w:after="100"/>
              <w:rPr>
                <w:rFonts w:eastAsia="Times New Roman"/>
                <w:sz w:val="20"/>
                <w:szCs w:val="20"/>
              </w:rPr>
            </w:pPr>
          </w:p>
        </w:tc>
        <w:tc>
          <w:tcPr>
            <w:tcW w:w="5" w:type="pct"/>
            <w:vAlign w:val="center"/>
            <w:hideMark/>
          </w:tcPr>
          <w:p w14:paraId="1B07558C" w14:textId="77777777" w:rsidR="00000000" w:rsidRDefault="009B6C69">
            <w:pPr>
              <w:spacing w:after="100"/>
              <w:rPr>
                <w:rFonts w:eastAsia="Times New Roman"/>
                <w:sz w:val="20"/>
                <w:szCs w:val="20"/>
              </w:rPr>
            </w:pPr>
          </w:p>
        </w:tc>
        <w:tc>
          <w:tcPr>
            <w:tcW w:w="5" w:type="pct"/>
            <w:vAlign w:val="center"/>
            <w:hideMark/>
          </w:tcPr>
          <w:p w14:paraId="0369A1C6" w14:textId="77777777" w:rsidR="00000000" w:rsidRDefault="009B6C69">
            <w:pPr>
              <w:spacing w:after="100"/>
              <w:rPr>
                <w:rFonts w:eastAsia="Times New Roman"/>
                <w:sz w:val="20"/>
                <w:szCs w:val="20"/>
              </w:rPr>
            </w:pPr>
          </w:p>
        </w:tc>
        <w:tc>
          <w:tcPr>
            <w:tcW w:w="27" w:type="pct"/>
            <w:vAlign w:val="center"/>
            <w:hideMark/>
          </w:tcPr>
          <w:p w14:paraId="066FC81B" w14:textId="77777777" w:rsidR="00000000" w:rsidRDefault="009B6C69">
            <w:pPr>
              <w:spacing w:after="100"/>
              <w:rPr>
                <w:rFonts w:eastAsia="Times New Roman"/>
                <w:sz w:val="20"/>
                <w:szCs w:val="20"/>
              </w:rPr>
            </w:pPr>
          </w:p>
        </w:tc>
        <w:tc>
          <w:tcPr>
            <w:tcW w:w="5" w:type="pct"/>
            <w:vAlign w:val="center"/>
            <w:hideMark/>
          </w:tcPr>
          <w:p w14:paraId="095C5681" w14:textId="77777777" w:rsidR="00000000" w:rsidRDefault="009B6C69">
            <w:pPr>
              <w:spacing w:after="100"/>
              <w:rPr>
                <w:rFonts w:eastAsia="Times New Roman"/>
                <w:sz w:val="20"/>
                <w:szCs w:val="20"/>
              </w:rPr>
            </w:pPr>
          </w:p>
        </w:tc>
        <w:tc>
          <w:tcPr>
            <w:tcW w:w="0" w:type="auto"/>
            <w:vAlign w:val="center"/>
            <w:hideMark/>
          </w:tcPr>
          <w:p w14:paraId="366F4A29" w14:textId="77777777" w:rsidR="00000000" w:rsidRDefault="009B6C69">
            <w:pPr>
              <w:spacing w:after="100"/>
              <w:rPr>
                <w:rFonts w:eastAsia="Times New Roman"/>
                <w:sz w:val="20"/>
                <w:szCs w:val="20"/>
              </w:rPr>
            </w:pPr>
          </w:p>
        </w:tc>
        <w:tc>
          <w:tcPr>
            <w:tcW w:w="0" w:type="auto"/>
            <w:vAlign w:val="center"/>
            <w:hideMark/>
          </w:tcPr>
          <w:p w14:paraId="667CE2AE" w14:textId="77777777" w:rsidR="00000000" w:rsidRDefault="009B6C69">
            <w:pPr>
              <w:spacing w:after="100"/>
              <w:rPr>
                <w:rFonts w:eastAsia="Times New Roman"/>
                <w:sz w:val="20"/>
                <w:szCs w:val="20"/>
              </w:rPr>
            </w:pPr>
          </w:p>
        </w:tc>
        <w:tc>
          <w:tcPr>
            <w:tcW w:w="50" w:type="pct"/>
            <w:vAlign w:val="center"/>
            <w:hideMark/>
          </w:tcPr>
          <w:p w14:paraId="60111A9B" w14:textId="77777777" w:rsidR="00000000" w:rsidRDefault="009B6C69">
            <w:pPr>
              <w:spacing w:after="100"/>
              <w:rPr>
                <w:rFonts w:eastAsia="Times New Roman"/>
                <w:sz w:val="20"/>
                <w:szCs w:val="20"/>
              </w:rPr>
            </w:pPr>
          </w:p>
        </w:tc>
        <w:tc>
          <w:tcPr>
            <w:tcW w:w="547" w:type="pct"/>
            <w:vAlign w:val="center"/>
            <w:hideMark/>
          </w:tcPr>
          <w:p w14:paraId="0B368DA5" w14:textId="77777777" w:rsidR="00000000" w:rsidRDefault="009B6C69">
            <w:pPr>
              <w:spacing w:after="100"/>
              <w:rPr>
                <w:rFonts w:eastAsia="Times New Roman"/>
                <w:sz w:val="20"/>
                <w:szCs w:val="20"/>
              </w:rPr>
            </w:pPr>
          </w:p>
        </w:tc>
        <w:tc>
          <w:tcPr>
            <w:tcW w:w="5" w:type="pct"/>
            <w:vAlign w:val="center"/>
            <w:hideMark/>
          </w:tcPr>
          <w:p w14:paraId="46E4A48B" w14:textId="77777777" w:rsidR="00000000" w:rsidRDefault="009B6C69">
            <w:pPr>
              <w:spacing w:after="100"/>
              <w:rPr>
                <w:rFonts w:eastAsia="Times New Roman"/>
                <w:sz w:val="20"/>
                <w:szCs w:val="20"/>
              </w:rPr>
            </w:pPr>
          </w:p>
        </w:tc>
        <w:tc>
          <w:tcPr>
            <w:tcW w:w="0" w:type="auto"/>
            <w:vAlign w:val="center"/>
            <w:hideMark/>
          </w:tcPr>
          <w:p w14:paraId="4C894BC7" w14:textId="77777777" w:rsidR="00000000" w:rsidRDefault="009B6C69">
            <w:pPr>
              <w:spacing w:after="100"/>
              <w:rPr>
                <w:rFonts w:eastAsia="Times New Roman"/>
                <w:sz w:val="20"/>
                <w:szCs w:val="20"/>
              </w:rPr>
            </w:pPr>
          </w:p>
        </w:tc>
        <w:tc>
          <w:tcPr>
            <w:tcW w:w="0" w:type="auto"/>
            <w:vAlign w:val="center"/>
            <w:hideMark/>
          </w:tcPr>
          <w:p w14:paraId="4A2CDE9E" w14:textId="77777777" w:rsidR="00000000" w:rsidRDefault="009B6C69">
            <w:pPr>
              <w:spacing w:after="100"/>
              <w:rPr>
                <w:rFonts w:eastAsia="Times New Roman"/>
                <w:sz w:val="20"/>
                <w:szCs w:val="20"/>
              </w:rPr>
            </w:pPr>
          </w:p>
        </w:tc>
      </w:tr>
      <w:tr w:rsidR="00000000" w14:paraId="651E2FA9" w14:textId="77777777">
        <w:trPr>
          <w:divId w:val="109280202"/>
        </w:trPr>
        <w:tc>
          <w:tcPr>
            <w:tcW w:w="0" w:type="auto"/>
            <w:gridSpan w:val="3"/>
            <w:tcMar>
              <w:top w:w="0" w:type="dxa"/>
              <w:left w:w="20" w:type="dxa"/>
              <w:bottom w:w="0" w:type="dxa"/>
              <w:right w:w="20" w:type="dxa"/>
            </w:tcMar>
            <w:vAlign w:val="center"/>
            <w:hideMark/>
          </w:tcPr>
          <w:p w14:paraId="652030D4"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EFE1168"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14:paraId="13EE74D6"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E04F61B"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5F6244C5" w14:textId="77777777" w:rsidR="00000000" w:rsidRDefault="009B6C69">
            <w:pPr>
              <w:spacing w:after="100"/>
              <w:jc w:val="center"/>
              <w:rPr>
                <w:rFonts w:eastAsia="Times New Roman"/>
              </w:rPr>
            </w:pPr>
          </w:p>
        </w:tc>
        <w:tc>
          <w:tcPr>
            <w:tcW w:w="0" w:type="auto"/>
            <w:vAlign w:val="center"/>
            <w:hideMark/>
          </w:tcPr>
          <w:p w14:paraId="57F52709" w14:textId="77777777" w:rsidR="00000000" w:rsidRDefault="009B6C69">
            <w:pPr>
              <w:spacing w:after="100"/>
              <w:rPr>
                <w:rFonts w:eastAsia="Times New Roman"/>
                <w:sz w:val="20"/>
                <w:szCs w:val="20"/>
              </w:rPr>
            </w:pPr>
          </w:p>
        </w:tc>
        <w:tc>
          <w:tcPr>
            <w:tcW w:w="0" w:type="auto"/>
            <w:vAlign w:val="center"/>
            <w:hideMark/>
          </w:tcPr>
          <w:p w14:paraId="72E76C91"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33CF0E3" w14:textId="77777777" w:rsidR="00000000" w:rsidRDefault="009B6C69">
            <w:pPr>
              <w:spacing w:after="100"/>
              <w:jc w:val="center"/>
              <w:rPr>
                <w:rFonts w:eastAsia="Times New Roman"/>
              </w:rPr>
            </w:pPr>
            <w:r>
              <w:rPr>
                <w:rFonts w:eastAsia="Times New Roman"/>
                <w:b/>
                <w:bCs/>
                <w:color w:val="000000"/>
                <w:sz w:val="18"/>
                <w:szCs w:val="18"/>
              </w:rPr>
              <w:t> Change</w:t>
            </w:r>
          </w:p>
        </w:tc>
        <w:tc>
          <w:tcPr>
            <w:tcW w:w="0" w:type="auto"/>
            <w:vAlign w:val="center"/>
            <w:hideMark/>
          </w:tcPr>
          <w:p w14:paraId="43F1F1D5" w14:textId="77777777" w:rsidR="00000000" w:rsidRDefault="009B6C69">
            <w:pPr>
              <w:spacing w:after="100"/>
              <w:jc w:val="center"/>
              <w:rPr>
                <w:rFonts w:eastAsia="Times New Roman"/>
              </w:rPr>
            </w:pPr>
          </w:p>
        </w:tc>
        <w:tc>
          <w:tcPr>
            <w:tcW w:w="0" w:type="auto"/>
            <w:vAlign w:val="center"/>
            <w:hideMark/>
          </w:tcPr>
          <w:p w14:paraId="33D74927" w14:textId="77777777" w:rsidR="00000000" w:rsidRDefault="009B6C69">
            <w:pPr>
              <w:spacing w:after="100"/>
              <w:rPr>
                <w:rFonts w:eastAsia="Times New Roman"/>
                <w:sz w:val="20"/>
                <w:szCs w:val="20"/>
              </w:rPr>
            </w:pPr>
          </w:p>
        </w:tc>
      </w:tr>
      <w:tr w:rsidR="00000000" w14:paraId="4E3FB42A" w14:textId="77777777">
        <w:trPr>
          <w:divId w:val="109280202"/>
        </w:trPr>
        <w:tc>
          <w:tcPr>
            <w:tcW w:w="0" w:type="auto"/>
            <w:gridSpan w:val="3"/>
            <w:shd w:val="clear" w:color="auto" w:fill="CCEEFF"/>
            <w:tcMar>
              <w:top w:w="30" w:type="dxa"/>
              <w:left w:w="20" w:type="dxa"/>
              <w:bottom w:w="30" w:type="dxa"/>
              <w:right w:w="20" w:type="dxa"/>
            </w:tcMar>
            <w:vAlign w:val="bottom"/>
            <w:hideMark/>
          </w:tcPr>
          <w:p w14:paraId="52176612" w14:textId="77777777" w:rsidR="00000000" w:rsidRDefault="009B6C69">
            <w:pPr>
              <w:spacing w:after="100"/>
              <w:rPr>
                <w:rFonts w:eastAsia="Times New Roman"/>
              </w:rPr>
            </w:pPr>
            <w:r>
              <w:rPr>
                <w:rFonts w:eastAsia="Times New Roman"/>
                <w:color w:val="000000"/>
                <w:sz w:val="18"/>
                <w:szCs w:val="18"/>
              </w:rPr>
              <w:t>Research and development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B3AE28"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2D2AC5" w14:textId="77777777" w:rsidR="00000000" w:rsidRDefault="009B6C69">
            <w:pPr>
              <w:spacing w:after="100"/>
              <w:jc w:val="right"/>
              <w:rPr>
                <w:rFonts w:eastAsia="Times New Roman"/>
              </w:rPr>
            </w:pPr>
            <w:r>
              <w:rPr>
                <w:rFonts w:eastAsia="Times New Roman"/>
                <w:color w:val="000000"/>
                <w:sz w:val="18"/>
                <w:szCs w:val="18"/>
              </w:rPr>
              <w:t>8,194 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CE932B"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0BD06"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90784E"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641C1C" w14:textId="77777777" w:rsidR="00000000" w:rsidRDefault="009B6C69">
            <w:pPr>
              <w:spacing w:after="100"/>
              <w:jc w:val="right"/>
              <w:rPr>
                <w:rFonts w:eastAsia="Times New Roman"/>
              </w:rPr>
            </w:pPr>
            <w:r>
              <w:rPr>
                <w:rFonts w:eastAsia="Times New Roman"/>
                <w:color w:val="000000"/>
                <w:sz w:val="18"/>
                <w:szCs w:val="18"/>
              </w:rPr>
              <w:t>7,176 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971480"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FA1A10" w14:textId="77777777" w:rsidR="00000000" w:rsidRDefault="009B6C69">
            <w:pPr>
              <w:spacing w:after="100"/>
              <w:jc w:val="right"/>
              <w:rPr>
                <w:rFonts w:eastAsia="Times New Roman"/>
                <w:sz w:val="20"/>
                <w:szCs w:val="20"/>
              </w:rPr>
            </w:pPr>
          </w:p>
        </w:tc>
        <w:tc>
          <w:tcPr>
            <w:tcW w:w="0" w:type="auto"/>
            <w:vAlign w:val="center"/>
            <w:hideMark/>
          </w:tcPr>
          <w:p w14:paraId="19C6AE0F" w14:textId="77777777" w:rsidR="00000000" w:rsidRDefault="009B6C69">
            <w:pPr>
              <w:spacing w:after="100"/>
              <w:rPr>
                <w:rFonts w:eastAsia="Times New Roman"/>
                <w:sz w:val="20"/>
                <w:szCs w:val="20"/>
              </w:rPr>
            </w:pPr>
          </w:p>
        </w:tc>
        <w:tc>
          <w:tcPr>
            <w:tcW w:w="0" w:type="auto"/>
            <w:vAlign w:val="center"/>
            <w:hideMark/>
          </w:tcPr>
          <w:p w14:paraId="76102B8B"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63793E"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2F2234" w14:textId="77777777" w:rsidR="00000000" w:rsidRDefault="009B6C69">
            <w:pPr>
              <w:spacing w:after="100"/>
              <w:jc w:val="right"/>
              <w:rPr>
                <w:rFonts w:eastAsia="Times New Roman"/>
              </w:rPr>
            </w:pPr>
            <w:r>
              <w:rPr>
                <w:rFonts w:eastAsia="Times New Roman"/>
                <w:color w:val="000000"/>
                <w:sz w:val="18"/>
                <w:szCs w:val="18"/>
              </w:rPr>
              <w:t>1,018 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400733" w14:textId="77777777" w:rsidR="00000000" w:rsidRDefault="009B6C69">
            <w:pPr>
              <w:spacing w:after="100"/>
              <w:jc w:val="right"/>
              <w:rPr>
                <w:rFonts w:eastAsia="Times New Roman"/>
              </w:rPr>
            </w:pPr>
          </w:p>
        </w:tc>
        <w:tc>
          <w:tcPr>
            <w:tcW w:w="0" w:type="auto"/>
            <w:vAlign w:val="center"/>
            <w:hideMark/>
          </w:tcPr>
          <w:p w14:paraId="2660EEFE" w14:textId="77777777" w:rsidR="00000000" w:rsidRDefault="009B6C69">
            <w:pPr>
              <w:spacing w:after="100"/>
              <w:jc w:val="right"/>
              <w:rPr>
                <w:rFonts w:eastAsia="Times New Roman"/>
                <w:sz w:val="20"/>
                <w:szCs w:val="20"/>
              </w:rPr>
            </w:pPr>
          </w:p>
        </w:tc>
        <w:tc>
          <w:tcPr>
            <w:tcW w:w="0" w:type="auto"/>
            <w:vAlign w:val="center"/>
            <w:hideMark/>
          </w:tcPr>
          <w:p w14:paraId="6FBD5A57" w14:textId="77777777" w:rsidR="00000000" w:rsidRDefault="009B6C69">
            <w:pPr>
              <w:spacing w:after="100"/>
              <w:rPr>
                <w:rFonts w:eastAsia="Times New Roman"/>
                <w:sz w:val="20"/>
                <w:szCs w:val="20"/>
              </w:rPr>
            </w:pPr>
          </w:p>
        </w:tc>
      </w:tr>
      <w:tr w:rsidR="00000000" w14:paraId="2128B25F" w14:textId="77777777">
        <w:trPr>
          <w:divId w:val="109280202"/>
        </w:trPr>
        <w:tc>
          <w:tcPr>
            <w:tcW w:w="0" w:type="auto"/>
            <w:gridSpan w:val="3"/>
            <w:shd w:val="clear" w:color="auto" w:fill="FFFFFF"/>
            <w:tcMar>
              <w:top w:w="30" w:type="dxa"/>
              <w:left w:w="20" w:type="dxa"/>
              <w:bottom w:w="30" w:type="dxa"/>
              <w:right w:w="20" w:type="dxa"/>
            </w:tcMar>
            <w:vAlign w:val="bottom"/>
            <w:hideMark/>
          </w:tcPr>
          <w:p w14:paraId="7CEF9322" w14:textId="77777777" w:rsidR="00000000" w:rsidRDefault="009B6C69">
            <w:pPr>
              <w:spacing w:after="100"/>
              <w:rPr>
                <w:rFonts w:eastAsia="Times New Roman"/>
              </w:rPr>
            </w:pPr>
            <w:r>
              <w:rPr>
                <w:rFonts w:eastAsia="Times New Roman"/>
                <w:color w:val="000000"/>
                <w:sz w:val="18"/>
                <w:szCs w:val="18"/>
              </w:rPr>
              <w:t>% of revenues</w:t>
            </w:r>
          </w:p>
        </w:tc>
        <w:tc>
          <w:tcPr>
            <w:tcW w:w="0" w:type="auto"/>
            <w:gridSpan w:val="2"/>
            <w:shd w:val="clear" w:color="auto" w:fill="FFFFFF"/>
            <w:tcMar>
              <w:top w:w="30" w:type="dxa"/>
              <w:left w:w="20" w:type="dxa"/>
              <w:bottom w:w="30" w:type="dxa"/>
              <w:right w:w="0" w:type="dxa"/>
            </w:tcMar>
            <w:vAlign w:val="bottom"/>
            <w:hideMark/>
          </w:tcPr>
          <w:p w14:paraId="0DEC846D" w14:textId="77777777" w:rsidR="00000000" w:rsidRDefault="009B6C69">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14:paraId="45A113DA" w14:textId="77777777" w:rsidR="00000000" w:rsidRDefault="009B6C69">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F836C42" w14:textId="77777777" w:rsidR="00000000" w:rsidRDefault="009B6C6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DD068D" w14:textId="77777777" w:rsidR="00000000" w:rsidRDefault="009B6C69">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14:paraId="5D51429C" w14:textId="77777777" w:rsidR="00000000" w:rsidRDefault="009B6C69">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1755063" w14:textId="77777777" w:rsidR="00000000" w:rsidRDefault="009B6C69">
            <w:pPr>
              <w:spacing w:after="100"/>
              <w:rPr>
                <w:rFonts w:eastAsia="Times New Roman"/>
              </w:rPr>
            </w:pPr>
          </w:p>
        </w:tc>
        <w:tc>
          <w:tcPr>
            <w:tcW w:w="0" w:type="auto"/>
            <w:vAlign w:val="center"/>
            <w:hideMark/>
          </w:tcPr>
          <w:p w14:paraId="5C99A727" w14:textId="77777777" w:rsidR="00000000" w:rsidRDefault="009B6C69">
            <w:pPr>
              <w:spacing w:after="100"/>
              <w:rPr>
                <w:rFonts w:eastAsia="Times New Roman"/>
                <w:sz w:val="20"/>
                <w:szCs w:val="20"/>
              </w:rPr>
            </w:pPr>
          </w:p>
        </w:tc>
        <w:tc>
          <w:tcPr>
            <w:tcW w:w="0" w:type="auto"/>
            <w:vAlign w:val="center"/>
            <w:hideMark/>
          </w:tcPr>
          <w:p w14:paraId="0DAE5E0F"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5B2596" w14:textId="77777777" w:rsidR="00000000" w:rsidRDefault="009B6C69">
            <w:pPr>
              <w:spacing w:after="100"/>
              <w:rPr>
                <w:rFonts w:eastAsia="Times New Roman"/>
                <w:sz w:val="20"/>
                <w:szCs w:val="20"/>
              </w:rPr>
            </w:pPr>
          </w:p>
        </w:tc>
        <w:tc>
          <w:tcPr>
            <w:tcW w:w="0" w:type="auto"/>
            <w:vAlign w:val="center"/>
            <w:hideMark/>
          </w:tcPr>
          <w:p w14:paraId="44BDD7EA" w14:textId="77777777" w:rsidR="00000000" w:rsidRDefault="009B6C69">
            <w:pPr>
              <w:spacing w:after="100"/>
              <w:rPr>
                <w:rFonts w:eastAsia="Times New Roman"/>
                <w:sz w:val="20"/>
                <w:szCs w:val="20"/>
              </w:rPr>
            </w:pPr>
          </w:p>
        </w:tc>
        <w:tc>
          <w:tcPr>
            <w:tcW w:w="0" w:type="auto"/>
            <w:vAlign w:val="center"/>
            <w:hideMark/>
          </w:tcPr>
          <w:p w14:paraId="4210FF8E" w14:textId="77777777" w:rsidR="00000000" w:rsidRDefault="009B6C69">
            <w:pPr>
              <w:spacing w:after="100"/>
              <w:rPr>
                <w:rFonts w:eastAsia="Times New Roman"/>
                <w:sz w:val="20"/>
                <w:szCs w:val="20"/>
              </w:rPr>
            </w:pPr>
          </w:p>
        </w:tc>
      </w:tr>
      <w:tr w:rsidR="00000000" w14:paraId="59E0B0A4" w14:textId="77777777">
        <w:trPr>
          <w:divId w:val="109280202"/>
        </w:trPr>
        <w:tc>
          <w:tcPr>
            <w:tcW w:w="0" w:type="auto"/>
            <w:gridSpan w:val="3"/>
            <w:vAlign w:val="center"/>
            <w:hideMark/>
          </w:tcPr>
          <w:p w14:paraId="314F9A70" w14:textId="77777777" w:rsidR="00000000" w:rsidRDefault="009B6C69">
            <w:pPr>
              <w:spacing w:after="100"/>
              <w:rPr>
                <w:rFonts w:eastAsia="Times New Roman"/>
                <w:sz w:val="20"/>
                <w:szCs w:val="20"/>
              </w:rPr>
            </w:pPr>
          </w:p>
        </w:tc>
        <w:tc>
          <w:tcPr>
            <w:tcW w:w="0" w:type="auto"/>
            <w:gridSpan w:val="3"/>
            <w:vAlign w:val="center"/>
            <w:hideMark/>
          </w:tcPr>
          <w:p w14:paraId="55E48FCE" w14:textId="77777777" w:rsidR="00000000" w:rsidRDefault="009B6C69">
            <w:pPr>
              <w:spacing w:after="100"/>
              <w:rPr>
                <w:rFonts w:eastAsia="Times New Roman"/>
                <w:sz w:val="20"/>
                <w:szCs w:val="20"/>
              </w:rPr>
            </w:pPr>
          </w:p>
        </w:tc>
        <w:tc>
          <w:tcPr>
            <w:tcW w:w="0" w:type="auto"/>
            <w:gridSpan w:val="3"/>
            <w:vAlign w:val="center"/>
            <w:hideMark/>
          </w:tcPr>
          <w:p w14:paraId="3C6DB8DD" w14:textId="77777777" w:rsidR="00000000" w:rsidRDefault="009B6C69">
            <w:pPr>
              <w:spacing w:after="100"/>
              <w:rPr>
                <w:rFonts w:eastAsia="Times New Roman"/>
                <w:sz w:val="20"/>
                <w:szCs w:val="20"/>
              </w:rPr>
            </w:pPr>
          </w:p>
        </w:tc>
        <w:tc>
          <w:tcPr>
            <w:tcW w:w="0" w:type="auto"/>
            <w:gridSpan w:val="3"/>
            <w:vAlign w:val="center"/>
            <w:hideMark/>
          </w:tcPr>
          <w:p w14:paraId="5859C6C2" w14:textId="77777777" w:rsidR="00000000" w:rsidRDefault="009B6C69">
            <w:pPr>
              <w:spacing w:after="100"/>
              <w:rPr>
                <w:rFonts w:eastAsia="Times New Roman"/>
                <w:sz w:val="20"/>
                <w:szCs w:val="20"/>
              </w:rPr>
            </w:pPr>
          </w:p>
        </w:tc>
        <w:tc>
          <w:tcPr>
            <w:tcW w:w="0" w:type="auto"/>
            <w:gridSpan w:val="3"/>
            <w:vAlign w:val="center"/>
            <w:hideMark/>
          </w:tcPr>
          <w:p w14:paraId="072ADD77" w14:textId="77777777" w:rsidR="00000000" w:rsidRDefault="009B6C69">
            <w:pPr>
              <w:spacing w:after="100"/>
              <w:rPr>
                <w:rFonts w:eastAsia="Times New Roman"/>
                <w:sz w:val="20"/>
                <w:szCs w:val="20"/>
              </w:rPr>
            </w:pPr>
          </w:p>
        </w:tc>
        <w:tc>
          <w:tcPr>
            <w:tcW w:w="0" w:type="auto"/>
            <w:vAlign w:val="center"/>
            <w:hideMark/>
          </w:tcPr>
          <w:p w14:paraId="127EE1AB" w14:textId="77777777" w:rsidR="00000000" w:rsidRDefault="009B6C69">
            <w:pPr>
              <w:spacing w:after="100"/>
              <w:rPr>
                <w:rFonts w:eastAsia="Times New Roman"/>
                <w:sz w:val="20"/>
                <w:szCs w:val="20"/>
              </w:rPr>
            </w:pPr>
          </w:p>
        </w:tc>
        <w:tc>
          <w:tcPr>
            <w:tcW w:w="0" w:type="auto"/>
            <w:vAlign w:val="center"/>
            <w:hideMark/>
          </w:tcPr>
          <w:p w14:paraId="28A422E2" w14:textId="77777777" w:rsidR="00000000" w:rsidRDefault="009B6C69">
            <w:pPr>
              <w:spacing w:after="100"/>
              <w:rPr>
                <w:rFonts w:eastAsia="Times New Roman"/>
                <w:sz w:val="20"/>
                <w:szCs w:val="20"/>
              </w:rPr>
            </w:pPr>
          </w:p>
        </w:tc>
        <w:tc>
          <w:tcPr>
            <w:tcW w:w="0" w:type="auto"/>
            <w:gridSpan w:val="3"/>
            <w:vAlign w:val="center"/>
            <w:hideMark/>
          </w:tcPr>
          <w:p w14:paraId="3BDAEFB3" w14:textId="77777777" w:rsidR="00000000" w:rsidRDefault="009B6C69">
            <w:pPr>
              <w:spacing w:after="100"/>
              <w:rPr>
                <w:rFonts w:eastAsia="Times New Roman"/>
                <w:sz w:val="20"/>
                <w:szCs w:val="20"/>
              </w:rPr>
            </w:pPr>
          </w:p>
        </w:tc>
        <w:tc>
          <w:tcPr>
            <w:tcW w:w="0" w:type="auto"/>
            <w:vAlign w:val="center"/>
            <w:hideMark/>
          </w:tcPr>
          <w:p w14:paraId="592A7753" w14:textId="77777777" w:rsidR="00000000" w:rsidRDefault="009B6C69">
            <w:pPr>
              <w:spacing w:after="100"/>
              <w:rPr>
                <w:rFonts w:eastAsia="Times New Roman"/>
                <w:sz w:val="20"/>
                <w:szCs w:val="20"/>
              </w:rPr>
            </w:pPr>
          </w:p>
        </w:tc>
        <w:tc>
          <w:tcPr>
            <w:tcW w:w="0" w:type="auto"/>
            <w:vAlign w:val="center"/>
            <w:hideMark/>
          </w:tcPr>
          <w:p w14:paraId="4D308810" w14:textId="77777777" w:rsidR="00000000" w:rsidRDefault="009B6C69">
            <w:pPr>
              <w:spacing w:after="100"/>
              <w:rPr>
                <w:rFonts w:eastAsia="Times New Roman"/>
                <w:sz w:val="20"/>
                <w:szCs w:val="20"/>
              </w:rPr>
            </w:pPr>
          </w:p>
        </w:tc>
      </w:tr>
      <w:tr w:rsidR="00000000" w14:paraId="53B0A75F" w14:textId="77777777">
        <w:trPr>
          <w:divId w:val="109280202"/>
        </w:trPr>
        <w:tc>
          <w:tcPr>
            <w:tcW w:w="0" w:type="auto"/>
            <w:gridSpan w:val="3"/>
            <w:vAlign w:val="center"/>
            <w:hideMark/>
          </w:tcPr>
          <w:p w14:paraId="1BE573D3" w14:textId="77777777" w:rsidR="00000000" w:rsidRDefault="009B6C69">
            <w:pPr>
              <w:spacing w:after="100"/>
              <w:rPr>
                <w:rFonts w:eastAsia="Times New Roman"/>
                <w:sz w:val="20"/>
                <w:szCs w:val="20"/>
              </w:rPr>
            </w:pPr>
          </w:p>
        </w:tc>
        <w:tc>
          <w:tcPr>
            <w:tcW w:w="0" w:type="auto"/>
            <w:gridSpan w:val="3"/>
            <w:vAlign w:val="center"/>
            <w:hideMark/>
          </w:tcPr>
          <w:p w14:paraId="4C991CE0" w14:textId="77777777" w:rsidR="00000000" w:rsidRDefault="009B6C69">
            <w:pPr>
              <w:spacing w:after="100"/>
              <w:rPr>
                <w:rFonts w:eastAsia="Times New Roman"/>
                <w:sz w:val="20"/>
                <w:szCs w:val="20"/>
              </w:rPr>
            </w:pPr>
          </w:p>
        </w:tc>
        <w:tc>
          <w:tcPr>
            <w:tcW w:w="0" w:type="auto"/>
            <w:gridSpan w:val="3"/>
            <w:vAlign w:val="center"/>
            <w:hideMark/>
          </w:tcPr>
          <w:p w14:paraId="28F59232" w14:textId="77777777" w:rsidR="00000000" w:rsidRDefault="009B6C69">
            <w:pPr>
              <w:spacing w:after="100"/>
              <w:rPr>
                <w:rFonts w:eastAsia="Times New Roman"/>
                <w:sz w:val="20"/>
                <w:szCs w:val="20"/>
              </w:rPr>
            </w:pPr>
          </w:p>
        </w:tc>
        <w:tc>
          <w:tcPr>
            <w:tcW w:w="0" w:type="auto"/>
            <w:gridSpan w:val="3"/>
            <w:vAlign w:val="center"/>
            <w:hideMark/>
          </w:tcPr>
          <w:p w14:paraId="6FF65351" w14:textId="77777777" w:rsidR="00000000" w:rsidRDefault="009B6C69">
            <w:pPr>
              <w:spacing w:after="100"/>
              <w:rPr>
                <w:rFonts w:eastAsia="Times New Roman"/>
                <w:sz w:val="20"/>
                <w:szCs w:val="20"/>
              </w:rPr>
            </w:pPr>
          </w:p>
        </w:tc>
        <w:tc>
          <w:tcPr>
            <w:tcW w:w="0" w:type="auto"/>
            <w:gridSpan w:val="3"/>
            <w:vAlign w:val="center"/>
            <w:hideMark/>
          </w:tcPr>
          <w:p w14:paraId="57E72B62" w14:textId="77777777" w:rsidR="00000000" w:rsidRDefault="009B6C69">
            <w:pPr>
              <w:spacing w:after="100"/>
              <w:rPr>
                <w:rFonts w:eastAsia="Times New Roman"/>
                <w:sz w:val="20"/>
                <w:szCs w:val="20"/>
              </w:rPr>
            </w:pPr>
          </w:p>
        </w:tc>
        <w:tc>
          <w:tcPr>
            <w:tcW w:w="0" w:type="auto"/>
            <w:vAlign w:val="center"/>
            <w:hideMark/>
          </w:tcPr>
          <w:p w14:paraId="5A782A3D" w14:textId="77777777" w:rsidR="00000000" w:rsidRDefault="009B6C69">
            <w:pPr>
              <w:spacing w:after="100"/>
              <w:rPr>
                <w:rFonts w:eastAsia="Times New Roman"/>
                <w:sz w:val="20"/>
                <w:szCs w:val="20"/>
              </w:rPr>
            </w:pPr>
          </w:p>
        </w:tc>
        <w:tc>
          <w:tcPr>
            <w:tcW w:w="0" w:type="auto"/>
            <w:vAlign w:val="center"/>
            <w:hideMark/>
          </w:tcPr>
          <w:p w14:paraId="4EF9459E" w14:textId="77777777" w:rsidR="00000000" w:rsidRDefault="009B6C69">
            <w:pPr>
              <w:spacing w:after="100"/>
              <w:rPr>
                <w:rFonts w:eastAsia="Times New Roman"/>
                <w:sz w:val="20"/>
                <w:szCs w:val="20"/>
              </w:rPr>
            </w:pPr>
          </w:p>
        </w:tc>
        <w:tc>
          <w:tcPr>
            <w:tcW w:w="0" w:type="auto"/>
            <w:gridSpan w:val="3"/>
            <w:vAlign w:val="center"/>
            <w:hideMark/>
          </w:tcPr>
          <w:p w14:paraId="4BF0A7F9" w14:textId="77777777" w:rsidR="00000000" w:rsidRDefault="009B6C69">
            <w:pPr>
              <w:spacing w:after="100"/>
              <w:rPr>
                <w:rFonts w:eastAsia="Times New Roman"/>
                <w:sz w:val="20"/>
                <w:szCs w:val="20"/>
              </w:rPr>
            </w:pPr>
          </w:p>
        </w:tc>
        <w:tc>
          <w:tcPr>
            <w:tcW w:w="0" w:type="auto"/>
            <w:vAlign w:val="center"/>
            <w:hideMark/>
          </w:tcPr>
          <w:p w14:paraId="6A68D2AC" w14:textId="77777777" w:rsidR="00000000" w:rsidRDefault="009B6C69">
            <w:pPr>
              <w:spacing w:after="100"/>
              <w:rPr>
                <w:rFonts w:eastAsia="Times New Roman"/>
                <w:sz w:val="20"/>
                <w:szCs w:val="20"/>
              </w:rPr>
            </w:pPr>
          </w:p>
        </w:tc>
        <w:tc>
          <w:tcPr>
            <w:tcW w:w="0" w:type="auto"/>
            <w:vAlign w:val="center"/>
            <w:hideMark/>
          </w:tcPr>
          <w:p w14:paraId="5266FACF" w14:textId="77777777" w:rsidR="00000000" w:rsidRDefault="009B6C69">
            <w:pPr>
              <w:spacing w:after="100"/>
              <w:rPr>
                <w:rFonts w:eastAsia="Times New Roman"/>
                <w:sz w:val="20"/>
                <w:szCs w:val="20"/>
              </w:rPr>
            </w:pPr>
          </w:p>
        </w:tc>
      </w:tr>
      <w:tr w:rsidR="00000000" w14:paraId="73654DDE" w14:textId="77777777">
        <w:trPr>
          <w:divId w:val="109280202"/>
        </w:trPr>
        <w:tc>
          <w:tcPr>
            <w:tcW w:w="0" w:type="auto"/>
            <w:gridSpan w:val="3"/>
            <w:vAlign w:val="center"/>
            <w:hideMark/>
          </w:tcPr>
          <w:p w14:paraId="3B11CEFD" w14:textId="77777777" w:rsidR="00000000" w:rsidRDefault="009B6C69">
            <w:pPr>
              <w:spacing w:after="100"/>
              <w:rPr>
                <w:rFonts w:eastAsia="Times New Roman"/>
                <w:sz w:val="20"/>
                <w:szCs w:val="20"/>
              </w:rPr>
            </w:pPr>
          </w:p>
        </w:tc>
        <w:tc>
          <w:tcPr>
            <w:tcW w:w="0" w:type="auto"/>
            <w:gridSpan w:val="3"/>
            <w:vAlign w:val="center"/>
            <w:hideMark/>
          </w:tcPr>
          <w:p w14:paraId="353E93D5" w14:textId="77777777" w:rsidR="00000000" w:rsidRDefault="009B6C69">
            <w:pPr>
              <w:spacing w:after="100"/>
              <w:rPr>
                <w:rFonts w:eastAsia="Times New Roman"/>
                <w:sz w:val="20"/>
                <w:szCs w:val="20"/>
              </w:rPr>
            </w:pPr>
          </w:p>
        </w:tc>
        <w:tc>
          <w:tcPr>
            <w:tcW w:w="0" w:type="auto"/>
            <w:gridSpan w:val="3"/>
            <w:vAlign w:val="center"/>
            <w:hideMark/>
          </w:tcPr>
          <w:p w14:paraId="3CBA16A4" w14:textId="77777777" w:rsidR="00000000" w:rsidRDefault="009B6C69">
            <w:pPr>
              <w:spacing w:after="100"/>
              <w:rPr>
                <w:rFonts w:eastAsia="Times New Roman"/>
                <w:sz w:val="20"/>
                <w:szCs w:val="20"/>
              </w:rPr>
            </w:pPr>
          </w:p>
        </w:tc>
        <w:tc>
          <w:tcPr>
            <w:tcW w:w="0" w:type="auto"/>
            <w:gridSpan w:val="3"/>
            <w:vAlign w:val="center"/>
            <w:hideMark/>
          </w:tcPr>
          <w:p w14:paraId="4A035743" w14:textId="77777777" w:rsidR="00000000" w:rsidRDefault="009B6C69">
            <w:pPr>
              <w:spacing w:after="100"/>
              <w:rPr>
                <w:rFonts w:eastAsia="Times New Roman"/>
                <w:sz w:val="20"/>
                <w:szCs w:val="20"/>
              </w:rPr>
            </w:pPr>
          </w:p>
        </w:tc>
        <w:tc>
          <w:tcPr>
            <w:tcW w:w="0" w:type="auto"/>
            <w:gridSpan w:val="3"/>
            <w:vAlign w:val="center"/>
            <w:hideMark/>
          </w:tcPr>
          <w:p w14:paraId="7D377C54" w14:textId="77777777" w:rsidR="00000000" w:rsidRDefault="009B6C69">
            <w:pPr>
              <w:spacing w:after="100"/>
              <w:rPr>
                <w:rFonts w:eastAsia="Times New Roman"/>
                <w:sz w:val="20"/>
                <w:szCs w:val="20"/>
              </w:rPr>
            </w:pPr>
          </w:p>
        </w:tc>
        <w:tc>
          <w:tcPr>
            <w:tcW w:w="0" w:type="auto"/>
            <w:vAlign w:val="center"/>
            <w:hideMark/>
          </w:tcPr>
          <w:p w14:paraId="54A99E4C" w14:textId="77777777" w:rsidR="00000000" w:rsidRDefault="009B6C69">
            <w:pPr>
              <w:spacing w:after="100"/>
              <w:rPr>
                <w:rFonts w:eastAsia="Times New Roman"/>
                <w:sz w:val="20"/>
                <w:szCs w:val="20"/>
              </w:rPr>
            </w:pPr>
          </w:p>
        </w:tc>
        <w:tc>
          <w:tcPr>
            <w:tcW w:w="0" w:type="auto"/>
            <w:vAlign w:val="center"/>
            <w:hideMark/>
          </w:tcPr>
          <w:p w14:paraId="0A2AA626" w14:textId="77777777" w:rsidR="00000000" w:rsidRDefault="009B6C69">
            <w:pPr>
              <w:spacing w:after="100"/>
              <w:rPr>
                <w:rFonts w:eastAsia="Times New Roman"/>
                <w:sz w:val="20"/>
                <w:szCs w:val="20"/>
              </w:rPr>
            </w:pPr>
          </w:p>
        </w:tc>
        <w:tc>
          <w:tcPr>
            <w:tcW w:w="0" w:type="auto"/>
            <w:gridSpan w:val="3"/>
            <w:vAlign w:val="center"/>
            <w:hideMark/>
          </w:tcPr>
          <w:p w14:paraId="2134BFCC" w14:textId="77777777" w:rsidR="00000000" w:rsidRDefault="009B6C69">
            <w:pPr>
              <w:spacing w:after="100"/>
              <w:rPr>
                <w:rFonts w:eastAsia="Times New Roman"/>
                <w:sz w:val="20"/>
                <w:szCs w:val="20"/>
              </w:rPr>
            </w:pPr>
          </w:p>
        </w:tc>
        <w:tc>
          <w:tcPr>
            <w:tcW w:w="0" w:type="auto"/>
            <w:vAlign w:val="center"/>
            <w:hideMark/>
          </w:tcPr>
          <w:p w14:paraId="7FAEAD3A" w14:textId="77777777" w:rsidR="00000000" w:rsidRDefault="009B6C69">
            <w:pPr>
              <w:spacing w:after="100"/>
              <w:rPr>
                <w:rFonts w:eastAsia="Times New Roman"/>
                <w:sz w:val="20"/>
                <w:szCs w:val="20"/>
              </w:rPr>
            </w:pPr>
          </w:p>
        </w:tc>
        <w:tc>
          <w:tcPr>
            <w:tcW w:w="0" w:type="auto"/>
            <w:vAlign w:val="center"/>
            <w:hideMark/>
          </w:tcPr>
          <w:p w14:paraId="6B388C25" w14:textId="77777777" w:rsidR="00000000" w:rsidRDefault="009B6C69">
            <w:pPr>
              <w:spacing w:after="100"/>
              <w:rPr>
                <w:rFonts w:eastAsia="Times New Roman"/>
                <w:sz w:val="20"/>
                <w:szCs w:val="20"/>
              </w:rPr>
            </w:pPr>
          </w:p>
        </w:tc>
      </w:tr>
    </w:tbl>
    <w:p w14:paraId="1069232E" w14:textId="77777777" w:rsidR="00000000" w:rsidRDefault="009B6C69">
      <w:pPr>
        <w:divId w:val="701630690"/>
        <w:rPr>
          <w:rFonts w:eastAsia="Times New Roman"/>
        </w:rPr>
      </w:pPr>
      <w:r>
        <w:rPr>
          <w:rFonts w:eastAsia="Times New Roman"/>
          <w:b/>
          <w:bCs/>
          <w:i/>
          <w:iCs/>
          <w:color w:val="000000"/>
          <w:sz w:val="20"/>
          <w:szCs w:val="20"/>
        </w:rPr>
        <w:t>2022 vs. 2021</w:t>
      </w:r>
    </w:p>
    <w:p w14:paraId="2C7753FC" w14:textId="77777777" w:rsidR="00000000" w:rsidRDefault="009B6C69">
      <w:pPr>
        <w:divId w:val="1643080581"/>
        <w:rPr>
          <w:rFonts w:eastAsia="Times New Roman"/>
        </w:rPr>
      </w:pPr>
      <w:r>
        <w:rPr>
          <w:rFonts w:eastAsia="Times New Roman"/>
          <w:color w:val="000000"/>
          <w:sz w:val="20"/>
          <w:szCs w:val="20"/>
        </w:rPr>
        <w:t>The increase in research and development expenses in fiscal 2022 was due to:</w:t>
      </w:r>
    </w:p>
    <w:p w14:paraId="78DDADD4" w14:textId="77777777" w:rsidR="00000000" w:rsidRDefault="009B6C69">
      <w:pPr>
        <w:ind w:hanging="360"/>
        <w:divId w:val="112138099"/>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w:t>
      </w:r>
      <w:r>
        <w:rPr>
          <w:rFonts w:eastAsia="Times New Roman"/>
          <w:color w:val="000000"/>
          <w:sz w:val="20"/>
          <w:szCs w:val="20"/>
        </w:rPr>
        <w:t>$856 million increase driven by higher costs related to the development of wireless and integrated circuit technologies (including 5G and application processor technologies), primarily driven by an increase in employee-related expenses</w:t>
      </w:r>
    </w:p>
    <w:p w14:paraId="6B62A290" w14:textId="77777777" w:rsidR="00000000" w:rsidRDefault="009B6C69">
      <w:pPr>
        <w:ind w:hanging="360"/>
        <w:divId w:val="418909803"/>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$303 million in</w:t>
      </w:r>
      <w:r>
        <w:rPr>
          <w:rFonts w:eastAsia="Times New Roman"/>
          <w:color w:val="000000"/>
          <w:sz w:val="20"/>
          <w:szCs w:val="20"/>
        </w:rPr>
        <w:t>crease in share-based compensation expense</w:t>
      </w:r>
    </w:p>
    <w:p w14:paraId="42035497" w14:textId="77777777" w:rsidR="00000000" w:rsidRDefault="009B6C69">
      <w:pPr>
        <w:ind w:hanging="360"/>
        <w:divId w:val="775440905"/>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$141 million decrease in expenses driven by revaluation of our deferred compensation obligation on lower relative stock market performance (which resulted in a corresponding increase in net losses on deferred</w:t>
      </w:r>
      <w:r>
        <w:rPr>
          <w:rFonts w:eastAsia="Times New Roman"/>
          <w:color w:val="000000"/>
          <w:sz w:val="20"/>
          <w:szCs w:val="20"/>
        </w:rPr>
        <w:t xml:space="preserve"> compensation plan assets within investment and other (expense) income, net due to the revaluation of the related assets)</w:t>
      </w:r>
    </w:p>
    <w:tbl>
      <w:tblPr>
        <w:tblW w:w="5000" w:type="pct"/>
        <w:tblCellMar>
          <w:top w:w="15" w:type="dxa"/>
          <w:left w:w="15" w:type="dxa"/>
          <w:bottom w:w="15" w:type="dxa"/>
          <w:right w:w="15" w:type="dxa"/>
        </w:tblCellMar>
        <w:tblLook w:val="04A0" w:firstRow="1" w:lastRow="0" w:firstColumn="1" w:lastColumn="0" w:noHBand="0" w:noVBand="1"/>
      </w:tblPr>
      <w:tblGrid>
        <w:gridCol w:w="37"/>
        <w:gridCol w:w="4880"/>
        <w:gridCol w:w="36"/>
        <w:gridCol w:w="110"/>
        <w:gridCol w:w="811"/>
        <w:gridCol w:w="170"/>
        <w:gridCol w:w="36"/>
        <w:gridCol w:w="36"/>
        <w:gridCol w:w="36"/>
        <w:gridCol w:w="110"/>
        <w:gridCol w:w="737"/>
        <w:gridCol w:w="170"/>
        <w:gridCol w:w="36"/>
        <w:gridCol w:w="36"/>
        <w:gridCol w:w="36"/>
        <w:gridCol w:w="36"/>
        <w:gridCol w:w="36"/>
        <w:gridCol w:w="111"/>
        <w:gridCol w:w="738"/>
        <w:gridCol w:w="36"/>
        <w:gridCol w:w="36"/>
        <w:gridCol w:w="36"/>
      </w:tblGrid>
      <w:tr w:rsidR="00000000" w14:paraId="5FA561CD" w14:textId="77777777">
        <w:trPr>
          <w:divId w:val="1422335778"/>
        </w:trPr>
        <w:tc>
          <w:tcPr>
            <w:tcW w:w="50" w:type="pct"/>
            <w:vAlign w:val="center"/>
            <w:hideMark/>
          </w:tcPr>
          <w:p w14:paraId="14D0FC73" w14:textId="77777777" w:rsidR="00000000" w:rsidRDefault="009B6C69">
            <w:pPr>
              <w:ind w:hanging="360"/>
              <w:rPr>
                <w:rFonts w:eastAsia="Times New Roman"/>
              </w:rPr>
            </w:pPr>
          </w:p>
        </w:tc>
        <w:tc>
          <w:tcPr>
            <w:tcW w:w="3062" w:type="pct"/>
            <w:vAlign w:val="center"/>
            <w:hideMark/>
          </w:tcPr>
          <w:p w14:paraId="30718838" w14:textId="77777777" w:rsidR="00000000" w:rsidRDefault="009B6C69">
            <w:pPr>
              <w:spacing w:after="100"/>
              <w:rPr>
                <w:rFonts w:eastAsia="Times New Roman"/>
                <w:sz w:val="20"/>
                <w:szCs w:val="20"/>
              </w:rPr>
            </w:pPr>
          </w:p>
        </w:tc>
        <w:tc>
          <w:tcPr>
            <w:tcW w:w="5" w:type="pct"/>
            <w:vAlign w:val="center"/>
            <w:hideMark/>
          </w:tcPr>
          <w:p w14:paraId="0E8387EA" w14:textId="77777777" w:rsidR="00000000" w:rsidRDefault="009B6C69">
            <w:pPr>
              <w:spacing w:after="100"/>
              <w:rPr>
                <w:rFonts w:eastAsia="Times New Roman"/>
                <w:sz w:val="20"/>
                <w:szCs w:val="20"/>
              </w:rPr>
            </w:pPr>
          </w:p>
        </w:tc>
        <w:tc>
          <w:tcPr>
            <w:tcW w:w="50" w:type="pct"/>
            <w:vAlign w:val="center"/>
            <w:hideMark/>
          </w:tcPr>
          <w:p w14:paraId="6701DEFE" w14:textId="77777777" w:rsidR="00000000" w:rsidRDefault="009B6C69">
            <w:pPr>
              <w:spacing w:after="100"/>
              <w:rPr>
                <w:rFonts w:eastAsia="Times New Roman"/>
                <w:sz w:val="20"/>
                <w:szCs w:val="20"/>
              </w:rPr>
            </w:pPr>
          </w:p>
        </w:tc>
        <w:tc>
          <w:tcPr>
            <w:tcW w:w="547" w:type="pct"/>
            <w:vAlign w:val="center"/>
            <w:hideMark/>
          </w:tcPr>
          <w:p w14:paraId="4DD49EF3" w14:textId="77777777" w:rsidR="00000000" w:rsidRDefault="009B6C69">
            <w:pPr>
              <w:spacing w:after="100"/>
              <w:rPr>
                <w:rFonts w:eastAsia="Times New Roman"/>
                <w:sz w:val="20"/>
                <w:szCs w:val="20"/>
              </w:rPr>
            </w:pPr>
          </w:p>
        </w:tc>
        <w:tc>
          <w:tcPr>
            <w:tcW w:w="5" w:type="pct"/>
            <w:vAlign w:val="center"/>
            <w:hideMark/>
          </w:tcPr>
          <w:p w14:paraId="70E2A099" w14:textId="77777777" w:rsidR="00000000" w:rsidRDefault="009B6C69">
            <w:pPr>
              <w:spacing w:after="100"/>
              <w:rPr>
                <w:rFonts w:eastAsia="Times New Roman"/>
                <w:sz w:val="20"/>
                <w:szCs w:val="20"/>
              </w:rPr>
            </w:pPr>
          </w:p>
        </w:tc>
        <w:tc>
          <w:tcPr>
            <w:tcW w:w="5" w:type="pct"/>
            <w:vAlign w:val="center"/>
            <w:hideMark/>
          </w:tcPr>
          <w:p w14:paraId="413802FF" w14:textId="77777777" w:rsidR="00000000" w:rsidRDefault="009B6C69">
            <w:pPr>
              <w:spacing w:after="100"/>
              <w:rPr>
                <w:rFonts w:eastAsia="Times New Roman"/>
                <w:sz w:val="20"/>
                <w:szCs w:val="20"/>
              </w:rPr>
            </w:pPr>
          </w:p>
        </w:tc>
        <w:tc>
          <w:tcPr>
            <w:tcW w:w="27" w:type="pct"/>
            <w:vAlign w:val="center"/>
            <w:hideMark/>
          </w:tcPr>
          <w:p w14:paraId="1CD7BC64" w14:textId="77777777" w:rsidR="00000000" w:rsidRDefault="009B6C69">
            <w:pPr>
              <w:spacing w:after="100"/>
              <w:rPr>
                <w:rFonts w:eastAsia="Times New Roman"/>
                <w:sz w:val="20"/>
                <w:szCs w:val="20"/>
              </w:rPr>
            </w:pPr>
          </w:p>
        </w:tc>
        <w:tc>
          <w:tcPr>
            <w:tcW w:w="5" w:type="pct"/>
            <w:vAlign w:val="center"/>
            <w:hideMark/>
          </w:tcPr>
          <w:p w14:paraId="1B63144F" w14:textId="77777777" w:rsidR="00000000" w:rsidRDefault="009B6C69">
            <w:pPr>
              <w:spacing w:after="100"/>
              <w:rPr>
                <w:rFonts w:eastAsia="Times New Roman"/>
                <w:sz w:val="20"/>
                <w:szCs w:val="20"/>
              </w:rPr>
            </w:pPr>
          </w:p>
        </w:tc>
        <w:tc>
          <w:tcPr>
            <w:tcW w:w="50" w:type="pct"/>
            <w:vAlign w:val="center"/>
            <w:hideMark/>
          </w:tcPr>
          <w:p w14:paraId="430ED538" w14:textId="77777777" w:rsidR="00000000" w:rsidRDefault="009B6C69">
            <w:pPr>
              <w:spacing w:after="100"/>
              <w:rPr>
                <w:rFonts w:eastAsia="Times New Roman"/>
                <w:sz w:val="20"/>
                <w:szCs w:val="20"/>
              </w:rPr>
            </w:pPr>
          </w:p>
        </w:tc>
        <w:tc>
          <w:tcPr>
            <w:tcW w:w="547" w:type="pct"/>
            <w:vAlign w:val="center"/>
            <w:hideMark/>
          </w:tcPr>
          <w:p w14:paraId="2B1699DD" w14:textId="77777777" w:rsidR="00000000" w:rsidRDefault="009B6C69">
            <w:pPr>
              <w:spacing w:after="100"/>
              <w:rPr>
                <w:rFonts w:eastAsia="Times New Roman"/>
                <w:sz w:val="20"/>
                <w:szCs w:val="20"/>
              </w:rPr>
            </w:pPr>
          </w:p>
        </w:tc>
        <w:tc>
          <w:tcPr>
            <w:tcW w:w="5" w:type="pct"/>
            <w:vAlign w:val="center"/>
            <w:hideMark/>
          </w:tcPr>
          <w:p w14:paraId="1D1988EE" w14:textId="77777777" w:rsidR="00000000" w:rsidRDefault="009B6C69">
            <w:pPr>
              <w:spacing w:after="100"/>
              <w:rPr>
                <w:rFonts w:eastAsia="Times New Roman"/>
                <w:sz w:val="20"/>
                <w:szCs w:val="20"/>
              </w:rPr>
            </w:pPr>
          </w:p>
        </w:tc>
        <w:tc>
          <w:tcPr>
            <w:tcW w:w="5" w:type="pct"/>
            <w:vAlign w:val="center"/>
            <w:hideMark/>
          </w:tcPr>
          <w:p w14:paraId="77A6DD89" w14:textId="77777777" w:rsidR="00000000" w:rsidRDefault="009B6C69">
            <w:pPr>
              <w:spacing w:after="100"/>
              <w:rPr>
                <w:rFonts w:eastAsia="Times New Roman"/>
                <w:sz w:val="20"/>
                <w:szCs w:val="20"/>
              </w:rPr>
            </w:pPr>
          </w:p>
        </w:tc>
        <w:tc>
          <w:tcPr>
            <w:tcW w:w="27" w:type="pct"/>
            <w:vAlign w:val="center"/>
            <w:hideMark/>
          </w:tcPr>
          <w:p w14:paraId="578DD11F" w14:textId="77777777" w:rsidR="00000000" w:rsidRDefault="009B6C69">
            <w:pPr>
              <w:spacing w:after="100"/>
              <w:rPr>
                <w:rFonts w:eastAsia="Times New Roman"/>
                <w:sz w:val="20"/>
                <w:szCs w:val="20"/>
              </w:rPr>
            </w:pPr>
          </w:p>
        </w:tc>
        <w:tc>
          <w:tcPr>
            <w:tcW w:w="5" w:type="pct"/>
            <w:vAlign w:val="center"/>
            <w:hideMark/>
          </w:tcPr>
          <w:p w14:paraId="769C71F1" w14:textId="77777777" w:rsidR="00000000" w:rsidRDefault="009B6C69">
            <w:pPr>
              <w:spacing w:after="100"/>
              <w:rPr>
                <w:rFonts w:eastAsia="Times New Roman"/>
                <w:sz w:val="20"/>
                <w:szCs w:val="20"/>
              </w:rPr>
            </w:pPr>
          </w:p>
        </w:tc>
        <w:tc>
          <w:tcPr>
            <w:tcW w:w="0" w:type="auto"/>
            <w:vAlign w:val="center"/>
            <w:hideMark/>
          </w:tcPr>
          <w:p w14:paraId="6ACC2907" w14:textId="77777777" w:rsidR="00000000" w:rsidRDefault="009B6C69">
            <w:pPr>
              <w:spacing w:after="100"/>
              <w:rPr>
                <w:rFonts w:eastAsia="Times New Roman"/>
                <w:sz w:val="20"/>
                <w:szCs w:val="20"/>
              </w:rPr>
            </w:pPr>
          </w:p>
        </w:tc>
        <w:tc>
          <w:tcPr>
            <w:tcW w:w="0" w:type="auto"/>
            <w:vAlign w:val="center"/>
            <w:hideMark/>
          </w:tcPr>
          <w:p w14:paraId="354EE2C3" w14:textId="77777777" w:rsidR="00000000" w:rsidRDefault="009B6C69">
            <w:pPr>
              <w:spacing w:after="100"/>
              <w:rPr>
                <w:rFonts w:eastAsia="Times New Roman"/>
                <w:sz w:val="20"/>
                <w:szCs w:val="20"/>
              </w:rPr>
            </w:pPr>
          </w:p>
        </w:tc>
        <w:tc>
          <w:tcPr>
            <w:tcW w:w="50" w:type="pct"/>
            <w:vAlign w:val="center"/>
            <w:hideMark/>
          </w:tcPr>
          <w:p w14:paraId="2E5E1800" w14:textId="77777777" w:rsidR="00000000" w:rsidRDefault="009B6C69">
            <w:pPr>
              <w:spacing w:after="100"/>
              <w:rPr>
                <w:rFonts w:eastAsia="Times New Roman"/>
                <w:sz w:val="20"/>
                <w:szCs w:val="20"/>
              </w:rPr>
            </w:pPr>
          </w:p>
        </w:tc>
        <w:tc>
          <w:tcPr>
            <w:tcW w:w="547" w:type="pct"/>
            <w:vAlign w:val="center"/>
            <w:hideMark/>
          </w:tcPr>
          <w:p w14:paraId="6ACB8493" w14:textId="77777777" w:rsidR="00000000" w:rsidRDefault="009B6C69">
            <w:pPr>
              <w:spacing w:after="100"/>
              <w:rPr>
                <w:rFonts w:eastAsia="Times New Roman"/>
                <w:sz w:val="20"/>
                <w:szCs w:val="20"/>
              </w:rPr>
            </w:pPr>
          </w:p>
        </w:tc>
        <w:tc>
          <w:tcPr>
            <w:tcW w:w="5" w:type="pct"/>
            <w:vAlign w:val="center"/>
            <w:hideMark/>
          </w:tcPr>
          <w:p w14:paraId="1CA9EDAC" w14:textId="77777777" w:rsidR="00000000" w:rsidRDefault="009B6C69">
            <w:pPr>
              <w:spacing w:after="100"/>
              <w:rPr>
                <w:rFonts w:eastAsia="Times New Roman"/>
                <w:sz w:val="20"/>
                <w:szCs w:val="20"/>
              </w:rPr>
            </w:pPr>
          </w:p>
        </w:tc>
        <w:tc>
          <w:tcPr>
            <w:tcW w:w="0" w:type="auto"/>
            <w:vAlign w:val="center"/>
            <w:hideMark/>
          </w:tcPr>
          <w:p w14:paraId="3E0F931C" w14:textId="77777777" w:rsidR="00000000" w:rsidRDefault="009B6C69">
            <w:pPr>
              <w:spacing w:after="100"/>
              <w:rPr>
                <w:rFonts w:eastAsia="Times New Roman"/>
                <w:sz w:val="20"/>
                <w:szCs w:val="20"/>
              </w:rPr>
            </w:pPr>
          </w:p>
        </w:tc>
        <w:tc>
          <w:tcPr>
            <w:tcW w:w="0" w:type="auto"/>
            <w:vAlign w:val="center"/>
            <w:hideMark/>
          </w:tcPr>
          <w:p w14:paraId="768B78C7" w14:textId="77777777" w:rsidR="00000000" w:rsidRDefault="009B6C69">
            <w:pPr>
              <w:spacing w:after="100"/>
              <w:rPr>
                <w:rFonts w:eastAsia="Times New Roman"/>
                <w:sz w:val="20"/>
                <w:szCs w:val="20"/>
              </w:rPr>
            </w:pPr>
          </w:p>
        </w:tc>
      </w:tr>
      <w:tr w:rsidR="00000000" w14:paraId="7F0A851C" w14:textId="77777777">
        <w:trPr>
          <w:divId w:val="1422335778"/>
        </w:trPr>
        <w:tc>
          <w:tcPr>
            <w:tcW w:w="0" w:type="auto"/>
            <w:gridSpan w:val="3"/>
            <w:tcMar>
              <w:top w:w="0" w:type="dxa"/>
              <w:left w:w="20" w:type="dxa"/>
              <w:bottom w:w="0" w:type="dxa"/>
              <w:right w:w="20" w:type="dxa"/>
            </w:tcMar>
            <w:vAlign w:val="center"/>
            <w:hideMark/>
          </w:tcPr>
          <w:p w14:paraId="66A5EAE2"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630D225"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14:paraId="19FA9A74"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E0412C8"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3D5156CD" w14:textId="77777777" w:rsidR="00000000" w:rsidRDefault="009B6C69">
            <w:pPr>
              <w:spacing w:after="100"/>
              <w:jc w:val="center"/>
              <w:rPr>
                <w:rFonts w:eastAsia="Times New Roman"/>
              </w:rPr>
            </w:pPr>
          </w:p>
        </w:tc>
        <w:tc>
          <w:tcPr>
            <w:tcW w:w="0" w:type="auto"/>
            <w:vAlign w:val="center"/>
            <w:hideMark/>
          </w:tcPr>
          <w:p w14:paraId="747BCFA2" w14:textId="77777777" w:rsidR="00000000" w:rsidRDefault="009B6C69">
            <w:pPr>
              <w:spacing w:after="100"/>
              <w:rPr>
                <w:rFonts w:eastAsia="Times New Roman"/>
                <w:sz w:val="20"/>
                <w:szCs w:val="20"/>
              </w:rPr>
            </w:pPr>
          </w:p>
        </w:tc>
        <w:tc>
          <w:tcPr>
            <w:tcW w:w="0" w:type="auto"/>
            <w:vAlign w:val="center"/>
            <w:hideMark/>
          </w:tcPr>
          <w:p w14:paraId="4CD97FE6"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F0C72BF" w14:textId="77777777" w:rsidR="00000000" w:rsidRDefault="009B6C69">
            <w:pPr>
              <w:spacing w:after="100"/>
              <w:jc w:val="center"/>
              <w:rPr>
                <w:rFonts w:eastAsia="Times New Roman"/>
              </w:rPr>
            </w:pPr>
            <w:r>
              <w:rPr>
                <w:rFonts w:eastAsia="Times New Roman"/>
                <w:b/>
                <w:bCs/>
                <w:color w:val="000000"/>
                <w:sz w:val="18"/>
                <w:szCs w:val="18"/>
              </w:rPr>
              <w:t>Change</w:t>
            </w:r>
          </w:p>
        </w:tc>
        <w:tc>
          <w:tcPr>
            <w:tcW w:w="0" w:type="auto"/>
            <w:vAlign w:val="center"/>
            <w:hideMark/>
          </w:tcPr>
          <w:p w14:paraId="2B9ADB36" w14:textId="77777777" w:rsidR="00000000" w:rsidRDefault="009B6C69">
            <w:pPr>
              <w:spacing w:after="100"/>
              <w:jc w:val="center"/>
              <w:rPr>
                <w:rFonts w:eastAsia="Times New Roman"/>
              </w:rPr>
            </w:pPr>
          </w:p>
        </w:tc>
        <w:tc>
          <w:tcPr>
            <w:tcW w:w="0" w:type="auto"/>
            <w:vAlign w:val="center"/>
            <w:hideMark/>
          </w:tcPr>
          <w:p w14:paraId="6ED86794" w14:textId="77777777" w:rsidR="00000000" w:rsidRDefault="009B6C69">
            <w:pPr>
              <w:spacing w:after="100"/>
              <w:rPr>
                <w:rFonts w:eastAsia="Times New Roman"/>
                <w:sz w:val="20"/>
                <w:szCs w:val="20"/>
              </w:rPr>
            </w:pPr>
          </w:p>
        </w:tc>
      </w:tr>
      <w:tr w:rsidR="00000000" w14:paraId="47CBE7F4" w14:textId="77777777">
        <w:trPr>
          <w:divId w:val="1422335778"/>
        </w:trPr>
        <w:tc>
          <w:tcPr>
            <w:tcW w:w="0" w:type="auto"/>
            <w:gridSpan w:val="3"/>
            <w:shd w:val="clear" w:color="auto" w:fill="CCEEFF"/>
            <w:tcMar>
              <w:top w:w="30" w:type="dxa"/>
              <w:left w:w="20" w:type="dxa"/>
              <w:bottom w:w="30" w:type="dxa"/>
              <w:right w:w="20" w:type="dxa"/>
            </w:tcMar>
            <w:vAlign w:val="bottom"/>
            <w:hideMark/>
          </w:tcPr>
          <w:p w14:paraId="51A17630" w14:textId="77777777" w:rsidR="00000000" w:rsidRDefault="009B6C69">
            <w:pPr>
              <w:spacing w:after="100"/>
              <w:rPr>
                <w:rFonts w:eastAsia="Times New Roman"/>
              </w:rPr>
            </w:pPr>
            <w:r>
              <w:rPr>
                <w:rFonts w:eastAsia="Times New Roman"/>
                <w:color w:val="000000"/>
                <w:sz w:val="18"/>
                <w:szCs w:val="18"/>
              </w:rPr>
              <w:t>Selling, general and administrative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3FE262"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DCA65D" w14:textId="77777777" w:rsidR="00000000" w:rsidRDefault="009B6C69">
            <w:pPr>
              <w:spacing w:after="100"/>
              <w:jc w:val="right"/>
              <w:rPr>
                <w:rFonts w:eastAsia="Times New Roman"/>
              </w:rPr>
            </w:pPr>
            <w:r>
              <w:rPr>
                <w:rFonts w:eastAsia="Times New Roman"/>
                <w:color w:val="000000"/>
                <w:sz w:val="18"/>
                <w:szCs w:val="18"/>
              </w:rPr>
              <w:t>2,570 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E712A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C46F55"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EFECB6"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590458" w14:textId="77777777" w:rsidR="00000000" w:rsidRDefault="009B6C69">
            <w:pPr>
              <w:spacing w:after="100"/>
              <w:jc w:val="right"/>
              <w:rPr>
                <w:rFonts w:eastAsia="Times New Roman"/>
              </w:rPr>
            </w:pPr>
            <w:r>
              <w:rPr>
                <w:rFonts w:eastAsia="Times New Roman"/>
                <w:color w:val="000000"/>
                <w:sz w:val="18"/>
                <w:szCs w:val="18"/>
              </w:rPr>
              <w:t>2,339 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08721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0ED40B" w14:textId="77777777" w:rsidR="00000000" w:rsidRDefault="009B6C69">
            <w:pPr>
              <w:spacing w:after="100"/>
              <w:jc w:val="right"/>
              <w:rPr>
                <w:rFonts w:eastAsia="Times New Roman"/>
                <w:sz w:val="20"/>
                <w:szCs w:val="20"/>
              </w:rPr>
            </w:pPr>
          </w:p>
        </w:tc>
        <w:tc>
          <w:tcPr>
            <w:tcW w:w="0" w:type="auto"/>
            <w:vAlign w:val="center"/>
            <w:hideMark/>
          </w:tcPr>
          <w:p w14:paraId="4AE9A075" w14:textId="77777777" w:rsidR="00000000" w:rsidRDefault="009B6C69">
            <w:pPr>
              <w:spacing w:after="100"/>
              <w:rPr>
                <w:rFonts w:eastAsia="Times New Roman"/>
                <w:sz w:val="20"/>
                <w:szCs w:val="20"/>
              </w:rPr>
            </w:pPr>
          </w:p>
        </w:tc>
        <w:tc>
          <w:tcPr>
            <w:tcW w:w="0" w:type="auto"/>
            <w:vAlign w:val="center"/>
            <w:hideMark/>
          </w:tcPr>
          <w:p w14:paraId="7FBD8902"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3E1022"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FDAC4F" w14:textId="77777777" w:rsidR="00000000" w:rsidRDefault="009B6C69">
            <w:pPr>
              <w:spacing w:after="100"/>
              <w:jc w:val="right"/>
              <w:rPr>
                <w:rFonts w:eastAsia="Times New Roman"/>
              </w:rPr>
            </w:pPr>
            <w:r>
              <w:rPr>
                <w:rFonts w:eastAsia="Times New Roman"/>
                <w:color w:val="000000"/>
                <w:sz w:val="18"/>
                <w:szCs w:val="18"/>
              </w:rPr>
              <w:t>231 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C8493D" w14:textId="77777777" w:rsidR="00000000" w:rsidRDefault="009B6C69">
            <w:pPr>
              <w:spacing w:after="100"/>
              <w:jc w:val="right"/>
              <w:rPr>
                <w:rFonts w:eastAsia="Times New Roman"/>
              </w:rPr>
            </w:pPr>
          </w:p>
        </w:tc>
        <w:tc>
          <w:tcPr>
            <w:tcW w:w="0" w:type="auto"/>
            <w:vAlign w:val="center"/>
            <w:hideMark/>
          </w:tcPr>
          <w:p w14:paraId="1CAE6A46" w14:textId="77777777" w:rsidR="00000000" w:rsidRDefault="009B6C69">
            <w:pPr>
              <w:spacing w:after="100"/>
              <w:jc w:val="right"/>
              <w:rPr>
                <w:rFonts w:eastAsia="Times New Roman"/>
                <w:sz w:val="20"/>
                <w:szCs w:val="20"/>
              </w:rPr>
            </w:pPr>
          </w:p>
        </w:tc>
        <w:tc>
          <w:tcPr>
            <w:tcW w:w="0" w:type="auto"/>
            <w:vAlign w:val="center"/>
            <w:hideMark/>
          </w:tcPr>
          <w:p w14:paraId="6A2FD359" w14:textId="77777777" w:rsidR="00000000" w:rsidRDefault="009B6C69">
            <w:pPr>
              <w:spacing w:after="100"/>
              <w:rPr>
                <w:rFonts w:eastAsia="Times New Roman"/>
                <w:sz w:val="20"/>
                <w:szCs w:val="20"/>
              </w:rPr>
            </w:pPr>
          </w:p>
        </w:tc>
      </w:tr>
      <w:tr w:rsidR="00000000" w14:paraId="748AC00F" w14:textId="77777777">
        <w:trPr>
          <w:divId w:val="1422335778"/>
        </w:trPr>
        <w:tc>
          <w:tcPr>
            <w:tcW w:w="0" w:type="auto"/>
            <w:gridSpan w:val="3"/>
            <w:shd w:val="clear" w:color="auto" w:fill="FFFFFF"/>
            <w:tcMar>
              <w:top w:w="30" w:type="dxa"/>
              <w:left w:w="20" w:type="dxa"/>
              <w:bottom w:w="30" w:type="dxa"/>
              <w:right w:w="20" w:type="dxa"/>
            </w:tcMar>
            <w:vAlign w:val="bottom"/>
            <w:hideMark/>
          </w:tcPr>
          <w:p w14:paraId="748E67AF" w14:textId="77777777" w:rsidR="00000000" w:rsidRDefault="009B6C69">
            <w:pPr>
              <w:spacing w:after="100"/>
              <w:rPr>
                <w:rFonts w:eastAsia="Times New Roman"/>
              </w:rPr>
            </w:pPr>
            <w:r>
              <w:rPr>
                <w:rFonts w:eastAsia="Times New Roman"/>
                <w:color w:val="000000"/>
                <w:sz w:val="18"/>
                <w:szCs w:val="18"/>
              </w:rPr>
              <w:t>% of revenues</w:t>
            </w:r>
          </w:p>
        </w:tc>
        <w:tc>
          <w:tcPr>
            <w:tcW w:w="0" w:type="auto"/>
            <w:gridSpan w:val="2"/>
            <w:shd w:val="clear" w:color="auto" w:fill="FFFFFF"/>
            <w:tcMar>
              <w:top w:w="30" w:type="dxa"/>
              <w:left w:w="20" w:type="dxa"/>
              <w:bottom w:w="30" w:type="dxa"/>
              <w:right w:w="0" w:type="dxa"/>
            </w:tcMar>
            <w:vAlign w:val="bottom"/>
            <w:hideMark/>
          </w:tcPr>
          <w:p w14:paraId="162CA1EF" w14:textId="77777777" w:rsidR="00000000" w:rsidRDefault="009B6C69">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bottom"/>
            <w:hideMark/>
          </w:tcPr>
          <w:p w14:paraId="494CFCF4" w14:textId="77777777" w:rsidR="00000000" w:rsidRDefault="009B6C69">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9910026" w14:textId="77777777" w:rsidR="00000000" w:rsidRDefault="009B6C6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BF6DAC" w14:textId="77777777" w:rsidR="00000000" w:rsidRDefault="009B6C69">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bottom"/>
            <w:hideMark/>
          </w:tcPr>
          <w:p w14:paraId="5CDF3E58" w14:textId="77777777" w:rsidR="00000000" w:rsidRDefault="009B6C69">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B678E28" w14:textId="77777777" w:rsidR="00000000" w:rsidRDefault="009B6C69">
            <w:pPr>
              <w:spacing w:after="100"/>
              <w:rPr>
                <w:rFonts w:eastAsia="Times New Roman"/>
              </w:rPr>
            </w:pPr>
          </w:p>
        </w:tc>
        <w:tc>
          <w:tcPr>
            <w:tcW w:w="0" w:type="auto"/>
            <w:vAlign w:val="center"/>
            <w:hideMark/>
          </w:tcPr>
          <w:p w14:paraId="4EC58CB7" w14:textId="77777777" w:rsidR="00000000" w:rsidRDefault="009B6C69">
            <w:pPr>
              <w:spacing w:after="100"/>
              <w:rPr>
                <w:rFonts w:eastAsia="Times New Roman"/>
                <w:sz w:val="20"/>
                <w:szCs w:val="20"/>
              </w:rPr>
            </w:pPr>
          </w:p>
        </w:tc>
        <w:tc>
          <w:tcPr>
            <w:tcW w:w="0" w:type="auto"/>
            <w:vAlign w:val="center"/>
            <w:hideMark/>
          </w:tcPr>
          <w:p w14:paraId="0BB42FCF"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9ADE2F" w14:textId="77777777" w:rsidR="00000000" w:rsidRDefault="009B6C69">
            <w:pPr>
              <w:spacing w:after="100"/>
              <w:rPr>
                <w:rFonts w:eastAsia="Times New Roman"/>
                <w:sz w:val="20"/>
                <w:szCs w:val="20"/>
              </w:rPr>
            </w:pPr>
          </w:p>
        </w:tc>
        <w:tc>
          <w:tcPr>
            <w:tcW w:w="0" w:type="auto"/>
            <w:vAlign w:val="center"/>
            <w:hideMark/>
          </w:tcPr>
          <w:p w14:paraId="424A7D94" w14:textId="77777777" w:rsidR="00000000" w:rsidRDefault="009B6C69">
            <w:pPr>
              <w:spacing w:after="100"/>
              <w:rPr>
                <w:rFonts w:eastAsia="Times New Roman"/>
                <w:sz w:val="20"/>
                <w:szCs w:val="20"/>
              </w:rPr>
            </w:pPr>
          </w:p>
        </w:tc>
        <w:tc>
          <w:tcPr>
            <w:tcW w:w="0" w:type="auto"/>
            <w:vAlign w:val="center"/>
            <w:hideMark/>
          </w:tcPr>
          <w:p w14:paraId="3EC05BB3" w14:textId="77777777" w:rsidR="00000000" w:rsidRDefault="009B6C69">
            <w:pPr>
              <w:spacing w:after="100"/>
              <w:rPr>
                <w:rFonts w:eastAsia="Times New Roman"/>
                <w:sz w:val="20"/>
                <w:szCs w:val="20"/>
              </w:rPr>
            </w:pPr>
          </w:p>
        </w:tc>
      </w:tr>
    </w:tbl>
    <w:p w14:paraId="09F6FE15" w14:textId="77777777" w:rsidR="00000000" w:rsidRDefault="009B6C69">
      <w:pPr>
        <w:divId w:val="1907177897"/>
        <w:rPr>
          <w:rFonts w:eastAsia="Times New Roman"/>
        </w:rPr>
      </w:pPr>
      <w:r>
        <w:rPr>
          <w:rFonts w:eastAsia="Times New Roman"/>
          <w:b/>
          <w:bCs/>
          <w:i/>
          <w:iCs/>
          <w:color w:val="000000"/>
          <w:sz w:val="20"/>
          <w:szCs w:val="20"/>
        </w:rPr>
        <w:t>2022 vs. 2021</w:t>
      </w:r>
    </w:p>
    <w:p w14:paraId="637E1E34" w14:textId="77777777" w:rsidR="00000000" w:rsidRDefault="009B6C69">
      <w:pPr>
        <w:divId w:val="780148028"/>
        <w:rPr>
          <w:rFonts w:eastAsia="Times New Roman"/>
        </w:rPr>
      </w:pPr>
      <w:r>
        <w:rPr>
          <w:rFonts w:eastAsia="Times New Roman"/>
          <w:color w:val="000000"/>
          <w:sz w:val="20"/>
          <w:szCs w:val="20"/>
        </w:rPr>
        <w:t>The increase in selling, general and administrative expenses in fiscal 2022 was primarily due to:</w:t>
      </w:r>
    </w:p>
    <w:p w14:paraId="7859A207" w14:textId="77777777" w:rsidR="00000000" w:rsidRDefault="009B6C69">
      <w:pPr>
        <w:ind w:hanging="360"/>
        <w:divId w:val="703404214"/>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w:t>
      </w:r>
      <w:r>
        <w:rPr>
          <w:rFonts w:eastAsia="Times New Roman"/>
          <w:color w:val="000000"/>
          <w:sz w:val="20"/>
          <w:szCs w:val="20"/>
        </w:rPr>
        <w:t>$110 million increase in acquisition-related expenses, primarily related to the Veoneer transaction</w:t>
      </w:r>
    </w:p>
    <w:p w14:paraId="21A9F163" w14:textId="77777777" w:rsidR="00000000" w:rsidRDefault="009B6C69">
      <w:pPr>
        <w:ind w:hanging="360"/>
        <w:divId w:val="151605082"/>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$94 million increase in employee-related expenses</w:t>
      </w:r>
    </w:p>
    <w:p w14:paraId="0F9E2CC6" w14:textId="77777777" w:rsidR="00000000" w:rsidRDefault="009B6C69">
      <w:pPr>
        <w:ind w:hanging="360"/>
        <w:divId w:val="1242636889"/>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$74 million increase in share-based compensation expense</w:t>
      </w:r>
    </w:p>
    <w:p w14:paraId="4228582F" w14:textId="77777777" w:rsidR="00000000" w:rsidRDefault="009B6C69">
      <w:pPr>
        <w:ind w:hanging="360"/>
        <w:divId w:val="978878136"/>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$33 million increase in litigation</w:t>
      </w:r>
      <w:r>
        <w:rPr>
          <w:rFonts w:eastAsia="Times New Roman"/>
          <w:color w:val="000000"/>
          <w:sz w:val="20"/>
          <w:szCs w:val="20"/>
        </w:rPr>
        <w:t xml:space="preserve"> costs</w:t>
      </w:r>
    </w:p>
    <w:p w14:paraId="20CBDC04" w14:textId="77777777" w:rsidR="00000000" w:rsidRDefault="009B6C69">
      <w:pPr>
        <w:ind w:hanging="360"/>
        <w:divId w:val="46733014"/>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xml:space="preserve">    $32 million increase in sales and marketing expenses </w:t>
      </w:r>
    </w:p>
    <w:p w14:paraId="47C4503B" w14:textId="77777777" w:rsidR="00000000" w:rsidRDefault="009B6C69">
      <w:pPr>
        <w:ind w:hanging="360"/>
        <w:divId w:val="592393688"/>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$127 million decrease in expenses driven by revaluation of our deferred compensation obligation on lower relative stock market performance</w:t>
      </w:r>
    </w:p>
    <w:tbl>
      <w:tblPr>
        <w:tblW w:w="5000" w:type="pct"/>
        <w:tblCellMar>
          <w:top w:w="15" w:type="dxa"/>
          <w:left w:w="15" w:type="dxa"/>
          <w:bottom w:w="15" w:type="dxa"/>
          <w:right w:w="15" w:type="dxa"/>
        </w:tblCellMar>
        <w:tblLook w:val="04A0" w:firstRow="1" w:lastRow="0" w:firstColumn="1" w:lastColumn="0" w:noHBand="0" w:noVBand="1"/>
      </w:tblPr>
      <w:tblGrid>
        <w:gridCol w:w="37"/>
        <w:gridCol w:w="4956"/>
        <w:gridCol w:w="36"/>
        <w:gridCol w:w="110"/>
        <w:gridCol w:w="849"/>
        <w:gridCol w:w="36"/>
        <w:gridCol w:w="36"/>
        <w:gridCol w:w="36"/>
        <w:gridCol w:w="36"/>
        <w:gridCol w:w="111"/>
        <w:gridCol w:w="814"/>
        <w:gridCol w:w="36"/>
        <w:gridCol w:w="36"/>
        <w:gridCol w:w="36"/>
        <w:gridCol w:w="36"/>
        <w:gridCol w:w="36"/>
        <w:gridCol w:w="36"/>
        <w:gridCol w:w="110"/>
        <w:gridCol w:w="815"/>
        <w:gridCol w:w="36"/>
        <w:gridCol w:w="36"/>
        <w:gridCol w:w="36"/>
      </w:tblGrid>
      <w:tr w:rsidR="00000000" w14:paraId="64869381" w14:textId="77777777">
        <w:trPr>
          <w:divId w:val="388385383"/>
        </w:trPr>
        <w:tc>
          <w:tcPr>
            <w:tcW w:w="50" w:type="pct"/>
            <w:vAlign w:val="center"/>
            <w:hideMark/>
          </w:tcPr>
          <w:p w14:paraId="5146CBE9" w14:textId="77777777" w:rsidR="00000000" w:rsidRDefault="009B6C69">
            <w:pPr>
              <w:ind w:hanging="360"/>
              <w:rPr>
                <w:rFonts w:eastAsia="Times New Roman"/>
              </w:rPr>
            </w:pPr>
          </w:p>
        </w:tc>
        <w:tc>
          <w:tcPr>
            <w:tcW w:w="3062" w:type="pct"/>
            <w:vAlign w:val="center"/>
            <w:hideMark/>
          </w:tcPr>
          <w:p w14:paraId="240999BD" w14:textId="77777777" w:rsidR="00000000" w:rsidRDefault="009B6C69">
            <w:pPr>
              <w:spacing w:after="100"/>
              <w:rPr>
                <w:rFonts w:eastAsia="Times New Roman"/>
                <w:sz w:val="20"/>
                <w:szCs w:val="20"/>
              </w:rPr>
            </w:pPr>
          </w:p>
        </w:tc>
        <w:tc>
          <w:tcPr>
            <w:tcW w:w="5" w:type="pct"/>
            <w:vAlign w:val="center"/>
            <w:hideMark/>
          </w:tcPr>
          <w:p w14:paraId="1F5BB750" w14:textId="77777777" w:rsidR="00000000" w:rsidRDefault="009B6C69">
            <w:pPr>
              <w:spacing w:after="100"/>
              <w:rPr>
                <w:rFonts w:eastAsia="Times New Roman"/>
                <w:sz w:val="20"/>
                <w:szCs w:val="20"/>
              </w:rPr>
            </w:pPr>
          </w:p>
        </w:tc>
        <w:tc>
          <w:tcPr>
            <w:tcW w:w="50" w:type="pct"/>
            <w:vAlign w:val="center"/>
            <w:hideMark/>
          </w:tcPr>
          <w:p w14:paraId="1C942EC3" w14:textId="77777777" w:rsidR="00000000" w:rsidRDefault="009B6C69">
            <w:pPr>
              <w:spacing w:after="100"/>
              <w:rPr>
                <w:rFonts w:eastAsia="Times New Roman"/>
                <w:sz w:val="20"/>
                <w:szCs w:val="20"/>
              </w:rPr>
            </w:pPr>
          </w:p>
        </w:tc>
        <w:tc>
          <w:tcPr>
            <w:tcW w:w="547" w:type="pct"/>
            <w:vAlign w:val="center"/>
            <w:hideMark/>
          </w:tcPr>
          <w:p w14:paraId="7BD2B93E" w14:textId="77777777" w:rsidR="00000000" w:rsidRDefault="009B6C69">
            <w:pPr>
              <w:spacing w:after="100"/>
              <w:rPr>
                <w:rFonts w:eastAsia="Times New Roman"/>
                <w:sz w:val="20"/>
                <w:szCs w:val="20"/>
              </w:rPr>
            </w:pPr>
          </w:p>
        </w:tc>
        <w:tc>
          <w:tcPr>
            <w:tcW w:w="5" w:type="pct"/>
            <w:vAlign w:val="center"/>
            <w:hideMark/>
          </w:tcPr>
          <w:p w14:paraId="5E196786" w14:textId="77777777" w:rsidR="00000000" w:rsidRDefault="009B6C69">
            <w:pPr>
              <w:spacing w:after="100"/>
              <w:rPr>
                <w:rFonts w:eastAsia="Times New Roman"/>
                <w:sz w:val="20"/>
                <w:szCs w:val="20"/>
              </w:rPr>
            </w:pPr>
          </w:p>
        </w:tc>
        <w:tc>
          <w:tcPr>
            <w:tcW w:w="5" w:type="pct"/>
            <w:vAlign w:val="center"/>
            <w:hideMark/>
          </w:tcPr>
          <w:p w14:paraId="0FA55E05" w14:textId="77777777" w:rsidR="00000000" w:rsidRDefault="009B6C69">
            <w:pPr>
              <w:spacing w:after="100"/>
              <w:rPr>
                <w:rFonts w:eastAsia="Times New Roman"/>
                <w:sz w:val="20"/>
                <w:szCs w:val="20"/>
              </w:rPr>
            </w:pPr>
          </w:p>
        </w:tc>
        <w:tc>
          <w:tcPr>
            <w:tcW w:w="27" w:type="pct"/>
            <w:vAlign w:val="center"/>
            <w:hideMark/>
          </w:tcPr>
          <w:p w14:paraId="56148D3A" w14:textId="77777777" w:rsidR="00000000" w:rsidRDefault="009B6C69">
            <w:pPr>
              <w:spacing w:after="100"/>
              <w:rPr>
                <w:rFonts w:eastAsia="Times New Roman"/>
                <w:sz w:val="20"/>
                <w:szCs w:val="20"/>
              </w:rPr>
            </w:pPr>
          </w:p>
        </w:tc>
        <w:tc>
          <w:tcPr>
            <w:tcW w:w="5" w:type="pct"/>
            <w:vAlign w:val="center"/>
            <w:hideMark/>
          </w:tcPr>
          <w:p w14:paraId="6D7AD8BD" w14:textId="77777777" w:rsidR="00000000" w:rsidRDefault="009B6C69">
            <w:pPr>
              <w:spacing w:after="100"/>
              <w:rPr>
                <w:rFonts w:eastAsia="Times New Roman"/>
                <w:sz w:val="20"/>
                <w:szCs w:val="20"/>
              </w:rPr>
            </w:pPr>
          </w:p>
        </w:tc>
        <w:tc>
          <w:tcPr>
            <w:tcW w:w="50" w:type="pct"/>
            <w:vAlign w:val="center"/>
            <w:hideMark/>
          </w:tcPr>
          <w:p w14:paraId="1CD9AF5E" w14:textId="77777777" w:rsidR="00000000" w:rsidRDefault="009B6C69">
            <w:pPr>
              <w:spacing w:after="100"/>
              <w:rPr>
                <w:rFonts w:eastAsia="Times New Roman"/>
                <w:sz w:val="20"/>
                <w:szCs w:val="20"/>
              </w:rPr>
            </w:pPr>
          </w:p>
        </w:tc>
        <w:tc>
          <w:tcPr>
            <w:tcW w:w="547" w:type="pct"/>
            <w:vAlign w:val="center"/>
            <w:hideMark/>
          </w:tcPr>
          <w:p w14:paraId="6629616B" w14:textId="77777777" w:rsidR="00000000" w:rsidRDefault="009B6C69">
            <w:pPr>
              <w:spacing w:after="100"/>
              <w:rPr>
                <w:rFonts w:eastAsia="Times New Roman"/>
                <w:sz w:val="20"/>
                <w:szCs w:val="20"/>
              </w:rPr>
            </w:pPr>
          </w:p>
        </w:tc>
        <w:tc>
          <w:tcPr>
            <w:tcW w:w="5" w:type="pct"/>
            <w:vAlign w:val="center"/>
            <w:hideMark/>
          </w:tcPr>
          <w:p w14:paraId="5C8B2F85" w14:textId="77777777" w:rsidR="00000000" w:rsidRDefault="009B6C69">
            <w:pPr>
              <w:spacing w:after="100"/>
              <w:rPr>
                <w:rFonts w:eastAsia="Times New Roman"/>
                <w:sz w:val="20"/>
                <w:szCs w:val="20"/>
              </w:rPr>
            </w:pPr>
          </w:p>
        </w:tc>
        <w:tc>
          <w:tcPr>
            <w:tcW w:w="5" w:type="pct"/>
            <w:vAlign w:val="center"/>
            <w:hideMark/>
          </w:tcPr>
          <w:p w14:paraId="62AADF80" w14:textId="77777777" w:rsidR="00000000" w:rsidRDefault="009B6C69">
            <w:pPr>
              <w:spacing w:after="100"/>
              <w:rPr>
                <w:rFonts w:eastAsia="Times New Roman"/>
                <w:sz w:val="20"/>
                <w:szCs w:val="20"/>
              </w:rPr>
            </w:pPr>
          </w:p>
        </w:tc>
        <w:tc>
          <w:tcPr>
            <w:tcW w:w="27" w:type="pct"/>
            <w:vAlign w:val="center"/>
            <w:hideMark/>
          </w:tcPr>
          <w:p w14:paraId="504D17B4" w14:textId="77777777" w:rsidR="00000000" w:rsidRDefault="009B6C69">
            <w:pPr>
              <w:spacing w:after="100"/>
              <w:rPr>
                <w:rFonts w:eastAsia="Times New Roman"/>
                <w:sz w:val="20"/>
                <w:szCs w:val="20"/>
              </w:rPr>
            </w:pPr>
          </w:p>
        </w:tc>
        <w:tc>
          <w:tcPr>
            <w:tcW w:w="5" w:type="pct"/>
            <w:vAlign w:val="center"/>
            <w:hideMark/>
          </w:tcPr>
          <w:p w14:paraId="389324F0" w14:textId="77777777" w:rsidR="00000000" w:rsidRDefault="009B6C69">
            <w:pPr>
              <w:spacing w:after="100"/>
              <w:rPr>
                <w:rFonts w:eastAsia="Times New Roman"/>
                <w:sz w:val="20"/>
                <w:szCs w:val="20"/>
              </w:rPr>
            </w:pPr>
          </w:p>
        </w:tc>
        <w:tc>
          <w:tcPr>
            <w:tcW w:w="0" w:type="auto"/>
            <w:vAlign w:val="center"/>
            <w:hideMark/>
          </w:tcPr>
          <w:p w14:paraId="7FFCEF23" w14:textId="77777777" w:rsidR="00000000" w:rsidRDefault="009B6C69">
            <w:pPr>
              <w:spacing w:after="100"/>
              <w:rPr>
                <w:rFonts w:eastAsia="Times New Roman"/>
                <w:sz w:val="20"/>
                <w:szCs w:val="20"/>
              </w:rPr>
            </w:pPr>
          </w:p>
        </w:tc>
        <w:tc>
          <w:tcPr>
            <w:tcW w:w="0" w:type="auto"/>
            <w:vAlign w:val="center"/>
            <w:hideMark/>
          </w:tcPr>
          <w:p w14:paraId="256F1DC2" w14:textId="77777777" w:rsidR="00000000" w:rsidRDefault="009B6C69">
            <w:pPr>
              <w:spacing w:after="100"/>
              <w:rPr>
                <w:rFonts w:eastAsia="Times New Roman"/>
                <w:sz w:val="20"/>
                <w:szCs w:val="20"/>
              </w:rPr>
            </w:pPr>
          </w:p>
        </w:tc>
        <w:tc>
          <w:tcPr>
            <w:tcW w:w="50" w:type="pct"/>
            <w:vAlign w:val="center"/>
            <w:hideMark/>
          </w:tcPr>
          <w:p w14:paraId="32D561AF" w14:textId="77777777" w:rsidR="00000000" w:rsidRDefault="009B6C69">
            <w:pPr>
              <w:spacing w:after="100"/>
              <w:rPr>
                <w:rFonts w:eastAsia="Times New Roman"/>
                <w:sz w:val="20"/>
                <w:szCs w:val="20"/>
              </w:rPr>
            </w:pPr>
          </w:p>
        </w:tc>
        <w:tc>
          <w:tcPr>
            <w:tcW w:w="547" w:type="pct"/>
            <w:vAlign w:val="center"/>
            <w:hideMark/>
          </w:tcPr>
          <w:p w14:paraId="3F1157FB" w14:textId="77777777" w:rsidR="00000000" w:rsidRDefault="009B6C69">
            <w:pPr>
              <w:spacing w:after="100"/>
              <w:rPr>
                <w:rFonts w:eastAsia="Times New Roman"/>
                <w:sz w:val="20"/>
                <w:szCs w:val="20"/>
              </w:rPr>
            </w:pPr>
          </w:p>
        </w:tc>
        <w:tc>
          <w:tcPr>
            <w:tcW w:w="5" w:type="pct"/>
            <w:vAlign w:val="center"/>
            <w:hideMark/>
          </w:tcPr>
          <w:p w14:paraId="1769171F" w14:textId="77777777" w:rsidR="00000000" w:rsidRDefault="009B6C69">
            <w:pPr>
              <w:spacing w:after="100"/>
              <w:rPr>
                <w:rFonts w:eastAsia="Times New Roman"/>
                <w:sz w:val="20"/>
                <w:szCs w:val="20"/>
              </w:rPr>
            </w:pPr>
          </w:p>
        </w:tc>
        <w:tc>
          <w:tcPr>
            <w:tcW w:w="0" w:type="auto"/>
            <w:vAlign w:val="center"/>
            <w:hideMark/>
          </w:tcPr>
          <w:p w14:paraId="35A8B90F" w14:textId="77777777" w:rsidR="00000000" w:rsidRDefault="009B6C69">
            <w:pPr>
              <w:spacing w:after="100"/>
              <w:rPr>
                <w:rFonts w:eastAsia="Times New Roman"/>
                <w:sz w:val="20"/>
                <w:szCs w:val="20"/>
              </w:rPr>
            </w:pPr>
          </w:p>
        </w:tc>
        <w:tc>
          <w:tcPr>
            <w:tcW w:w="0" w:type="auto"/>
            <w:vAlign w:val="center"/>
            <w:hideMark/>
          </w:tcPr>
          <w:p w14:paraId="24D04227" w14:textId="77777777" w:rsidR="00000000" w:rsidRDefault="009B6C69">
            <w:pPr>
              <w:spacing w:after="100"/>
              <w:rPr>
                <w:rFonts w:eastAsia="Times New Roman"/>
                <w:sz w:val="20"/>
                <w:szCs w:val="20"/>
              </w:rPr>
            </w:pPr>
          </w:p>
        </w:tc>
      </w:tr>
      <w:tr w:rsidR="00000000" w14:paraId="615516E4" w14:textId="77777777">
        <w:trPr>
          <w:divId w:val="388385383"/>
        </w:trPr>
        <w:tc>
          <w:tcPr>
            <w:tcW w:w="0" w:type="auto"/>
            <w:gridSpan w:val="3"/>
            <w:tcMar>
              <w:top w:w="0" w:type="dxa"/>
              <w:left w:w="20" w:type="dxa"/>
              <w:bottom w:w="0" w:type="dxa"/>
              <w:right w:w="20" w:type="dxa"/>
            </w:tcMar>
            <w:vAlign w:val="center"/>
            <w:hideMark/>
          </w:tcPr>
          <w:p w14:paraId="19D5A4B1"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41BD233"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14:paraId="2A5BB556"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B4870AC"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45173473" w14:textId="77777777" w:rsidR="00000000" w:rsidRDefault="009B6C69">
            <w:pPr>
              <w:spacing w:after="100"/>
              <w:jc w:val="center"/>
              <w:rPr>
                <w:rFonts w:eastAsia="Times New Roman"/>
              </w:rPr>
            </w:pPr>
          </w:p>
        </w:tc>
        <w:tc>
          <w:tcPr>
            <w:tcW w:w="0" w:type="auto"/>
            <w:vAlign w:val="center"/>
            <w:hideMark/>
          </w:tcPr>
          <w:p w14:paraId="264401EF" w14:textId="77777777" w:rsidR="00000000" w:rsidRDefault="009B6C69">
            <w:pPr>
              <w:spacing w:after="100"/>
              <w:rPr>
                <w:rFonts w:eastAsia="Times New Roman"/>
                <w:sz w:val="20"/>
                <w:szCs w:val="20"/>
              </w:rPr>
            </w:pPr>
          </w:p>
        </w:tc>
        <w:tc>
          <w:tcPr>
            <w:tcW w:w="0" w:type="auto"/>
            <w:vAlign w:val="center"/>
            <w:hideMark/>
          </w:tcPr>
          <w:p w14:paraId="1A0B05B8"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3E719CB" w14:textId="77777777" w:rsidR="00000000" w:rsidRDefault="009B6C69">
            <w:pPr>
              <w:spacing w:after="100"/>
              <w:jc w:val="center"/>
              <w:rPr>
                <w:rFonts w:eastAsia="Times New Roman"/>
              </w:rPr>
            </w:pPr>
            <w:r>
              <w:rPr>
                <w:rFonts w:eastAsia="Times New Roman"/>
                <w:b/>
                <w:bCs/>
                <w:color w:val="000000"/>
                <w:sz w:val="18"/>
                <w:szCs w:val="18"/>
              </w:rPr>
              <w:t>Change</w:t>
            </w:r>
          </w:p>
        </w:tc>
        <w:tc>
          <w:tcPr>
            <w:tcW w:w="0" w:type="auto"/>
            <w:vAlign w:val="center"/>
            <w:hideMark/>
          </w:tcPr>
          <w:p w14:paraId="43D55231" w14:textId="77777777" w:rsidR="00000000" w:rsidRDefault="009B6C69">
            <w:pPr>
              <w:spacing w:after="100"/>
              <w:jc w:val="center"/>
              <w:rPr>
                <w:rFonts w:eastAsia="Times New Roman"/>
              </w:rPr>
            </w:pPr>
          </w:p>
        </w:tc>
        <w:tc>
          <w:tcPr>
            <w:tcW w:w="0" w:type="auto"/>
            <w:vAlign w:val="center"/>
            <w:hideMark/>
          </w:tcPr>
          <w:p w14:paraId="69BF0CA5" w14:textId="77777777" w:rsidR="00000000" w:rsidRDefault="009B6C69">
            <w:pPr>
              <w:spacing w:after="100"/>
              <w:rPr>
                <w:rFonts w:eastAsia="Times New Roman"/>
                <w:sz w:val="20"/>
                <w:szCs w:val="20"/>
              </w:rPr>
            </w:pPr>
          </w:p>
        </w:tc>
      </w:tr>
      <w:tr w:rsidR="00000000" w14:paraId="431A3FEA" w14:textId="77777777">
        <w:trPr>
          <w:divId w:val="388385383"/>
        </w:trPr>
        <w:tc>
          <w:tcPr>
            <w:tcW w:w="0" w:type="auto"/>
            <w:gridSpan w:val="3"/>
            <w:shd w:val="clear" w:color="auto" w:fill="CCEEFF"/>
            <w:tcMar>
              <w:top w:w="30" w:type="dxa"/>
              <w:left w:w="20" w:type="dxa"/>
              <w:bottom w:w="30" w:type="dxa"/>
              <w:right w:w="20" w:type="dxa"/>
            </w:tcMar>
            <w:vAlign w:val="bottom"/>
            <w:hideMark/>
          </w:tcPr>
          <w:p w14:paraId="185C19D3" w14:textId="77777777" w:rsidR="00000000" w:rsidRDefault="009B6C69">
            <w:pPr>
              <w:spacing w:after="100"/>
              <w:rPr>
                <w:rFonts w:eastAsia="Times New Roman"/>
              </w:rPr>
            </w:pPr>
            <w:r>
              <w:rPr>
                <w:rFonts w:eastAsia="Times New Roman"/>
                <w:color w:val="000000"/>
                <w:sz w:val="18"/>
                <w:szCs w:val="18"/>
              </w:rPr>
              <w:t>Other (income)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5763D5"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9DB459" w14:textId="77777777" w:rsidR="00000000" w:rsidRDefault="009B6C69">
            <w:pPr>
              <w:spacing w:after="100"/>
              <w:jc w:val="right"/>
              <w:rPr>
                <w:rFonts w:eastAsia="Times New Roman"/>
              </w:rPr>
            </w:pPr>
            <w:r>
              <w:rPr>
                <w:rFonts w:eastAsia="Times New Roman"/>
                <w:color w:val="000000"/>
                <w:sz w:val="18"/>
                <w:szCs w:val="18"/>
              </w:rPr>
              <w:t>(1,059)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1CAF9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93E53"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28C368"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DD2AAD" w14:textId="77777777" w:rsidR="00000000" w:rsidRDefault="009B6C6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BAE3A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BD197E" w14:textId="77777777" w:rsidR="00000000" w:rsidRDefault="009B6C69">
            <w:pPr>
              <w:spacing w:after="100"/>
              <w:jc w:val="right"/>
              <w:rPr>
                <w:rFonts w:eastAsia="Times New Roman"/>
                <w:sz w:val="20"/>
                <w:szCs w:val="20"/>
              </w:rPr>
            </w:pPr>
          </w:p>
        </w:tc>
        <w:tc>
          <w:tcPr>
            <w:tcW w:w="0" w:type="auto"/>
            <w:vAlign w:val="center"/>
            <w:hideMark/>
          </w:tcPr>
          <w:p w14:paraId="2D87F913" w14:textId="77777777" w:rsidR="00000000" w:rsidRDefault="009B6C69">
            <w:pPr>
              <w:spacing w:after="100"/>
              <w:rPr>
                <w:rFonts w:eastAsia="Times New Roman"/>
                <w:sz w:val="20"/>
                <w:szCs w:val="20"/>
              </w:rPr>
            </w:pPr>
          </w:p>
        </w:tc>
        <w:tc>
          <w:tcPr>
            <w:tcW w:w="0" w:type="auto"/>
            <w:vAlign w:val="center"/>
            <w:hideMark/>
          </w:tcPr>
          <w:p w14:paraId="546B22F2"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287DF9"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758E0E" w14:textId="77777777" w:rsidR="00000000" w:rsidRDefault="009B6C69">
            <w:pPr>
              <w:spacing w:after="100"/>
              <w:jc w:val="right"/>
              <w:rPr>
                <w:rFonts w:eastAsia="Times New Roman"/>
              </w:rPr>
            </w:pPr>
            <w:r>
              <w:rPr>
                <w:rFonts w:eastAsia="Times New Roman"/>
                <w:color w:val="000000"/>
                <w:sz w:val="18"/>
                <w:szCs w:val="18"/>
              </w:rPr>
              <w:t>(1,059)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D76556" w14:textId="77777777" w:rsidR="00000000" w:rsidRDefault="009B6C69">
            <w:pPr>
              <w:spacing w:after="100"/>
              <w:jc w:val="right"/>
              <w:rPr>
                <w:rFonts w:eastAsia="Times New Roman"/>
              </w:rPr>
            </w:pPr>
          </w:p>
        </w:tc>
        <w:tc>
          <w:tcPr>
            <w:tcW w:w="0" w:type="auto"/>
            <w:vAlign w:val="center"/>
            <w:hideMark/>
          </w:tcPr>
          <w:p w14:paraId="27575B33" w14:textId="77777777" w:rsidR="00000000" w:rsidRDefault="009B6C69">
            <w:pPr>
              <w:spacing w:after="100"/>
              <w:jc w:val="right"/>
              <w:rPr>
                <w:rFonts w:eastAsia="Times New Roman"/>
                <w:sz w:val="20"/>
                <w:szCs w:val="20"/>
              </w:rPr>
            </w:pPr>
          </w:p>
        </w:tc>
        <w:tc>
          <w:tcPr>
            <w:tcW w:w="0" w:type="auto"/>
            <w:vAlign w:val="center"/>
            <w:hideMark/>
          </w:tcPr>
          <w:p w14:paraId="5D528DE4" w14:textId="77777777" w:rsidR="00000000" w:rsidRDefault="009B6C69">
            <w:pPr>
              <w:spacing w:after="100"/>
              <w:rPr>
                <w:rFonts w:eastAsia="Times New Roman"/>
                <w:sz w:val="20"/>
                <w:szCs w:val="20"/>
              </w:rPr>
            </w:pPr>
          </w:p>
        </w:tc>
      </w:tr>
    </w:tbl>
    <w:p w14:paraId="6112D6E9" w14:textId="77777777" w:rsidR="00000000" w:rsidRDefault="009B6C69">
      <w:pPr>
        <w:divId w:val="1900557101"/>
        <w:rPr>
          <w:rFonts w:eastAsia="Times New Roman"/>
        </w:rPr>
      </w:pPr>
      <w:r>
        <w:rPr>
          <w:rFonts w:eastAsia="Times New Roman"/>
          <w:b/>
          <w:bCs/>
          <w:i/>
          <w:iCs/>
          <w:color w:val="000000"/>
          <w:sz w:val="20"/>
          <w:szCs w:val="20"/>
        </w:rPr>
        <w:t>2022</w:t>
      </w:r>
    </w:p>
    <w:p w14:paraId="2ACB9FDB" w14:textId="77777777" w:rsidR="00000000" w:rsidRDefault="009B6C69">
      <w:pPr>
        <w:divId w:val="1545630057"/>
        <w:rPr>
          <w:rFonts w:eastAsia="Times New Roman"/>
        </w:rPr>
      </w:pPr>
      <w:r>
        <w:rPr>
          <w:rFonts w:eastAsia="Times New Roman"/>
          <w:color w:val="000000"/>
          <w:sz w:val="20"/>
          <w:szCs w:val="20"/>
        </w:rPr>
        <w:t>Other income in fiscal 2022 consisted of a</w:t>
      </w:r>
      <w:r>
        <w:rPr>
          <w:rFonts w:ascii="Century Gothic" w:eastAsia="Times New Roman" w:hAnsi="Century Gothic"/>
          <w:b/>
          <w:bCs/>
          <w:color w:val="000000"/>
          <w:sz w:val="20"/>
          <w:szCs w:val="20"/>
        </w:rPr>
        <w:t xml:space="preserve"> </w:t>
      </w:r>
      <w:r>
        <w:rPr>
          <w:rFonts w:eastAsia="Times New Roman"/>
          <w:color w:val="000000"/>
          <w:sz w:val="20"/>
          <w:szCs w:val="20"/>
        </w:rPr>
        <w:t>$1.1 billion benefit resulting from the 2018 EC fine reversal.</w:t>
      </w:r>
    </w:p>
    <w:tbl>
      <w:tblPr>
        <w:tblW w:w="5000" w:type="pct"/>
        <w:tblCellMar>
          <w:top w:w="15" w:type="dxa"/>
          <w:left w:w="15" w:type="dxa"/>
          <w:bottom w:w="15" w:type="dxa"/>
          <w:right w:w="15" w:type="dxa"/>
        </w:tblCellMar>
        <w:tblLook w:val="04A0" w:firstRow="1" w:lastRow="0" w:firstColumn="1" w:lastColumn="0" w:noHBand="0" w:noVBand="1"/>
      </w:tblPr>
      <w:tblGrid>
        <w:gridCol w:w="40"/>
        <w:gridCol w:w="4953"/>
        <w:gridCol w:w="39"/>
        <w:gridCol w:w="110"/>
        <w:gridCol w:w="849"/>
        <w:gridCol w:w="36"/>
        <w:gridCol w:w="36"/>
        <w:gridCol w:w="36"/>
        <w:gridCol w:w="36"/>
        <w:gridCol w:w="110"/>
        <w:gridCol w:w="813"/>
        <w:gridCol w:w="36"/>
        <w:gridCol w:w="36"/>
        <w:gridCol w:w="36"/>
        <w:gridCol w:w="36"/>
        <w:gridCol w:w="36"/>
        <w:gridCol w:w="36"/>
        <w:gridCol w:w="111"/>
        <w:gridCol w:w="813"/>
        <w:gridCol w:w="36"/>
        <w:gridCol w:w="36"/>
        <w:gridCol w:w="36"/>
      </w:tblGrid>
      <w:tr w:rsidR="00000000" w14:paraId="5C116231" w14:textId="77777777">
        <w:trPr>
          <w:divId w:val="1212301301"/>
        </w:trPr>
        <w:tc>
          <w:tcPr>
            <w:tcW w:w="50" w:type="pct"/>
            <w:vAlign w:val="center"/>
            <w:hideMark/>
          </w:tcPr>
          <w:p w14:paraId="60C06E05" w14:textId="77777777" w:rsidR="00000000" w:rsidRDefault="009B6C69">
            <w:pPr>
              <w:rPr>
                <w:rFonts w:eastAsia="Times New Roman"/>
              </w:rPr>
            </w:pPr>
          </w:p>
        </w:tc>
        <w:tc>
          <w:tcPr>
            <w:tcW w:w="3062" w:type="pct"/>
            <w:vAlign w:val="center"/>
            <w:hideMark/>
          </w:tcPr>
          <w:p w14:paraId="5149B15F" w14:textId="77777777" w:rsidR="00000000" w:rsidRDefault="009B6C69">
            <w:pPr>
              <w:spacing w:after="100"/>
              <w:rPr>
                <w:rFonts w:eastAsia="Times New Roman"/>
                <w:sz w:val="20"/>
                <w:szCs w:val="20"/>
              </w:rPr>
            </w:pPr>
          </w:p>
        </w:tc>
        <w:tc>
          <w:tcPr>
            <w:tcW w:w="5" w:type="pct"/>
            <w:vAlign w:val="center"/>
            <w:hideMark/>
          </w:tcPr>
          <w:p w14:paraId="13267782" w14:textId="77777777" w:rsidR="00000000" w:rsidRDefault="009B6C69">
            <w:pPr>
              <w:spacing w:after="100"/>
              <w:rPr>
                <w:rFonts w:eastAsia="Times New Roman"/>
                <w:sz w:val="20"/>
                <w:szCs w:val="20"/>
              </w:rPr>
            </w:pPr>
          </w:p>
        </w:tc>
        <w:tc>
          <w:tcPr>
            <w:tcW w:w="50" w:type="pct"/>
            <w:vAlign w:val="center"/>
            <w:hideMark/>
          </w:tcPr>
          <w:p w14:paraId="45C38294" w14:textId="77777777" w:rsidR="00000000" w:rsidRDefault="009B6C69">
            <w:pPr>
              <w:spacing w:after="100"/>
              <w:rPr>
                <w:rFonts w:eastAsia="Times New Roman"/>
                <w:sz w:val="20"/>
                <w:szCs w:val="20"/>
              </w:rPr>
            </w:pPr>
          </w:p>
        </w:tc>
        <w:tc>
          <w:tcPr>
            <w:tcW w:w="547" w:type="pct"/>
            <w:vAlign w:val="center"/>
            <w:hideMark/>
          </w:tcPr>
          <w:p w14:paraId="78754520" w14:textId="77777777" w:rsidR="00000000" w:rsidRDefault="009B6C69">
            <w:pPr>
              <w:spacing w:after="100"/>
              <w:rPr>
                <w:rFonts w:eastAsia="Times New Roman"/>
                <w:sz w:val="20"/>
                <w:szCs w:val="20"/>
              </w:rPr>
            </w:pPr>
          </w:p>
        </w:tc>
        <w:tc>
          <w:tcPr>
            <w:tcW w:w="5" w:type="pct"/>
            <w:vAlign w:val="center"/>
            <w:hideMark/>
          </w:tcPr>
          <w:p w14:paraId="45E9C2E7" w14:textId="77777777" w:rsidR="00000000" w:rsidRDefault="009B6C69">
            <w:pPr>
              <w:spacing w:after="100"/>
              <w:rPr>
                <w:rFonts w:eastAsia="Times New Roman"/>
                <w:sz w:val="20"/>
                <w:szCs w:val="20"/>
              </w:rPr>
            </w:pPr>
          </w:p>
        </w:tc>
        <w:tc>
          <w:tcPr>
            <w:tcW w:w="5" w:type="pct"/>
            <w:vAlign w:val="center"/>
            <w:hideMark/>
          </w:tcPr>
          <w:p w14:paraId="33E6EF83" w14:textId="77777777" w:rsidR="00000000" w:rsidRDefault="009B6C69">
            <w:pPr>
              <w:spacing w:after="100"/>
              <w:rPr>
                <w:rFonts w:eastAsia="Times New Roman"/>
                <w:sz w:val="20"/>
                <w:szCs w:val="20"/>
              </w:rPr>
            </w:pPr>
          </w:p>
        </w:tc>
        <w:tc>
          <w:tcPr>
            <w:tcW w:w="27" w:type="pct"/>
            <w:vAlign w:val="center"/>
            <w:hideMark/>
          </w:tcPr>
          <w:p w14:paraId="3D7F3507" w14:textId="77777777" w:rsidR="00000000" w:rsidRDefault="009B6C69">
            <w:pPr>
              <w:spacing w:after="100"/>
              <w:rPr>
                <w:rFonts w:eastAsia="Times New Roman"/>
                <w:sz w:val="20"/>
                <w:szCs w:val="20"/>
              </w:rPr>
            </w:pPr>
          </w:p>
        </w:tc>
        <w:tc>
          <w:tcPr>
            <w:tcW w:w="5" w:type="pct"/>
            <w:vAlign w:val="center"/>
            <w:hideMark/>
          </w:tcPr>
          <w:p w14:paraId="54222F79" w14:textId="77777777" w:rsidR="00000000" w:rsidRDefault="009B6C69">
            <w:pPr>
              <w:spacing w:after="100"/>
              <w:rPr>
                <w:rFonts w:eastAsia="Times New Roman"/>
                <w:sz w:val="20"/>
                <w:szCs w:val="20"/>
              </w:rPr>
            </w:pPr>
          </w:p>
        </w:tc>
        <w:tc>
          <w:tcPr>
            <w:tcW w:w="50" w:type="pct"/>
            <w:vAlign w:val="center"/>
            <w:hideMark/>
          </w:tcPr>
          <w:p w14:paraId="3E841E4E" w14:textId="77777777" w:rsidR="00000000" w:rsidRDefault="009B6C69">
            <w:pPr>
              <w:spacing w:after="100"/>
              <w:rPr>
                <w:rFonts w:eastAsia="Times New Roman"/>
                <w:sz w:val="20"/>
                <w:szCs w:val="20"/>
              </w:rPr>
            </w:pPr>
          </w:p>
        </w:tc>
        <w:tc>
          <w:tcPr>
            <w:tcW w:w="547" w:type="pct"/>
            <w:vAlign w:val="center"/>
            <w:hideMark/>
          </w:tcPr>
          <w:p w14:paraId="6D8B7F02" w14:textId="77777777" w:rsidR="00000000" w:rsidRDefault="009B6C69">
            <w:pPr>
              <w:spacing w:after="100"/>
              <w:rPr>
                <w:rFonts w:eastAsia="Times New Roman"/>
                <w:sz w:val="20"/>
                <w:szCs w:val="20"/>
              </w:rPr>
            </w:pPr>
          </w:p>
        </w:tc>
        <w:tc>
          <w:tcPr>
            <w:tcW w:w="5" w:type="pct"/>
            <w:vAlign w:val="center"/>
            <w:hideMark/>
          </w:tcPr>
          <w:p w14:paraId="1B94666A" w14:textId="77777777" w:rsidR="00000000" w:rsidRDefault="009B6C69">
            <w:pPr>
              <w:spacing w:after="100"/>
              <w:rPr>
                <w:rFonts w:eastAsia="Times New Roman"/>
                <w:sz w:val="20"/>
                <w:szCs w:val="20"/>
              </w:rPr>
            </w:pPr>
          </w:p>
        </w:tc>
        <w:tc>
          <w:tcPr>
            <w:tcW w:w="5" w:type="pct"/>
            <w:vAlign w:val="center"/>
            <w:hideMark/>
          </w:tcPr>
          <w:p w14:paraId="2729BF8F" w14:textId="77777777" w:rsidR="00000000" w:rsidRDefault="009B6C69">
            <w:pPr>
              <w:spacing w:after="100"/>
              <w:rPr>
                <w:rFonts w:eastAsia="Times New Roman"/>
                <w:sz w:val="20"/>
                <w:szCs w:val="20"/>
              </w:rPr>
            </w:pPr>
          </w:p>
        </w:tc>
        <w:tc>
          <w:tcPr>
            <w:tcW w:w="27" w:type="pct"/>
            <w:vAlign w:val="center"/>
            <w:hideMark/>
          </w:tcPr>
          <w:p w14:paraId="07A69CA1" w14:textId="77777777" w:rsidR="00000000" w:rsidRDefault="009B6C69">
            <w:pPr>
              <w:spacing w:after="100"/>
              <w:rPr>
                <w:rFonts w:eastAsia="Times New Roman"/>
                <w:sz w:val="20"/>
                <w:szCs w:val="20"/>
              </w:rPr>
            </w:pPr>
          </w:p>
        </w:tc>
        <w:tc>
          <w:tcPr>
            <w:tcW w:w="5" w:type="pct"/>
            <w:vAlign w:val="center"/>
            <w:hideMark/>
          </w:tcPr>
          <w:p w14:paraId="1DD39180" w14:textId="77777777" w:rsidR="00000000" w:rsidRDefault="009B6C69">
            <w:pPr>
              <w:spacing w:after="100"/>
              <w:rPr>
                <w:rFonts w:eastAsia="Times New Roman"/>
                <w:sz w:val="20"/>
                <w:szCs w:val="20"/>
              </w:rPr>
            </w:pPr>
          </w:p>
        </w:tc>
        <w:tc>
          <w:tcPr>
            <w:tcW w:w="0" w:type="auto"/>
            <w:vAlign w:val="center"/>
            <w:hideMark/>
          </w:tcPr>
          <w:p w14:paraId="58819A24" w14:textId="77777777" w:rsidR="00000000" w:rsidRDefault="009B6C69">
            <w:pPr>
              <w:spacing w:after="100"/>
              <w:rPr>
                <w:rFonts w:eastAsia="Times New Roman"/>
                <w:sz w:val="20"/>
                <w:szCs w:val="20"/>
              </w:rPr>
            </w:pPr>
          </w:p>
        </w:tc>
        <w:tc>
          <w:tcPr>
            <w:tcW w:w="0" w:type="auto"/>
            <w:vAlign w:val="center"/>
            <w:hideMark/>
          </w:tcPr>
          <w:p w14:paraId="7F032B38" w14:textId="77777777" w:rsidR="00000000" w:rsidRDefault="009B6C69">
            <w:pPr>
              <w:spacing w:after="100"/>
              <w:rPr>
                <w:rFonts w:eastAsia="Times New Roman"/>
                <w:sz w:val="20"/>
                <w:szCs w:val="20"/>
              </w:rPr>
            </w:pPr>
          </w:p>
        </w:tc>
        <w:tc>
          <w:tcPr>
            <w:tcW w:w="50" w:type="pct"/>
            <w:vAlign w:val="center"/>
            <w:hideMark/>
          </w:tcPr>
          <w:p w14:paraId="379E02DF" w14:textId="77777777" w:rsidR="00000000" w:rsidRDefault="009B6C69">
            <w:pPr>
              <w:spacing w:after="100"/>
              <w:rPr>
                <w:rFonts w:eastAsia="Times New Roman"/>
                <w:sz w:val="20"/>
                <w:szCs w:val="20"/>
              </w:rPr>
            </w:pPr>
          </w:p>
        </w:tc>
        <w:tc>
          <w:tcPr>
            <w:tcW w:w="547" w:type="pct"/>
            <w:vAlign w:val="center"/>
            <w:hideMark/>
          </w:tcPr>
          <w:p w14:paraId="43E104D8" w14:textId="77777777" w:rsidR="00000000" w:rsidRDefault="009B6C69">
            <w:pPr>
              <w:spacing w:after="100"/>
              <w:rPr>
                <w:rFonts w:eastAsia="Times New Roman"/>
                <w:sz w:val="20"/>
                <w:szCs w:val="20"/>
              </w:rPr>
            </w:pPr>
          </w:p>
        </w:tc>
        <w:tc>
          <w:tcPr>
            <w:tcW w:w="5" w:type="pct"/>
            <w:vAlign w:val="center"/>
            <w:hideMark/>
          </w:tcPr>
          <w:p w14:paraId="2A83B886" w14:textId="77777777" w:rsidR="00000000" w:rsidRDefault="009B6C69">
            <w:pPr>
              <w:spacing w:after="100"/>
              <w:rPr>
                <w:rFonts w:eastAsia="Times New Roman"/>
                <w:sz w:val="20"/>
                <w:szCs w:val="20"/>
              </w:rPr>
            </w:pPr>
          </w:p>
        </w:tc>
        <w:tc>
          <w:tcPr>
            <w:tcW w:w="0" w:type="auto"/>
            <w:vAlign w:val="center"/>
            <w:hideMark/>
          </w:tcPr>
          <w:p w14:paraId="1A4AAF4B" w14:textId="77777777" w:rsidR="00000000" w:rsidRDefault="009B6C69">
            <w:pPr>
              <w:spacing w:after="100"/>
              <w:rPr>
                <w:rFonts w:eastAsia="Times New Roman"/>
                <w:sz w:val="20"/>
                <w:szCs w:val="20"/>
              </w:rPr>
            </w:pPr>
          </w:p>
        </w:tc>
        <w:tc>
          <w:tcPr>
            <w:tcW w:w="0" w:type="auto"/>
            <w:vAlign w:val="center"/>
            <w:hideMark/>
          </w:tcPr>
          <w:p w14:paraId="3E339614" w14:textId="77777777" w:rsidR="00000000" w:rsidRDefault="009B6C69">
            <w:pPr>
              <w:spacing w:after="100"/>
              <w:rPr>
                <w:rFonts w:eastAsia="Times New Roman"/>
                <w:sz w:val="20"/>
                <w:szCs w:val="20"/>
              </w:rPr>
            </w:pPr>
          </w:p>
        </w:tc>
      </w:tr>
      <w:tr w:rsidR="00000000" w14:paraId="19892E7C" w14:textId="77777777">
        <w:trPr>
          <w:divId w:val="1212301301"/>
        </w:trPr>
        <w:tc>
          <w:tcPr>
            <w:tcW w:w="0" w:type="auto"/>
            <w:gridSpan w:val="12"/>
            <w:tcMar>
              <w:top w:w="30" w:type="dxa"/>
              <w:left w:w="290" w:type="dxa"/>
              <w:bottom w:w="30" w:type="dxa"/>
              <w:right w:w="20" w:type="dxa"/>
            </w:tcMar>
            <w:vAlign w:val="bottom"/>
            <w:hideMark/>
          </w:tcPr>
          <w:p w14:paraId="21F0E558" w14:textId="77777777" w:rsidR="00000000" w:rsidRDefault="009B6C69">
            <w:pPr>
              <w:spacing w:after="100"/>
              <w:rPr>
                <w:rFonts w:eastAsia="Times New Roman"/>
              </w:rPr>
            </w:pPr>
            <w:r>
              <w:rPr>
                <w:rFonts w:eastAsia="Times New Roman"/>
                <w:b/>
                <w:bCs/>
                <w:i/>
                <w:iCs/>
                <w:color w:val="000000"/>
                <w:sz w:val="20"/>
                <w:szCs w:val="20"/>
              </w:rPr>
              <w:t>Interest Expense and Investment and Other (Expense) Income, Net (in millions)</w:t>
            </w:r>
          </w:p>
        </w:tc>
        <w:tc>
          <w:tcPr>
            <w:tcW w:w="0" w:type="auto"/>
            <w:gridSpan w:val="3"/>
            <w:tcMar>
              <w:top w:w="0" w:type="dxa"/>
              <w:left w:w="20" w:type="dxa"/>
              <w:bottom w:w="0" w:type="dxa"/>
              <w:right w:w="20" w:type="dxa"/>
            </w:tcMar>
            <w:vAlign w:val="center"/>
            <w:hideMark/>
          </w:tcPr>
          <w:p w14:paraId="319B17E4" w14:textId="77777777" w:rsidR="00000000" w:rsidRDefault="009B6C69">
            <w:pPr>
              <w:spacing w:after="100"/>
              <w:rPr>
                <w:rFonts w:eastAsia="Times New Roman"/>
              </w:rPr>
            </w:pPr>
          </w:p>
        </w:tc>
        <w:tc>
          <w:tcPr>
            <w:tcW w:w="0" w:type="auto"/>
            <w:vAlign w:val="center"/>
            <w:hideMark/>
          </w:tcPr>
          <w:p w14:paraId="25F06524" w14:textId="77777777" w:rsidR="00000000" w:rsidRDefault="009B6C69">
            <w:pPr>
              <w:spacing w:after="100"/>
              <w:rPr>
                <w:rFonts w:eastAsia="Times New Roman"/>
                <w:sz w:val="20"/>
                <w:szCs w:val="20"/>
              </w:rPr>
            </w:pPr>
          </w:p>
        </w:tc>
        <w:tc>
          <w:tcPr>
            <w:tcW w:w="0" w:type="auto"/>
            <w:vAlign w:val="center"/>
            <w:hideMark/>
          </w:tcPr>
          <w:p w14:paraId="1264CB5B"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DA1B27" w14:textId="77777777" w:rsidR="00000000" w:rsidRDefault="009B6C69">
            <w:pPr>
              <w:spacing w:after="100"/>
              <w:rPr>
                <w:rFonts w:eastAsia="Times New Roman"/>
                <w:sz w:val="20"/>
                <w:szCs w:val="20"/>
              </w:rPr>
            </w:pPr>
          </w:p>
        </w:tc>
        <w:tc>
          <w:tcPr>
            <w:tcW w:w="0" w:type="auto"/>
            <w:vAlign w:val="center"/>
            <w:hideMark/>
          </w:tcPr>
          <w:p w14:paraId="2D5090BE" w14:textId="77777777" w:rsidR="00000000" w:rsidRDefault="009B6C69">
            <w:pPr>
              <w:spacing w:after="100"/>
              <w:rPr>
                <w:rFonts w:eastAsia="Times New Roman"/>
                <w:sz w:val="20"/>
                <w:szCs w:val="20"/>
              </w:rPr>
            </w:pPr>
          </w:p>
        </w:tc>
        <w:tc>
          <w:tcPr>
            <w:tcW w:w="0" w:type="auto"/>
            <w:vAlign w:val="center"/>
            <w:hideMark/>
          </w:tcPr>
          <w:p w14:paraId="06CDA03E" w14:textId="77777777" w:rsidR="00000000" w:rsidRDefault="009B6C69">
            <w:pPr>
              <w:spacing w:after="100"/>
              <w:rPr>
                <w:rFonts w:eastAsia="Times New Roman"/>
                <w:sz w:val="20"/>
                <w:szCs w:val="20"/>
              </w:rPr>
            </w:pPr>
          </w:p>
        </w:tc>
      </w:tr>
      <w:tr w:rsidR="00000000" w14:paraId="760F0B26" w14:textId="77777777">
        <w:trPr>
          <w:divId w:val="1212301301"/>
        </w:trPr>
        <w:tc>
          <w:tcPr>
            <w:tcW w:w="0" w:type="auto"/>
            <w:gridSpan w:val="3"/>
            <w:tcMar>
              <w:top w:w="0" w:type="dxa"/>
              <w:left w:w="20" w:type="dxa"/>
              <w:bottom w:w="0" w:type="dxa"/>
              <w:right w:w="20" w:type="dxa"/>
            </w:tcMar>
            <w:vAlign w:val="center"/>
            <w:hideMark/>
          </w:tcPr>
          <w:p w14:paraId="3EC91B38"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4261AD2"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14:paraId="04DFBE36"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690E1E1"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4F363A6C" w14:textId="77777777" w:rsidR="00000000" w:rsidRDefault="009B6C69">
            <w:pPr>
              <w:spacing w:after="100"/>
              <w:jc w:val="center"/>
              <w:rPr>
                <w:rFonts w:eastAsia="Times New Roman"/>
              </w:rPr>
            </w:pPr>
          </w:p>
        </w:tc>
        <w:tc>
          <w:tcPr>
            <w:tcW w:w="0" w:type="auto"/>
            <w:vAlign w:val="center"/>
            <w:hideMark/>
          </w:tcPr>
          <w:p w14:paraId="6E6C1839" w14:textId="77777777" w:rsidR="00000000" w:rsidRDefault="009B6C69">
            <w:pPr>
              <w:spacing w:after="100"/>
              <w:rPr>
                <w:rFonts w:eastAsia="Times New Roman"/>
                <w:sz w:val="20"/>
                <w:szCs w:val="20"/>
              </w:rPr>
            </w:pPr>
          </w:p>
        </w:tc>
        <w:tc>
          <w:tcPr>
            <w:tcW w:w="0" w:type="auto"/>
            <w:vAlign w:val="center"/>
            <w:hideMark/>
          </w:tcPr>
          <w:p w14:paraId="43EA3E7D"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C6C1DF3" w14:textId="77777777" w:rsidR="00000000" w:rsidRDefault="009B6C69">
            <w:pPr>
              <w:spacing w:after="100"/>
              <w:jc w:val="center"/>
              <w:rPr>
                <w:rFonts w:eastAsia="Times New Roman"/>
              </w:rPr>
            </w:pPr>
            <w:r>
              <w:rPr>
                <w:rFonts w:eastAsia="Times New Roman"/>
                <w:b/>
                <w:bCs/>
                <w:color w:val="000000"/>
                <w:sz w:val="18"/>
                <w:szCs w:val="18"/>
              </w:rPr>
              <w:t> Change</w:t>
            </w:r>
          </w:p>
        </w:tc>
        <w:tc>
          <w:tcPr>
            <w:tcW w:w="0" w:type="auto"/>
            <w:vAlign w:val="center"/>
            <w:hideMark/>
          </w:tcPr>
          <w:p w14:paraId="2AC5B345" w14:textId="77777777" w:rsidR="00000000" w:rsidRDefault="009B6C69">
            <w:pPr>
              <w:spacing w:after="100"/>
              <w:jc w:val="center"/>
              <w:rPr>
                <w:rFonts w:eastAsia="Times New Roman"/>
              </w:rPr>
            </w:pPr>
          </w:p>
        </w:tc>
        <w:tc>
          <w:tcPr>
            <w:tcW w:w="0" w:type="auto"/>
            <w:vAlign w:val="center"/>
            <w:hideMark/>
          </w:tcPr>
          <w:p w14:paraId="7D7B162F" w14:textId="77777777" w:rsidR="00000000" w:rsidRDefault="009B6C69">
            <w:pPr>
              <w:spacing w:after="100"/>
              <w:rPr>
                <w:rFonts w:eastAsia="Times New Roman"/>
                <w:sz w:val="20"/>
                <w:szCs w:val="20"/>
              </w:rPr>
            </w:pPr>
          </w:p>
        </w:tc>
      </w:tr>
      <w:tr w:rsidR="00000000" w14:paraId="025DC4BA" w14:textId="77777777">
        <w:trPr>
          <w:divId w:val="1212301301"/>
        </w:trPr>
        <w:tc>
          <w:tcPr>
            <w:tcW w:w="0" w:type="auto"/>
            <w:gridSpan w:val="3"/>
            <w:shd w:val="clear" w:color="auto" w:fill="CCEEFF"/>
            <w:tcMar>
              <w:top w:w="30" w:type="dxa"/>
              <w:left w:w="20" w:type="dxa"/>
              <w:bottom w:w="30" w:type="dxa"/>
              <w:right w:w="20" w:type="dxa"/>
            </w:tcMar>
            <w:vAlign w:val="bottom"/>
            <w:hideMark/>
          </w:tcPr>
          <w:p w14:paraId="3A2B973B" w14:textId="77777777" w:rsidR="00000000" w:rsidRDefault="009B6C69">
            <w:pPr>
              <w:spacing w:after="100"/>
              <w:rPr>
                <w:rFonts w:eastAsia="Times New Roman"/>
              </w:rPr>
            </w:pPr>
            <w:r>
              <w:rPr>
                <w:rFonts w:eastAsia="Times New Roman"/>
                <w:color w:val="000000"/>
                <w:sz w:val="18"/>
                <w:szCs w:val="18"/>
              </w:rPr>
              <w:t>Interest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5597F6"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B396EE" w14:textId="77777777" w:rsidR="00000000" w:rsidRDefault="009B6C69">
            <w:pPr>
              <w:spacing w:after="100"/>
              <w:jc w:val="right"/>
              <w:rPr>
                <w:rFonts w:eastAsia="Times New Roman"/>
              </w:rPr>
            </w:pPr>
            <w:r>
              <w:rPr>
                <w:rFonts w:eastAsia="Times New Roman"/>
                <w:color w:val="000000"/>
                <w:sz w:val="18"/>
                <w:szCs w:val="18"/>
              </w:rPr>
              <w:t>490 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B1E4C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A2889A"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5F3B68"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76FF37" w14:textId="77777777" w:rsidR="00000000" w:rsidRDefault="009B6C69">
            <w:pPr>
              <w:spacing w:after="100"/>
              <w:jc w:val="right"/>
              <w:rPr>
                <w:rFonts w:eastAsia="Times New Roman"/>
              </w:rPr>
            </w:pPr>
            <w:r>
              <w:rPr>
                <w:rFonts w:eastAsia="Times New Roman"/>
                <w:color w:val="000000"/>
                <w:sz w:val="18"/>
                <w:szCs w:val="18"/>
              </w:rPr>
              <w:t>559 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29B32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CBA927" w14:textId="77777777" w:rsidR="00000000" w:rsidRDefault="009B6C69">
            <w:pPr>
              <w:spacing w:after="100"/>
              <w:jc w:val="right"/>
              <w:rPr>
                <w:rFonts w:eastAsia="Times New Roman"/>
                <w:sz w:val="20"/>
                <w:szCs w:val="20"/>
              </w:rPr>
            </w:pPr>
          </w:p>
        </w:tc>
        <w:tc>
          <w:tcPr>
            <w:tcW w:w="0" w:type="auto"/>
            <w:vAlign w:val="center"/>
            <w:hideMark/>
          </w:tcPr>
          <w:p w14:paraId="3E2514E9" w14:textId="77777777" w:rsidR="00000000" w:rsidRDefault="009B6C69">
            <w:pPr>
              <w:spacing w:after="100"/>
              <w:rPr>
                <w:rFonts w:eastAsia="Times New Roman"/>
                <w:sz w:val="20"/>
                <w:szCs w:val="20"/>
              </w:rPr>
            </w:pPr>
          </w:p>
        </w:tc>
        <w:tc>
          <w:tcPr>
            <w:tcW w:w="0" w:type="auto"/>
            <w:vAlign w:val="center"/>
            <w:hideMark/>
          </w:tcPr>
          <w:p w14:paraId="2F9FFD05"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BA8282"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2D78F6" w14:textId="77777777" w:rsidR="00000000" w:rsidRDefault="009B6C69">
            <w:pPr>
              <w:spacing w:after="100"/>
              <w:jc w:val="right"/>
              <w:rPr>
                <w:rFonts w:eastAsia="Times New Roman"/>
              </w:rPr>
            </w:pPr>
            <w:r>
              <w:rPr>
                <w:rFonts w:eastAsia="Times New Roman"/>
                <w:color w:val="000000"/>
                <w:sz w:val="18"/>
                <w:szCs w:val="18"/>
              </w:rPr>
              <w:t>(69)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865700" w14:textId="77777777" w:rsidR="00000000" w:rsidRDefault="009B6C69">
            <w:pPr>
              <w:spacing w:after="100"/>
              <w:jc w:val="right"/>
              <w:rPr>
                <w:rFonts w:eastAsia="Times New Roman"/>
              </w:rPr>
            </w:pPr>
          </w:p>
        </w:tc>
        <w:tc>
          <w:tcPr>
            <w:tcW w:w="0" w:type="auto"/>
            <w:vAlign w:val="center"/>
            <w:hideMark/>
          </w:tcPr>
          <w:p w14:paraId="5CC46879" w14:textId="77777777" w:rsidR="00000000" w:rsidRDefault="009B6C69">
            <w:pPr>
              <w:spacing w:after="100"/>
              <w:jc w:val="right"/>
              <w:rPr>
                <w:rFonts w:eastAsia="Times New Roman"/>
                <w:sz w:val="20"/>
                <w:szCs w:val="20"/>
              </w:rPr>
            </w:pPr>
          </w:p>
        </w:tc>
        <w:tc>
          <w:tcPr>
            <w:tcW w:w="0" w:type="auto"/>
            <w:vAlign w:val="center"/>
            <w:hideMark/>
          </w:tcPr>
          <w:p w14:paraId="75E8E31D" w14:textId="77777777" w:rsidR="00000000" w:rsidRDefault="009B6C69">
            <w:pPr>
              <w:spacing w:after="100"/>
              <w:rPr>
                <w:rFonts w:eastAsia="Times New Roman"/>
                <w:sz w:val="20"/>
                <w:szCs w:val="20"/>
              </w:rPr>
            </w:pPr>
          </w:p>
        </w:tc>
      </w:tr>
      <w:tr w:rsidR="00000000" w14:paraId="0256B3DC" w14:textId="77777777">
        <w:trPr>
          <w:divId w:val="1212301301"/>
          <w:trHeight w:val="220"/>
        </w:trPr>
        <w:tc>
          <w:tcPr>
            <w:tcW w:w="0" w:type="auto"/>
            <w:gridSpan w:val="3"/>
            <w:shd w:val="clear" w:color="auto" w:fill="FFFFFF"/>
            <w:tcMar>
              <w:top w:w="0" w:type="dxa"/>
              <w:left w:w="20" w:type="dxa"/>
              <w:bottom w:w="0" w:type="dxa"/>
              <w:right w:w="20" w:type="dxa"/>
            </w:tcMar>
            <w:vAlign w:val="center"/>
            <w:hideMark/>
          </w:tcPr>
          <w:p w14:paraId="6250CA57" w14:textId="77777777" w:rsidR="00000000" w:rsidRDefault="009B6C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06F6358"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42FB7D" w14:textId="77777777" w:rsidR="00000000" w:rsidRDefault="009B6C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0B6C00E"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F2A42A" w14:textId="77777777" w:rsidR="00000000" w:rsidRDefault="009B6C69">
            <w:pPr>
              <w:spacing w:after="100"/>
              <w:rPr>
                <w:rFonts w:eastAsia="Times New Roman"/>
                <w:sz w:val="20"/>
                <w:szCs w:val="20"/>
              </w:rPr>
            </w:pPr>
          </w:p>
        </w:tc>
        <w:tc>
          <w:tcPr>
            <w:tcW w:w="0" w:type="auto"/>
            <w:vAlign w:val="center"/>
            <w:hideMark/>
          </w:tcPr>
          <w:p w14:paraId="7090B93E" w14:textId="77777777" w:rsidR="00000000" w:rsidRDefault="009B6C69">
            <w:pPr>
              <w:spacing w:after="100"/>
              <w:rPr>
                <w:rFonts w:eastAsia="Times New Roman"/>
                <w:sz w:val="20"/>
                <w:szCs w:val="20"/>
              </w:rPr>
            </w:pPr>
          </w:p>
        </w:tc>
        <w:tc>
          <w:tcPr>
            <w:tcW w:w="0" w:type="auto"/>
            <w:vAlign w:val="center"/>
            <w:hideMark/>
          </w:tcPr>
          <w:p w14:paraId="7B1F857E" w14:textId="77777777" w:rsidR="00000000" w:rsidRDefault="009B6C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3512A4A" w14:textId="77777777" w:rsidR="00000000" w:rsidRDefault="009B6C69">
            <w:pPr>
              <w:spacing w:after="100"/>
              <w:rPr>
                <w:rFonts w:eastAsia="Times New Roman"/>
                <w:sz w:val="20"/>
                <w:szCs w:val="20"/>
              </w:rPr>
            </w:pPr>
          </w:p>
        </w:tc>
        <w:tc>
          <w:tcPr>
            <w:tcW w:w="0" w:type="auto"/>
            <w:vAlign w:val="center"/>
            <w:hideMark/>
          </w:tcPr>
          <w:p w14:paraId="5BD00191" w14:textId="77777777" w:rsidR="00000000" w:rsidRDefault="009B6C69">
            <w:pPr>
              <w:spacing w:after="100"/>
              <w:rPr>
                <w:rFonts w:eastAsia="Times New Roman"/>
                <w:sz w:val="20"/>
                <w:szCs w:val="20"/>
              </w:rPr>
            </w:pPr>
          </w:p>
        </w:tc>
        <w:tc>
          <w:tcPr>
            <w:tcW w:w="0" w:type="auto"/>
            <w:vAlign w:val="center"/>
            <w:hideMark/>
          </w:tcPr>
          <w:p w14:paraId="55D909B8" w14:textId="77777777" w:rsidR="00000000" w:rsidRDefault="009B6C69">
            <w:pPr>
              <w:spacing w:after="100"/>
              <w:rPr>
                <w:rFonts w:eastAsia="Times New Roman"/>
                <w:sz w:val="20"/>
                <w:szCs w:val="20"/>
              </w:rPr>
            </w:pPr>
          </w:p>
        </w:tc>
      </w:tr>
      <w:tr w:rsidR="00000000" w14:paraId="7B7F1707" w14:textId="77777777">
        <w:trPr>
          <w:divId w:val="1212301301"/>
        </w:trPr>
        <w:tc>
          <w:tcPr>
            <w:tcW w:w="0" w:type="auto"/>
            <w:gridSpan w:val="3"/>
            <w:shd w:val="clear" w:color="auto" w:fill="CCEEFF"/>
            <w:tcMar>
              <w:top w:w="30" w:type="dxa"/>
              <w:left w:w="20" w:type="dxa"/>
              <w:bottom w:w="30" w:type="dxa"/>
              <w:right w:w="20" w:type="dxa"/>
            </w:tcMar>
            <w:vAlign w:val="bottom"/>
            <w:hideMark/>
          </w:tcPr>
          <w:p w14:paraId="533EB47F" w14:textId="77777777" w:rsidR="00000000" w:rsidRDefault="009B6C69">
            <w:pPr>
              <w:spacing w:after="100"/>
              <w:rPr>
                <w:rFonts w:eastAsia="Times New Roman"/>
              </w:rPr>
            </w:pPr>
            <w:r>
              <w:rPr>
                <w:rFonts w:eastAsia="Times New Roman"/>
                <w:color w:val="000000"/>
                <w:sz w:val="18"/>
                <w:szCs w:val="18"/>
              </w:rPr>
              <w:t>Investment and other (expense) income, net</w:t>
            </w:r>
          </w:p>
        </w:tc>
        <w:tc>
          <w:tcPr>
            <w:tcW w:w="0" w:type="auto"/>
            <w:gridSpan w:val="3"/>
            <w:shd w:val="clear" w:color="auto" w:fill="CCEEFF"/>
            <w:tcMar>
              <w:top w:w="0" w:type="dxa"/>
              <w:left w:w="20" w:type="dxa"/>
              <w:bottom w:w="0" w:type="dxa"/>
              <w:right w:w="20" w:type="dxa"/>
            </w:tcMar>
            <w:vAlign w:val="center"/>
            <w:hideMark/>
          </w:tcPr>
          <w:p w14:paraId="279F411C" w14:textId="77777777" w:rsidR="00000000" w:rsidRDefault="009B6C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9198E7"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A3A592"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1388BC" w14:textId="77777777" w:rsidR="00000000" w:rsidRDefault="009B6C69">
            <w:pPr>
              <w:spacing w:after="100"/>
              <w:rPr>
                <w:rFonts w:eastAsia="Times New Roman"/>
                <w:sz w:val="20"/>
                <w:szCs w:val="20"/>
              </w:rPr>
            </w:pPr>
          </w:p>
        </w:tc>
        <w:tc>
          <w:tcPr>
            <w:tcW w:w="0" w:type="auto"/>
            <w:vAlign w:val="center"/>
            <w:hideMark/>
          </w:tcPr>
          <w:p w14:paraId="00718511" w14:textId="77777777" w:rsidR="00000000" w:rsidRDefault="009B6C69">
            <w:pPr>
              <w:spacing w:after="100"/>
              <w:rPr>
                <w:rFonts w:eastAsia="Times New Roman"/>
                <w:sz w:val="20"/>
                <w:szCs w:val="20"/>
              </w:rPr>
            </w:pPr>
          </w:p>
        </w:tc>
        <w:tc>
          <w:tcPr>
            <w:tcW w:w="0" w:type="auto"/>
            <w:vAlign w:val="center"/>
            <w:hideMark/>
          </w:tcPr>
          <w:p w14:paraId="1E0A9ED1"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7B6FE7" w14:textId="77777777" w:rsidR="00000000" w:rsidRDefault="009B6C69">
            <w:pPr>
              <w:spacing w:after="100"/>
              <w:rPr>
                <w:rFonts w:eastAsia="Times New Roman"/>
                <w:sz w:val="20"/>
                <w:szCs w:val="20"/>
              </w:rPr>
            </w:pPr>
          </w:p>
        </w:tc>
        <w:tc>
          <w:tcPr>
            <w:tcW w:w="0" w:type="auto"/>
            <w:vAlign w:val="center"/>
            <w:hideMark/>
          </w:tcPr>
          <w:p w14:paraId="5280A3D5" w14:textId="77777777" w:rsidR="00000000" w:rsidRDefault="009B6C69">
            <w:pPr>
              <w:spacing w:after="100"/>
              <w:rPr>
                <w:rFonts w:eastAsia="Times New Roman"/>
                <w:sz w:val="20"/>
                <w:szCs w:val="20"/>
              </w:rPr>
            </w:pPr>
          </w:p>
        </w:tc>
        <w:tc>
          <w:tcPr>
            <w:tcW w:w="0" w:type="auto"/>
            <w:vAlign w:val="center"/>
            <w:hideMark/>
          </w:tcPr>
          <w:p w14:paraId="2C19F956" w14:textId="77777777" w:rsidR="00000000" w:rsidRDefault="009B6C69">
            <w:pPr>
              <w:spacing w:after="100"/>
              <w:rPr>
                <w:rFonts w:eastAsia="Times New Roman"/>
                <w:sz w:val="20"/>
                <w:szCs w:val="20"/>
              </w:rPr>
            </w:pPr>
          </w:p>
        </w:tc>
      </w:tr>
      <w:tr w:rsidR="00000000" w14:paraId="25B27D3E" w14:textId="77777777">
        <w:trPr>
          <w:divId w:val="1212301301"/>
        </w:trPr>
        <w:tc>
          <w:tcPr>
            <w:tcW w:w="0" w:type="auto"/>
            <w:gridSpan w:val="3"/>
            <w:shd w:val="clear" w:color="auto" w:fill="FFFFFF"/>
            <w:tcMar>
              <w:top w:w="30" w:type="dxa"/>
              <w:left w:w="155" w:type="dxa"/>
              <w:bottom w:w="30" w:type="dxa"/>
              <w:right w:w="20" w:type="dxa"/>
            </w:tcMar>
            <w:vAlign w:val="bottom"/>
            <w:hideMark/>
          </w:tcPr>
          <w:p w14:paraId="55A36FFD" w14:textId="77777777" w:rsidR="00000000" w:rsidRDefault="009B6C69">
            <w:pPr>
              <w:spacing w:after="100"/>
              <w:rPr>
                <w:rFonts w:eastAsia="Times New Roman"/>
              </w:rPr>
            </w:pPr>
            <w:r>
              <w:rPr>
                <w:rFonts w:eastAsia="Times New Roman"/>
                <w:color w:val="000000"/>
                <w:sz w:val="18"/>
                <w:szCs w:val="18"/>
              </w:rPr>
              <w:t>Interest and dividend income</w:t>
            </w:r>
          </w:p>
        </w:tc>
        <w:tc>
          <w:tcPr>
            <w:tcW w:w="0" w:type="auto"/>
            <w:shd w:val="clear" w:color="auto" w:fill="FFFFFF"/>
            <w:tcMar>
              <w:top w:w="30" w:type="dxa"/>
              <w:left w:w="20" w:type="dxa"/>
              <w:bottom w:w="30" w:type="dxa"/>
              <w:right w:w="0" w:type="dxa"/>
            </w:tcMar>
            <w:vAlign w:val="bottom"/>
            <w:hideMark/>
          </w:tcPr>
          <w:p w14:paraId="7A0C0DE8"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B7E64AF" w14:textId="77777777" w:rsidR="00000000" w:rsidRDefault="009B6C69">
            <w:pPr>
              <w:spacing w:after="100"/>
              <w:jc w:val="right"/>
              <w:rPr>
                <w:rFonts w:eastAsia="Times New Roman"/>
              </w:rPr>
            </w:pPr>
            <w:r>
              <w:rPr>
                <w:rFonts w:eastAsia="Times New Roman"/>
                <w:color w:val="000000"/>
                <w:sz w:val="18"/>
                <w:szCs w:val="18"/>
              </w:rPr>
              <w:t>91 </w:t>
            </w:r>
          </w:p>
        </w:tc>
        <w:tc>
          <w:tcPr>
            <w:tcW w:w="0" w:type="auto"/>
            <w:shd w:val="clear" w:color="auto" w:fill="FFFFFF"/>
            <w:tcMar>
              <w:top w:w="30" w:type="dxa"/>
              <w:left w:w="0" w:type="dxa"/>
              <w:bottom w:w="30" w:type="dxa"/>
              <w:right w:w="20" w:type="dxa"/>
            </w:tcMar>
            <w:vAlign w:val="bottom"/>
            <w:hideMark/>
          </w:tcPr>
          <w:p w14:paraId="7AE95A8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42B56C" w14:textId="77777777" w:rsidR="00000000" w:rsidRDefault="009B6C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B36DC0E"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2A4ED8A" w14:textId="77777777" w:rsidR="00000000" w:rsidRDefault="009B6C69">
            <w:pPr>
              <w:spacing w:after="100"/>
              <w:jc w:val="right"/>
              <w:rPr>
                <w:rFonts w:eastAsia="Times New Roman"/>
              </w:rPr>
            </w:pPr>
            <w:r>
              <w:rPr>
                <w:rFonts w:eastAsia="Times New Roman"/>
                <w:color w:val="000000"/>
                <w:sz w:val="18"/>
                <w:szCs w:val="18"/>
              </w:rPr>
              <w:t>83 </w:t>
            </w:r>
          </w:p>
        </w:tc>
        <w:tc>
          <w:tcPr>
            <w:tcW w:w="0" w:type="auto"/>
            <w:shd w:val="clear" w:color="auto" w:fill="FFFFFF"/>
            <w:tcMar>
              <w:top w:w="30" w:type="dxa"/>
              <w:left w:w="0" w:type="dxa"/>
              <w:bottom w:w="30" w:type="dxa"/>
              <w:right w:w="20" w:type="dxa"/>
            </w:tcMar>
            <w:vAlign w:val="bottom"/>
            <w:hideMark/>
          </w:tcPr>
          <w:p w14:paraId="5C39828D"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5236A3" w14:textId="77777777" w:rsidR="00000000" w:rsidRDefault="009B6C69">
            <w:pPr>
              <w:spacing w:after="100"/>
              <w:jc w:val="right"/>
              <w:rPr>
                <w:rFonts w:eastAsia="Times New Roman"/>
                <w:sz w:val="20"/>
                <w:szCs w:val="20"/>
              </w:rPr>
            </w:pPr>
          </w:p>
        </w:tc>
        <w:tc>
          <w:tcPr>
            <w:tcW w:w="0" w:type="auto"/>
            <w:vAlign w:val="center"/>
            <w:hideMark/>
          </w:tcPr>
          <w:p w14:paraId="5E06D5C4" w14:textId="77777777" w:rsidR="00000000" w:rsidRDefault="009B6C69">
            <w:pPr>
              <w:spacing w:after="100"/>
              <w:rPr>
                <w:rFonts w:eastAsia="Times New Roman"/>
                <w:sz w:val="20"/>
                <w:szCs w:val="20"/>
              </w:rPr>
            </w:pPr>
          </w:p>
        </w:tc>
        <w:tc>
          <w:tcPr>
            <w:tcW w:w="0" w:type="auto"/>
            <w:vAlign w:val="center"/>
            <w:hideMark/>
          </w:tcPr>
          <w:p w14:paraId="4743B624" w14:textId="77777777" w:rsidR="00000000" w:rsidRDefault="009B6C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AF592D"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0FCBB82" w14:textId="77777777" w:rsidR="00000000" w:rsidRDefault="009B6C69">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14:paraId="5AB251DA" w14:textId="77777777" w:rsidR="00000000" w:rsidRDefault="009B6C69">
            <w:pPr>
              <w:spacing w:after="100"/>
              <w:jc w:val="right"/>
              <w:rPr>
                <w:rFonts w:eastAsia="Times New Roman"/>
              </w:rPr>
            </w:pPr>
          </w:p>
        </w:tc>
        <w:tc>
          <w:tcPr>
            <w:tcW w:w="0" w:type="auto"/>
            <w:vAlign w:val="center"/>
            <w:hideMark/>
          </w:tcPr>
          <w:p w14:paraId="05FAFA0E" w14:textId="77777777" w:rsidR="00000000" w:rsidRDefault="009B6C69">
            <w:pPr>
              <w:spacing w:after="100"/>
              <w:jc w:val="right"/>
              <w:rPr>
                <w:rFonts w:eastAsia="Times New Roman"/>
                <w:sz w:val="20"/>
                <w:szCs w:val="20"/>
              </w:rPr>
            </w:pPr>
          </w:p>
        </w:tc>
        <w:tc>
          <w:tcPr>
            <w:tcW w:w="0" w:type="auto"/>
            <w:vAlign w:val="center"/>
            <w:hideMark/>
          </w:tcPr>
          <w:p w14:paraId="0857A71B" w14:textId="77777777" w:rsidR="00000000" w:rsidRDefault="009B6C69">
            <w:pPr>
              <w:spacing w:after="100"/>
              <w:rPr>
                <w:rFonts w:eastAsia="Times New Roman"/>
                <w:sz w:val="20"/>
                <w:szCs w:val="20"/>
              </w:rPr>
            </w:pPr>
          </w:p>
        </w:tc>
      </w:tr>
      <w:tr w:rsidR="00000000" w14:paraId="6F1309B1" w14:textId="77777777">
        <w:trPr>
          <w:divId w:val="1212301301"/>
        </w:trPr>
        <w:tc>
          <w:tcPr>
            <w:tcW w:w="0" w:type="auto"/>
            <w:gridSpan w:val="3"/>
            <w:shd w:val="clear" w:color="auto" w:fill="CCEEFF"/>
            <w:tcMar>
              <w:top w:w="30" w:type="dxa"/>
              <w:left w:w="155" w:type="dxa"/>
              <w:bottom w:w="30" w:type="dxa"/>
              <w:right w:w="20" w:type="dxa"/>
            </w:tcMar>
            <w:vAlign w:val="bottom"/>
            <w:hideMark/>
          </w:tcPr>
          <w:p w14:paraId="4B7B8379" w14:textId="77777777" w:rsidR="00000000" w:rsidRDefault="009B6C69">
            <w:pPr>
              <w:spacing w:after="100"/>
              <w:rPr>
                <w:rFonts w:eastAsia="Times New Roman"/>
              </w:rPr>
            </w:pPr>
            <w:r>
              <w:rPr>
                <w:rFonts w:eastAsia="Times New Roman"/>
                <w:color w:val="000000"/>
                <w:sz w:val="18"/>
                <w:szCs w:val="18"/>
              </w:rPr>
              <w:t>Net (losses) gains on marketable securities</w:t>
            </w:r>
          </w:p>
        </w:tc>
        <w:tc>
          <w:tcPr>
            <w:tcW w:w="0" w:type="auto"/>
            <w:gridSpan w:val="2"/>
            <w:shd w:val="clear" w:color="auto" w:fill="CCEEFF"/>
            <w:tcMar>
              <w:top w:w="30" w:type="dxa"/>
              <w:left w:w="20" w:type="dxa"/>
              <w:bottom w:w="30" w:type="dxa"/>
              <w:right w:w="0" w:type="dxa"/>
            </w:tcMar>
            <w:vAlign w:val="bottom"/>
            <w:hideMark/>
          </w:tcPr>
          <w:p w14:paraId="5C6F8B87" w14:textId="77777777" w:rsidR="00000000" w:rsidRDefault="009B6C69">
            <w:pPr>
              <w:spacing w:after="100"/>
              <w:jc w:val="right"/>
              <w:rPr>
                <w:rFonts w:eastAsia="Times New Roman"/>
              </w:rPr>
            </w:pPr>
            <w:r>
              <w:rPr>
                <w:rFonts w:eastAsia="Times New Roman"/>
                <w:color w:val="000000"/>
                <w:sz w:val="18"/>
                <w:szCs w:val="18"/>
              </w:rPr>
              <w:t>(363)</w:t>
            </w:r>
          </w:p>
        </w:tc>
        <w:tc>
          <w:tcPr>
            <w:tcW w:w="0" w:type="auto"/>
            <w:shd w:val="clear" w:color="auto" w:fill="CCEEFF"/>
            <w:tcMar>
              <w:top w:w="30" w:type="dxa"/>
              <w:left w:w="0" w:type="dxa"/>
              <w:bottom w:w="30" w:type="dxa"/>
              <w:right w:w="20" w:type="dxa"/>
            </w:tcMar>
            <w:vAlign w:val="bottom"/>
            <w:hideMark/>
          </w:tcPr>
          <w:p w14:paraId="3E489A5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554BA8"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4415EB" w14:textId="77777777" w:rsidR="00000000" w:rsidRDefault="009B6C69">
            <w:pPr>
              <w:spacing w:after="100"/>
              <w:jc w:val="right"/>
              <w:rPr>
                <w:rFonts w:eastAsia="Times New Roman"/>
              </w:rPr>
            </w:pPr>
            <w:r>
              <w:rPr>
                <w:rFonts w:eastAsia="Times New Roman"/>
                <w:color w:val="000000"/>
                <w:sz w:val="18"/>
                <w:szCs w:val="18"/>
              </w:rPr>
              <w:t>427 </w:t>
            </w:r>
          </w:p>
        </w:tc>
        <w:tc>
          <w:tcPr>
            <w:tcW w:w="0" w:type="auto"/>
            <w:shd w:val="clear" w:color="auto" w:fill="CCEEFF"/>
            <w:tcMar>
              <w:top w:w="30" w:type="dxa"/>
              <w:left w:w="0" w:type="dxa"/>
              <w:bottom w:w="30" w:type="dxa"/>
              <w:right w:w="20" w:type="dxa"/>
            </w:tcMar>
            <w:vAlign w:val="bottom"/>
            <w:hideMark/>
          </w:tcPr>
          <w:p w14:paraId="5809A07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5D68F2" w14:textId="77777777" w:rsidR="00000000" w:rsidRDefault="009B6C69">
            <w:pPr>
              <w:spacing w:after="100"/>
              <w:jc w:val="right"/>
              <w:rPr>
                <w:rFonts w:eastAsia="Times New Roman"/>
                <w:sz w:val="20"/>
                <w:szCs w:val="20"/>
              </w:rPr>
            </w:pPr>
          </w:p>
        </w:tc>
        <w:tc>
          <w:tcPr>
            <w:tcW w:w="0" w:type="auto"/>
            <w:vAlign w:val="center"/>
            <w:hideMark/>
          </w:tcPr>
          <w:p w14:paraId="0E8FC77C" w14:textId="77777777" w:rsidR="00000000" w:rsidRDefault="009B6C69">
            <w:pPr>
              <w:spacing w:after="100"/>
              <w:rPr>
                <w:rFonts w:eastAsia="Times New Roman"/>
                <w:sz w:val="20"/>
                <w:szCs w:val="20"/>
              </w:rPr>
            </w:pPr>
          </w:p>
        </w:tc>
        <w:tc>
          <w:tcPr>
            <w:tcW w:w="0" w:type="auto"/>
            <w:vAlign w:val="center"/>
            <w:hideMark/>
          </w:tcPr>
          <w:p w14:paraId="3CE4A309"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4F5295" w14:textId="77777777" w:rsidR="00000000" w:rsidRDefault="009B6C69">
            <w:pPr>
              <w:spacing w:after="100"/>
              <w:jc w:val="right"/>
              <w:rPr>
                <w:rFonts w:eastAsia="Times New Roman"/>
              </w:rPr>
            </w:pPr>
            <w:r>
              <w:rPr>
                <w:rFonts w:eastAsia="Times New Roman"/>
                <w:color w:val="000000"/>
                <w:sz w:val="18"/>
                <w:szCs w:val="18"/>
              </w:rPr>
              <w:t>(790)</w:t>
            </w:r>
          </w:p>
        </w:tc>
        <w:tc>
          <w:tcPr>
            <w:tcW w:w="0" w:type="auto"/>
            <w:shd w:val="clear" w:color="auto" w:fill="CCEEFF"/>
            <w:tcMar>
              <w:top w:w="30" w:type="dxa"/>
              <w:left w:w="0" w:type="dxa"/>
              <w:bottom w:w="30" w:type="dxa"/>
              <w:right w:w="20" w:type="dxa"/>
            </w:tcMar>
            <w:vAlign w:val="bottom"/>
            <w:hideMark/>
          </w:tcPr>
          <w:p w14:paraId="401FEE74" w14:textId="77777777" w:rsidR="00000000" w:rsidRDefault="009B6C69">
            <w:pPr>
              <w:spacing w:after="100"/>
              <w:jc w:val="right"/>
              <w:rPr>
                <w:rFonts w:eastAsia="Times New Roman"/>
              </w:rPr>
            </w:pPr>
          </w:p>
        </w:tc>
        <w:tc>
          <w:tcPr>
            <w:tcW w:w="0" w:type="auto"/>
            <w:vAlign w:val="center"/>
            <w:hideMark/>
          </w:tcPr>
          <w:p w14:paraId="240BA731" w14:textId="77777777" w:rsidR="00000000" w:rsidRDefault="009B6C69">
            <w:pPr>
              <w:spacing w:after="100"/>
              <w:jc w:val="right"/>
              <w:rPr>
                <w:rFonts w:eastAsia="Times New Roman"/>
                <w:sz w:val="20"/>
                <w:szCs w:val="20"/>
              </w:rPr>
            </w:pPr>
          </w:p>
        </w:tc>
        <w:tc>
          <w:tcPr>
            <w:tcW w:w="0" w:type="auto"/>
            <w:vAlign w:val="center"/>
            <w:hideMark/>
          </w:tcPr>
          <w:p w14:paraId="6E19CE7A" w14:textId="77777777" w:rsidR="00000000" w:rsidRDefault="009B6C69">
            <w:pPr>
              <w:spacing w:after="100"/>
              <w:rPr>
                <w:rFonts w:eastAsia="Times New Roman"/>
                <w:sz w:val="20"/>
                <w:szCs w:val="20"/>
              </w:rPr>
            </w:pPr>
          </w:p>
        </w:tc>
      </w:tr>
      <w:tr w:rsidR="00000000" w14:paraId="091D35AA" w14:textId="77777777">
        <w:trPr>
          <w:divId w:val="1212301301"/>
        </w:trPr>
        <w:tc>
          <w:tcPr>
            <w:tcW w:w="0" w:type="auto"/>
            <w:gridSpan w:val="3"/>
            <w:shd w:val="clear" w:color="auto" w:fill="FFFFFF"/>
            <w:tcMar>
              <w:top w:w="30" w:type="dxa"/>
              <w:left w:w="155" w:type="dxa"/>
              <w:bottom w:w="30" w:type="dxa"/>
              <w:right w:w="20" w:type="dxa"/>
            </w:tcMar>
            <w:vAlign w:val="bottom"/>
            <w:hideMark/>
          </w:tcPr>
          <w:p w14:paraId="4867B061" w14:textId="77777777" w:rsidR="00000000" w:rsidRDefault="009B6C69">
            <w:pPr>
              <w:spacing w:after="100"/>
              <w:rPr>
                <w:rFonts w:eastAsia="Times New Roman"/>
              </w:rPr>
            </w:pPr>
            <w:r>
              <w:rPr>
                <w:rFonts w:eastAsia="Times New Roman"/>
                <w:color w:val="000000"/>
                <w:sz w:val="18"/>
                <w:szCs w:val="18"/>
              </w:rPr>
              <w:t>Net gains on other investments</w:t>
            </w:r>
          </w:p>
        </w:tc>
        <w:tc>
          <w:tcPr>
            <w:tcW w:w="0" w:type="auto"/>
            <w:gridSpan w:val="2"/>
            <w:shd w:val="clear" w:color="auto" w:fill="FFFFFF"/>
            <w:tcMar>
              <w:top w:w="30" w:type="dxa"/>
              <w:left w:w="20" w:type="dxa"/>
              <w:bottom w:w="30" w:type="dxa"/>
              <w:right w:w="0" w:type="dxa"/>
            </w:tcMar>
            <w:vAlign w:val="bottom"/>
            <w:hideMark/>
          </w:tcPr>
          <w:p w14:paraId="4CE6546D" w14:textId="77777777" w:rsidR="00000000" w:rsidRDefault="009B6C69">
            <w:pPr>
              <w:spacing w:after="100"/>
              <w:jc w:val="right"/>
              <w:rPr>
                <w:rFonts w:eastAsia="Times New Roman"/>
              </w:rPr>
            </w:pPr>
            <w:r>
              <w:rPr>
                <w:rFonts w:eastAsia="Times New Roman"/>
                <w:color w:val="000000"/>
                <w:sz w:val="18"/>
                <w:szCs w:val="18"/>
              </w:rPr>
              <w:t>113 </w:t>
            </w:r>
          </w:p>
        </w:tc>
        <w:tc>
          <w:tcPr>
            <w:tcW w:w="0" w:type="auto"/>
            <w:shd w:val="clear" w:color="auto" w:fill="FFFFFF"/>
            <w:tcMar>
              <w:top w:w="30" w:type="dxa"/>
              <w:left w:w="0" w:type="dxa"/>
              <w:bottom w:w="30" w:type="dxa"/>
              <w:right w:w="20" w:type="dxa"/>
            </w:tcMar>
            <w:vAlign w:val="bottom"/>
            <w:hideMark/>
          </w:tcPr>
          <w:p w14:paraId="3B41B59C"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E0FD9B"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6E1EA3" w14:textId="77777777" w:rsidR="00000000" w:rsidRDefault="009B6C69">
            <w:pPr>
              <w:spacing w:after="100"/>
              <w:jc w:val="right"/>
              <w:rPr>
                <w:rFonts w:eastAsia="Times New Roman"/>
              </w:rPr>
            </w:pPr>
            <w:r>
              <w:rPr>
                <w:rFonts w:eastAsia="Times New Roman"/>
                <w:color w:val="000000"/>
                <w:sz w:val="18"/>
                <w:szCs w:val="18"/>
              </w:rPr>
              <w:t>470 </w:t>
            </w:r>
          </w:p>
        </w:tc>
        <w:tc>
          <w:tcPr>
            <w:tcW w:w="0" w:type="auto"/>
            <w:shd w:val="clear" w:color="auto" w:fill="FFFFFF"/>
            <w:tcMar>
              <w:top w:w="30" w:type="dxa"/>
              <w:left w:w="0" w:type="dxa"/>
              <w:bottom w:w="30" w:type="dxa"/>
              <w:right w:w="20" w:type="dxa"/>
            </w:tcMar>
            <w:vAlign w:val="bottom"/>
            <w:hideMark/>
          </w:tcPr>
          <w:p w14:paraId="579A52A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6242E9" w14:textId="77777777" w:rsidR="00000000" w:rsidRDefault="009B6C69">
            <w:pPr>
              <w:spacing w:after="100"/>
              <w:jc w:val="right"/>
              <w:rPr>
                <w:rFonts w:eastAsia="Times New Roman"/>
                <w:sz w:val="20"/>
                <w:szCs w:val="20"/>
              </w:rPr>
            </w:pPr>
          </w:p>
        </w:tc>
        <w:tc>
          <w:tcPr>
            <w:tcW w:w="0" w:type="auto"/>
            <w:vAlign w:val="center"/>
            <w:hideMark/>
          </w:tcPr>
          <w:p w14:paraId="12ADC7DA" w14:textId="77777777" w:rsidR="00000000" w:rsidRDefault="009B6C69">
            <w:pPr>
              <w:spacing w:after="100"/>
              <w:rPr>
                <w:rFonts w:eastAsia="Times New Roman"/>
                <w:sz w:val="20"/>
                <w:szCs w:val="20"/>
              </w:rPr>
            </w:pPr>
          </w:p>
        </w:tc>
        <w:tc>
          <w:tcPr>
            <w:tcW w:w="0" w:type="auto"/>
            <w:vAlign w:val="center"/>
            <w:hideMark/>
          </w:tcPr>
          <w:p w14:paraId="2FD8BC8E"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C65C91" w14:textId="77777777" w:rsidR="00000000" w:rsidRDefault="009B6C69">
            <w:pPr>
              <w:spacing w:after="100"/>
              <w:jc w:val="right"/>
              <w:rPr>
                <w:rFonts w:eastAsia="Times New Roman"/>
              </w:rPr>
            </w:pPr>
            <w:r>
              <w:rPr>
                <w:rFonts w:eastAsia="Times New Roman"/>
                <w:color w:val="000000"/>
                <w:sz w:val="18"/>
                <w:szCs w:val="18"/>
              </w:rPr>
              <w:t>(357)</w:t>
            </w:r>
          </w:p>
        </w:tc>
        <w:tc>
          <w:tcPr>
            <w:tcW w:w="0" w:type="auto"/>
            <w:shd w:val="clear" w:color="auto" w:fill="FFFFFF"/>
            <w:tcMar>
              <w:top w:w="30" w:type="dxa"/>
              <w:left w:w="0" w:type="dxa"/>
              <w:bottom w:w="30" w:type="dxa"/>
              <w:right w:w="20" w:type="dxa"/>
            </w:tcMar>
            <w:vAlign w:val="bottom"/>
            <w:hideMark/>
          </w:tcPr>
          <w:p w14:paraId="5CD9FD5E" w14:textId="77777777" w:rsidR="00000000" w:rsidRDefault="009B6C69">
            <w:pPr>
              <w:spacing w:after="100"/>
              <w:jc w:val="right"/>
              <w:rPr>
                <w:rFonts w:eastAsia="Times New Roman"/>
              </w:rPr>
            </w:pPr>
          </w:p>
        </w:tc>
        <w:tc>
          <w:tcPr>
            <w:tcW w:w="0" w:type="auto"/>
            <w:vAlign w:val="center"/>
            <w:hideMark/>
          </w:tcPr>
          <w:p w14:paraId="31D9DF0F" w14:textId="77777777" w:rsidR="00000000" w:rsidRDefault="009B6C69">
            <w:pPr>
              <w:spacing w:after="100"/>
              <w:jc w:val="right"/>
              <w:rPr>
                <w:rFonts w:eastAsia="Times New Roman"/>
                <w:sz w:val="20"/>
                <w:szCs w:val="20"/>
              </w:rPr>
            </w:pPr>
          </w:p>
        </w:tc>
        <w:tc>
          <w:tcPr>
            <w:tcW w:w="0" w:type="auto"/>
            <w:vAlign w:val="center"/>
            <w:hideMark/>
          </w:tcPr>
          <w:p w14:paraId="0E4F091C" w14:textId="77777777" w:rsidR="00000000" w:rsidRDefault="009B6C69">
            <w:pPr>
              <w:spacing w:after="100"/>
              <w:rPr>
                <w:rFonts w:eastAsia="Times New Roman"/>
                <w:sz w:val="20"/>
                <w:szCs w:val="20"/>
              </w:rPr>
            </w:pPr>
          </w:p>
        </w:tc>
      </w:tr>
      <w:tr w:rsidR="00000000" w14:paraId="3B8F3886" w14:textId="77777777">
        <w:trPr>
          <w:divId w:val="1212301301"/>
        </w:trPr>
        <w:tc>
          <w:tcPr>
            <w:tcW w:w="0" w:type="auto"/>
            <w:gridSpan w:val="3"/>
            <w:shd w:val="clear" w:color="auto" w:fill="CCEEFF"/>
            <w:tcMar>
              <w:top w:w="30" w:type="dxa"/>
              <w:left w:w="155" w:type="dxa"/>
              <w:bottom w:w="30" w:type="dxa"/>
              <w:right w:w="20" w:type="dxa"/>
            </w:tcMar>
            <w:vAlign w:val="bottom"/>
            <w:hideMark/>
          </w:tcPr>
          <w:p w14:paraId="40A080F7" w14:textId="77777777" w:rsidR="00000000" w:rsidRDefault="009B6C69">
            <w:pPr>
              <w:spacing w:after="100"/>
              <w:rPr>
                <w:rFonts w:eastAsia="Times New Roman"/>
              </w:rPr>
            </w:pPr>
            <w:r>
              <w:rPr>
                <w:rFonts w:eastAsia="Times New Roman"/>
                <w:color w:val="000000"/>
                <w:sz w:val="18"/>
                <w:szCs w:val="18"/>
              </w:rPr>
              <w:t>Net (losses) gains on deferred compensation plan assets</w:t>
            </w:r>
          </w:p>
        </w:tc>
        <w:tc>
          <w:tcPr>
            <w:tcW w:w="0" w:type="auto"/>
            <w:gridSpan w:val="2"/>
            <w:shd w:val="clear" w:color="auto" w:fill="CCEEFF"/>
            <w:tcMar>
              <w:top w:w="30" w:type="dxa"/>
              <w:left w:w="20" w:type="dxa"/>
              <w:bottom w:w="30" w:type="dxa"/>
              <w:right w:w="0" w:type="dxa"/>
            </w:tcMar>
            <w:vAlign w:val="bottom"/>
            <w:hideMark/>
          </w:tcPr>
          <w:p w14:paraId="68806523" w14:textId="77777777" w:rsidR="00000000" w:rsidRDefault="009B6C69">
            <w:pPr>
              <w:spacing w:after="100"/>
              <w:jc w:val="right"/>
              <w:rPr>
                <w:rFonts w:eastAsia="Times New Roman"/>
              </w:rPr>
            </w:pPr>
            <w:r>
              <w:rPr>
                <w:rFonts w:eastAsia="Times New Roman"/>
                <w:color w:val="000000"/>
                <w:sz w:val="18"/>
                <w:szCs w:val="18"/>
              </w:rPr>
              <w:t>(141)</w:t>
            </w:r>
          </w:p>
        </w:tc>
        <w:tc>
          <w:tcPr>
            <w:tcW w:w="0" w:type="auto"/>
            <w:shd w:val="clear" w:color="auto" w:fill="CCEEFF"/>
            <w:tcMar>
              <w:top w:w="30" w:type="dxa"/>
              <w:left w:w="0" w:type="dxa"/>
              <w:bottom w:w="30" w:type="dxa"/>
              <w:right w:w="20" w:type="dxa"/>
            </w:tcMar>
            <w:vAlign w:val="bottom"/>
            <w:hideMark/>
          </w:tcPr>
          <w:p w14:paraId="20B4CEA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689576"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3AC3EE" w14:textId="77777777" w:rsidR="00000000" w:rsidRDefault="009B6C69">
            <w:pPr>
              <w:spacing w:after="100"/>
              <w:jc w:val="right"/>
              <w:rPr>
                <w:rFonts w:eastAsia="Times New Roman"/>
              </w:rPr>
            </w:pPr>
            <w:r>
              <w:rPr>
                <w:rFonts w:eastAsia="Times New Roman"/>
                <w:color w:val="000000"/>
                <w:sz w:val="18"/>
                <w:szCs w:val="18"/>
              </w:rPr>
              <w:t>130 </w:t>
            </w:r>
          </w:p>
        </w:tc>
        <w:tc>
          <w:tcPr>
            <w:tcW w:w="0" w:type="auto"/>
            <w:shd w:val="clear" w:color="auto" w:fill="CCEEFF"/>
            <w:tcMar>
              <w:top w:w="30" w:type="dxa"/>
              <w:left w:w="0" w:type="dxa"/>
              <w:bottom w:w="30" w:type="dxa"/>
              <w:right w:w="20" w:type="dxa"/>
            </w:tcMar>
            <w:vAlign w:val="bottom"/>
            <w:hideMark/>
          </w:tcPr>
          <w:p w14:paraId="5F7B6929"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7E32B9" w14:textId="77777777" w:rsidR="00000000" w:rsidRDefault="009B6C69">
            <w:pPr>
              <w:spacing w:after="100"/>
              <w:jc w:val="right"/>
              <w:rPr>
                <w:rFonts w:eastAsia="Times New Roman"/>
                <w:sz w:val="20"/>
                <w:szCs w:val="20"/>
              </w:rPr>
            </w:pPr>
          </w:p>
        </w:tc>
        <w:tc>
          <w:tcPr>
            <w:tcW w:w="0" w:type="auto"/>
            <w:vAlign w:val="center"/>
            <w:hideMark/>
          </w:tcPr>
          <w:p w14:paraId="306C9B1B" w14:textId="77777777" w:rsidR="00000000" w:rsidRDefault="009B6C69">
            <w:pPr>
              <w:spacing w:after="100"/>
              <w:rPr>
                <w:rFonts w:eastAsia="Times New Roman"/>
                <w:sz w:val="20"/>
                <w:szCs w:val="20"/>
              </w:rPr>
            </w:pPr>
          </w:p>
        </w:tc>
        <w:tc>
          <w:tcPr>
            <w:tcW w:w="0" w:type="auto"/>
            <w:vAlign w:val="center"/>
            <w:hideMark/>
          </w:tcPr>
          <w:p w14:paraId="5187219D"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2176D3" w14:textId="77777777" w:rsidR="00000000" w:rsidRDefault="009B6C69">
            <w:pPr>
              <w:spacing w:after="100"/>
              <w:jc w:val="right"/>
              <w:rPr>
                <w:rFonts w:eastAsia="Times New Roman"/>
              </w:rPr>
            </w:pPr>
            <w:r>
              <w:rPr>
                <w:rFonts w:eastAsia="Times New Roman"/>
                <w:color w:val="000000"/>
                <w:sz w:val="18"/>
                <w:szCs w:val="18"/>
              </w:rPr>
              <w:t>(271)</w:t>
            </w:r>
          </w:p>
        </w:tc>
        <w:tc>
          <w:tcPr>
            <w:tcW w:w="0" w:type="auto"/>
            <w:shd w:val="clear" w:color="auto" w:fill="CCEEFF"/>
            <w:tcMar>
              <w:top w:w="30" w:type="dxa"/>
              <w:left w:w="0" w:type="dxa"/>
              <w:bottom w:w="30" w:type="dxa"/>
              <w:right w:w="20" w:type="dxa"/>
            </w:tcMar>
            <w:vAlign w:val="bottom"/>
            <w:hideMark/>
          </w:tcPr>
          <w:p w14:paraId="46D860FB" w14:textId="77777777" w:rsidR="00000000" w:rsidRDefault="009B6C69">
            <w:pPr>
              <w:spacing w:after="100"/>
              <w:jc w:val="right"/>
              <w:rPr>
                <w:rFonts w:eastAsia="Times New Roman"/>
              </w:rPr>
            </w:pPr>
          </w:p>
        </w:tc>
        <w:tc>
          <w:tcPr>
            <w:tcW w:w="0" w:type="auto"/>
            <w:vAlign w:val="center"/>
            <w:hideMark/>
          </w:tcPr>
          <w:p w14:paraId="760D5F56" w14:textId="77777777" w:rsidR="00000000" w:rsidRDefault="009B6C69">
            <w:pPr>
              <w:spacing w:after="100"/>
              <w:jc w:val="right"/>
              <w:rPr>
                <w:rFonts w:eastAsia="Times New Roman"/>
                <w:sz w:val="20"/>
                <w:szCs w:val="20"/>
              </w:rPr>
            </w:pPr>
          </w:p>
        </w:tc>
        <w:tc>
          <w:tcPr>
            <w:tcW w:w="0" w:type="auto"/>
            <w:vAlign w:val="center"/>
            <w:hideMark/>
          </w:tcPr>
          <w:p w14:paraId="7A0F647E" w14:textId="77777777" w:rsidR="00000000" w:rsidRDefault="009B6C69">
            <w:pPr>
              <w:spacing w:after="100"/>
              <w:rPr>
                <w:rFonts w:eastAsia="Times New Roman"/>
                <w:sz w:val="20"/>
                <w:szCs w:val="20"/>
              </w:rPr>
            </w:pPr>
          </w:p>
        </w:tc>
      </w:tr>
      <w:tr w:rsidR="00000000" w14:paraId="213D7477" w14:textId="77777777">
        <w:trPr>
          <w:divId w:val="1212301301"/>
        </w:trPr>
        <w:tc>
          <w:tcPr>
            <w:tcW w:w="0" w:type="auto"/>
            <w:gridSpan w:val="3"/>
            <w:shd w:val="clear" w:color="auto" w:fill="FFFFFF"/>
            <w:tcMar>
              <w:top w:w="30" w:type="dxa"/>
              <w:left w:w="155" w:type="dxa"/>
              <w:bottom w:w="30" w:type="dxa"/>
              <w:right w:w="20" w:type="dxa"/>
            </w:tcMar>
            <w:vAlign w:val="bottom"/>
            <w:hideMark/>
          </w:tcPr>
          <w:p w14:paraId="0078452D" w14:textId="77777777" w:rsidR="00000000" w:rsidRDefault="009B6C69">
            <w:pPr>
              <w:spacing w:after="100"/>
              <w:rPr>
                <w:rFonts w:eastAsia="Times New Roman"/>
              </w:rPr>
            </w:pPr>
            <w:r>
              <w:rPr>
                <w:rFonts w:eastAsia="Times New Roman"/>
                <w:color w:val="000000"/>
                <w:sz w:val="18"/>
                <w:szCs w:val="18"/>
              </w:rPr>
              <w:t>Impairment losses on other investments</w:t>
            </w:r>
          </w:p>
        </w:tc>
        <w:tc>
          <w:tcPr>
            <w:tcW w:w="0" w:type="auto"/>
            <w:gridSpan w:val="2"/>
            <w:shd w:val="clear" w:color="auto" w:fill="FFFFFF"/>
            <w:tcMar>
              <w:top w:w="30" w:type="dxa"/>
              <w:left w:w="20" w:type="dxa"/>
              <w:bottom w:w="30" w:type="dxa"/>
              <w:right w:w="0" w:type="dxa"/>
            </w:tcMar>
            <w:vAlign w:val="bottom"/>
            <w:hideMark/>
          </w:tcPr>
          <w:p w14:paraId="21027051" w14:textId="77777777" w:rsidR="00000000" w:rsidRDefault="009B6C69">
            <w:pPr>
              <w:spacing w:after="100"/>
              <w:jc w:val="right"/>
              <w:rPr>
                <w:rFonts w:eastAsia="Times New Roman"/>
              </w:rPr>
            </w:pPr>
            <w:r>
              <w:rPr>
                <w:rFonts w:eastAsia="Times New Roman"/>
                <w:color w:val="000000"/>
                <w:sz w:val="18"/>
                <w:szCs w:val="18"/>
              </w:rPr>
              <w:t>(47)</w:t>
            </w:r>
          </w:p>
        </w:tc>
        <w:tc>
          <w:tcPr>
            <w:tcW w:w="0" w:type="auto"/>
            <w:shd w:val="clear" w:color="auto" w:fill="FFFFFF"/>
            <w:tcMar>
              <w:top w:w="30" w:type="dxa"/>
              <w:left w:w="0" w:type="dxa"/>
              <w:bottom w:w="30" w:type="dxa"/>
              <w:right w:w="20" w:type="dxa"/>
            </w:tcMar>
            <w:vAlign w:val="bottom"/>
            <w:hideMark/>
          </w:tcPr>
          <w:p w14:paraId="759BAA44"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DFEC0C"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6F7BD2" w14:textId="77777777" w:rsidR="00000000" w:rsidRDefault="009B6C69">
            <w:pPr>
              <w:spacing w:after="100"/>
              <w:jc w:val="right"/>
              <w:rPr>
                <w:rFonts w:eastAsia="Times New Roman"/>
              </w:rPr>
            </w:pPr>
            <w:r>
              <w:rPr>
                <w:rFonts w:eastAsia="Times New Roman"/>
                <w:color w:val="000000"/>
                <w:sz w:val="18"/>
                <w:szCs w:val="18"/>
              </w:rPr>
              <w:t>(33)</w:t>
            </w:r>
          </w:p>
        </w:tc>
        <w:tc>
          <w:tcPr>
            <w:tcW w:w="0" w:type="auto"/>
            <w:shd w:val="clear" w:color="auto" w:fill="FFFFFF"/>
            <w:tcMar>
              <w:top w:w="30" w:type="dxa"/>
              <w:left w:w="0" w:type="dxa"/>
              <w:bottom w:w="30" w:type="dxa"/>
              <w:right w:w="20" w:type="dxa"/>
            </w:tcMar>
            <w:vAlign w:val="bottom"/>
            <w:hideMark/>
          </w:tcPr>
          <w:p w14:paraId="5BEE240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E9A478" w14:textId="77777777" w:rsidR="00000000" w:rsidRDefault="009B6C69">
            <w:pPr>
              <w:spacing w:after="100"/>
              <w:jc w:val="right"/>
              <w:rPr>
                <w:rFonts w:eastAsia="Times New Roman"/>
                <w:sz w:val="20"/>
                <w:szCs w:val="20"/>
              </w:rPr>
            </w:pPr>
          </w:p>
        </w:tc>
        <w:tc>
          <w:tcPr>
            <w:tcW w:w="0" w:type="auto"/>
            <w:vAlign w:val="center"/>
            <w:hideMark/>
          </w:tcPr>
          <w:p w14:paraId="73576DB3" w14:textId="77777777" w:rsidR="00000000" w:rsidRDefault="009B6C69">
            <w:pPr>
              <w:spacing w:after="100"/>
              <w:rPr>
                <w:rFonts w:eastAsia="Times New Roman"/>
                <w:sz w:val="20"/>
                <w:szCs w:val="20"/>
              </w:rPr>
            </w:pPr>
          </w:p>
        </w:tc>
        <w:tc>
          <w:tcPr>
            <w:tcW w:w="0" w:type="auto"/>
            <w:vAlign w:val="center"/>
            <w:hideMark/>
          </w:tcPr>
          <w:p w14:paraId="7C18719F"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CBDBDE" w14:textId="77777777" w:rsidR="00000000" w:rsidRDefault="009B6C69">
            <w:pPr>
              <w:spacing w:after="100"/>
              <w:jc w:val="right"/>
              <w:rPr>
                <w:rFonts w:eastAsia="Times New Roman"/>
              </w:rPr>
            </w:pPr>
            <w:r>
              <w:rPr>
                <w:rFonts w:eastAsia="Times New Roman"/>
                <w:color w:val="000000"/>
                <w:sz w:val="18"/>
                <w:szCs w:val="18"/>
              </w:rPr>
              <w:t>(14)</w:t>
            </w:r>
          </w:p>
        </w:tc>
        <w:tc>
          <w:tcPr>
            <w:tcW w:w="0" w:type="auto"/>
            <w:shd w:val="clear" w:color="auto" w:fill="FFFFFF"/>
            <w:tcMar>
              <w:top w:w="30" w:type="dxa"/>
              <w:left w:w="0" w:type="dxa"/>
              <w:bottom w:w="30" w:type="dxa"/>
              <w:right w:w="20" w:type="dxa"/>
            </w:tcMar>
            <w:vAlign w:val="bottom"/>
            <w:hideMark/>
          </w:tcPr>
          <w:p w14:paraId="37BEBE46" w14:textId="77777777" w:rsidR="00000000" w:rsidRDefault="009B6C69">
            <w:pPr>
              <w:spacing w:after="100"/>
              <w:jc w:val="right"/>
              <w:rPr>
                <w:rFonts w:eastAsia="Times New Roman"/>
              </w:rPr>
            </w:pPr>
          </w:p>
        </w:tc>
        <w:tc>
          <w:tcPr>
            <w:tcW w:w="0" w:type="auto"/>
            <w:vAlign w:val="center"/>
            <w:hideMark/>
          </w:tcPr>
          <w:p w14:paraId="2B96491D" w14:textId="77777777" w:rsidR="00000000" w:rsidRDefault="009B6C69">
            <w:pPr>
              <w:spacing w:after="100"/>
              <w:jc w:val="right"/>
              <w:rPr>
                <w:rFonts w:eastAsia="Times New Roman"/>
                <w:sz w:val="20"/>
                <w:szCs w:val="20"/>
              </w:rPr>
            </w:pPr>
          </w:p>
        </w:tc>
        <w:tc>
          <w:tcPr>
            <w:tcW w:w="0" w:type="auto"/>
            <w:vAlign w:val="center"/>
            <w:hideMark/>
          </w:tcPr>
          <w:p w14:paraId="3F7FB487" w14:textId="77777777" w:rsidR="00000000" w:rsidRDefault="009B6C69">
            <w:pPr>
              <w:spacing w:after="100"/>
              <w:rPr>
                <w:rFonts w:eastAsia="Times New Roman"/>
                <w:sz w:val="20"/>
                <w:szCs w:val="20"/>
              </w:rPr>
            </w:pPr>
          </w:p>
        </w:tc>
      </w:tr>
      <w:tr w:rsidR="00000000" w14:paraId="351548D9" w14:textId="77777777">
        <w:trPr>
          <w:divId w:val="1212301301"/>
        </w:trPr>
        <w:tc>
          <w:tcPr>
            <w:tcW w:w="0" w:type="auto"/>
            <w:gridSpan w:val="3"/>
            <w:shd w:val="clear" w:color="auto" w:fill="CCEEFF"/>
            <w:tcMar>
              <w:top w:w="30" w:type="dxa"/>
              <w:left w:w="155" w:type="dxa"/>
              <w:bottom w:w="30" w:type="dxa"/>
              <w:right w:w="20" w:type="dxa"/>
            </w:tcMar>
            <w:vAlign w:val="bottom"/>
            <w:hideMark/>
          </w:tcPr>
          <w:p w14:paraId="4DA9AF67" w14:textId="77777777" w:rsidR="00000000" w:rsidRDefault="009B6C69">
            <w:pPr>
              <w:spacing w:after="100"/>
              <w:rPr>
                <w:rFonts w:eastAsia="Times New Roman"/>
              </w:rPr>
            </w:pPr>
            <w:r>
              <w:rPr>
                <w:rFonts w:eastAsia="Times New Roman"/>
                <w:color w:val="000000"/>
                <w:sz w:val="18"/>
                <w:szCs w:val="18"/>
              </w:rPr>
              <w:t>Net losses on derivative instruments</w:t>
            </w:r>
          </w:p>
        </w:tc>
        <w:tc>
          <w:tcPr>
            <w:tcW w:w="0" w:type="auto"/>
            <w:gridSpan w:val="2"/>
            <w:shd w:val="clear" w:color="auto" w:fill="CCEEFF"/>
            <w:tcMar>
              <w:top w:w="30" w:type="dxa"/>
              <w:left w:w="20" w:type="dxa"/>
              <w:bottom w:w="30" w:type="dxa"/>
              <w:right w:w="0" w:type="dxa"/>
            </w:tcMar>
            <w:vAlign w:val="bottom"/>
            <w:hideMark/>
          </w:tcPr>
          <w:p w14:paraId="01BAE8C6" w14:textId="77777777" w:rsidR="00000000" w:rsidRDefault="009B6C69">
            <w:pPr>
              <w:spacing w:after="100"/>
              <w:jc w:val="right"/>
              <w:rPr>
                <w:rFonts w:eastAsia="Times New Roman"/>
              </w:rPr>
            </w:pPr>
            <w:r>
              <w:rPr>
                <w:rFonts w:eastAsia="Times New Roman"/>
                <w:color w:val="000000"/>
                <w:sz w:val="18"/>
                <w:szCs w:val="18"/>
              </w:rPr>
              <w:t>(37)</w:t>
            </w:r>
          </w:p>
        </w:tc>
        <w:tc>
          <w:tcPr>
            <w:tcW w:w="0" w:type="auto"/>
            <w:shd w:val="clear" w:color="auto" w:fill="CCEEFF"/>
            <w:tcMar>
              <w:top w:w="30" w:type="dxa"/>
              <w:left w:w="0" w:type="dxa"/>
              <w:bottom w:w="30" w:type="dxa"/>
              <w:right w:w="20" w:type="dxa"/>
            </w:tcMar>
            <w:vAlign w:val="bottom"/>
            <w:hideMark/>
          </w:tcPr>
          <w:p w14:paraId="7A80AC0C"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554A70"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1581D5" w14:textId="77777777" w:rsidR="00000000" w:rsidRDefault="009B6C69">
            <w:pPr>
              <w:spacing w:after="100"/>
              <w:jc w:val="right"/>
              <w:rPr>
                <w:rFonts w:eastAsia="Times New Roman"/>
              </w:rPr>
            </w:pPr>
            <w:r>
              <w:rPr>
                <w:rFonts w:eastAsia="Times New Roman"/>
                <w:color w:val="000000"/>
                <w:sz w:val="18"/>
                <w:szCs w:val="18"/>
              </w:rPr>
              <w:t>(14)</w:t>
            </w:r>
          </w:p>
        </w:tc>
        <w:tc>
          <w:tcPr>
            <w:tcW w:w="0" w:type="auto"/>
            <w:shd w:val="clear" w:color="auto" w:fill="CCEEFF"/>
            <w:tcMar>
              <w:top w:w="30" w:type="dxa"/>
              <w:left w:w="0" w:type="dxa"/>
              <w:bottom w:w="30" w:type="dxa"/>
              <w:right w:w="20" w:type="dxa"/>
            </w:tcMar>
            <w:vAlign w:val="bottom"/>
            <w:hideMark/>
          </w:tcPr>
          <w:p w14:paraId="6822855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6361CF" w14:textId="77777777" w:rsidR="00000000" w:rsidRDefault="009B6C69">
            <w:pPr>
              <w:spacing w:after="100"/>
              <w:jc w:val="right"/>
              <w:rPr>
                <w:rFonts w:eastAsia="Times New Roman"/>
                <w:sz w:val="20"/>
                <w:szCs w:val="20"/>
              </w:rPr>
            </w:pPr>
          </w:p>
        </w:tc>
        <w:tc>
          <w:tcPr>
            <w:tcW w:w="0" w:type="auto"/>
            <w:vAlign w:val="center"/>
            <w:hideMark/>
          </w:tcPr>
          <w:p w14:paraId="72AC02EF" w14:textId="77777777" w:rsidR="00000000" w:rsidRDefault="009B6C69">
            <w:pPr>
              <w:spacing w:after="100"/>
              <w:rPr>
                <w:rFonts w:eastAsia="Times New Roman"/>
                <w:sz w:val="20"/>
                <w:szCs w:val="20"/>
              </w:rPr>
            </w:pPr>
          </w:p>
        </w:tc>
        <w:tc>
          <w:tcPr>
            <w:tcW w:w="0" w:type="auto"/>
            <w:vAlign w:val="center"/>
            <w:hideMark/>
          </w:tcPr>
          <w:p w14:paraId="4BF988A1"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FB616E" w14:textId="77777777" w:rsidR="00000000" w:rsidRDefault="009B6C69">
            <w:pPr>
              <w:spacing w:after="100"/>
              <w:jc w:val="right"/>
              <w:rPr>
                <w:rFonts w:eastAsia="Times New Roman"/>
              </w:rPr>
            </w:pPr>
            <w:r>
              <w:rPr>
                <w:rFonts w:eastAsia="Times New Roman"/>
                <w:color w:val="000000"/>
                <w:sz w:val="18"/>
                <w:szCs w:val="18"/>
              </w:rPr>
              <w:t>(23)</w:t>
            </w:r>
          </w:p>
        </w:tc>
        <w:tc>
          <w:tcPr>
            <w:tcW w:w="0" w:type="auto"/>
            <w:shd w:val="clear" w:color="auto" w:fill="CCEEFF"/>
            <w:tcMar>
              <w:top w:w="30" w:type="dxa"/>
              <w:left w:w="0" w:type="dxa"/>
              <w:bottom w:w="30" w:type="dxa"/>
              <w:right w:w="20" w:type="dxa"/>
            </w:tcMar>
            <w:vAlign w:val="bottom"/>
            <w:hideMark/>
          </w:tcPr>
          <w:p w14:paraId="4CD583BD" w14:textId="77777777" w:rsidR="00000000" w:rsidRDefault="009B6C69">
            <w:pPr>
              <w:spacing w:after="100"/>
              <w:jc w:val="right"/>
              <w:rPr>
                <w:rFonts w:eastAsia="Times New Roman"/>
              </w:rPr>
            </w:pPr>
          </w:p>
        </w:tc>
        <w:tc>
          <w:tcPr>
            <w:tcW w:w="0" w:type="auto"/>
            <w:vAlign w:val="center"/>
            <w:hideMark/>
          </w:tcPr>
          <w:p w14:paraId="362BCE24" w14:textId="77777777" w:rsidR="00000000" w:rsidRDefault="009B6C69">
            <w:pPr>
              <w:spacing w:after="100"/>
              <w:jc w:val="right"/>
              <w:rPr>
                <w:rFonts w:eastAsia="Times New Roman"/>
                <w:sz w:val="20"/>
                <w:szCs w:val="20"/>
              </w:rPr>
            </w:pPr>
          </w:p>
        </w:tc>
        <w:tc>
          <w:tcPr>
            <w:tcW w:w="0" w:type="auto"/>
            <w:vAlign w:val="center"/>
            <w:hideMark/>
          </w:tcPr>
          <w:p w14:paraId="499004CF" w14:textId="77777777" w:rsidR="00000000" w:rsidRDefault="009B6C69">
            <w:pPr>
              <w:spacing w:after="100"/>
              <w:rPr>
                <w:rFonts w:eastAsia="Times New Roman"/>
                <w:sz w:val="20"/>
                <w:szCs w:val="20"/>
              </w:rPr>
            </w:pPr>
          </w:p>
        </w:tc>
      </w:tr>
      <w:tr w:rsidR="00000000" w14:paraId="70B0EB6E" w14:textId="77777777">
        <w:trPr>
          <w:divId w:val="1212301301"/>
        </w:trPr>
        <w:tc>
          <w:tcPr>
            <w:tcW w:w="0" w:type="auto"/>
            <w:gridSpan w:val="3"/>
            <w:shd w:val="clear" w:color="auto" w:fill="FFFFFF"/>
            <w:tcMar>
              <w:top w:w="30" w:type="dxa"/>
              <w:left w:w="155" w:type="dxa"/>
              <w:bottom w:w="30" w:type="dxa"/>
              <w:right w:w="20" w:type="dxa"/>
            </w:tcMar>
            <w:vAlign w:val="bottom"/>
            <w:hideMark/>
          </w:tcPr>
          <w:p w14:paraId="0C9889E5" w14:textId="77777777" w:rsidR="00000000" w:rsidRDefault="009B6C69">
            <w:pPr>
              <w:spacing w:after="100"/>
              <w:rPr>
                <w:rFonts w:eastAsia="Times New Roman"/>
              </w:rPr>
            </w:pPr>
            <w:r>
              <w:rPr>
                <w:rFonts w:eastAsia="Times New Roman"/>
                <w:color w:val="000000"/>
                <w:sz w:val="18"/>
                <w:szCs w:val="18"/>
              </w:rPr>
              <w:t>Equity in net (losses) earnings of investees</w:t>
            </w:r>
          </w:p>
        </w:tc>
        <w:tc>
          <w:tcPr>
            <w:tcW w:w="0" w:type="auto"/>
            <w:gridSpan w:val="2"/>
            <w:shd w:val="clear" w:color="auto" w:fill="FFFFFF"/>
            <w:tcMar>
              <w:top w:w="30" w:type="dxa"/>
              <w:left w:w="20" w:type="dxa"/>
              <w:bottom w:w="30" w:type="dxa"/>
              <w:right w:w="0" w:type="dxa"/>
            </w:tcMar>
            <w:vAlign w:val="bottom"/>
            <w:hideMark/>
          </w:tcPr>
          <w:p w14:paraId="52EEE098" w14:textId="77777777" w:rsidR="00000000" w:rsidRDefault="009B6C69">
            <w:pPr>
              <w:spacing w:after="100"/>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14:paraId="312B0F38"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F3B5AD"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8DA1FD" w14:textId="77777777" w:rsidR="00000000" w:rsidRDefault="009B6C69">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14:paraId="678C2F37"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FC35B0" w14:textId="77777777" w:rsidR="00000000" w:rsidRDefault="009B6C69">
            <w:pPr>
              <w:spacing w:after="100"/>
              <w:jc w:val="right"/>
              <w:rPr>
                <w:rFonts w:eastAsia="Times New Roman"/>
                <w:sz w:val="20"/>
                <w:szCs w:val="20"/>
              </w:rPr>
            </w:pPr>
          </w:p>
        </w:tc>
        <w:tc>
          <w:tcPr>
            <w:tcW w:w="0" w:type="auto"/>
            <w:vAlign w:val="center"/>
            <w:hideMark/>
          </w:tcPr>
          <w:p w14:paraId="71A45935" w14:textId="77777777" w:rsidR="00000000" w:rsidRDefault="009B6C69">
            <w:pPr>
              <w:spacing w:after="100"/>
              <w:rPr>
                <w:rFonts w:eastAsia="Times New Roman"/>
                <w:sz w:val="20"/>
                <w:szCs w:val="20"/>
              </w:rPr>
            </w:pPr>
          </w:p>
        </w:tc>
        <w:tc>
          <w:tcPr>
            <w:tcW w:w="0" w:type="auto"/>
            <w:vAlign w:val="center"/>
            <w:hideMark/>
          </w:tcPr>
          <w:p w14:paraId="48FF2FE7"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DD8F42" w14:textId="77777777" w:rsidR="00000000" w:rsidRDefault="009B6C69">
            <w:pPr>
              <w:spacing w:after="100"/>
              <w:jc w:val="right"/>
              <w:rPr>
                <w:rFonts w:eastAsia="Times New Roman"/>
              </w:rPr>
            </w:pPr>
            <w:r>
              <w:rPr>
                <w:rFonts w:eastAsia="Times New Roman"/>
                <w:color w:val="000000"/>
                <w:sz w:val="18"/>
                <w:szCs w:val="18"/>
              </w:rPr>
              <w:t>(20)</w:t>
            </w:r>
          </w:p>
        </w:tc>
        <w:tc>
          <w:tcPr>
            <w:tcW w:w="0" w:type="auto"/>
            <w:shd w:val="clear" w:color="auto" w:fill="FFFFFF"/>
            <w:tcMar>
              <w:top w:w="30" w:type="dxa"/>
              <w:left w:w="0" w:type="dxa"/>
              <w:bottom w:w="30" w:type="dxa"/>
              <w:right w:w="20" w:type="dxa"/>
            </w:tcMar>
            <w:vAlign w:val="bottom"/>
            <w:hideMark/>
          </w:tcPr>
          <w:p w14:paraId="4ECD7E63" w14:textId="77777777" w:rsidR="00000000" w:rsidRDefault="009B6C69">
            <w:pPr>
              <w:spacing w:after="100"/>
              <w:jc w:val="right"/>
              <w:rPr>
                <w:rFonts w:eastAsia="Times New Roman"/>
              </w:rPr>
            </w:pPr>
          </w:p>
        </w:tc>
        <w:tc>
          <w:tcPr>
            <w:tcW w:w="0" w:type="auto"/>
            <w:vAlign w:val="center"/>
            <w:hideMark/>
          </w:tcPr>
          <w:p w14:paraId="3C768AA3" w14:textId="77777777" w:rsidR="00000000" w:rsidRDefault="009B6C69">
            <w:pPr>
              <w:spacing w:after="100"/>
              <w:jc w:val="right"/>
              <w:rPr>
                <w:rFonts w:eastAsia="Times New Roman"/>
                <w:sz w:val="20"/>
                <w:szCs w:val="20"/>
              </w:rPr>
            </w:pPr>
          </w:p>
        </w:tc>
        <w:tc>
          <w:tcPr>
            <w:tcW w:w="0" w:type="auto"/>
            <w:vAlign w:val="center"/>
            <w:hideMark/>
          </w:tcPr>
          <w:p w14:paraId="2AB15905" w14:textId="77777777" w:rsidR="00000000" w:rsidRDefault="009B6C69">
            <w:pPr>
              <w:spacing w:after="100"/>
              <w:rPr>
                <w:rFonts w:eastAsia="Times New Roman"/>
                <w:sz w:val="20"/>
                <w:szCs w:val="20"/>
              </w:rPr>
            </w:pPr>
          </w:p>
        </w:tc>
      </w:tr>
      <w:tr w:rsidR="00000000" w14:paraId="55A031A9" w14:textId="77777777">
        <w:trPr>
          <w:divId w:val="1212301301"/>
        </w:trPr>
        <w:tc>
          <w:tcPr>
            <w:tcW w:w="0" w:type="auto"/>
            <w:gridSpan w:val="3"/>
            <w:shd w:val="clear" w:color="auto" w:fill="CCEEFF"/>
            <w:tcMar>
              <w:top w:w="30" w:type="dxa"/>
              <w:left w:w="155" w:type="dxa"/>
              <w:bottom w:w="30" w:type="dxa"/>
              <w:right w:w="20" w:type="dxa"/>
            </w:tcMar>
            <w:vAlign w:val="bottom"/>
            <w:hideMark/>
          </w:tcPr>
          <w:p w14:paraId="4E44DA43" w14:textId="77777777" w:rsidR="00000000" w:rsidRDefault="009B6C69">
            <w:pPr>
              <w:spacing w:after="100"/>
              <w:rPr>
                <w:rFonts w:eastAsia="Times New Roman"/>
              </w:rPr>
            </w:pPr>
            <w:r>
              <w:rPr>
                <w:rFonts w:eastAsia="Times New Roman"/>
                <w:color w:val="000000"/>
                <w:sz w:val="18"/>
                <w:szCs w:val="18"/>
              </w:rPr>
              <w:t>Net gains (losses) on foreign currency transactions</w:t>
            </w:r>
          </w:p>
        </w:tc>
        <w:tc>
          <w:tcPr>
            <w:tcW w:w="0" w:type="auto"/>
            <w:gridSpan w:val="2"/>
            <w:shd w:val="clear" w:color="auto" w:fill="CCEEFF"/>
            <w:tcMar>
              <w:top w:w="30" w:type="dxa"/>
              <w:left w:w="20" w:type="dxa"/>
              <w:bottom w:w="30" w:type="dxa"/>
              <w:right w:w="0" w:type="dxa"/>
            </w:tcMar>
            <w:vAlign w:val="bottom"/>
            <w:hideMark/>
          </w:tcPr>
          <w:p w14:paraId="42762D8F" w14:textId="77777777" w:rsidR="00000000" w:rsidRDefault="009B6C69">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bottom"/>
            <w:hideMark/>
          </w:tcPr>
          <w:p w14:paraId="4ABE8C0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0EFAE2"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BB59C3" w14:textId="77777777" w:rsidR="00000000" w:rsidRDefault="009B6C69">
            <w:pPr>
              <w:spacing w:after="100"/>
              <w:jc w:val="right"/>
              <w:rPr>
                <w:rFonts w:eastAsia="Times New Roman"/>
              </w:rPr>
            </w:pPr>
            <w:r>
              <w:rPr>
                <w:rFonts w:eastAsia="Times New Roman"/>
                <w:color w:val="000000"/>
                <w:sz w:val="18"/>
                <w:szCs w:val="18"/>
              </w:rPr>
              <w:t>(32)</w:t>
            </w:r>
          </w:p>
        </w:tc>
        <w:tc>
          <w:tcPr>
            <w:tcW w:w="0" w:type="auto"/>
            <w:shd w:val="clear" w:color="auto" w:fill="CCEEFF"/>
            <w:tcMar>
              <w:top w:w="30" w:type="dxa"/>
              <w:left w:w="0" w:type="dxa"/>
              <w:bottom w:w="30" w:type="dxa"/>
              <w:right w:w="20" w:type="dxa"/>
            </w:tcMar>
            <w:vAlign w:val="bottom"/>
            <w:hideMark/>
          </w:tcPr>
          <w:p w14:paraId="266F6762"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DDD067" w14:textId="77777777" w:rsidR="00000000" w:rsidRDefault="009B6C69">
            <w:pPr>
              <w:spacing w:after="100"/>
              <w:jc w:val="right"/>
              <w:rPr>
                <w:rFonts w:eastAsia="Times New Roman"/>
                <w:sz w:val="20"/>
                <w:szCs w:val="20"/>
              </w:rPr>
            </w:pPr>
          </w:p>
        </w:tc>
        <w:tc>
          <w:tcPr>
            <w:tcW w:w="0" w:type="auto"/>
            <w:vAlign w:val="center"/>
            <w:hideMark/>
          </w:tcPr>
          <w:p w14:paraId="4A90C2EE" w14:textId="77777777" w:rsidR="00000000" w:rsidRDefault="009B6C69">
            <w:pPr>
              <w:spacing w:after="100"/>
              <w:rPr>
                <w:rFonts w:eastAsia="Times New Roman"/>
                <w:sz w:val="20"/>
                <w:szCs w:val="20"/>
              </w:rPr>
            </w:pPr>
          </w:p>
        </w:tc>
        <w:tc>
          <w:tcPr>
            <w:tcW w:w="0" w:type="auto"/>
            <w:vAlign w:val="center"/>
            <w:hideMark/>
          </w:tcPr>
          <w:p w14:paraId="2E92F130"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3B9847" w14:textId="77777777" w:rsidR="00000000" w:rsidRDefault="009B6C69">
            <w:pPr>
              <w:spacing w:after="100"/>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bottom"/>
            <w:hideMark/>
          </w:tcPr>
          <w:p w14:paraId="474DAD77" w14:textId="77777777" w:rsidR="00000000" w:rsidRDefault="009B6C69">
            <w:pPr>
              <w:spacing w:after="100"/>
              <w:jc w:val="right"/>
              <w:rPr>
                <w:rFonts w:eastAsia="Times New Roman"/>
              </w:rPr>
            </w:pPr>
          </w:p>
        </w:tc>
        <w:tc>
          <w:tcPr>
            <w:tcW w:w="0" w:type="auto"/>
            <w:vAlign w:val="center"/>
            <w:hideMark/>
          </w:tcPr>
          <w:p w14:paraId="0A0487A0" w14:textId="77777777" w:rsidR="00000000" w:rsidRDefault="009B6C69">
            <w:pPr>
              <w:spacing w:after="100"/>
              <w:jc w:val="right"/>
              <w:rPr>
                <w:rFonts w:eastAsia="Times New Roman"/>
                <w:sz w:val="20"/>
                <w:szCs w:val="20"/>
              </w:rPr>
            </w:pPr>
          </w:p>
        </w:tc>
        <w:tc>
          <w:tcPr>
            <w:tcW w:w="0" w:type="auto"/>
            <w:vAlign w:val="center"/>
            <w:hideMark/>
          </w:tcPr>
          <w:p w14:paraId="6AD3ACFC" w14:textId="77777777" w:rsidR="00000000" w:rsidRDefault="009B6C69">
            <w:pPr>
              <w:spacing w:after="100"/>
              <w:rPr>
                <w:rFonts w:eastAsia="Times New Roman"/>
                <w:sz w:val="20"/>
                <w:szCs w:val="20"/>
              </w:rPr>
            </w:pPr>
          </w:p>
        </w:tc>
      </w:tr>
      <w:tr w:rsidR="00000000" w14:paraId="060C7670" w14:textId="77777777">
        <w:trPr>
          <w:divId w:val="1212301301"/>
        </w:trPr>
        <w:tc>
          <w:tcPr>
            <w:tcW w:w="0" w:type="auto"/>
            <w:gridSpan w:val="3"/>
            <w:shd w:val="clear" w:color="auto" w:fill="FFFFFF"/>
            <w:tcMar>
              <w:top w:w="30" w:type="dxa"/>
              <w:left w:w="20" w:type="dxa"/>
              <w:bottom w:w="30" w:type="dxa"/>
              <w:right w:w="20" w:type="dxa"/>
            </w:tcMar>
            <w:vAlign w:val="bottom"/>
            <w:hideMark/>
          </w:tcPr>
          <w:p w14:paraId="7D9E12CE" w14:textId="77777777" w:rsidR="00000000" w:rsidRDefault="009B6C69">
            <w:pPr>
              <w:spacing w:after="100"/>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44770D"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97FE45" w14:textId="77777777" w:rsidR="00000000" w:rsidRDefault="009B6C69">
            <w:pPr>
              <w:spacing w:after="100"/>
              <w:jc w:val="right"/>
              <w:rPr>
                <w:rFonts w:eastAsia="Times New Roman"/>
              </w:rPr>
            </w:pPr>
            <w:r>
              <w:rPr>
                <w:rFonts w:eastAsia="Times New Roman"/>
                <w:color w:val="000000"/>
                <w:sz w:val="18"/>
                <w:szCs w:val="18"/>
              </w:rPr>
              <w:t>(372)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028104"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1C827F"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6C70858"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C97F960" w14:textId="77777777" w:rsidR="00000000" w:rsidRDefault="009B6C69">
            <w:pPr>
              <w:spacing w:after="100"/>
              <w:jc w:val="right"/>
              <w:rPr>
                <w:rFonts w:eastAsia="Times New Roman"/>
              </w:rPr>
            </w:pPr>
            <w:r>
              <w:rPr>
                <w:rFonts w:eastAsia="Times New Roman"/>
                <w:color w:val="000000"/>
                <w:sz w:val="18"/>
                <w:szCs w:val="18"/>
              </w:rPr>
              <w:t>1,044 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D46B6CF"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E0025C" w14:textId="77777777" w:rsidR="00000000" w:rsidRDefault="009B6C69">
            <w:pPr>
              <w:spacing w:after="100"/>
              <w:jc w:val="right"/>
              <w:rPr>
                <w:rFonts w:eastAsia="Times New Roman"/>
                <w:sz w:val="20"/>
                <w:szCs w:val="20"/>
              </w:rPr>
            </w:pPr>
          </w:p>
        </w:tc>
        <w:tc>
          <w:tcPr>
            <w:tcW w:w="0" w:type="auto"/>
            <w:vAlign w:val="center"/>
            <w:hideMark/>
          </w:tcPr>
          <w:p w14:paraId="28C75120" w14:textId="77777777" w:rsidR="00000000" w:rsidRDefault="009B6C69">
            <w:pPr>
              <w:spacing w:after="100"/>
              <w:rPr>
                <w:rFonts w:eastAsia="Times New Roman"/>
                <w:sz w:val="20"/>
                <w:szCs w:val="20"/>
              </w:rPr>
            </w:pPr>
          </w:p>
        </w:tc>
        <w:tc>
          <w:tcPr>
            <w:tcW w:w="0" w:type="auto"/>
            <w:vAlign w:val="center"/>
            <w:hideMark/>
          </w:tcPr>
          <w:p w14:paraId="017FF9F7" w14:textId="77777777" w:rsidR="00000000" w:rsidRDefault="009B6C69">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5A53B32"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EDCA510" w14:textId="77777777" w:rsidR="00000000" w:rsidRDefault="009B6C69">
            <w:pPr>
              <w:spacing w:after="100"/>
              <w:jc w:val="right"/>
              <w:rPr>
                <w:rFonts w:eastAsia="Times New Roman"/>
              </w:rPr>
            </w:pPr>
            <w:r>
              <w:rPr>
                <w:rFonts w:eastAsia="Times New Roman"/>
                <w:color w:val="000000"/>
                <w:sz w:val="18"/>
                <w:szCs w:val="18"/>
              </w:rPr>
              <w:t>(1,416)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1B52920" w14:textId="77777777" w:rsidR="00000000" w:rsidRDefault="009B6C69">
            <w:pPr>
              <w:spacing w:after="100"/>
              <w:jc w:val="right"/>
              <w:rPr>
                <w:rFonts w:eastAsia="Times New Roman"/>
              </w:rPr>
            </w:pPr>
          </w:p>
        </w:tc>
        <w:tc>
          <w:tcPr>
            <w:tcW w:w="0" w:type="auto"/>
            <w:vAlign w:val="center"/>
            <w:hideMark/>
          </w:tcPr>
          <w:p w14:paraId="1DF76560" w14:textId="77777777" w:rsidR="00000000" w:rsidRDefault="009B6C69">
            <w:pPr>
              <w:spacing w:after="100"/>
              <w:jc w:val="right"/>
              <w:rPr>
                <w:rFonts w:eastAsia="Times New Roman"/>
                <w:sz w:val="20"/>
                <w:szCs w:val="20"/>
              </w:rPr>
            </w:pPr>
          </w:p>
        </w:tc>
        <w:tc>
          <w:tcPr>
            <w:tcW w:w="0" w:type="auto"/>
            <w:vAlign w:val="center"/>
            <w:hideMark/>
          </w:tcPr>
          <w:p w14:paraId="36F8E8EC" w14:textId="77777777" w:rsidR="00000000" w:rsidRDefault="009B6C69">
            <w:pPr>
              <w:spacing w:after="100"/>
              <w:rPr>
                <w:rFonts w:eastAsia="Times New Roman"/>
                <w:sz w:val="20"/>
                <w:szCs w:val="20"/>
              </w:rPr>
            </w:pPr>
          </w:p>
        </w:tc>
      </w:tr>
    </w:tbl>
    <w:p w14:paraId="27284BDB" w14:textId="77777777" w:rsidR="00000000" w:rsidRDefault="009B6C69">
      <w:pPr>
        <w:ind w:firstLine="360"/>
        <w:divId w:val="952444028"/>
        <w:rPr>
          <w:rFonts w:eastAsia="Times New Roman"/>
        </w:rPr>
      </w:pPr>
      <w:r>
        <w:rPr>
          <w:rFonts w:eastAsia="Times New Roman"/>
          <w:color w:val="000000"/>
          <w:sz w:val="20"/>
          <w:szCs w:val="20"/>
        </w:rPr>
        <w:t xml:space="preserve">The decrease in interest expense in fiscal 2022 was primarily driven by a $62 million reversal of accrued interest recorded in the third quarter of fiscal 2022 </w:t>
      </w:r>
      <w:r>
        <w:rPr>
          <w:rFonts w:eastAsia="Times New Roman"/>
          <w:color w:val="000000"/>
          <w:sz w:val="20"/>
          <w:szCs w:val="20"/>
        </w:rPr>
        <w:t>related to the annulled 2018 EC fine.</w:t>
      </w:r>
    </w:p>
    <w:p w14:paraId="4FF2C7A1" w14:textId="77777777" w:rsidR="00000000" w:rsidRDefault="009B6C69">
      <w:pPr>
        <w:jc w:val="center"/>
        <w:divId w:val="1041244668"/>
        <w:rPr>
          <w:rFonts w:eastAsia="Times New Roman"/>
        </w:rPr>
      </w:pPr>
      <w:r>
        <w:rPr>
          <w:rFonts w:eastAsia="Times New Roman"/>
          <w:color w:val="000000"/>
          <w:sz w:val="20"/>
          <w:szCs w:val="20"/>
        </w:rPr>
        <w:t>41</w:t>
      </w:r>
    </w:p>
    <w:p w14:paraId="2FE158BC" w14:textId="77777777" w:rsidR="00000000" w:rsidRDefault="009B6C69">
      <w:pPr>
        <w:rPr>
          <w:rFonts w:eastAsia="Times New Roman"/>
        </w:rPr>
      </w:pPr>
      <w:r>
        <w:rPr>
          <w:rFonts w:eastAsia="Times New Roman"/>
        </w:rPr>
        <w:pict w14:anchorId="0259CC7F">
          <v:rect id="_x0000_i1065" style="width:0;height:1.5pt" o:hralign="center" o:hrstd="t" o:hr="t" fillcolor="#a0a0a0" stroked="f"/>
        </w:pict>
      </w:r>
    </w:p>
    <w:p w14:paraId="7315F7B0" w14:textId="77777777" w:rsidR="00000000" w:rsidRDefault="009B6C69">
      <w:pPr>
        <w:divId w:val="1548685196"/>
        <w:rPr>
          <w:rFonts w:eastAsia="Times New Roman"/>
        </w:rPr>
      </w:pPr>
    </w:p>
    <w:p w14:paraId="2CCC2183" w14:textId="77777777" w:rsidR="00000000" w:rsidRDefault="009B6C69">
      <w:pPr>
        <w:ind w:firstLine="360"/>
        <w:divId w:val="407338603"/>
        <w:rPr>
          <w:rFonts w:eastAsia="Times New Roman"/>
        </w:rPr>
      </w:pPr>
      <w:r>
        <w:rPr>
          <w:rFonts w:eastAsia="Times New Roman"/>
          <w:color w:val="000000"/>
          <w:sz w:val="20"/>
          <w:szCs w:val="20"/>
        </w:rPr>
        <w:t>Net losses on marketable securities in fiscal 2022 was primarily driven by the change in fair value of certain of our QSI marketable equity investments in early or growth stage companies. Net gains on marketable securi</w:t>
      </w:r>
      <w:r>
        <w:rPr>
          <w:rFonts w:eastAsia="Times New Roman"/>
          <w:color w:val="000000"/>
          <w:sz w:val="20"/>
          <w:szCs w:val="20"/>
        </w:rPr>
        <w:t>ties in fiscal 2021 was primarily driven by the initial public offerings of certain QSI equity investments. Net gains on other investments in fiscal 2021 was primarily driven by realized gains resulting from the sale of certain of our QSI non-marketable in</w:t>
      </w:r>
      <w:r>
        <w:rPr>
          <w:rFonts w:eastAsia="Times New Roman"/>
          <w:color w:val="000000"/>
          <w:sz w:val="20"/>
          <w:szCs w:val="20"/>
        </w:rPr>
        <w:t xml:space="preserve">vestments. </w:t>
      </w:r>
    </w:p>
    <w:p w14:paraId="2E2E5AC2" w14:textId="77777777" w:rsidR="00000000" w:rsidRDefault="009B6C69">
      <w:pPr>
        <w:ind w:firstLine="270"/>
        <w:divId w:val="1899584554"/>
        <w:rPr>
          <w:rFonts w:eastAsia="Times New Roman"/>
        </w:rPr>
      </w:pPr>
      <w:r>
        <w:rPr>
          <w:rFonts w:eastAsia="Times New Roman"/>
          <w:b/>
          <w:bCs/>
          <w:i/>
          <w:iCs/>
          <w:color w:val="000000"/>
          <w:sz w:val="20"/>
          <w:szCs w:val="20"/>
        </w:rPr>
        <w:t>Income Tax Expense (in millions, except percentages)</w:t>
      </w:r>
    </w:p>
    <w:p w14:paraId="435C98D9" w14:textId="77777777" w:rsidR="00000000" w:rsidRDefault="009B6C69">
      <w:pPr>
        <w:ind w:firstLine="270"/>
        <w:divId w:val="985278942"/>
        <w:rPr>
          <w:rFonts w:eastAsia="Times New Roman"/>
        </w:rPr>
      </w:pPr>
      <w:r>
        <w:rPr>
          <w:rFonts w:eastAsia="Times New Roman"/>
          <w:color w:val="000000"/>
          <w:sz w:val="20"/>
          <w:szCs w:val="20"/>
        </w:rPr>
        <w:t>The following table summarizes the primary factors that caused our annual tax provision from continuing operations to differ from the expected income tax provision at the U.S. federal statuto</w:t>
      </w:r>
      <w:r>
        <w:rPr>
          <w:rFonts w:eastAsia="Times New Roman"/>
          <w:color w:val="000000"/>
          <w:sz w:val="20"/>
          <w:szCs w:val="20"/>
        </w:rPr>
        <w:t>ry rate. Substantially all of our income is taxed in the U.S., of which a significant portion qualifies for preferential treatment as FDII (foreign-derived intangible income) at a 13% effective tax rate.</w:t>
      </w:r>
    </w:p>
    <w:tbl>
      <w:tblPr>
        <w:tblW w:w="5000" w:type="pct"/>
        <w:tblCellMar>
          <w:top w:w="15" w:type="dxa"/>
          <w:left w:w="15" w:type="dxa"/>
          <w:bottom w:w="15" w:type="dxa"/>
          <w:right w:w="15" w:type="dxa"/>
        </w:tblCellMar>
        <w:tblLook w:val="04A0" w:firstRow="1" w:lastRow="0" w:firstColumn="1" w:lastColumn="0" w:noHBand="0" w:noVBand="1"/>
      </w:tblPr>
      <w:tblGrid>
        <w:gridCol w:w="38"/>
        <w:gridCol w:w="5982"/>
        <w:gridCol w:w="37"/>
        <w:gridCol w:w="110"/>
        <w:gridCol w:w="796"/>
        <w:gridCol w:w="170"/>
        <w:gridCol w:w="36"/>
        <w:gridCol w:w="36"/>
        <w:gridCol w:w="36"/>
        <w:gridCol w:w="110"/>
        <w:gridCol w:w="713"/>
        <w:gridCol w:w="170"/>
        <w:gridCol w:w="36"/>
        <w:gridCol w:w="36"/>
      </w:tblGrid>
      <w:tr w:rsidR="00000000" w14:paraId="4B476E7E" w14:textId="77777777">
        <w:trPr>
          <w:divId w:val="985278942"/>
        </w:trPr>
        <w:tc>
          <w:tcPr>
            <w:tcW w:w="50" w:type="pct"/>
            <w:vAlign w:val="center"/>
            <w:hideMark/>
          </w:tcPr>
          <w:p w14:paraId="5260848A" w14:textId="77777777" w:rsidR="00000000" w:rsidRDefault="009B6C69">
            <w:pPr>
              <w:ind w:firstLine="270"/>
              <w:rPr>
                <w:rFonts w:eastAsia="Times New Roman"/>
              </w:rPr>
            </w:pPr>
          </w:p>
        </w:tc>
        <w:tc>
          <w:tcPr>
            <w:tcW w:w="3717" w:type="pct"/>
            <w:vAlign w:val="center"/>
            <w:hideMark/>
          </w:tcPr>
          <w:p w14:paraId="5BC97574" w14:textId="77777777" w:rsidR="00000000" w:rsidRDefault="009B6C69">
            <w:pPr>
              <w:spacing w:after="100"/>
              <w:rPr>
                <w:rFonts w:eastAsia="Times New Roman"/>
                <w:sz w:val="20"/>
                <w:szCs w:val="20"/>
              </w:rPr>
            </w:pPr>
          </w:p>
        </w:tc>
        <w:tc>
          <w:tcPr>
            <w:tcW w:w="5" w:type="pct"/>
            <w:vAlign w:val="center"/>
            <w:hideMark/>
          </w:tcPr>
          <w:p w14:paraId="5AABBC61" w14:textId="77777777" w:rsidR="00000000" w:rsidRDefault="009B6C69">
            <w:pPr>
              <w:spacing w:after="100"/>
              <w:rPr>
                <w:rFonts w:eastAsia="Times New Roman"/>
                <w:sz w:val="20"/>
                <w:szCs w:val="20"/>
              </w:rPr>
            </w:pPr>
          </w:p>
        </w:tc>
        <w:tc>
          <w:tcPr>
            <w:tcW w:w="50" w:type="pct"/>
            <w:vAlign w:val="center"/>
            <w:hideMark/>
          </w:tcPr>
          <w:p w14:paraId="0966BBE5" w14:textId="77777777" w:rsidR="00000000" w:rsidRDefault="009B6C69">
            <w:pPr>
              <w:spacing w:after="100"/>
              <w:rPr>
                <w:rFonts w:eastAsia="Times New Roman"/>
                <w:sz w:val="20"/>
                <w:szCs w:val="20"/>
              </w:rPr>
            </w:pPr>
          </w:p>
        </w:tc>
        <w:tc>
          <w:tcPr>
            <w:tcW w:w="540" w:type="pct"/>
            <w:vAlign w:val="center"/>
            <w:hideMark/>
          </w:tcPr>
          <w:p w14:paraId="4542EDD3" w14:textId="77777777" w:rsidR="00000000" w:rsidRDefault="009B6C69">
            <w:pPr>
              <w:spacing w:after="100"/>
              <w:rPr>
                <w:rFonts w:eastAsia="Times New Roman"/>
                <w:sz w:val="20"/>
                <w:szCs w:val="20"/>
              </w:rPr>
            </w:pPr>
          </w:p>
        </w:tc>
        <w:tc>
          <w:tcPr>
            <w:tcW w:w="5" w:type="pct"/>
            <w:vAlign w:val="center"/>
            <w:hideMark/>
          </w:tcPr>
          <w:p w14:paraId="33AA82E2" w14:textId="77777777" w:rsidR="00000000" w:rsidRDefault="009B6C69">
            <w:pPr>
              <w:spacing w:after="100"/>
              <w:rPr>
                <w:rFonts w:eastAsia="Times New Roman"/>
                <w:sz w:val="20"/>
                <w:szCs w:val="20"/>
              </w:rPr>
            </w:pPr>
          </w:p>
        </w:tc>
        <w:tc>
          <w:tcPr>
            <w:tcW w:w="5" w:type="pct"/>
            <w:vAlign w:val="center"/>
            <w:hideMark/>
          </w:tcPr>
          <w:p w14:paraId="2F6BD9AA" w14:textId="77777777" w:rsidR="00000000" w:rsidRDefault="009B6C69">
            <w:pPr>
              <w:spacing w:after="100"/>
              <w:rPr>
                <w:rFonts w:eastAsia="Times New Roman"/>
                <w:sz w:val="20"/>
                <w:szCs w:val="20"/>
              </w:rPr>
            </w:pPr>
          </w:p>
        </w:tc>
        <w:tc>
          <w:tcPr>
            <w:tcW w:w="27" w:type="pct"/>
            <w:vAlign w:val="center"/>
            <w:hideMark/>
          </w:tcPr>
          <w:p w14:paraId="578A2620" w14:textId="77777777" w:rsidR="00000000" w:rsidRDefault="009B6C69">
            <w:pPr>
              <w:spacing w:after="100"/>
              <w:rPr>
                <w:rFonts w:eastAsia="Times New Roman"/>
                <w:sz w:val="20"/>
                <w:szCs w:val="20"/>
              </w:rPr>
            </w:pPr>
          </w:p>
        </w:tc>
        <w:tc>
          <w:tcPr>
            <w:tcW w:w="5" w:type="pct"/>
            <w:vAlign w:val="center"/>
            <w:hideMark/>
          </w:tcPr>
          <w:p w14:paraId="69E56B85" w14:textId="77777777" w:rsidR="00000000" w:rsidRDefault="009B6C69">
            <w:pPr>
              <w:spacing w:after="100"/>
              <w:rPr>
                <w:rFonts w:eastAsia="Times New Roman"/>
                <w:sz w:val="20"/>
                <w:szCs w:val="20"/>
              </w:rPr>
            </w:pPr>
          </w:p>
        </w:tc>
        <w:tc>
          <w:tcPr>
            <w:tcW w:w="50" w:type="pct"/>
            <w:vAlign w:val="center"/>
            <w:hideMark/>
          </w:tcPr>
          <w:p w14:paraId="215ABB9D" w14:textId="77777777" w:rsidR="00000000" w:rsidRDefault="009B6C69">
            <w:pPr>
              <w:spacing w:after="100"/>
              <w:rPr>
                <w:rFonts w:eastAsia="Times New Roman"/>
                <w:sz w:val="20"/>
                <w:szCs w:val="20"/>
              </w:rPr>
            </w:pPr>
          </w:p>
        </w:tc>
        <w:tc>
          <w:tcPr>
            <w:tcW w:w="540" w:type="pct"/>
            <w:vAlign w:val="center"/>
            <w:hideMark/>
          </w:tcPr>
          <w:p w14:paraId="30DC37E6" w14:textId="77777777" w:rsidR="00000000" w:rsidRDefault="009B6C69">
            <w:pPr>
              <w:spacing w:after="100"/>
              <w:rPr>
                <w:rFonts w:eastAsia="Times New Roman"/>
                <w:sz w:val="20"/>
                <w:szCs w:val="20"/>
              </w:rPr>
            </w:pPr>
          </w:p>
        </w:tc>
        <w:tc>
          <w:tcPr>
            <w:tcW w:w="5" w:type="pct"/>
            <w:vAlign w:val="center"/>
            <w:hideMark/>
          </w:tcPr>
          <w:p w14:paraId="0B593F6F" w14:textId="77777777" w:rsidR="00000000" w:rsidRDefault="009B6C69">
            <w:pPr>
              <w:spacing w:after="100"/>
              <w:rPr>
                <w:rFonts w:eastAsia="Times New Roman"/>
                <w:sz w:val="20"/>
                <w:szCs w:val="20"/>
              </w:rPr>
            </w:pPr>
          </w:p>
        </w:tc>
        <w:tc>
          <w:tcPr>
            <w:tcW w:w="0" w:type="auto"/>
            <w:vAlign w:val="center"/>
            <w:hideMark/>
          </w:tcPr>
          <w:p w14:paraId="79E346BC" w14:textId="77777777" w:rsidR="00000000" w:rsidRDefault="009B6C69">
            <w:pPr>
              <w:spacing w:after="100"/>
              <w:rPr>
                <w:rFonts w:eastAsia="Times New Roman"/>
                <w:sz w:val="20"/>
                <w:szCs w:val="20"/>
              </w:rPr>
            </w:pPr>
          </w:p>
        </w:tc>
        <w:tc>
          <w:tcPr>
            <w:tcW w:w="0" w:type="auto"/>
            <w:vAlign w:val="center"/>
            <w:hideMark/>
          </w:tcPr>
          <w:p w14:paraId="1F1D8A18" w14:textId="77777777" w:rsidR="00000000" w:rsidRDefault="009B6C69">
            <w:pPr>
              <w:spacing w:after="100"/>
              <w:rPr>
                <w:rFonts w:eastAsia="Times New Roman"/>
                <w:sz w:val="20"/>
                <w:szCs w:val="20"/>
              </w:rPr>
            </w:pPr>
          </w:p>
        </w:tc>
      </w:tr>
      <w:tr w:rsidR="00000000" w14:paraId="591218F1" w14:textId="77777777">
        <w:trPr>
          <w:divId w:val="985278942"/>
        </w:trPr>
        <w:tc>
          <w:tcPr>
            <w:tcW w:w="0" w:type="auto"/>
            <w:gridSpan w:val="3"/>
            <w:tcMar>
              <w:top w:w="0" w:type="dxa"/>
              <w:left w:w="20" w:type="dxa"/>
              <w:bottom w:w="0" w:type="dxa"/>
              <w:right w:w="20" w:type="dxa"/>
            </w:tcMar>
            <w:vAlign w:val="center"/>
            <w:hideMark/>
          </w:tcPr>
          <w:p w14:paraId="0E66C552"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7ACA3B2"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14:paraId="5510B363"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CBEC0FE"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vAlign w:val="center"/>
            <w:hideMark/>
          </w:tcPr>
          <w:p w14:paraId="3CFEBCEC" w14:textId="77777777" w:rsidR="00000000" w:rsidRDefault="009B6C69">
            <w:pPr>
              <w:spacing w:after="100"/>
              <w:jc w:val="center"/>
              <w:rPr>
                <w:rFonts w:eastAsia="Times New Roman"/>
              </w:rPr>
            </w:pPr>
          </w:p>
        </w:tc>
        <w:tc>
          <w:tcPr>
            <w:tcW w:w="0" w:type="auto"/>
            <w:vAlign w:val="center"/>
            <w:hideMark/>
          </w:tcPr>
          <w:p w14:paraId="13A26BE6" w14:textId="77777777" w:rsidR="00000000" w:rsidRDefault="009B6C69">
            <w:pPr>
              <w:spacing w:after="100"/>
              <w:rPr>
                <w:rFonts w:eastAsia="Times New Roman"/>
                <w:sz w:val="20"/>
                <w:szCs w:val="20"/>
              </w:rPr>
            </w:pPr>
          </w:p>
        </w:tc>
      </w:tr>
      <w:tr w:rsidR="00000000" w14:paraId="3A100191" w14:textId="77777777">
        <w:trPr>
          <w:divId w:val="985278942"/>
        </w:trPr>
        <w:tc>
          <w:tcPr>
            <w:tcW w:w="0" w:type="auto"/>
            <w:gridSpan w:val="3"/>
            <w:shd w:val="clear" w:color="auto" w:fill="CCEEFF"/>
            <w:tcMar>
              <w:top w:w="30" w:type="dxa"/>
              <w:left w:w="20" w:type="dxa"/>
              <w:bottom w:w="30" w:type="dxa"/>
              <w:right w:w="20" w:type="dxa"/>
            </w:tcMar>
            <w:vAlign w:val="bottom"/>
            <w:hideMark/>
          </w:tcPr>
          <w:p w14:paraId="2653ACD8" w14:textId="77777777" w:rsidR="00000000" w:rsidRDefault="009B6C69">
            <w:pPr>
              <w:spacing w:after="100"/>
              <w:rPr>
                <w:rFonts w:eastAsia="Times New Roman"/>
              </w:rPr>
            </w:pPr>
            <w:r>
              <w:rPr>
                <w:rFonts w:eastAsia="Times New Roman"/>
                <w:color w:val="000000"/>
                <w:sz w:val="18"/>
                <w:szCs w:val="18"/>
              </w:rPr>
              <w:t>Expected income tax provision at federal statutory tax rate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1AA565"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48061B" w14:textId="77777777" w:rsidR="00000000" w:rsidRDefault="009B6C69">
            <w:pPr>
              <w:spacing w:after="100"/>
              <w:jc w:val="right"/>
              <w:rPr>
                <w:rFonts w:eastAsia="Times New Roman"/>
              </w:rPr>
            </w:pPr>
            <w:r>
              <w:rPr>
                <w:rFonts w:eastAsia="Times New Roman"/>
                <w:color w:val="000000"/>
                <w:sz w:val="18"/>
                <w:szCs w:val="18"/>
              </w:rPr>
              <w:t>3,150 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1F21BC"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5E00AA"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4C4BA8"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FF33F6" w14:textId="77777777" w:rsidR="00000000" w:rsidRDefault="009B6C69">
            <w:pPr>
              <w:spacing w:after="100"/>
              <w:jc w:val="right"/>
              <w:rPr>
                <w:rFonts w:eastAsia="Times New Roman"/>
              </w:rPr>
            </w:pPr>
            <w:r>
              <w:rPr>
                <w:rFonts w:eastAsia="Times New Roman"/>
                <w:color w:val="000000"/>
                <w:sz w:val="18"/>
                <w:szCs w:val="18"/>
              </w:rPr>
              <w:t>2,158 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794C98" w14:textId="77777777" w:rsidR="00000000" w:rsidRDefault="009B6C69">
            <w:pPr>
              <w:spacing w:after="100"/>
              <w:jc w:val="right"/>
              <w:rPr>
                <w:rFonts w:eastAsia="Times New Roman"/>
              </w:rPr>
            </w:pPr>
          </w:p>
        </w:tc>
        <w:tc>
          <w:tcPr>
            <w:tcW w:w="0" w:type="auto"/>
            <w:vAlign w:val="center"/>
            <w:hideMark/>
          </w:tcPr>
          <w:p w14:paraId="467C3018" w14:textId="77777777" w:rsidR="00000000" w:rsidRDefault="009B6C69">
            <w:pPr>
              <w:spacing w:after="100"/>
              <w:jc w:val="right"/>
              <w:rPr>
                <w:rFonts w:eastAsia="Times New Roman"/>
                <w:sz w:val="20"/>
                <w:szCs w:val="20"/>
              </w:rPr>
            </w:pPr>
          </w:p>
        </w:tc>
        <w:tc>
          <w:tcPr>
            <w:tcW w:w="0" w:type="auto"/>
            <w:vAlign w:val="center"/>
            <w:hideMark/>
          </w:tcPr>
          <w:p w14:paraId="254DF07F" w14:textId="77777777" w:rsidR="00000000" w:rsidRDefault="009B6C69">
            <w:pPr>
              <w:spacing w:after="100"/>
              <w:rPr>
                <w:rFonts w:eastAsia="Times New Roman"/>
                <w:sz w:val="20"/>
                <w:szCs w:val="20"/>
              </w:rPr>
            </w:pPr>
          </w:p>
        </w:tc>
      </w:tr>
      <w:tr w:rsidR="00000000" w14:paraId="6367BE9F" w14:textId="77777777">
        <w:trPr>
          <w:divId w:val="985278942"/>
        </w:trPr>
        <w:tc>
          <w:tcPr>
            <w:tcW w:w="0" w:type="auto"/>
            <w:gridSpan w:val="3"/>
            <w:vAlign w:val="center"/>
            <w:hideMark/>
          </w:tcPr>
          <w:p w14:paraId="1318F1D1" w14:textId="77777777" w:rsidR="00000000" w:rsidRDefault="009B6C69">
            <w:pPr>
              <w:spacing w:after="100"/>
              <w:rPr>
                <w:rFonts w:eastAsia="Times New Roman"/>
                <w:sz w:val="20"/>
                <w:szCs w:val="20"/>
              </w:rPr>
            </w:pPr>
          </w:p>
        </w:tc>
        <w:tc>
          <w:tcPr>
            <w:tcW w:w="0" w:type="auto"/>
            <w:gridSpan w:val="3"/>
            <w:vAlign w:val="center"/>
            <w:hideMark/>
          </w:tcPr>
          <w:p w14:paraId="3F01A61C" w14:textId="77777777" w:rsidR="00000000" w:rsidRDefault="009B6C69">
            <w:pPr>
              <w:spacing w:after="100"/>
              <w:rPr>
                <w:rFonts w:eastAsia="Times New Roman"/>
                <w:sz w:val="20"/>
                <w:szCs w:val="20"/>
              </w:rPr>
            </w:pPr>
          </w:p>
        </w:tc>
        <w:tc>
          <w:tcPr>
            <w:tcW w:w="0" w:type="auto"/>
            <w:gridSpan w:val="3"/>
            <w:vAlign w:val="center"/>
            <w:hideMark/>
          </w:tcPr>
          <w:p w14:paraId="3D4E4914" w14:textId="77777777" w:rsidR="00000000" w:rsidRDefault="009B6C69">
            <w:pPr>
              <w:spacing w:after="100"/>
              <w:rPr>
                <w:rFonts w:eastAsia="Times New Roman"/>
                <w:sz w:val="20"/>
                <w:szCs w:val="20"/>
              </w:rPr>
            </w:pPr>
          </w:p>
        </w:tc>
        <w:tc>
          <w:tcPr>
            <w:tcW w:w="0" w:type="auto"/>
            <w:gridSpan w:val="3"/>
            <w:vAlign w:val="center"/>
            <w:hideMark/>
          </w:tcPr>
          <w:p w14:paraId="7F5653FC" w14:textId="77777777" w:rsidR="00000000" w:rsidRDefault="009B6C69">
            <w:pPr>
              <w:spacing w:after="100"/>
              <w:rPr>
                <w:rFonts w:eastAsia="Times New Roman"/>
                <w:sz w:val="20"/>
                <w:szCs w:val="20"/>
              </w:rPr>
            </w:pPr>
          </w:p>
        </w:tc>
        <w:tc>
          <w:tcPr>
            <w:tcW w:w="0" w:type="auto"/>
            <w:vAlign w:val="center"/>
            <w:hideMark/>
          </w:tcPr>
          <w:p w14:paraId="2DE0F4F1" w14:textId="77777777" w:rsidR="00000000" w:rsidRDefault="009B6C69">
            <w:pPr>
              <w:spacing w:after="100"/>
              <w:rPr>
                <w:rFonts w:eastAsia="Times New Roman"/>
                <w:sz w:val="20"/>
                <w:szCs w:val="20"/>
              </w:rPr>
            </w:pPr>
          </w:p>
        </w:tc>
        <w:tc>
          <w:tcPr>
            <w:tcW w:w="0" w:type="auto"/>
            <w:vAlign w:val="center"/>
            <w:hideMark/>
          </w:tcPr>
          <w:p w14:paraId="2A2187E9" w14:textId="77777777" w:rsidR="00000000" w:rsidRDefault="009B6C69">
            <w:pPr>
              <w:spacing w:after="100"/>
              <w:rPr>
                <w:rFonts w:eastAsia="Times New Roman"/>
                <w:sz w:val="20"/>
                <w:szCs w:val="20"/>
              </w:rPr>
            </w:pPr>
          </w:p>
        </w:tc>
      </w:tr>
      <w:tr w:rsidR="00000000" w14:paraId="7BDEC967" w14:textId="77777777">
        <w:trPr>
          <w:divId w:val="985278942"/>
        </w:trPr>
        <w:tc>
          <w:tcPr>
            <w:tcW w:w="0" w:type="auto"/>
            <w:gridSpan w:val="3"/>
            <w:shd w:val="clear" w:color="auto" w:fill="FFFFFF"/>
            <w:tcMar>
              <w:top w:w="30" w:type="dxa"/>
              <w:left w:w="20" w:type="dxa"/>
              <w:bottom w:w="30" w:type="dxa"/>
              <w:right w:w="20" w:type="dxa"/>
            </w:tcMar>
            <w:vAlign w:val="bottom"/>
            <w:hideMark/>
          </w:tcPr>
          <w:p w14:paraId="1E08D6D2" w14:textId="77777777" w:rsidR="00000000" w:rsidRDefault="009B6C69">
            <w:pPr>
              <w:spacing w:after="100"/>
              <w:rPr>
                <w:rFonts w:eastAsia="Times New Roman"/>
              </w:rPr>
            </w:pPr>
            <w:r>
              <w:rPr>
                <w:rFonts w:eastAsia="Times New Roman"/>
                <w:color w:val="000000"/>
                <w:sz w:val="18"/>
                <w:szCs w:val="18"/>
              </w:rPr>
              <w:t>Benefit from FDII deduction</w:t>
            </w:r>
          </w:p>
        </w:tc>
        <w:tc>
          <w:tcPr>
            <w:tcW w:w="0" w:type="auto"/>
            <w:gridSpan w:val="2"/>
            <w:shd w:val="clear" w:color="auto" w:fill="FFFFFF"/>
            <w:tcMar>
              <w:top w:w="30" w:type="dxa"/>
              <w:left w:w="20" w:type="dxa"/>
              <w:bottom w:w="30" w:type="dxa"/>
              <w:right w:w="0" w:type="dxa"/>
            </w:tcMar>
            <w:vAlign w:val="bottom"/>
            <w:hideMark/>
          </w:tcPr>
          <w:p w14:paraId="5425EFD5" w14:textId="77777777" w:rsidR="00000000" w:rsidRDefault="009B6C69">
            <w:pPr>
              <w:spacing w:after="100"/>
              <w:jc w:val="right"/>
              <w:rPr>
                <w:rFonts w:eastAsia="Times New Roman"/>
              </w:rPr>
            </w:pPr>
            <w:r>
              <w:rPr>
                <w:rFonts w:eastAsia="Times New Roman"/>
                <w:color w:val="000000"/>
                <w:sz w:val="18"/>
                <w:szCs w:val="18"/>
              </w:rPr>
              <w:t>(753)</w:t>
            </w:r>
          </w:p>
        </w:tc>
        <w:tc>
          <w:tcPr>
            <w:tcW w:w="0" w:type="auto"/>
            <w:shd w:val="clear" w:color="auto" w:fill="FFFFFF"/>
            <w:tcMar>
              <w:top w:w="30" w:type="dxa"/>
              <w:left w:w="0" w:type="dxa"/>
              <w:bottom w:w="30" w:type="dxa"/>
              <w:right w:w="20" w:type="dxa"/>
            </w:tcMar>
            <w:vAlign w:val="bottom"/>
            <w:hideMark/>
          </w:tcPr>
          <w:p w14:paraId="4E6EAB6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B24CE9"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3D4CDB" w14:textId="77777777" w:rsidR="00000000" w:rsidRDefault="009B6C69">
            <w:pPr>
              <w:spacing w:after="100"/>
              <w:jc w:val="right"/>
              <w:rPr>
                <w:rFonts w:eastAsia="Times New Roman"/>
              </w:rPr>
            </w:pPr>
            <w:r>
              <w:rPr>
                <w:rFonts w:eastAsia="Times New Roman"/>
                <w:color w:val="000000"/>
                <w:sz w:val="18"/>
                <w:szCs w:val="18"/>
              </w:rPr>
              <w:t>(550)</w:t>
            </w:r>
          </w:p>
        </w:tc>
        <w:tc>
          <w:tcPr>
            <w:tcW w:w="0" w:type="auto"/>
            <w:shd w:val="clear" w:color="auto" w:fill="FFFFFF"/>
            <w:tcMar>
              <w:top w:w="30" w:type="dxa"/>
              <w:left w:w="0" w:type="dxa"/>
              <w:bottom w:w="30" w:type="dxa"/>
              <w:right w:w="20" w:type="dxa"/>
            </w:tcMar>
            <w:vAlign w:val="bottom"/>
            <w:hideMark/>
          </w:tcPr>
          <w:p w14:paraId="27BA289B" w14:textId="77777777" w:rsidR="00000000" w:rsidRDefault="009B6C69">
            <w:pPr>
              <w:spacing w:after="100"/>
              <w:jc w:val="right"/>
              <w:rPr>
                <w:rFonts w:eastAsia="Times New Roman"/>
              </w:rPr>
            </w:pPr>
          </w:p>
        </w:tc>
        <w:tc>
          <w:tcPr>
            <w:tcW w:w="0" w:type="auto"/>
            <w:vAlign w:val="center"/>
            <w:hideMark/>
          </w:tcPr>
          <w:p w14:paraId="2BB47AE2" w14:textId="77777777" w:rsidR="00000000" w:rsidRDefault="009B6C69">
            <w:pPr>
              <w:spacing w:after="100"/>
              <w:rPr>
                <w:rFonts w:eastAsia="Times New Roman"/>
                <w:sz w:val="20"/>
                <w:szCs w:val="20"/>
              </w:rPr>
            </w:pPr>
          </w:p>
        </w:tc>
        <w:tc>
          <w:tcPr>
            <w:tcW w:w="0" w:type="auto"/>
            <w:vAlign w:val="center"/>
            <w:hideMark/>
          </w:tcPr>
          <w:p w14:paraId="45DAF466" w14:textId="77777777" w:rsidR="00000000" w:rsidRDefault="009B6C69">
            <w:pPr>
              <w:spacing w:after="100"/>
              <w:rPr>
                <w:rFonts w:eastAsia="Times New Roman"/>
                <w:sz w:val="20"/>
                <w:szCs w:val="20"/>
              </w:rPr>
            </w:pPr>
          </w:p>
        </w:tc>
      </w:tr>
      <w:tr w:rsidR="00000000" w14:paraId="266BE30E" w14:textId="77777777">
        <w:trPr>
          <w:divId w:val="985278942"/>
        </w:trPr>
        <w:tc>
          <w:tcPr>
            <w:tcW w:w="0" w:type="auto"/>
            <w:gridSpan w:val="3"/>
            <w:shd w:val="clear" w:color="auto" w:fill="CCEEFF"/>
            <w:tcMar>
              <w:top w:w="30" w:type="dxa"/>
              <w:left w:w="20" w:type="dxa"/>
              <w:bottom w:w="30" w:type="dxa"/>
              <w:right w:w="20" w:type="dxa"/>
            </w:tcMar>
            <w:vAlign w:val="bottom"/>
            <w:hideMark/>
          </w:tcPr>
          <w:p w14:paraId="2CE15C92" w14:textId="77777777" w:rsidR="00000000" w:rsidRDefault="009B6C69">
            <w:pPr>
              <w:spacing w:after="100"/>
              <w:rPr>
                <w:rFonts w:eastAsia="Times New Roman"/>
              </w:rPr>
            </w:pPr>
            <w:r>
              <w:rPr>
                <w:rFonts w:eastAsia="Times New Roman"/>
                <w:color w:val="000000"/>
                <w:sz w:val="18"/>
                <w:szCs w:val="18"/>
              </w:rPr>
              <w:t>Excess tax benefit associated with share-based awards</w:t>
            </w:r>
          </w:p>
        </w:tc>
        <w:tc>
          <w:tcPr>
            <w:tcW w:w="0" w:type="auto"/>
            <w:gridSpan w:val="2"/>
            <w:shd w:val="clear" w:color="auto" w:fill="CCEEFF"/>
            <w:tcMar>
              <w:top w:w="30" w:type="dxa"/>
              <w:left w:w="20" w:type="dxa"/>
              <w:bottom w:w="30" w:type="dxa"/>
              <w:right w:w="0" w:type="dxa"/>
            </w:tcMar>
            <w:vAlign w:val="bottom"/>
            <w:hideMark/>
          </w:tcPr>
          <w:p w14:paraId="5CA91318" w14:textId="77777777" w:rsidR="00000000" w:rsidRDefault="009B6C69">
            <w:pPr>
              <w:spacing w:after="100"/>
              <w:jc w:val="right"/>
              <w:rPr>
                <w:rFonts w:eastAsia="Times New Roman"/>
              </w:rPr>
            </w:pPr>
            <w:r>
              <w:rPr>
                <w:rFonts w:eastAsia="Times New Roman"/>
                <w:color w:val="000000"/>
                <w:sz w:val="18"/>
                <w:szCs w:val="18"/>
              </w:rPr>
              <w:t>(257)</w:t>
            </w:r>
          </w:p>
        </w:tc>
        <w:tc>
          <w:tcPr>
            <w:tcW w:w="0" w:type="auto"/>
            <w:shd w:val="clear" w:color="auto" w:fill="CCEEFF"/>
            <w:tcMar>
              <w:top w:w="30" w:type="dxa"/>
              <w:left w:w="0" w:type="dxa"/>
              <w:bottom w:w="30" w:type="dxa"/>
              <w:right w:w="20" w:type="dxa"/>
            </w:tcMar>
            <w:vAlign w:val="bottom"/>
            <w:hideMark/>
          </w:tcPr>
          <w:p w14:paraId="5D4E798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99FD67"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9B1076" w14:textId="77777777" w:rsidR="00000000" w:rsidRDefault="009B6C69">
            <w:pPr>
              <w:spacing w:after="100"/>
              <w:jc w:val="right"/>
              <w:rPr>
                <w:rFonts w:eastAsia="Times New Roman"/>
              </w:rPr>
            </w:pPr>
            <w:r>
              <w:rPr>
                <w:rFonts w:eastAsia="Times New Roman"/>
                <w:color w:val="000000"/>
                <w:sz w:val="18"/>
                <w:szCs w:val="18"/>
              </w:rPr>
              <w:t>(265)</w:t>
            </w:r>
          </w:p>
        </w:tc>
        <w:tc>
          <w:tcPr>
            <w:tcW w:w="0" w:type="auto"/>
            <w:shd w:val="clear" w:color="auto" w:fill="CCEEFF"/>
            <w:tcMar>
              <w:top w:w="30" w:type="dxa"/>
              <w:left w:w="0" w:type="dxa"/>
              <w:bottom w:w="30" w:type="dxa"/>
              <w:right w:w="20" w:type="dxa"/>
            </w:tcMar>
            <w:vAlign w:val="bottom"/>
            <w:hideMark/>
          </w:tcPr>
          <w:p w14:paraId="63D379F9" w14:textId="77777777" w:rsidR="00000000" w:rsidRDefault="009B6C69">
            <w:pPr>
              <w:spacing w:after="100"/>
              <w:jc w:val="right"/>
              <w:rPr>
                <w:rFonts w:eastAsia="Times New Roman"/>
              </w:rPr>
            </w:pPr>
          </w:p>
        </w:tc>
        <w:tc>
          <w:tcPr>
            <w:tcW w:w="0" w:type="auto"/>
            <w:vAlign w:val="center"/>
            <w:hideMark/>
          </w:tcPr>
          <w:p w14:paraId="42FB3015" w14:textId="77777777" w:rsidR="00000000" w:rsidRDefault="009B6C69">
            <w:pPr>
              <w:spacing w:after="100"/>
              <w:jc w:val="right"/>
              <w:rPr>
                <w:rFonts w:eastAsia="Times New Roman"/>
                <w:sz w:val="20"/>
                <w:szCs w:val="20"/>
              </w:rPr>
            </w:pPr>
          </w:p>
        </w:tc>
        <w:tc>
          <w:tcPr>
            <w:tcW w:w="0" w:type="auto"/>
            <w:vAlign w:val="center"/>
            <w:hideMark/>
          </w:tcPr>
          <w:p w14:paraId="39705B50" w14:textId="77777777" w:rsidR="00000000" w:rsidRDefault="009B6C69">
            <w:pPr>
              <w:spacing w:after="100"/>
              <w:rPr>
                <w:rFonts w:eastAsia="Times New Roman"/>
                <w:sz w:val="20"/>
                <w:szCs w:val="20"/>
              </w:rPr>
            </w:pPr>
          </w:p>
        </w:tc>
      </w:tr>
      <w:tr w:rsidR="00000000" w14:paraId="6BDB6467" w14:textId="77777777">
        <w:trPr>
          <w:divId w:val="985278942"/>
        </w:trPr>
        <w:tc>
          <w:tcPr>
            <w:tcW w:w="0" w:type="auto"/>
            <w:gridSpan w:val="3"/>
            <w:shd w:val="clear" w:color="auto" w:fill="FFFFFF"/>
            <w:tcMar>
              <w:top w:w="30" w:type="dxa"/>
              <w:left w:w="20" w:type="dxa"/>
              <w:bottom w:w="30" w:type="dxa"/>
              <w:right w:w="20" w:type="dxa"/>
            </w:tcMar>
            <w:vAlign w:val="bottom"/>
            <w:hideMark/>
          </w:tcPr>
          <w:p w14:paraId="13F26582" w14:textId="77777777" w:rsidR="00000000" w:rsidRDefault="009B6C69">
            <w:pPr>
              <w:spacing w:after="100"/>
              <w:rPr>
                <w:rFonts w:eastAsia="Times New Roman"/>
              </w:rPr>
            </w:pPr>
            <w:r>
              <w:rPr>
                <w:rFonts w:eastAsia="Times New Roman"/>
                <w:color w:val="000000"/>
                <w:sz w:val="18"/>
                <w:szCs w:val="18"/>
              </w:rPr>
              <w:t>Foreign currency losses related to foreign withholding tax receivable</w:t>
            </w:r>
          </w:p>
        </w:tc>
        <w:tc>
          <w:tcPr>
            <w:tcW w:w="0" w:type="auto"/>
            <w:gridSpan w:val="2"/>
            <w:shd w:val="clear" w:color="auto" w:fill="FFFFFF"/>
            <w:tcMar>
              <w:top w:w="30" w:type="dxa"/>
              <w:left w:w="20" w:type="dxa"/>
              <w:bottom w:w="30" w:type="dxa"/>
              <w:right w:w="0" w:type="dxa"/>
            </w:tcMar>
            <w:vAlign w:val="bottom"/>
            <w:hideMark/>
          </w:tcPr>
          <w:p w14:paraId="552CE266" w14:textId="77777777" w:rsidR="00000000" w:rsidRDefault="009B6C69">
            <w:pPr>
              <w:spacing w:after="100"/>
              <w:jc w:val="right"/>
              <w:rPr>
                <w:rFonts w:eastAsia="Times New Roman"/>
              </w:rPr>
            </w:pPr>
            <w:r>
              <w:rPr>
                <w:rFonts w:eastAsia="Times New Roman"/>
                <w:color w:val="000000"/>
                <w:sz w:val="18"/>
                <w:szCs w:val="18"/>
              </w:rPr>
              <w:t>243 </w:t>
            </w:r>
          </w:p>
        </w:tc>
        <w:tc>
          <w:tcPr>
            <w:tcW w:w="0" w:type="auto"/>
            <w:shd w:val="clear" w:color="auto" w:fill="FFFFFF"/>
            <w:tcMar>
              <w:top w:w="30" w:type="dxa"/>
              <w:left w:w="0" w:type="dxa"/>
              <w:bottom w:w="30" w:type="dxa"/>
              <w:right w:w="20" w:type="dxa"/>
            </w:tcMar>
            <w:vAlign w:val="bottom"/>
            <w:hideMark/>
          </w:tcPr>
          <w:p w14:paraId="35F64968"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6AF944"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E9816A" w14:textId="77777777" w:rsidR="00000000" w:rsidRDefault="009B6C69">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5716A5EF" w14:textId="77777777" w:rsidR="00000000" w:rsidRDefault="009B6C69">
            <w:pPr>
              <w:spacing w:after="100"/>
              <w:jc w:val="right"/>
              <w:rPr>
                <w:rFonts w:eastAsia="Times New Roman"/>
              </w:rPr>
            </w:pPr>
          </w:p>
        </w:tc>
        <w:tc>
          <w:tcPr>
            <w:tcW w:w="0" w:type="auto"/>
            <w:vAlign w:val="center"/>
            <w:hideMark/>
          </w:tcPr>
          <w:p w14:paraId="1AE8A748" w14:textId="77777777" w:rsidR="00000000" w:rsidRDefault="009B6C69">
            <w:pPr>
              <w:spacing w:after="100"/>
              <w:rPr>
                <w:rFonts w:eastAsia="Times New Roman"/>
                <w:sz w:val="20"/>
                <w:szCs w:val="20"/>
              </w:rPr>
            </w:pPr>
          </w:p>
        </w:tc>
        <w:tc>
          <w:tcPr>
            <w:tcW w:w="0" w:type="auto"/>
            <w:vAlign w:val="center"/>
            <w:hideMark/>
          </w:tcPr>
          <w:p w14:paraId="6A662662" w14:textId="77777777" w:rsidR="00000000" w:rsidRDefault="009B6C69">
            <w:pPr>
              <w:spacing w:after="100"/>
              <w:rPr>
                <w:rFonts w:eastAsia="Times New Roman"/>
                <w:sz w:val="20"/>
                <w:szCs w:val="20"/>
              </w:rPr>
            </w:pPr>
          </w:p>
        </w:tc>
      </w:tr>
      <w:tr w:rsidR="00000000" w14:paraId="2B237FD6" w14:textId="77777777">
        <w:trPr>
          <w:divId w:val="985278942"/>
        </w:trPr>
        <w:tc>
          <w:tcPr>
            <w:tcW w:w="0" w:type="auto"/>
            <w:gridSpan w:val="3"/>
            <w:shd w:val="clear" w:color="auto" w:fill="CCEEFF"/>
            <w:tcMar>
              <w:top w:w="30" w:type="dxa"/>
              <w:left w:w="20" w:type="dxa"/>
              <w:bottom w:w="30" w:type="dxa"/>
              <w:right w:w="20" w:type="dxa"/>
            </w:tcMar>
            <w:vAlign w:val="bottom"/>
            <w:hideMark/>
          </w:tcPr>
          <w:p w14:paraId="5AA7A559" w14:textId="77777777" w:rsidR="00000000" w:rsidRDefault="009B6C69">
            <w:pPr>
              <w:spacing w:after="100"/>
              <w:rPr>
                <w:rFonts w:eastAsia="Times New Roman"/>
              </w:rPr>
            </w:pPr>
            <w:r>
              <w:rPr>
                <w:rFonts w:eastAsia="Times New Roman"/>
                <w:color w:val="000000"/>
                <w:sz w:val="18"/>
                <w:szCs w:val="18"/>
              </w:rPr>
              <w:t>Nontaxable reversal of 2018 EC fine</w:t>
            </w:r>
          </w:p>
        </w:tc>
        <w:tc>
          <w:tcPr>
            <w:tcW w:w="0" w:type="auto"/>
            <w:gridSpan w:val="2"/>
            <w:shd w:val="clear" w:color="auto" w:fill="CCEEFF"/>
            <w:tcMar>
              <w:top w:w="30" w:type="dxa"/>
              <w:left w:w="20" w:type="dxa"/>
              <w:bottom w:w="30" w:type="dxa"/>
              <w:right w:w="0" w:type="dxa"/>
            </w:tcMar>
            <w:vAlign w:val="bottom"/>
            <w:hideMark/>
          </w:tcPr>
          <w:p w14:paraId="6C7F30C1" w14:textId="77777777" w:rsidR="00000000" w:rsidRDefault="009B6C69">
            <w:pPr>
              <w:spacing w:after="100"/>
              <w:jc w:val="right"/>
              <w:rPr>
                <w:rFonts w:eastAsia="Times New Roman"/>
              </w:rPr>
            </w:pPr>
            <w:r>
              <w:rPr>
                <w:rFonts w:eastAsia="Times New Roman"/>
                <w:color w:val="000000"/>
                <w:sz w:val="18"/>
                <w:szCs w:val="18"/>
              </w:rPr>
              <w:t>(224)</w:t>
            </w:r>
          </w:p>
        </w:tc>
        <w:tc>
          <w:tcPr>
            <w:tcW w:w="0" w:type="auto"/>
            <w:shd w:val="clear" w:color="auto" w:fill="CCEEFF"/>
            <w:tcMar>
              <w:top w:w="30" w:type="dxa"/>
              <w:left w:w="0" w:type="dxa"/>
              <w:bottom w:w="30" w:type="dxa"/>
              <w:right w:w="20" w:type="dxa"/>
            </w:tcMar>
            <w:vAlign w:val="bottom"/>
            <w:hideMark/>
          </w:tcPr>
          <w:p w14:paraId="667E4BC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2D1DD5"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DE2B60"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532E826" w14:textId="77777777" w:rsidR="00000000" w:rsidRDefault="009B6C69">
            <w:pPr>
              <w:spacing w:after="100"/>
              <w:jc w:val="right"/>
              <w:rPr>
                <w:rFonts w:eastAsia="Times New Roman"/>
              </w:rPr>
            </w:pPr>
          </w:p>
        </w:tc>
        <w:tc>
          <w:tcPr>
            <w:tcW w:w="0" w:type="auto"/>
            <w:vAlign w:val="center"/>
            <w:hideMark/>
          </w:tcPr>
          <w:p w14:paraId="3D00F7AF" w14:textId="77777777" w:rsidR="00000000" w:rsidRDefault="009B6C69">
            <w:pPr>
              <w:spacing w:after="100"/>
              <w:rPr>
                <w:rFonts w:eastAsia="Times New Roman"/>
                <w:sz w:val="20"/>
                <w:szCs w:val="20"/>
              </w:rPr>
            </w:pPr>
          </w:p>
        </w:tc>
        <w:tc>
          <w:tcPr>
            <w:tcW w:w="0" w:type="auto"/>
            <w:vAlign w:val="center"/>
            <w:hideMark/>
          </w:tcPr>
          <w:p w14:paraId="692AD468" w14:textId="77777777" w:rsidR="00000000" w:rsidRDefault="009B6C69">
            <w:pPr>
              <w:spacing w:after="100"/>
              <w:rPr>
                <w:rFonts w:eastAsia="Times New Roman"/>
                <w:sz w:val="20"/>
                <w:szCs w:val="20"/>
              </w:rPr>
            </w:pPr>
          </w:p>
        </w:tc>
      </w:tr>
      <w:tr w:rsidR="00000000" w14:paraId="051B461F" w14:textId="77777777">
        <w:trPr>
          <w:divId w:val="985278942"/>
        </w:trPr>
        <w:tc>
          <w:tcPr>
            <w:tcW w:w="0" w:type="auto"/>
            <w:gridSpan w:val="3"/>
            <w:shd w:val="clear" w:color="auto" w:fill="FFFFFF"/>
            <w:tcMar>
              <w:top w:w="30" w:type="dxa"/>
              <w:left w:w="20" w:type="dxa"/>
              <w:bottom w:w="30" w:type="dxa"/>
              <w:right w:w="20" w:type="dxa"/>
            </w:tcMar>
            <w:vAlign w:val="bottom"/>
            <w:hideMark/>
          </w:tcPr>
          <w:p w14:paraId="0BEBF75B" w14:textId="77777777" w:rsidR="00000000" w:rsidRDefault="009B6C69">
            <w:pPr>
              <w:spacing w:after="100"/>
              <w:rPr>
                <w:rFonts w:eastAsia="Times New Roman"/>
              </w:rPr>
            </w:pPr>
            <w:r>
              <w:rPr>
                <w:rFonts w:eastAsia="Times New Roman"/>
                <w:color w:val="000000"/>
                <w:sz w:val="18"/>
                <w:szCs w:val="18"/>
              </w:rPr>
              <w:t>Benefit related to the research and development tax credit</w:t>
            </w:r>
          </w:p>
        </w:tc>
        <w:tc>
          <w:tcPr>
            <w:tcW w:w="0" w:type="auto"/>
            <w:gridSpan w:val="2"/>
            <w:shd w:val="clear" w:color="auto" w:fill="FFFFFF"/>
            <w:tcMar>
              <w:top w:w="30" w:type="dxa"/>
              <w:left w:w="20" w:type="dxa"/>
              <w:bottom w:w="30" w:type="dxa"/>
              <w:right w:w="0" w:type="dxa"/>
            </w:tcMar>
            <w:vAlign w:val="bottom"/>
            <w:hideMark/>
          </w:tcPr>
          <w:p w14:paraId="767D23E4" w14:textId="77777777" w:rsidR="00000000" w:rsidRDefault="009B6C69">
            <w:pPr>
              <w:spacing w:after="100"/>
              <w:jc w:val="right"/>
              <w:rPr>
                <w:rFonts w:eastAsia="Times New Roman"/>
              </w:rPr>
            </w:pPr>
            <w:r>
              <w:rPr>
                <w:rFonts w:eastAsia="Times New Roman"/>
                <w:color w:val="000000"/>
                <w:sz w:val="18"/>
                <w:szCs w:val="18"/>
              </w:rPr>
              <w:t>(224)</w:t>
            </w:r>
          </w:p>
        </w:tc>
        <w:tc>
          <w:tcPr>
            <w:tcW w:w="0" w:type="auto"/>
            <w:shd w:val="clear" w:color="auto" w:fill="FFFFFF"/>
            <w:tcMar>
              <w:top w:w="30" w:type="dxa"/>
              <w:left w:w="0" w:type="dxa"/>
              <w:bottom w:w="30" w:type="dxa"/>
              <w:right w:w="20" w:type="dxa"/>
            </w:tcMar>
            <w:vAlign w:val="bottom"/>
            <w:hideMark/>
          </w:tcPr>
          <w:p w14:paraId="39D6C6C2"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93CDB9"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483CD3" w14:textId="77777777" w:rsidR="00000000" w:rsidRDefault="009B6C69">
            <w:pPr>
              <w:spacing w:after="100"/>
              <w:jc w:val="right"/>
              <w:rPr>
                <w:rFonts w:eastAsia="Times New Roman"/>
              </w:rPr>
            </w:pPr>
            <w:r>
              <w:rPr>
                <w:rFonts w:eastAsia="Times New Roman"/>
                <w:color w:val="000000"/>
                <w:sz w:val="18"/>
                <w:szCs w:val="18"/>
              </w:rPr>
              <w:t>(195)</w:t>
            </w:r>
          </w:p>
        </w:tc>
        <w:tc>
          <w:tcPr>
            <w:tcW w:w="0" w:type="auto"/>
            <w:shd w:val="clear" w:color="auto" w:fill="FFFFFF"/>
            <w:tcMar>
              <w:top w:w="30" w:type="dxa"/>
              <w:left w:w="0" w:type="dxa"/>
              <w:bottom w:w="30" w:type="dxa"/>
              <w:right w:w="20" w:type="dxa"/>
            </w:tcMar>
            <w:vAlign w:val="bottom"/>
            <w:hideMark/>
          </w:tcPr>
          <w:p w14:paraId="425245FD" w14:textId="77777777" w:rsidR="00000000" w:rsidRDefault="009B6C69">
            <w:pPr>
              <w:spacing w:after="100"/>
              <w:jc w:val="right"/>
              <w:rPr>
                <w:rFonts w:eastAsia="Times New Roman"/>
              </w:rPr>
            </w:pPr>
          </w:p>
        </w:tc>
        <w:tc>
          <w:tcPr>
            <w:tcW w:w="0" w:type="auto"/>
            <w:vAlign w:val="center"/>
            <w:hideMark/>
          </w:tcPr>
          <w:p w14:paraId="6953E4DB" w14:textId="77777777" w:rsidR="00000000" w:rsidRDefault="009B6C69">
            <w:pPr>
              <w:spacing w:after="100"/>
              <w:rPr>
                <w:rFonts w:eastAsia="Times New Roman"/>
                <w:sz w:val="20"/>
                <w:szCs w:val="20"/>
              </w:rPr>
            </w:pPr>
          </w:p>
        </w:tc>
        <w:tc>
          <w:tcPr>
            <w:tcW w:w="0" w:type="auto"/>
            <w:vAlign w:val="center"/>
            <w:hideMark/>
          </w:tcPr>
          <w:p w14:paraId="527F9F9E" w14:textId="77777777" w:rsidR="00000000" w:rsidRDefault="009B6C69">
            <w:pPr>
              <w:spacing w:after="100"/>
              <w:rPr>
                <w:rFonts w:eastAsia="Times New Roman"/>
                <w:sz w:val="20"/>
                <w:szCs w:val="20"/>
              </w:rPr>
            </w:pPr>
          </w:p>
        </w:tc>
      </w:tr>
      <w:tr w:rsidR="00000000" w14:paraId="68C1DEA1" w14:textId="77777777">
        <w:trPr>
          <w:divId w:val="985278942"/>
        </w:trPr>
        <w:tc>
          <w:tcPr>
            <w:tcW w:w="0" w:type="auto"/>
            <w:gridSpan w:val="3"/>
            <w:vAlign w:val="center"/>
            <w:hideMark/>
          </w:tcPr>
          <w:p w14:paraId="025DBEF3" w14:textId="77777777" w:rsidR="00000000" w:rsidRDefault="009B6C69">
            <w:pPr>
              <w:spacing w:after="100"/>
              <w:rPr>
                <w:rFonts w:eastAsia="Times New Roman"/>
                <w:sz w:val="20"/>
                <w:szCs w:val="20"/>
              </w:rPr>
            </w:pPr>
          </w:p>
        </w:tc>
        <w:tc>
          <w:tcPr>
            <w:tcW w:w="0" w:type="auto"/>
            <w:gridSpan w:val="3"/>
            <w:vAlign w:val="center"/>
            <w:hideMark/>
          </w:tcPr>
          <w:p w14:paraId="61731FC8" w14:textId="77777777" w:rsidR="00000000" w:rsidRDefault="009B6C69">
            <w:pPr>
              <w:spacing w:after="100"/>
              <w:rPr>
                <w:rFonts w:eastAsia="Times New Roman"/>
                <w:sz w:val="20"/>
                <w:szCs w:val="20"/>
              </w:rPr>
            </w:pPr>
          </w:p>
        </w:tc>
        <w:tc>
          <w:tcPr>
            <w:tcW w:w="0" w:type="auto"/>
            <w:gridSpan w:val="3"/>
            <w:vAlign w:val="center"/>
            <w:hideMark/>
          </w:tcPr>
          <w:p w14:paraId="18971BA5" w14:textId="77777777" w:rsidR="00000000" w:rsidRDefault="009B6C69">
            <w:pPr>
              <w:spacing w:after="100"/>
              <w:rPr>
                <w:rFonts w:eastAsia="Times New Roman"/>
                <w:sz w:val="20"/>
                <w:szCs w:val="20"/>
              </w:rPr>
            </w:pPr>
          </w:p>
        </w:tc>
        <w:tc>
          <w:tcPr>
            <w:tcW w:w="0" w:type="auto"/>
            <w:gridSpan w:val="3"/>
            <w:vAlign w:val="center"/>
            <w:hideMark/>
          </w:tcPr>
          <w:p w14:paraId="780C4734" w14:textId="77777777" w:rsidR="00000000" w:rsidRDefault="009B6C69">
            <w:pPr>
              <w:spacing w:after="100"/>
              <w:rPr>
                <w:rFonts w:eastAsia="Times New Roman"/>
                <w:sz w:val="20"/>
                <w:szCs w:val="20"/>
              </w:rPr>
            </w:pPr>
          </w:p>
        </w:tc>
        <w:tc>
          <w:tcPr>
            <w:tcW w:w="0" w:type="auto"/>
            <w:vAlign w:val="center"/>
            <w:hideMark/>
          </w:tcPr>
          <w:p w14:paraId="0A1493EC" w14:textId="77777777" w:rsidR="00000000" w:rsidRDefault="009B6C69">
            <w:pPr>
              <w:spacing w:after="100"/>
              <w:rPr>
                <w:rFonts w:eastAsia="Times New Roman"/>
                <w:sz w:val="20"/>
                <w:szCs w:val="20"/>
              </w:rPr>
            </w:pPr>
          </w:p>
        </w:tc>
        <w:tc>
          <w:tcPr>
            <w:tcW w:w="0" w:type="auto"/>
            <w:vAlign w:val="center"/>
            <w:hideMark/>
          </w:tcPr>
          <w:p w14:paraId="527B8C4A" w14:textId="77777777" w:rsidR="00000000" w:rsidRDefault="009B6C69">
            <w:pPr>
              <w:spacing w:after="100"/>
              <w:rPr>
                <w:rFonts w:eastAsia="Times New Roman"/>
                <w:sz w:val="20"/>
                <w:szCs w:val="20"/>
              </w:rPr>
            </w:pPr>
          </w:p>
        </w:tc>
      </w:tr>
      <w:tr w:rsidR="00000000" w14:paraId="5471D068" w14:textId="77777777">
        <w:trPr>
          <w:divId w:val="985278942"/>
        </w:trPr>
        <w:tc>
          <w:tcPr>
            <w:tcW w:w="0" w:type="auto"/>
            <w:gridSpan w:val="3"/>
            <w:vAlign w:val="center"/>
            <w:hideMark/>
          </w:tcPr>
          <w:p w14:paraId="7086A7F8" w14:textId="77777777" w:rsidR="00000000" w:rsidRDefault="009B6C69">
            <w:pPr>
              <w:spacing w:after="100"/>
              <w:rPr>
                <w:rFonts w:eastAsia="Times New Roman"/>
                <w:sz w:val="20"/>
                <w:szCs w:val="20"/>
              </w:rPr>
            </w:pPr>
          </w:p>
        </w:tc>
        <w:tc>
          <w:tcPr>
            <w:tcW w:w="0" w:type="auto"/>
            <w:gridSpan w:val="3"/>
            <w:vAlign w:val="center"/>
            <w:hideMark/>
          </w:tcPr>
          <w:p w14:paraId="78E6BAFE" w14:textId="77777777" w:rsidR="00000000" w:rsidRDefault="009B6C69">
            <w:pPr>
              <w:spacing w:after="100"/>
              <w:rPr>
                <w:rFonts w:eastAsia="Times New Roman"/>
                <w:sz w:val="20"/>
                <w:szCs w:val="20"/>
              </w:rPr>
            </w:pPr>
          </w:p>
        </w:tc>
        <w:tc>
          <w:tcPr>
            <w:tcW w:w="0" w:type="auto"/>
            <w:gridSpan w:val="3"/>
            <w:vAlign w:val="center"/>
            <w:hideMark/>
          </w:tcPr>
          <w:p w14:paraId="46A0A3AD" w14:textId="77777777" w:rsidR="00000000" w:rsidRDefault="009B6C69">
            <w:pPr>
              <w:spacing w:after="100"/>
              <w:rPr>
                <w:rFonts w:eastAsia="Times New Roman"/>
                <w:sz w:val="20"/>
                <w:szCs w:val="20"/>
              </w:rPr>
            </w:pPr>
          </w:p>
        </w:tc>
        <w:tc>
          <w:tcPr>
            <w:tcW w:w="0" w:type="auto"/>
            <w:gridSpan w:val="3"/>
            <w:vAlign w:val="center"/>
            <w:hideMark/>
          </w:tcPr>
          <w:p w14:paraId="1BB3F200" w14:textId="77777777" w:rsidR="00000000" w:rsidRDefault="009B6C69">
            <w:pPr>
              <w:spacing w:after="100"/>
              <w:rPr>
                <w:rFonts w:eastAsia="Times New Roman"/>
                <w:sz w:val="20"/>
                <w:szCs w:val="20"/>
              </w:rPr>
            </w:pPr>
          </w:p>
        </w:tc>
        <w:tc>
          <w:tcPr>
            <w:tcW w:w="0" w:type="auto"/>
            <w:vAlign w:val="center"/>
            <w:hideMark/>
          </w:tcPr>
          <w:p w14:paraId="6157AEC8" w14:textId="77777777" w:rsidR="00000000" w:rsidRDefault="009B6C69">
            <w:pPr>
              <w:spacing w:after="100"/>
              <w:rPr>
                <w:rFonts w:eastAsia="Times New Roman"/>
                <w:sz w:val="20"/>
                <w:szCs w:val="20"/>
              </w:rPr>
            </w:pPr>
          </w:p>
        </w:tc>
        <w:tc>
          <w:tcPr>
            <w:tcW w:w="0" w:type="auto"/>
            <w:vAlign w:val="center"/>
            <w:hideMark/>
          </w:tcPr>
          <w:p w14:paraId="7BD9251D" w14:textId="77777777" w:rsidR="00000000" w:rsidRDefault="009B6C69">
            <w:pPr>
              <w:spacing w:after="100"/>
              <w:rPr>
                <w:rFonts w:eastAsia="Times New Roman"/>
                <w:sz w:val="20"/>
                <w:szCs w:val="20"/>
              </w:rPr>
            </w:pPr>
          </w:p>
        </w:tc>
      </w:tr>
      <w:tr w:rsidR="00000000" w14:paraId="020B747B" w14:textId="77777777">
        <w:trPr>
          <w:divId w:val="985278942"/>
        </w:trPr>
        <w:tc>
          <w:tcPr>
            <w:tcW w:w="0" w:type="auto"/>
            <w:gridSpan w:val="3"/>
            <w:shd w:val="clear" w:color="auto" w:fill="CCEEFF"/>
            <w:tcMar>
              <w:top w:w="30" w:type="dxa"/>
              <w:left w:w="20" w:type="dxa"/>
              <w:bottom w:w="30" w:type="dxa"/>
              <w:right w:w="20" w:type="dxa"/>
            </w:tcMar>
            <w:vAlign w:val="bottom"/>
            <w:hideMark/>
          </w:tcPr>
          <w:p w14:paraId="2D54FDD3" w14:textId="77777777" w:rsidR="00000000" w:rsidRDefault="009B6C69">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309A4B8A" w14:textId="77777777" w:rsidR="00000000" w:rsidRDefault="009B6C69">
            <w:pPr>
              <w:spacing w:after="100"/>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bottom"/>
            <w:hideMark/>
          </w:tcPr>
          <w:p w14:paraId="2A50B65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6FECD6"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DDC7A6" w14:textId="77777777" w:rsidR="00000000" w:rsidRDefault="009B6C69">
            <w:pPr>
              <w:spacing w:after="100"/>
              <w:jc w:val="right"/>
              <w:rPr>
                <w:rFonts w:eastAsia="Times New Roman"/>
              </w:rPr>
            </w:pPr>
            <w:r>
              <w:rPr>
                <w:rFonts w:eastAsia="Times New Roman"/>
                <w:color w:val="000000"/>
                <w:sz w:val="18"/>
                <w:szCs w:val="18"/>
              </w:rPr>
              <w:t>71 </w:t>
            </w:r>
          </w:p>
        </w:tc>
        <w:tc>
          <w:tcPr>
            <w:tcW w:w="0" w:type="auto"/>
            <w:shd w:val="clear" w:color="auto" w:fill="CCEEFF"/>
            <w:tcMar>
              <w:top w:w="30" w:type="dxa"/>
              <w:left w:w="0" w:type="dxa"/>
              <w:bottom w:w="30" w:type="dxa"/>
              <w:right w:w="20" w:type="dxa"/>
            </w:tcMar>
            <w:vAlign w:val="bottom"/>
            <w:hideMark/>
          </w:tcPr>
          <w:p w14:paraId="14411987" w14:textId="77777777" w:rsidR="00000000" w:rsidRDefault="009B6C69">
            <w:pPr>
              <w:spacing w:after="100"/>
              <w:jc w:val="right"/>
              <w:rPr>
                <w:rFonts w:eastAsia="Times New Roman"/>
              </w:rPr>
            </w:pPr>
          </w:p>
        </w:tc>
        <w:tc>
          <w:tcPr>
            <w:tcW w:w="0" w:type="auto"/>
            <w:vAlign w:val="center"/>
            <w:hideMark/>
          </w:tcPr>
          <w:p w14:paraId="207D0AF0" w14:textId="77777777" w:rsidR="00000000" w:rsidRDefault="009B6C69">
            <w:pPr>
              <w:spacing w:after="100"/>
              <w:rPr>
                <w:rFonts w:eastAsia="Times New Roman"/>
                <w:sz w:val="20"/>
                <w:szCs w:val="20"/>
              </w:rPr>
            </w:pPr>
          </w:p>
        </w:tc>
        <w:tc>
          <w:tcPr>
            <w:tcW w:w="0" w:type="auto"/>
            <w:vAlign w:val="center"/>
            <w:hideMark/>
          </w:tcPr>
          <w:p w14:paraId="78196A2F" w14:textId="77777777" w:rsidR="00000000" w:rsidRDefault="009B6C69">
            <w:pPr>
              <w:spacing w:after="100"/>
              <w:rPr>
                <w:rFonts w:eastAsia="Times New Roman"/>
                <w:sz w:val="20"/>
                <w:szCs w:val="20"/>
              </w:rPr>
            </w:pPr>
          </w:p>
        </w:tc>
      </w:tr>
      <w:tr w:rsidR="00000000" w14:paraId="30E4BC6B" w14:textId="77777777">
        <w:trPr>
          <w:divId w:val="985278942"/>
        </w:trPr>
        <w:tc>
          <w:tcPr>
            <w:tcW w:w="0" w:type="auto"/>
            <w:gridSpan w:val="3"/>
            <w:shd w:val="clear" w:color="auto" w:fill="FFFFFF"/>
            <w:tcMar>
              <w:top w:w="30" w:type="dxa"/>
              <w:left w:w="245" w:type="dxa"/>
              <w:bottom w:w="30" w:type="dxa"/>
              <w:right w:w="20" w:type="dxa"/>
            </w:tcMar>
            <w:vAlign w:val="bottom"/>
            <w:hideMark/>
          </w:tcPr>
          <w:p w14:paraId="0C803946" w14:textId="77777777" w:rsidR="00000000" w:rsidRDefault="009B6C69">
            <w:pPr>
              <w:spacing w:after="100"/>
              <w:rPr>
                <w:rFonts w:eastAsia="Times New Roman"/>
              </w:rPr>
            </w:pPr>
            <w:r>
              <w:rPr>
                <w:rFonts w:eastAsia="Times New Roman"/>
                <w:color w:val="000000"/>
                <w:sz w:val="18"/>
                <w:szCs w:val="18"/>
              </w:rPr>
              <w:t>Income tax expense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E21FAD0"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89FD9DD" w14:textId="77777777" w:rsidR="00000000" w:rsidRDefault="009B6C69">
            <w:pPr>
              <w:spacing w:after="100"/>
              <w:jc w:val="right"/>
              <w:rPr>
                <w:rFonts w:eastAsia="Times New Roman"/>
              </w:rPr>
            </w:pPr>
            <w:r>
              <w:rPr>
                <w:rFonts w:eastAsia="Times New Roman"/>
                <w:color w:val="000000"/>
                <w:sz w:val="18"/>
                <w:szCs w:val="18"/>
              </w:rPr>
              <w:t>2,012 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75DBD9"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7FECD8"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9AE1294"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60B9820" w14:textId="77777777" w:rsidR="00000000" w:rsidRDefault="009B6C69">
            <w:pPr>
              <w:spacing w:after="100"/>
              <w:jc w:val="right"/>
              <w:rPr>
                <w:rFonts w:eastAsia="Times New Roman"/>
              </w:rPr>
            </w:pPr>
            <w:r>
              <w:rPr>
                <w:rFonts w:eastAsia="Times New Roman"/>
                <w:color w:val="000000"/>
                <w:sz w:val="18"/>
                <w:szCs w:val="18"/>
              </w:rPr>
              <w:t>1,231 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D7CDBA" w14:textId="77777777" w:rsidR="00000000" w:rsidRDefault="009B6C69">
            <w:pPr>
              <w:spacing w:after="100"/>
              <w:jc w:val="right"/>
              <w:rPr>
                <w:rFonts w:eastAsia="Times New Roman"/>
              </w:rPr>
            </w:pPr>
          </w:p>
        </w:tc>
        <w:tc>
          <w:tcPr>
            <w:tcW w:w="0" w:type="auto"/>
            <w:vAlign w:val="center"/>
            <w:hideMark/>
          </w:tcPr>
          <w:p w14:paraId="72FC4B0F" w14:textId="77777777" w:rsidR="00000000" w:rsidRDefault="009B6C69">
            <w:pPr>
              <w:spacing w:after="100"/>
              <w:jc w:val="right"/>
              <w:rPr>
                <w:rFonts w:eastAsia="Times New Roman"/>
                <w:sz w:val="20"/>
                <w:szCs w:val="20"/>
              </w:rPr>
            </w:pPr>
          </w:p>
        </w:tc>
        <w:tc>
          <w:tcPr>
            <w:tcW w:w="0" w:type="auto"/>
            <w:vAlign w:val="center"/>
            <w:hideMark/>
          </w:tcPr>
          <w:p w14:paraId="53D86D44" w14:textId="77777777" w:rsidR="00000000" w:rsidRDefault="009B6C69">
            <w:pPr>
              <w:spacing w:after="100"/>
              <w:rPr>
                <w:rFonts w:eastAsia="Times New Roman"/>
                <w:sz w:val="20"/>
                <w:szCs w:val="20"/>
              </w:rPr>
            </w:pPr>
          </w:p>
        </w:tc>
      </w:tr>
      <w:tr w:rsidR="00000000" w14:paraId="6ABED467" w14:textId="77777777">
        <w:trPr>
          <w:divId w:val="985278942"/>
        </w:trPr>
        <w:tc>
          <w:tcPr>
            <w:tcW w:w="0" w:type="auto"/>
            <w:gridSpan w:val="3"/>
            <w:shd w:val="clear" w:color="auto" w:fill="CCEEFF"/>
            <w:tcMar>
              <w:top w:w="30" w:type="dxa"/>
              <w:left w:w="20" w:type="dxa"/>
              <w:bottom w:w="30" w:type="dxa"/>
              <w:right w:w="20" w:type="dxa"/>
            </w:tcMar>
            <w:vAlign w:val="bottom"/>
            <w:hideMark/>
          </w:tcPr>
          <w:p w14:paraId="521D323B" w14:textId="77777777" w:rsidR="00000000" w:rsidRDefault="009B6C69">
            <w:pPr>
              <w:spacing w:after="100"/>
              <w:rPr>
                <w:rFonts w:eastAsia="Times New Roman"/>
              </w:rPr>
            </w:pPr>
            <w:r>
              <w:rPr>
                <w:rFonts w:eastAsia="Times New Roman"/>
                <w:color w:val="000000"/>
                <w:sz w:val="18"/>
                <w:szCs w:val="18"/>
              </w:rPr>
              <w:t>Effective tax rate</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51CE7B6" w14:textId="77777777" w:rsidR="00000000" w:rsidRDefault="009B6C69">
            <w:pPr>
              <w:spacing w:after="100"/>
              <w:jc w:val="right"/>
              <w:rPr>
                <w:rFonts w:eastAsia="Times New Roman"/>
              </w:rPr>
            </w:pPr>
            <w:r>
              <w:rPr>
                <w:rFonts w:eastAsia="Times New Roman"/>
                <w:color w:val="000000"/>
                <w:sz w:val="18"/>
                <w:szCs w:val="18"/>
              </w:rPr>
              <w:t>13 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0F208A3" w14:textId="77777777" w:rsidR="00000000" w:rsidRDefault="009B6C69">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0420EAF" w14:textId="77777777" w:rsidR="00000000" w:rsidRDefault="009B6C69">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613A35A0" w14:textId="77777777" w:rsidR="00000000" w:rsidRDefault="009B6C69">
            <w:pPr>
              <w:spacing w:after="100"/>
              <w:jc w:val="right"/>
              <w:rPr>
                <w:rFonts w:eastAsia="Times New Roman"/>
              </w:rPr>
            </w:pPr>
            <w:r>
              <w:rPr>
                <w:rFonts w:eastAsia="Times New Roman"/>
                <w:color w:val="000000"/>
                <w:sz w:val="18"/>
                <w:szCs w:val="18"/>
              </w:rPr>
              <w:t>12 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1282F91" w14:textId="77777777" w:rsidR="00000000" w:rsidRDefault="009B6C69">
            <w:pPr>
              <w:spacing w:after="100"/>
              <w:rPr>
                <w:rFonts w:eastAsia="Times New Roman"/>
              </w:rPr>
            </w:pPr>
            <w:r>
              <w:rPr>
                <w:rFonts w:eastAsia="Times New Roman"/>
                <w:color w:val="000000"/>
                <w:sz w:val="18"/>
                <w:szCs w:val="18"/>
              </w:rPr>
              <w:t>%</w:t>
            </w:r>
          </w:p>
        </w:tc>
        <w:tc>
          <w:tcPr>
            <w:tcW w:w="0" w:type="auto"/>
            <w:vAlign w:val="center"/>
            <w:hideMark/>
          </w:tcPr>
          <w:p w14:paraId="4DB58B7E" w14:textId="77777777" w:rsidR="00000000" w:rsidRDefault="009B6C69">
            <w:pPr>
              <w:spacing w:after="100"/>
              <w:rPr>
                <w:rFonts w:eastAsia="Times New Roman"/>
              </w:rPr>
            </w:pPr>
          </w:p>
        </w:tc>
        <w:tc>
          <w:tcPr>
            <w:tcW w:w="0" w:type="auto"/>
            <w:vAlign w:val="center"/>
            <w:hideMark/>
          </w:tcPr>
          <w:p w14:paraId="48B534FE" w14:textId="77777777" w:rsidR="00000000" w:rsidRDefault="009B6C69">
            <w:pPr>
              <w:spacing w:after="100"/>
              <w:rPr>
                <w:rFonts w:eastAsia="Times New Roman"/>
                <w:sz w:val="20"/>
                <w:szCs w:val="20"/>
              </w:rPr>
            </w:pPr>
          </w:p>
        </w:tc>
      </w:tr>
    </w:tbl>
    <w:p w14:paraId="35E77558" w14:textId="77777777" w:rsidR="00000000" w:rsidRDefault="009B6C69">
      <w:pPr>
        <w:ind w:firstLine="360"/>
        <w:divId w:val="1276670325"/>
        <w:rPr>
          <w:rFonts w:eastAsia="Times New Roman"/>
        </w:rPr>
      </w:pPr>
      <w:r>
        <w:rPr>
          <w:rFonts w:eastAsia="Times New Roman"/>
          <w:color w:val="000000"/>
          <w:sz w:val="20"/>
          <w:szCs w:val="20"/>
        </w:rPr>
        <w:t>Unrecognized tax benefits were $2.2 billion and $2.1 billion at September 25, 2022 and September </w:t>
      </w:r>
      <w:r>
        <w:rPr>
          <w:rFonts w:eastAsia="Times New Roman"/>
          <w:color w:val="000000"/>
          <w:sz w:val="20"/>
          <w:szCs w:val="20"/>
        </w:rPr>
        <w:t>26, 2021, respectively. The increase in unrecognized tax benefits in fiscal 2022 was primarily due to expected refunds of Korean withholding taxes previously paid as licensees in Korea continue to withhold taxes on payments due under their licensing agreem</w:t>
      </w:r>
      <w:r>
        <w:rPr>
          <w:rFonts w:eastAsia="Times New Roman"/>
          <w:color w:val="000000"/>
          <w:sz w:val="20"/>
          <w:szCs w:val="20"/>
        </w:rPr>
        <w:t>ents at a rate higher than we believe is owed (which had an insignificant impact to our income tax provision). If successful, the refund will result in a corresponding reduction in U.S. foreign tax credits. We are subject to income taxes in the U.S. and nu</w:t>
      </w:r>
      <w:r>
        <w:rPr>
          <w:rFonts w:eastAsia="Times New Roman"/>
          <w:color w:val="000000"/>
          <w:sz w:val="20"/>
          <w:szCs w:val="20"/>
        </w:rPr>
        <w:t>merous foreign jurisdictions and are currently under examination by various tax authorities worldwide, primarily related to transfer pricing. These examinations are at various stages with respect to assessments, claims, deficiencies and refunds. We continu</w:t>
      </w:r>
      <w:r>
        <w:rPr>
          <w:rFonts w:eastAsia="Times New Roman"/>
          <w:color w:val="000000"/>
          <w:sz w:val="20"/>
          <w:szCs w:val="20"/>
        </w:rPr>
        <w:t>ally assess the likelihood and amount of potential adjustments and adjust the income tax provision, income taxes payable and deferred taxes in the period in which the facts giving rise to a revision become known. At September 25, 2022, we believe our reser</w:t>
      </w:r>
      <w:r>
        <w:rPr>
          <w:rFonts w:eastAsia="Times New Roman"/>
          <w:color w:val="000000"/>
          <w:sz w:val="20"/>
          <w:szCs w:val="20"/>
        </w:rPr>
        <w:t xml:space="preserve">ves are adequate based on facts known. However, the final determination of tax audits and any related legal proceedings could materially differ from amounts reflected in our income tax provision and the related accruals. </w:t>
      </w:r>
    </w:p>
    <w:p w14:paraId="0B8D8976" w14:textId="77777777" w:rsidR="00000000" w:rsidRDefault="009B6C69">
      <w:pPr>
        <w:ind w:firstLine="360"/>
        <w:divId w:val="839151443"/>
        <w:rPr>
          <w:rFonts w:eastAsia="Times New Roman"/>
        </w:rPr>
      </w:pPr>
      <w:r>
        <w:rPr>
          <w:rFonts w:eastAsia="Times New Roman"/>
          <w:color w:val="000000"/>
          <w:sz w:val="20"/>
          <w:szCs w:val="20"/>
        </w:rPr>
        <w:t>Beginning in fiscal 2023, for fede</w:t>
      </w:r>
      <w:r>
        <w:rPr>
          <w:rFonts w:eastAsia="Times New Roman"/>
          <w:color w:val="000000"/>
          <w:sz w:val="20"/>
          <w:szCs w:val="20"/>
        </w:rPr>
        <w:t>ral income tax purposes, we are required to capitalize and amortize domestic research and development expenditures over five years and foreign research and development expenditures over fifteen years. Prior to such date, such expenditures are deducted as i</w:t>
      </w:r>
      <w:r>
        <w:rPr>
          <w:rFonts w:eastAsia="Times New Roman"/>
          <w:color w:val="000000"/>
          <w:sz w:val="20"/>
          <w:szCs w:val="20"/>
        </w:rPr>
        <w:t xml:space="preserve">ncurred. If this requirement is not delayed or repealed, our cash flow generated from operations will be adversely affected due to significantly higher cash tax payments. However, since the resulting deferred tax asset will be established at the statutory </w:t>
      </w:r>
      <w:r>
        <w:rPr>
          <w:rFonts w:eastAsia="Times New Roman"/>
          <w:color w:val="000000"/>
          <w:sz w:val="20"/>
          <w:szCs w:val="20"/>
        </w:rPr>
        <w:t xml:space="preserve">rate of 21% (rather than the effective rate of 13% to 16% after considering the FDII deduction), capitalization will favorably affect our provision for income taxes and results of operations. The adverse cash flow impact and favorable tax provision impact </w:t>
      </w:r>
      <w:r>
        <w:rPr>
          <w:rFonts w:eastAsia="Times New Roman"/>
          <w:color w:val="000000"/>
          <w:sz w:val="20"/>
          <w:szCs w:val="20"/>
        </w:rPr>
        <w:t>will diminish in future years as capitalized research and development expenditures amortize.</w:t>
      </w:r>
    </w:p>
    <w:p w14:paraId="4FDF3B33" w14:textId="77777777" w:rsidR="00000000" w:rsidRDefault="009B6C69">
      <w:pPr>
        <w:ind w:firstLine="360"/>
        <w:divId w:val="1795443002"/>
        <w:rPr>
          <w:rFonts w:eastAsia="Times New Roman"/>
        </w:rPr>
      </w:pPr>
      <w:r>
        <w:rPr>
          <w:rFonts w:eastAsia="Times New Roman"/>
          <w:color w:val="000000"/>
          <w:sz w:val="20"/>
          <w:szCs w:val="20"/>
        </w:rPr>
        <w:t>In August 2022, the Inflation Reduction Act (IRA) was enacted in the United States, which included, among other items, a 15% book minimum tax on adjusted financial</w:t>
      </w:r>
      <w:r>
        <w:rPr>
          <w:rFonts w:eastAsia="Times New Roman"/>
          <w:color w:val="000000"/>
          <w:sz w:val="20"/>
          <w:szCs w:val="20"/>
        </w:rPr>
        <w:t xml:space="preserve"> statement earnings beginning in fiscal 2024. We do not expect this provision to have a material impact on our provision for income taxes, results of operations or cash flows. If the requirement to capitalize and amortize research and development expenditu</w:t>
      </w:r>
      <w:r>
        <w:rPr>
          <w:rFonts w:eastAsia="Times New Roman"/>
          <w:color w:val="000000"/>
          <w:sz w:val="20"/>
          <w:szCs w:val="20"/>
        </w:rPr>
        <w:t>res beginning in fiscal 2023 is delayed or repealed, our cash flows may be impacted in future years under the IRA.</w:t>
      </w:r>
    </w:p>
    <w:p w14:paraId="41EEEA5F" w14:textId="77777777" w:rsidR="00000000" w:rsidRDefault="009B6C69">
      <w:pPr>
        <w:ind w:firstLine="270"/>
        <w:divId w:val="1397508159"/>
        <w:rPr>
          <w:rFonts w:eastAsia="Times New Roman"/>
        </w:rPr>
      </w:pPr>
      <w:r>
        <w:rPr>
          <w:rFonts w:eastAsia="Times New Roman"/>
          <w:b/>
          <w:bCs/>
          <w:i/>
          <w:iCs/>
          <w:color w:val="000000"/>
          <w:sz w:val="20"/>
          <w:szCs w:val="20"/>
        </w:rPr>
        <w:t>Discontinued Operations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956"/>
        <w:gridCol w:w="36"/>
        <w:gridCol w:w="110"/>
        <w:gridCol w:w="849"/>
        <w:gridCol w:w="36"/>
        <w:gridCol w:w="36"/>
        <w:gridCol w:w="36"/>
        <w:gridCol w:w="36"/>
        <w:gridCol w:w="111"/>
        <w:gridCol w:w="813"/>
        <w:gridCol w:w="36"/>
        <w:gridCol w:w="36"/>
        <w:gridCol w:w="36"/>
        <w:gridCol w:w="36"/>
        <w:gridCol w:w="36"/>
        <w:gridCol w:w="36"/>
        <w:gridCol w:w="111"/>
        <w:gridCol w:w="815"/>
        <w:gridCol w:w="36"/>
        <w:gridCol w:w="36"/>
        <w:gridCol w:w="36"/>
      </w:tblGrid>
      <w:tr w:rsidR="00000000" w14:paraId="0174651B" w14:textId="77777777">
        <w:trPr>
          <w:divId w:val="164443219"/>
        </w:trPr>
        <w:tc>
          <w:tcPr>
            <w:tcW w:w="50" w:type="pct"/>
            <w:vAlign w:val="center"/>
            <w:hideMark/>
          </w:tcPr>
          <w:p w14:paraId="05A205FF" w14:textId="77777777" w:rsidR="00000000" w:rsidRDefault="009B6C69">
            <w:pPr>
              <w:ind w:firstLine="270"/>
              <w:rPr>
                <w:rFonts w:eastAsia="Times New Roman"/>
              </w:rPr>
            </w:pPr>
          </w:p>
        </w:tc>
        <w:tc>
          <w:tcPr>
            <w:tcW w:w="3062" w:type="pct"/>
            <w:vAlign w:val="center"/>
            <w:hideMark/>
          </w:tcPr>
          <w:p w14:paraId="33CCC60E" w14:textId="77777777" w:rsidR="00000000" w:rsidRDefault="009B6C69">
            <w:pPr>
              <w:spacing w:after="100"/>
              <w:rPr>
                <w:rFonts w:eastAsia="Times New Roman"/>
                <w:sz w:val="20"/>
                <w:szCs w:val="20"/>
              </w:rPr>
            </w:pPr>
          </w:p>
        </w:tc>
        <w:tc>
          <w:tcPr>
            <w:tcW w:w="5" w:type="pct"/>
            <w:vAlign w:val="center"/>
            <w:hideMark/>
          </w:tcPr>
          <w:p w14:paraId="51D6C653" w14:textId="77777777" w:rsidR="00000000" w:rsidRDefault="009B6C69">
            <w:pPr>
              <w:spacing w:after="100"/>
              <w:rPr>
                <w:rFonts w:eastAsia="Times New Roman"/>
                <w:sz w:val="20"/>
                <w:szCs w:val="20"/>
              </w:rPr>
            </w:pPr>
          </w:p>
        </w:tc>
        <w:tc>
          <w:tcPr>
            <w:tcW w:w="50" w:type="pct"/>
            <w:vAlign w:val="center"/>
            <w:hideMark/>
          </w:tcPr>
          <w:p w14:paraId="378343AE" w14:textId="77777777" w:rsidR="00000000" w:rsidRDefault="009B6C69">
            <w:pPr>
              <w:spacing w:after="100"/>
              <w:rPr>
                <w:rFonts w:eastAsia="Times New Roman"/>
                <w:sz w:val="20"/>
                <w:szCs w:val="20"/>
              </w:rPr>
            </w:pPr>
          </w:p>
        </w:tc>
        <w:tc>
          <w:tcPr>
            <w:tcW w:w="547" w:type="pct"/>
            <w:vAlign w:val="center"/>
            <w:hideMark/>
          </w:tcPr>
          <w:p w14:paraId="41C848C5" w14:textId="77777777" w:rsidR="00000000" w:rsidRDefault="009B6C69">
            <w:pPr>
              <w:spacing w:after="100"/>
              <w:rPr>
                <w:rFonts w:eastAsia="Times New Roman"/>
                <w:sz w:val="20"/>
                <w:szCs w:val="20"/>
              </w:rPr>
            </w:pPr>
          </w:p>
        </w:tc>
        <w:tc>
          <w:tcPr>
            <w:tcW w:w="5" w:type="pct"/>
            <w:vAlign w:val="center"/>
            <w:hideMark/>
          </w:tcPr>
          <w:p w14:paraId="3B9C903F" w14:textId="77777777" w:rsidR="00000000" w:rsidRDefault="009B6C69">
            <w:pPr>
              <w:spacing w:after="100"/>
              <w:rPr>
                <w:rFonts w:eastAsia="Times New Roman"/>
                <w:sz w:val="20"/>
                <w:szCs w:val="20"/>
              </w:rPr>
            </w:pPr>
          </w:p>
        </w:tc>
        <w:tc>
          <w:tcPr>
            <w:tcW w:w="5" w:type="pct"/>
            <w:vAlign w:val="center"/>
            <w:hideMark/>
          </w:tcPr>
          <w:p w14:paraId="0056A332" w14:textId="77777777" w:rsidR="00000000" w:rsidRDefault="009B6C69">
            <w:pPr>
              <w:spacing w:after="100"/>
              <w:rPr>
                <w:rFonts w:eastAsia="Times New Roman"/>
                <w:sz w:val="20"/>
                <w:szCs w:val="20"/>
              </w:rPr>
            </w:pPr>
          </w:p>
        </w:tc>
        <w:tc>
          <w:tcPr>
            <w:tcW w:w="27" w:type="pct"/>
            <w:vAlign w:val="center"/>
            <w:hideMark/>
          </w:tcPr>
          <w:p w14:paraId="16BF74A2" w14:textId="77777777" w:rsidR="00000000" w:rsidRDefault="009B6C69">
            <w:pPr>
              <w:spacing w:after="100"/>
              <w:rPr>
                <w:rFonts w:eastAsia="Times New Roman"/>
                <w:sz w:val="20"/>
                <w:szCs w:val="20"/>
              </w:rPr>
            </w:pPr>
          </w:p>
        </w:tc>
        <w:tc>
          <w:tcPr>
            <w:tcW w:w="5" w:type="pct"/>
            <w:vAlign w:val="center"/>
            <w:hideMark/>
          </w:tcPr>
          <w:p w14:paraId="49EA188F" w14:textId="77777777" w:rsidR="00000000" w:rsidRDefault="009B6C69">
            <w:pPr>
              <w:spacing w:after="100"/>
              <w:rPr>
                <w:rFonts w:eastAsia="Times New Roman"/>
                <w:sz w:val="20"/>
                <w:szCs w:val="20"/>
              </w:rPr>
            </w:pPr>
          </w:p>
        </w:tc>
        <w:tc>
          <w:tcPr>
            <w:tcW w:w="50" w:type="pct"/>
            <w:vAlign w:val="center"/>
            <w:hideMark/>
          </w:tcPr>
          <w:p w14:paraId="34BD0684" w14:textId="77777777" w:rsidR="00000000" w:rsidRDefault="009B6C69">
            <w:pPr>
              <w:spacing w:after="100"/>
              <w:rPr>
                <w:rFonts w:eastAsia="Times New Roman"/>
                <w:sz w:val="20"/>
                <w:szCs w:val="20"/>
              </w:rPr>
            </w:pPr>
          </w:p>
        </w:tc>
        <w:tc>
          <w:tcPr>
            <w:tcW w:w="547" w:type="pct"/>
            <w:vAlign w:val="center"/>
            <w:hideMark/>
          </w:tcPr>
          <w:p w14:paraId="52AFB677" w14:textId="77777777" w:rsidR="00000000" w:rsidRDefault="009B6C69">
            <w:pPr>
              <w:spacing w:after="100"/>
              <w:rPr>
                <w:rFonts w:eastAsia="Times New Roman"/>
                <w:sz w:val="20"/>
                <w:szCs w:val="20"/>
              </w:rPr>
            </w:pPr>
          </w:p>
        </w:tc>
        <w:tc>
          <w:tcPr>
            <w:tcW w:w="5" w:type="pct"/>
            <w:vAlign w:val="center"/>
            <w:hideMark/>
          </w:tcPr>
          <w:p w14:paraId="39F7DC21" w14:textId="77777777" w:rsidR="00000000" w:rsidRDefault="009B6C69">
            <w:pPr>
              <w:spacing w:after="100"/>
              <w:rPr>
                <w:rFonts w:eastAsia="Times New Roman"/>
                <w:sz w:val="20"/>
                <w:szCs w:val="20"/>
              </w:rPr>
            </w:pPr>
          </w:p>
        </w:tc>
        <w:tc>
          <w:tcPr>
            <w:tcW w:w="5" w:type="pct"/>
            <w:vAlign w:val="center"/>
            <w:hideMark/>
          </w:tcPr>
          <w:p w14:paraId="74C4C337" w14:textId="77777777" w:rsidR="00000000" w:rsidRDefault="009B6C69">
            <w:pPr>
              <w:spacing w:after="100"/>
              <w:rPr>
                <w:rFonts w:eastAsia="Times New Roman"/>
                <w:sz w:val="20"/>
                <w:szCs w:val="20"/>
              </w:rPr>
            </w:pPr>
          </w:p>
        </w:tc>
        <w:tc>
          <w:tcPr>
            <w:tcW w:w="27" w:type="pct"/>
            <w:vAlign w:val="center"/>
            <w:hideMark/>
          </w:tcPr>
          <w:p w14:paraId="3B81FE08" w14:textId="77777777" w:rsidR="00000000" w:rsidRDefault="009B6C69">
            <w:pPr>
              <w:spacing w:after="100"/>
              <w:rPr>
                <w:rFonts w:eastAsia="Times New Roman"/>
                <w:sz w:val="20"/>
                <w:szCs w:val="20"/>
              </w:rPr>
            </w:pPr>
          </w:p>
        </w:tc>
        <w:tc>
          <w:tcPr>
            <w:tcW w:w="5" w:type="pct"/>
            <w:vAlign w:val="center"/>
            <w:hideMark/>
          </w:tcPr>
          <w:p w14:paraId="04FB45DD" w14:textId="77777777" w:rsidR="00000000" w:rsidRDefault="009B6C69">
            <w:pPr>
              <w:spacing w:after="100"/>
              <w:rPr>
                <w:rFonts w:eastAsia="Times New Roman"/>
                <w:sz w:val="20"/>
                <w:szCs w:val="20"/>
              </w:rPr>
            </w:pPr>
          </w:p>
        </w:tc>
        <w:tc>
          <w:tcPr>
            <w:tcW w:w="0" w:type="auto"/>
            <w:vAlign w:val="center"/>
            <w:hideMark/>
          </w:tcPr>
          <w:p w14:paraId="36B3D14E" w14:textId="77777777" w:rsidR="00000000" w:rsidRDefault="009B6C69">
            <w:pPr>
              <w:spacing w:after="100"/>
              <w:rPr>
                <w:rFonts w:eastAsia="Times New Roman"/>
                <w:sz w:val="20"/>
                <w:szCs w:val="20"/>
              </w:rPr>
            </w:pPr>
          </w:p>
        </w:tc>
        <w:tc>
          <w:tcPr>
            <w:tcW w:w="0" w:type="auto"/>
            <w:vAlign w:val="center"/>
            <w:hideMark/>
          </w:tcPr>
          <w:p w14:paraId="2B7162A5" w14:textId="77777777" w:rsidR="00000000" w:rsidRDefault="009B6C69">
            <w:pPr>
              <w:spacing w:after="100"/>
              <w:rPr>
                <w:rFonts w:eastAsia="Times New Roman"/>
                <w:sz w:val="20"/>
                <w:szCs w:val="20"/>
              </w:rPr>
            </w:pPr>
          </w:p>
        </w:tc>
        <w:tc>
          <w:tcPr>
            <w:tcW w:w="50" w:type="pct"/>
            <w:vAlign w:val="center"/>
            <w:hideMark/>
          </w:tcPr>
          <w:p w14:paraId="37E22E75" w14:textId="77777777" w:rsidR="00000000" w:rsidRDefault="009B6C69">
            <w:pPr>
              <w:spacing w:after="100"/>
              <w:rPr>
                <w:rFonts w:eastAsia="Times New Roman"/>
                <w:sz w:val="20"/>
                <w:szCs w:val="20"/>
              </w:rPr>
            </w:pPr>
          </w:p>
        </w:tc>
        <w:tc>
          <w:tcPr>
            <w:tcW w:w="547" w:type="pct"/>
            <w:vAlign w:val="center"/>
            <w:hideMark/>
          </w:tcPr>
          <w:p w14:paraId="7B1D0229" w14:textId="77777777" w:rsidR="00000000" w:rsidRDefault="009B6C69">
            <w:pPr>
              <w:spacing w:after="100"/>
              <w:rPr>
                <w:rFonts w:eastAsia="Times New Roman"/>
                <w:sz w:val="20"/>
                <w:szCs w:val="20"/>
              </w:rPr>
            </w:pPr>
          </w:p>
        </w:tc>
        <w:tc>
          <w:tcPr>
            <w:tcW w:w="5" w:type="pct"/>
            <w:vAlign w:val="center"/>
            <w:hideMark/>
          </w:tcPr>
          <w:p w14:paraId="22E8DFEC" w14:textId="77777777" w:rsidR="00000000" w:rsidRDefault="009B6C69">
            <w:pPr>
              <w:spacing w:after="100"/>
              <w:rPr>
                <w:rFonts w:eastAsia="Times New Roman"/>
                <w:sz w:val="20"/>
                <w:szCs w:val="20"/>
              </w:rPr>
            </w:pPr>
          </w:p>
        </w:tc>
        <w:tc>
          <w:tcPr>
            <w:tcW w:w="0" w:type="auto"/>
            <w:vAlign w:val="center"/>
            <w:hideMark/>
          </w:tcPr>
          <w:p w14:paraId="5AE3327B" w14:textId="77777777" w:rsidR="00000000" w:rsidRDefault="009B6C69">
            <w:pPr>
              <w:spacing w:after="100"/>
              <w:rPr>
                <w:rFonts w:eastAsia="Times New Roman"/>
                <w:sz w:val="20"/>
                <w:szCs w:val="20"/>
              </w:rPr>
            </w:pPr>
          </w:p>
        </w:tc>
        <w:tc>
          <w:tcPr>
            <w:tcW w:w="0" w:type="auto"/>
            <w:vAlign w:val="center"/>
            <w:hideMark/>
          </w:tcPr>
          <w:p w14:paraId="5914790A" w14:textId="77777777" w:rsidR="00000000" w:rsidRDefault="009B6C69">
            <w:pPr>
              <w:spacing w:after="100"/>
              <w:rPr>
                <w:rFonts w:eastAsia="Times New Roman"/>
                <w:sz w:val="20"/>
                <w:szCs w:val="20"/>
              </w:rPr>
            </w:pPr>
          </w:p>
        </w:tc>
      </w:tr>
      <w:tr w:rsidR="00000000" w14:paraId="78AC69A3" w14:textId="77777777">
        <w:trPr>
          <w:divId w:val="164443219"/>
        </w:trPr>
        <w:tc>
          <w:tcPr>
            <w:tcW w:w="0" w:type="auto"/>
            <w:gridSpan w:val="3"/>
            <w:tcMar>
              <w:top w:w="0" w:type="dxa"/>
              <w:left w:w="20" w:type="dxa"/>
              <w:bottom w:w="0" w:type="dxa"/>
              <w:right w:w="20" w:type="dxa"/>
            </w:tcMar>
            <w:vAlign w:val="center"/>
            <w:hideMark/>
          </w:tcPr>
          <w:p w14:paraId="69576292"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86D69DC"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14:paraId="7882F4A9"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2F0EC22"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7F9FAE30" w14:textId="77777777" w:rsidR="00000000" w:rsidRDefault="009B6C69">
            <w:pPr>
              <w:spacing w:after="100"/>
              <w:jc w:val="center"/>
              <w:rPr>
                <w:rFonts w:eastAsia="Times New Roman"/>
              </w:rPr>
            </w:pPr>
          </w:p>
        </w:tc>
        <w:tc>
          <w:tcPr>
            <w:tcW w:w="0" w:type="auto"/>
            <w:vAlign w:val="center"/>
            <w:hideMark/>
          </w:tcPr>
          <w:p w14:paraId="2BEA5F79" w14:textId="77777777" w:rsidR="00000000" w:rsidRDefault="009B6C69">
            <w:pPr>
              <w:spacing w:after="100"/>
              <w:rPr>
                <w:rFonts w:eastAsia="Times New Roman"/>
                <w:sz w:val="20"/>
                <w:szCs w:val="20"/>
              </w:rPr>
            </w:pPr>
          </w:p>
        </w:tc>
        <w:tc>
          <w:tcPr>
            <w:tcW w:w="0" w:type="auto"/>
            <w:vAlign w:val="center"/>
            <w:hideMark/>
          </w:tcPr>
          <w:p w14:paraId="595D7E7F"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2CAAA4C" w14:textId="77777777" w:rsidR="00000000" w:rsidRDefault="009B6C69">
            <w:pPr>
              <w:spacing w:after="100"/>
              <w:jc w:val="center"/>
              <w:rPr>
                <w:rFonts w:eastAsia="Times New Roman"/>
              </w:rPr>
            </w:pPr>
            <w:r>
              <w:rPr>
                <w:rFonts w:eastAsia="Times New Roman"/>
                <w:b/>
                <w:bCs/>
                <w:color w:val="000000"/>
                <w:sz w:val="18"/>
                <w:szCs w:val="18"/>
              </w:rPr>
              <w:t>Change</w:t>
            </w:r>
          </w:p>
        </w:tc>
        <w:tc>
          <w:tcPr>
            <w:tcW w:w="0" w:type="auto"/>
            <w:vAlign w:val="center"/>
            <w:hideMark/>
          </w:tcPr>
          <w:p w14:paraId="63F40F7B" w14:textId="77777777" w:rsidR="00000000" w:rsidRDefault="009B6C69">
            <w:pPr>
              <w:spacing w:after="100"/>
              <w:jc w:val="center"/>
              <w:rPr>
                <w:rFonts w:eastAsia="Times New Roman"/>
              </w:rPr>
            </w:pPr>
          </w:p>
        </w:tc>
        <w:tc>
          <w:tcPr>
            <w:tcW w:w="0" w:type="auto"/>
            <w:vAlign w:val="center"/>
            <w:hideMark/>
          </w:tcPr>
          <w:p w14:paraId="2502D4DA" w14:textId="77777777" w:rsidR="00000000" w:rsidRDefault="009B6C69">
            <w:pPr>
              <w:spacing w:after="100"/>
              <w:rPr>
                <w:rFonts w:eastAsia="Times New Roman"/>
                <w:sz w:val="20"/>
                <w:szCs w:val="20"/>
              </w:rPr>
            </w:pPr>
          </w:p>
        </w:tc>
      </w:tr>
      <w:tr w:rsidR="00000000" w14:paraId="254A9026" w14:textId="77777777">
        <w:trPr>
          <w:divId w:val="164443219"/>
        </w:trPr>
        <w:tc>
          <w:tcPr>
            <w:tcW w:w="0" w:type="auto"/>
            <w:gridSpan w:val="3"/>
            <w:shd w:val="clear" w:color="auto" w:fill="CCEEFF"/>
            <w:tcMar>
              <w:top w:w="30" w:type="dxa"/>
              <w:left w:w="20" w:type="dxa"/>
              <w:bottom w:w="30" w:type="dxa"/>
              <w:right w:w="20" w:type="dxa"/>
            </w:tcMar>
            <w:vAlign w:val="bottom"/>
            <w:hideMark/>
          </w:tcPr>
          <w:p w14:paraId="095D8622" w14:textId="77777777" w:rsidR="00000000" w:rsidRDefault="009B6C69">
            <w:pPr>
              <w:spacing w:after="100"/>
              <w:rPr>
                <w:rFonts w:eastAsia="Times New Roman"/>
              </w:rPr>
            </w:pPr>
            <w:r>
              <w:rPr>
                <w:rFonts w:eastAsia="Times New Roman"/>
                <w:color w:val="000000"/>
                <w:sz w:val="18"/>
                <w:szCs w:val="18"/>
              </w:rPr>
              <w:t>Discontinued operations, net of income taxes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EF79D3"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218BAF" w14:textId="77777777" w:rsidR="00000000" w:rsidRDefault="009B6C69">
            <w:pPr>
              <w:spacing w:after="100"/>
              <w:jc w:val="right"/>
              <w:rPr>
                <w:rFonts w:eastAsia="Times New Roman"/>
              </w:rPr>
            </w:pPr>
            <w:r>
              <w:rPr>
                <w:rFonts w:eastAsia="Times New Roman"/>
                <w:color w:val="000000"/>
                <w:sz w:val="18"/>
                <w:szCs w:val="18"/>
              </w:rPr>
              <w:t>(50)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F8B85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C43CD1"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5DF0A6"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E5D829" w14:textId="77777777" w:rsidR="00000000" w:rsidRDefault="009B6C6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A27E2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CE6F2A" w14:textId="77777777" w:rsidR="00000000" w:rsidRDefault="009B6C69">
            <w:pPr>
              <w:spacing w:after="100"/>
              <w:jc w:val="right"/>
              <w:rPr>
                <w:rFonts w:eastAsia="Times New Roman"/>
                <w:sz w:val="20"/>
                <w:szCs w:val="20"/>
              </w:rPr>
            </w:pPr>
          </w:p>
        </w:tc>
        <w:tc>
          <w:tcPr>
            <w:tcW w:w="0" w:type="auto"/>
            <w:vAlign w:val="center"/>
            <w:hideMark/>
          </w:tcPr>
          <w:p w14:paraId="258B85A9" w14:textId="77777777" w:rsidR="00000000" w:rsidRDefault="009B6C69">
            <w:pPr>
              <w:spacing w:after="100"/>
              <w:rPr>
                <w:rFonts w:eastAsia="Times New Roman"/>
                <w:sz w:val="20"/>
                <w:szCs w:val="20"/>
              </w:rPr>
            </w:pPr>
          </w:p>
        </w:tc>
        <w:tc>
          <w:tcPr>
            <w:tcW w:w="0" w:type="auto"/>
            <w:vAlign w:val="center"/>
            <w:hideMark/>
          </w:tcPr>
          <w:p w14:paraId="74937158"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702BB6"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49D0F1" w14:textId="77777777" w:rsidR="00000000" w:rsidRDefault="009B6C69">
            <w:pPr>
              <w:spacing w:after="100"/>
              <w:jc w:val="right"/>
              <w:rPr>
                <w:rFonts w:eastAsia="Times New Roman"/>
              </w:rPr>
            </w:pPr>
            <w:r>
              <w:rPr>
                <w:rFonts w:eastAsia="Times New Roman"/>
                <w:color w:val="000000"/>
                <w:sz w:val="18"/>
                <w:szCs w:val="18"/>
              </w:rPr>
              <w:t>(50)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E16FA2" w14:textId="77777777" w:rsidR="00000000" w:rsidRDefault="009B6C69">
            <w:pPr>
              <w:spacing w:after="100"/>
              <w:jc w:val="right"/>
              <w:rPr>
                <w:rFonts w:eastAsia="Times New Roman"/>
              </w:rPr>
            </w:pPr>
          </w:p>
        </w:tc>
        <w:tc>
          <w:tcPr>
            <w:tcW w:w="0" w:type="auto"/>
            <w:vAlign w:val="center"/>
            <w:hideMark/>
          </w:tcPr>
          <w:p w14:paraId="1284A200" w14:textId="77777777" w:rsidR="00000000" w:rsidRDefault="009B6C69">
            <w:pPr>
              <w:spacing w:after="100"/>
              <w:jc w:val="right"/>
              <w:rPr>
                <w:rFonts w:eastAsia="Times New Roman"/>
                <w:sz w:val="20"/>
                <w:szCs w:val="20"/>
              </w:rPr>
            </w:pPr>
          </w:p>
        </w:tc>
        <w:tc>
          <w:tcPr>
            <w:tcW w:w="0" w:type="auto"/>
            <w:vAlign w:val="center"/>
            <w:hideMark/>
          </w:tcPr>
          <w:p w14:paraId="05478F21" w14:textId="77777777" w:rsidR="00000000" w:rsidRDefault="009B6C69">
            <w:pPr>
              <w:spacing w:after="100"/>
              <w:rPr>
                <w:rFonts w:eastAsia="Times New Roman"/>
                <w:sz w:val="20"/>
                <w:szCs w:val="20"/>
              </w:rPr>
            </w:pPr>
          </w:p>
        </w:tc>
      </w:tr>
    </w:tbl>
    <w:p w14:paraId="3888CD42" w14:textId="77777777" w:rsidR="00000000" w:rsidRDefault="009B6C69">
      <w:pPr>
        <w:ind w:firstLine="360"/>
        <w:divId w:val="1657804238"/>
        <w:rPr>
          <w:rFonts w:eastAsia="Times New Roman"/>
        </w:rPr>
      </w:pPr>
      <w:r>
        <w:rPr>
          <w:rFonts w:eastAsia="Times New Roman"/>
          <w:color w:val="000000"/>
          <w:sz w:val="20"/>
          <w:szCs w:val="20"/>
        </w:rPr>
        <w:t xml:space="preserve">Discontinued operations in fiscal 2022 related to net losses from the Non-Arriver businesses. Information regarding the Non-Arriver businesses is provided in this Annual Report in </w:t>
      </w:r>
      <w:r>
        <w:rPr>
          <w:rFonts w:eastAsia="Times New Roman"/>
          <w:color w:val="000000"/>
          <w:sz w:val="20"/>
          <w:szCs w:val="20"/>
        </w:rPr>
        <w:t>“Notes to Consolidated Financial Statements, Note 9. Acquisitions.”</w:t>
      </w:r>
    </w:p>
    <w:p w14:paraId="73373371" w14:textId="77777777" w:rsidR="00000000" w:rsidRDefault="009B6C69">
      <w:pPr>
        <w:jc w:val="center"/>
        <w:divId w:val="17899984"/>
        <w:rPr>
          <w:rFonts w:eastAsia="Times New Roman"/>
        </w:rPr>
      </w:pPr>
      <w:r>
        <w:rPr>
          <w:rFonts w:eastAsia="Times New Roman"/>
          <w:color w:val="000000"/>
          <w:sz w:val="20"/>
          <w:szCs w:val="20"/>
        </w:rPr>
        <w:t>42</w:t>
      </w:r>
    </w:p>
    <w:p w14:paraId="27BD676B" w14:textId="77777777" w:rsidR="00000000" w:rsidRDefault="009B6C69">
      <w:pPr>
        <w:rPr>
          <w:rFonts w:eastAsia="Times New Roman"/>
        </w:rPr>
      </w:pPr>
      <w:r>
        <w:rPr>
          <w:rFonts w:eastAsia="Times New Roman"/>
        </w:rPr>
        <w:pict w14:anchorId="4A06DC7C">
          <v:rect id="_x0000_i1066" style="width:0;height:1.5pt" o:hralign="center" o:hrstd="t" o:hr="t" fillcolor="#a0a0a0" stroked="f"/>
        </w:pict>
      </w:r>
    </w:p>
    <w:p w14:paraId="283546F8" w14:textId="77777777" w:rsidR="00000000" w:rsidRDefault="009B6C69">
      <w:pPr>
        <w:divId w:val="2053143420"/>
        <w:rPr>
          <w:rFonts w:eastAsia="Times New Roman"/>
        </w:rPr>
      </w:pPr>
    </w:p>
    <w:p w14:paraId="1EF05C6E" w14:textId="77777777" w:rsidR="00000000" w:rsidRDefault="009B6C69">
      <w:pPr>
        <w:divId w:val="2093503126"/>
        <w:rPr>
          <w:rFonts w:eastAsia="Times New Roman"/>
        </w:rPr>
      </w:pPr>
      <w:r>
        <w:rPr>
          <w:rFonts w:eastAsia="Times New Roman"/>
          <w:b/>
          <w:bCs/>
          <w:color w:val="000000"/>
          <w:sz w:val="20"/>
          <w:szCs w:val="20"/>
        </w:rPr>
        <w:t>Segment Results</w:t>
      </w:r>
    </w:p>
    <w:p w14:paraId="0616B49E" w14:textId="77777777" w:rsidR="00000000" w:rsidRDefault="009B6C69">
      <w:pPr>
        <w:ind w:firstLine="360"/>
        <w:divId w:val="1856842911"/>
        <w:rPr>
          <w:rFonts w:eastAsia="Times New Roman"/>
        </w:rPr>
      </w:pPr>
      <w:r>
        <w:rPr>
          <w:rFonts w:eastAsia="Times New Roman"/>
          <w:color w:val="000000"/>
          <w:sz w:val="20"/>
          <w:szCs w:val="20"/>
        </w:rPr>
        <w:t>The following should be read in conjunction with the fiscal 2022 and 2021 results of operations for each reportable segment includ</w:t>
      </w:r>
      <w:r>
        <w:rPr>
          <w:rFonts w:eastAsia="Times New Roman"/>
          <w:color w:val="000000"/>
          <w:sz w:val="20"/>
          <w:szCs w:val="20"/>
        </w:rPr>
        <w:t>ed in this Annual Report in “Notes to Consolidated Financial Statements, Note 8. Segment Information.”</w:t>
      </w:r>
    </w:p>
    <w:p w14:paraId="301BBDE8" w14:textId="77777777" w:rsidR="00000000" w:rsidRDefault="009B6C69">
      <w:pPr>
        <w:ind w:firstLine="360"/>
        <w:divId w:val="2072264570"/>
        <w:rPr>
          <w:rFonts w:eastAsia="Times New Roman"/>
        </w:rPr>
      </w:pPr>
      <w:r>
        <w:rPr>
          <w:rFonts w:eastAsia="Times New Roman"/>
          <w:b/>
          <w:bCs/>
          <w:i/>
          <w:iCs/>
          <w:color w:val="000000"/>
          <w:sz w:val="20"/>
          <w:szCs w:val="20"/>
        </w:rPr>
        <w:t>QCT Segment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9"/>
        <w:gridCol w:w="4878"/>
        <w:gridCol w:w="37"/>
        <w:gridCol w:w="110"/>
        <w:gridCol w:w="811"/>
        <w:gridCol w:w="170"/>
        <w:gridCol w:w="36"/>
        <w:gridCol w:w="36"/>
        <w:gridCol w:w="36"/>
        <w:gridCol w:w="110"/>
        <w:gridCol w:w="737"/>
        <w:gridCol w:w="170"/>
        <w:gridCol w:w="36"/>
        <w:gridCol w:w="36"/>
        <w:gridCol w:w="36"/>
        <w:gridCol w:w="36"/>
        <w:gridCol w:w="36"/>
        <w:gridCol w:w="110"/>
        <w:gridCol w:w="738"/>
        <w:gridCol w:w="36"/>
        <w:gridCol w:w="36"/>
        <w:gridCol w:w="36"/>
      </w:tblGrid>
      <w:tr w:rsidR="00000000" w14:paraId="770B6D03" w14:textId="77777777">
        <w:trPr>
          <w:divId w:val="2072264570"/>
        </w:trPr>
        <w:tc>
          <w:tcPr>
            <w:tcW w:w="50" w:type="pct"/>
            <w:vAlign w:val="center"/>
            <w:hideMark/>
          </w:tcPr>
          <w:p w14:paraId="33514313" w14:textId="77777777" w:rsidR="00000000" w:rsidRDefault="009B6C69">
            <w:pPr>
              <w:ind w:firstLine="360"/>
              <w:rPr>
                <w:rFonts w:eastAsia="Times New Roman"/>
              </w:rPr>
            </w:pPr>
          </w:p>
        </w:tc>
        <w:tc>
          <w:tcPr>
            <w:tcW w:w="3062" w:type="pct"/>
            <w:vAlign w:val="center"/>
            <w:hideMark/>
          </w:tcPr>
          <w:p w14:paraId="4F8708EB" w14:textId="77777777" w:rsidR="00000000" w:rsidRDefault="009B6C69">
            <w:pPr>
              <w:spacing w:after="100"/>
              <w:rPr>
                <w:rFonts w:eastAsia="Times New Roman"/>
                <w:sz w:val="20"/>
                <w:szCs w:val="20"/>
              </w:rPr>
            </w:pPr>
          </w:p>
        </w:tc>
        <w:tc>
          <w:tcPr>
            <w:tcW w:w="5" w:type="pct"/>
            <w:vAlign w:val="center"/>
            <w:hideMark/>
          </w:tcPr>
          <w:p w14:paraId="0A6DF11F" w14:textId="77777777" w:rsidR="00000000" w:rsidRDefault="009B6C69">
            <w:pPr>
              <w:spacing w:after="100"/>
              <w:rPr>
                <w:rFonts w:eastAsia="Times New Roman"/>
                <w:sz w:val="20"/>
                <w:szCs w:val="20"/>
              </w:rPr>
            </w:pPr>
          </w:p>
        </w:tc>
        <w:tc>
          <w:tcPr>
            <w:tcW w:w="50" w:type="pct"/>
            <w:vAlign w:val="center"/>
            <w:hideMark/>
          </w:tcPr>
          <w:p w14:paraId="36C7EC42" w14:textId="77777777" w:rsidR="00000000" w:rsidRDefault="009B6C69">
            <w:pPr>
              <w:spacing w:after="100"/>
              <w:rPr>
                <w:rFonts w:eastAsia="Times New Roman"/>
                <w:sz w:val="20"/>
                <w:szCs w:val="20"/>
              </w:rPr>
            </w:pPr>
          </w:p>
        </w:tc>
        <w:tc>
          <w:tcPr>
            <w:tcW w:w="547" w:type="pct"/>
            <w:vAlign w:val="center"/>
            <w:hideMark/>
          </w:tcPr>
          <w:p w14:paraId="2EBF6A15" w14:textId="77777777" w:rsidR="00000000" w:rsidRDefault="009B6C69">
            <w:pPr>
              <w:spacing w:after="100"/>
              <w:rPr>
                <w:rFonts w:eastAsia="Times New Roman"/>
                <w:sz w:val="20"/>
                <w:szCs w:val="20"/>
              </w:rPr>
            </w:pPr>
          </w:p>
        </w:tc>
        <w:tc>
          <w:tcPr>
            <w:tcW w:w="5" w:type="pct"/>
            <w:vAlign w:val="center"/>
            <w:hideMark/>
          </w:tcPr>
          <w:p w14:paraId="005573C3" w14:textId="77777777" w:rsidR="00000000" w:rsidRDefault="009B6C69">
            <w:pPr>
              <w:spacing w:after="100"/>
              <w:rPr>
                <w:rFonts w:eastAsia="Times New Roman"/>
                <w:sz w:val="20"/>
                <w:szCs w:val="20"/>
              </w:rPr>
            </w:pPr>
          </w:p>
        </w:tc>
        <w:tc>
          <w:tcPr>
            <w:tcW w:w="5" w:type="pct"/>
            <w:vAlign w:val="center"/>
            <w:hideMark/>
          </w:tcPr>
          <w:p w14:paraId="6946A1EE" w14:textId="77777777" w:rsidR="00000000" w:rsidRDefault="009B6C69">
            <w:pPr>
              <w:spacing w:after="100"/>
              <w:rPr>
                <w:rFonts w:eastAsia="Times New Roman"/>
                <w:sz w:val="20"/>
                <w:szCs w:val="20"/>
              </w:rPr>
            </w:pPr>
          </w:p>
        </w:tc>
        <w:tc>
          <w:tcPr>
            <w:tcW w:w="27" w:type="pct"/>
            <w:vAlign w:val="center"/>
            <w:hideMark/>
          </w:tcPr>
          <w:p w14:paraId="55BF1A1A" w14:textId="77777777" w:rsidR="00000000" w:rsidRDefault="009B6C69">
            <w:pPr>
              <w:spacing w:after="100"/>
              <w:rPr>
                <w:rFonts w:eastAsia="Times New Roman"/>
                <w:sz w:val="20"/>
                <w:szCs w:val="20"/>
              </w:rPr>
            </w:pPr>
          </w:p>
        </w:tc>
        <w:tc>
          <w:tcPr>
            <w:tcW w:w="5" w:type="pct"/>
            <w:vAlign w:val="center"/>
            <w:hideMark/>
          </w:tcPr>
          <w:p w14:paraId="1F593C3A" w14:textId="77777777" w:rsidR="00000000" w:rsidRDefault="009B6C69">
            <w:pPr>
              <w:spacing w:after="100"/>
              <w:rPr>
                <w:rFonts w:eastAsia="Times New Roman"/>
                <w:sz w:val="20"/>
                <w:szCs w:val="20"/>
              </w:rPr>
            </w:pPr>
          </w:p>
        </w:tc>
        <w:tc>
          <w:tcPr>
            <w:tcW w:w="50" w:type="pct"/>
            <w:vAlign w:val="center"/>
            <w:hideMark/>
          </w:tcPr>
          <w:p w14:paraId="3D683C4F" w14:textId="77777777" w:rsidR="00000000" w:rsidRDefault="009B6C69">
            <w:pPr>
              <w:spacing w:after="100"/>
              <w:rPr>
                <w:rFonts w:eastAsia="Times New Roman"/>
                <w:sz w:val="20"/>
                <w:szCs w:val="20"/>
              </w:rPr>
            </w:pPr>
          </w:p>
        </w:tc>
        <w:tc>
          <w:tcPr>
            <w:tcW w:w="547" w:type="pct"/>
            <w:vAlign w:val="center"/>
            <w:hideMark/>
          </w:tcPr>
          <w:p w14:paraId="62DE883A" w14:textId="77777777" w:rsidR="00000000" w:rsidRDefault="009B6C69">
            <w:pPr>
              <w:spacing w:after="100"/>
              <w:rPr>
                <w:rFonts w:eastAsia="Times New Roman"/>
                <w:sz w:val="20"/>
                <w:szCs w:val="20"/>
              </w:rPr>
            </w:pPr>
          </w:p>
        </w:tc>
        <w:tc>
          <w:tcPr>
            <w:tcW w:w="5" w:type="pct"/>
            <w:vAlign w:val="center"/>
            <w:hideMark/>
          </w:tcPr>
          <w:p w14:paraId="0E1CF7A2" w14:textId="77777777" w:rsidR="00000000" w:rsidRDefault="009B6C69">
            <w:pPr>
              <w:spacing w:after="100"/>
              <w:rPr>
                <w:rFonts w:eastAsia="Times New Roman"/>
                <w:sz w:val="20"/>
                <w:szCs w:val="20"/>
              </w:rPr>
            </w:pPr>
          </w:p>
        </w:tc>
        <w:tc>
          <w:tcPr>
            <w:tcW w:w="0" w:type="auto"/>
            <w:vAlign w:val="center"/>
            <w:hideMark/>
          </w:tcPr>
          <w:p w14:paraId="0854BE2C" w14:textId="77777777" w:rsidR="00000000" w:rsidRDefault="009B6C69">
            <w:pPr>
              <w:spacing w:after="100"/>
              <w:rPr>
                <w:rFonts w:eastAsia="Times New Roman"/>
                <w:sz w:val="20"/>
                <w:szCs w:val="20"/>
              </w:rPr>
            </w:pPr>
          </w:p>
        </w:tc>
        <w:tc>
          <w:tcPr>
            <w:tcW w:w="0" w:type="auto"/>
            <w:vAlign w:val="center"/>
            <w:hideMark/>
          </w:tcPr>
          <w:p w14:paraId="361059EE" w14:textId="77777777" w:rsidR="00000000" w:rsidRDefault="009B6C69">
            <w:pPr>
              <w:spacing w:after="100"/>
              <w:rPr>
                <w:rFonts w:eastAsia="Times New Roman"/>
                <w:sz w:val="20"/>
                <w:szCs w:val="20"/>
              </w:rPr>
            </w:pPr>
          </w:p>
        </w:tc>
        <w:tc>
          <w:tcPr>
            <w:tcW w:w="5" w:type="pct"/>
            <w:vAlign w:val="center"/>
            <w:hideMark/>
          </w:tcPr>
          <w:p w14:paraId="2C56BEED" w14:textId="77777777" w:rsidR="00000000" w:rsidRDefault="009B6C69">
            <w:pPr>
              <w:spacing w:after="100"/>
              <w:rPr>
                <w:rFonts w:eastAsia="Times New Roman"/>
                <w:sz w:val="20"/>
                <w:szCs w:val="20"/>
              </w:rPr>
            </w:pPr>
          </w:p>
        </w:tc>
        <w:tc>
          <w:tcPr>
            <w:tcW w:w="27" w:type="pct"/>
            <w:vAlign w:val="center"/>
            <w:hideMark/>
          </w:tcPr>
          <w:p w14:paraId="16E75E2C" w14:textId="77777777" w:rsidR="00000000" w:rsidRDefault="009B6C69">
            <w:pPr>
              <w:spacing w:after="100"/>
              <w:rPr>
                <w:rFonts w:eastAsia="Times New Roman"/>
                <w:sz w:val="20"/>
                <w:szCs w:val="20"/>
              </w:rPr>
            </w:pPr>
          </w:p>
        </w:tc>
        <w:tc>
          <w:tcPr>
            <w:tcW w:w="5" w:type="pct"/>
            <w:vAlign w:val="center"/>
            <w:hideMark/>
          </w:tcPr>
          <w:p w14:paraId="451469D1" w14:textId="77777777" w:rsidR="00000000" w:rsidRDefault="009B6C69">
            <w:pPr>
              <w:spacing w:after="100"/>
              <w:rPr>
                <w:rFonts w:eastAsia="Times New Roman"/>
                <w:sz w:val="20"/>
                <w:szCs w:val="20"/>
              </w:rPr>
            </w:pPr>
          </w:p>
        </w:tc>
        <w:tc>
          <w:tcPr>
            <w:tcW w:w="50" w:type="pct"/>
            <w:vAlign w:val="center"/>
            <w:hideMark/>
          </w:tcPr>
          <w:p w14:paraId="3B2C5ABB" w14:textId="77777777" w:rsidR="00000000" w:rsidRDefault="009B6C69">
            <w:pPr>
              <w:spacing w:after="100"/>
              <w:rPr>
                <w:rFonts w:eastAsia="Times New Roman"/>
                <w:sz w:val="20"/>
                <w:szCs w:val="20"/>
              </w:rPr>
            </w:pPr>
          </w:p>
        </w:tc>
        <w:tc>
          <w:tcPr>
            <w:tcW w:w="547" w:type="pct"/>
            <w:vAlign w:val="center"/>
            <w:hideMark/>
          </w:tcPr>
          <w:p w14:paraId="2FA18FAD" w14:textId="77777777" w:rsidR="00000000" w:rsidRDefault="009B6C69">
            <w:pPr>
              <w:spacing w:after="100"/>
              <w:rPr>
                <w:rFonts w:eastAsia="Times New Roman"/>
                <w:sz w:val="20"/>
                <w:szCs w:val="20"/>
              </w:rPr>
            </w:pPr>
          </w:p>
        </w:tc>
        <w:tc>
          <w:tcPr>
            <w:tcW w:w="5" w:type="pct"/>
            <w:vAlign w:val="center"/>
            <w:hideMark/>
          </w:tcPr>
          <w:p w14:paraId="6411AE39" w14:textId="77777777" w:rsidR="00000000" w:rsidRDefault="009B6C69">
            <w:pPr>
              <w:spacing w:after="100"/>
              <w:rPr>
                <w:rFonts w:eastAsia="Times New Roman"/>
                <w:sz w:val="20"/>
                <w:szCs w:val="20"/>
              </w:rPr>
            </w:pPr>
          </w:p>
        </w:tc>
        <w:tc>
          <w:tcPr>
            <w:tcW w:w="0" w:type="auto"/>
            <w:vAlign w:val="center"/>
            <w:hideMark/>
          </w:tcPr>
          <w:p w14:paraId="15559A66" w14:textId="77777777" w:rsidR="00000000" w:rsidRDefault="009B6C69">
            <w:pPr>
              <w:spacing w:after="100"/>
              <w:rPr>
                <w:rFonts w:eastAsia="Times New Roman"/>
                <w:sz w:val="20"/>
                <w:szCs w:val="20"/>
              </w:rPr>
            </w:pPr>
          </w:p>
        </w:tc>
        <w:tc>
          <w:tcPr>
            <w:tcW w:w="0" w:type="auto"/>
            <w:vAlign w:val="center"/>
            <w:hideMark/>
          </w:tcPr>
          <w:p w14:paraId="1010FECB" w14:textId="77777777" w:rsidR="00000000" w:rsidRDefault="009B6C69">
            <w:pPr>
              <w:spacing w:after="100"/>
              <w:rPr>
                <w:rFonts w:eastAsia="Times New Roman"/>
                <w:sz w:val="20"/>
                <w:szCs w:val="20"/>
              </w:rPr>
            </w:pPr>
          </w:p>
        </w:tc>
      </w:tr>
      <w:tr w:rsidR="00000000" w14:paraId="7E6A5E61" w14:textId="77777777">
        <w:trPr>
          <w:divId w:val="2072264570"/>
        </w:trPr>
        <w:tc>
          <w:tcPr>
            <w:tcW w:w="0" w:type="auto"/>
            <w:gridSpan w:val="3"/>
            <w:tcMar>
              <w:top w:w="0" w:type="dxa"/>
              <w:left w:w="20" w:type="dxa"/>
              <w:bottom w:w="0" w:type="dxa"/>
              <w:right w:w="20" w:type="dxa"/>
            </w:tcMar>
            <w:vAlign w:val="center"/>
            <w:hideMark/>
          </w:tcPr>
          <w:p w14:paraId="0C61FFEF"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6A42069"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14:paraId="017C128C"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FE03365"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vAlign w:val="center"/>
            <w:hideMark/>
          </w:tcPr>
          <w:p w14:paraId="27205574" w14:textId="77777777" w:rsidR="00000000" w:rsidRDefault="009B6C69">
            <w:pPr>
              <w:spacing w:after="100"/>
              <w:jc w:val="center"/>
              <w:rPr>
                <w:rFonts w:eastAsia="Times New Roman"/>
              </w:rPr>
            </w:pPr>
          </w:p>
        </w:tc>
        <w:tc>
          <w:tcPr>
            <w:tcW w:w="0" w:type="auto"/>
            <w:vAlign w:val="center"/>
            <w:hideMark/>
          </w:tcPr>
          <w:p w14:paraId="1E7B051E"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80140B"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C8DDEC5" w14:textId="77777777" w:rsidR="00000000" w:rsidRDefault="009B6C69">
            <w:pPr>
              <w:spacing w:after="100"/>
              <w:jc w:val="center"/>
              <w:rPr>
                <w:rFonts w:eastAsia="Times New Roman"/>
              </w:rPr>
            </w:pPr>
            <w:r>
              <w:rPr>
                <w:rFonts w:eastAsia="Times New Roman"/>
                <w:b/>
                <w:bCs/>
                <w:color w:val="000000"/>
                <w:sz w:val="18"/>
                <w:szCs w:val="18"/>
              </w:rPr>
              <w:t> Change</w:t>
            </w:r>
          </w:p>
        </w:tc>
        <w:tc>
          <w:tcPr>
            <w:tcW w:w="0" w:type="auto"/>
            <w:vAlign w:val="center"/>
            <w:hideMark/>
          </w:tcPr>
          <w:p w14:paraId="69A81C08" w14:textId="77777777" w:rsidR="00000000" w:rsidRDefault="009B6C69">
            <w:pPr>
              <w:spacing w:after="100"/>
              <w:jc w:val="center"/>
              <w:rPr>
                <w:rFonts w:eastAsia="Times New Roman"/>
              </w:rPr>
            </w:pPr>
          </w:p>
        </w:tc>
        <w:tc>
          <w:tcPr>
            <w:tcW w:w="0" w:type="auto"/>
            <w:vAlign w:val="center"/>
            <w:hideMark/>
          </w:tcPr>
          <w:p w14:paraId="71485178" w14:textId="77777777" w:rsidR="00000000" w:rsidRDefault="009B6C69">
            <w:pPr>
              <w:spacing w:after="100"/>
              <w:rPr>
                <w:rFonts w:eastAsia="Times New Roman"/>
                <w:sz w:val="20"/>
                <w:szCs w:val="20"/>
              </w:rPr>
            </w:pPr>
          </w:p>
        </w:tc>
      </w:tr>
      <w:tr w:rsidR="00000000" w14:paraId="779B9C21" w14:textId="77777777">
        <w:trPr>
          <w:divId w:val="2072264570"/>
        </w:trPr>
        <w:tc>
          <w:tcPr>
            <w:tcW w:w="0" w:type="auto"/>
            <w:gridSpan w:val="3"/>
            <w:shd w:val="clear" w:color="auto" w:fill="FFFFFF"/>
            <w:tcMar>
              <w:top w:w="30" w:type="dxa"/>
              <w:left w:w="20" w:type="dxa"/>
              <w:bottom w:w="30" w:type="dxa"/>
              <w:right w:w="20" w:type="dxa"/>
            </w:tcMar>
            <w:vAlign w:val="bottom"/>
            <w:hideMark/>
          </w:tcPr>
          <w:p w14:paraId="51B39DC2" w14:textId="77777777" w:rsidR="00000000" w:rsidRDefault="009B6C69">
            <w:pPr>
              <w:spacing w:after="100"/>
              <w:rPr>
                <w:rFonts w:eastAsia="Times New Roman"/>
              </w:rPr>
            </w:pPr>
            <w:r>
              <w:rPr>
                <w:rFonts w:eastAsia="Times New Roman"/>
                <w:b/>
                <w:bCs/>
                <w:color w:val="000000"/>
                <w:sz w:val="18"/>
                <w:szCs w:val="18"/>
              </w:rPr>
              <w:t>Revenues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2B7F251" w14:textId="77777777" w:rsidR="00000000" w:rsidRDefault="009B6C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D7FB46" w14:textId="77777777" w:rsidR="00000000" w:rsidRDefault="009B6C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9CF6AFF" w14:textId="77777777" w:rsidR="00000000" w:rsidRDefault="009B6C69">
            <w:pPr>
              <w:spacing w:after="100"/>
              <w:rPr>
                <w:rFonts w:eastAsia="Times New Roman"/>
                <w:sz w:val="20"/>
                <w:szCs w:val="20"/>
              </w:rPr>
            </w:pPr>
          </w:p>
        </w:tc>
        <w:tc>
          <w:tcPr>
            <w:tcW w:w="0" w:type="auto"/>
            <w:vAlign w:val="center"/>
            <w:hideMark/>
          </w:tcPr>
          <w:p w14:paraId="454885D0" w14:textId="77777777" w:rsidR="00000000" w:rsidRDefault="009B6C69">
            <w:pPr>
              <w:spacing w:after="100"/>
              <w:rPr>
                <w:rFonts w:eastAsia="Times New Roman"/>
                <w:sz w:val="20"/>
                <w:szCs w:val="20"/>
              </w:rPr>
            </w:pPr>
          </w:p>
        </w:tc>
        <w:tc>
          <w:tcPr>
            <w:tcW w:w="0" w:type="auto"/>
            <w:vAlign w:val="center"/>
            <w:hideMark/>
          </w:tcPr>
          <w:p w14:paraId="0A4259DA"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7DB924" w14:textId="77777777" w:rsidR="00000000" w:rsidRDefault="009B6C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83475B8" w14:textId="77777777" w:rsidR="00000000" w:rsidRDefault="009B6C69">
            <w:pPr>
              <w:spacing w:after="100"/>
              <w:rPr>
                <w:rFonts w:eastAsia="Times New Roman"/>
                <w:sz w:val="20"/>
                <w:szCs w:val="20"/>
              </w:rPr>
            </w:pPr>
          </w:p>
        </w:tc>
        <w:tc>
          <w:tcPr>
            <w:tcW w:w="0" w:type="auto"/>
            <w:vAlign w:val="center"/>
            <w:hideMark/>
          </w:tcPr>
          <w:p w14:paraId="7F94CCF0" w14:textId="77777777" w:rsidR="00000000" w:rsidRDefault="009B6C69">
            <w:pPr>
              <w:spacing w:after="100"/>
              <w:rPr>
                <w:rFonts w:eastAsia="Times New Roman"/>
                <w:sz w:val="20"/>
                <w:szCs w:val="20"/>
              </w:rPr>
            </w:pPr>
          </w:p>
        </w:tc>
        <w:tc>
          <w:tcPr>
            <w:tcW w:w="0" w:type="auto"/>
            <w:vAlign w:val="center"/>
            <w:hideMark/>
          </w:tcPr>
          <w:p w14:paraId="0A86FCC4" w14:textId="77777777" w:rsidR="00000000" w:rsidRDefault="009B6C69">
            <w:pPr>
              <w:spacing w:after="100"/>
              <w:rPr>
                <w:rFonts w:eastAsia="Times New Roman"/>
                <w:sz w:val="20"/>
                <w:szCs w:val="20"/>
              </w:rPr>
            </w:pPr>
          </w:p>
        </w:tc>
      </w:tr>
      <w:tr w:rsidR="00000000" w14:paraId="03F381B6" w14:textId="77777777">
        <w:trPr>
          <w:divId w:val="2072264570"/>
        </w:trPr>
        <w:tc>
          <w:tcPr>
            <w:tcW w:w="0" w:type="auto"/>
            <w:gridSpan w:val="3"/>
            <w:shd w:val="clear" w:color="auto" w:fill="CCEEFF"/>
            <w:tcMar>
              <w:top w:w="30" w:type="dxa"/>
              <w:left w:w="155" w:type="dxa"/>
              <w:bottom w:w="30" w:type="dxa"/>
              <w:right w:w="20" w:type="dxa"/>
            </w:tcMar>
            <w:vAlign w:val="bottom"/>
            <w:hideMark/>
          </w:tcPr>
          <w:p w14:paraId="27C18F48" w14:textId="77777777" w:rsidR="00000000" w:rsidRDefault="009B6C69">
            <w:pPr>
              <w:spacing w:after="100"/>
              <w:rPr>
                <w:rFonts w:eastAsia="Times New Roman"/>
              </w:rPr>
            </w:pPr>
            <w:r>
              <w:rPr>
                <w:rFonts w:eastAsia="Times New Roman"/>
                <w:color w:val="000000"/>
                <w:sz w:val="18"/>
                <w:szCs w:val="18"/>
              </w:rPr>
              <w:t>Handsets (1)</w:t>
            </w:r>
          </w:p>
        </w:tc>
        <w:tc>
          <w:tcPr>
            <w:tcW w:w="0" w:type="auto"/>
            <w:shd w:val="clear" w:color="auto" w:fill="CCEEFF"/>
            <w:tcMar>
              <w:top w:w="30" w:type="dxa"/>
              <w:left w:w="20" w:type="dxa"/>
              <w:bottom w:w="30" w:type="dxa"/>
              <w:right w:w="0" w:type="dxa"/>
            </w:tcMar>
            <w:vAlign w:val="bottom"/>
            <w:hideMark/>
          </w:tcPr>
          <w:p w14:paraId="47A28935"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1769E1B" w14:textId="77777777" w:rsidR="00000000" w:rsidRDefault="009B6C69">
            <w:pPr>
              <w:spacing w:after="100"/>
              <w:jc w:val="right"/>
              <w:rPr>
                <w:rFonts w:eastAsia="Times New Roman"/>
              </w:rPr>
            </w:pPr>
            <w:r>
              <w:rPr>
                <w:rFonts w:eastAsia="Times New Roman"/>
                <w:color w:val="000000"/>
                <w:sz w:val="18"/>
                <w:szCs w:val="18"/>
              </w:rPr>
              <w:t>25,027 </w:t>
            </w:r>
          </w:p>
        </w:tc>
        <w:tc>
          <w:tcPr>
            <w:tcW w:w="0" w:type="auto"/>
            <w:shd w:val="clear" w:color="auto" w:fill="CCEEFF"/>
            <w:tcMar>
              <w:top w:w="30" w:type="dxa"/>
              <w:left w:w="0" w:type="dxa"/>
              <w:bottom w:w="30" w:type="dxa"/>
              <w:right w:w="20" w:type="dxa"/>
            </w:tcMar>
            <w:vAlign w:val="bottom"/>
            <w:hideMark/>
          </w:tcPr>
          <w:p w14:paraId="7E9C423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A4C145"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A9761FD"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C96EC4B" w14:textId="77777777" w:rsidR="00000000" w:rsidRDefault="009B6C69">
            <w:pPr>
              <w:spacing w:after="100"/>
              <w:jc w:val="right"/>
              <w:rPr>
                <w:rFonts w:eastAsia="Times New Roman"/>
              </w:rPr>
            </w:pPr>
            <w:r>
              <w:rPr>
                <w:rFonts w:eastAsia="Times New Roman"/>
                <w:color w:val="000000"/>
                <w:sz w:val="18"/>
                <w:szCs w:val="18"/>
              </w:rPr>
              <w:t>16,830 </w:t>
            </w:r>
          </w:p>
        </w:tc>
        <w:tc>
          <w:tcPr>
            <w:tcW w:w="0" w:type="auto"/>
            <w:shd w:val="clear" w:color="auto" w:fill="CCEEFF"/>
            <w:tcMar>
              <w:top w:w="30" w:type="dxa"/>
              <w:left w:w="0" w:type="dxa"/>
              <w:bottom w:w="30" w:type="dxa"/>
              <w:right w:w="20" w:type="dxa"/>
            </w:tcMar>
            <w:vAlign w:val="bottom"/>
            <w:hideMark/>
          </w:tcPr>
          <w:p w14:paraId="74F3DABA" w14:textId="77777777" w:rsidR="00000000" w:rsidRDefault="009B6C69">
            <w:pPr>
              <w:spacing w:after="100"/>
              <w:jc w:val="right"/>
              <w:rPr>
                <w:rFonts w:eastAsia="Times New Roman"/>
              </w:rPr>
            </w:pPr>
          </w:p>
        </w:tc>
        <w:tc>
          <w:tcPr>
            <w:tcW w:w="0" w:type="auto"/>
            <w:vAlign w:val="center"/>
            <w:hideMark/>
          </w:tcPr>
          <w:p w14:paraId="4A1AF78C" w14:textId="77777777" w:rsidR="00000000" w:rsidRDefault="009B6C69">
            <w:pPr>
              <w:spacing w:after="100"/>
              <w:jc w:val="right"/>
              <w:rPr>
                <w:rFonts w:eastAsia="Times New Roman"/>
                <w:sz w:val="20"/>
                <w:szCs w:val="20"/>
              </w:rPr>
            </w:pPr>
          </w:p>
        </w:tc>
        <w:tc>
          <w:tcPr>
            <w:tcW w:w="0" w:type="auto"/>
            <w:vAlign w:val="center"/>
            <w:hideMark/>
          </w:tcPr>
          <w:p w14:paraId="079797F2"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ACC979" w14:textId="77777777" w:rsidR="00000000" w:rsidRDefault="009B6C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BA0764"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3BA5867" w14:textId="77777777" w:rsidR="00000000" w:rsidRDefault="009B6C69">
            <w:pPr>
              <w:spacing w:after="100"/>
              <w:jc w:val="right"/>
              <w:rPr>
                <w:rFonts w:eastAsia="Times New Roman"/>
              </w:rPr>
            </w:pPr>
            <w:r>
              <w:rPr>
                <w:rFonts w:eastAsia="Times New Roman"/>
                <w:color w:val="000000"/>
                <w:sz w:val="18"/>
                <w:szCs w:val="18"/>
              </w:rPr>
              <w:t>8,197 </w:t>
            </w:r>
          </w:p>
        </w:tc>
        <w:tc>
          <w:tcPr>
            <w:tcW w:w="0" w:type="auto"/>
            <w:shd w:val="clear" w:color="auto" w:fill="CCEEFF"/>
            <w:tcMar>
              <w:top w:w="30" w:type="dxa"/>
              <w:left w:w="0" w:type="dxa"/>
              <w:bottom w:w="30" w:type="dxa"/>
              <w:right w:w="20" w:type="dxa"/>
            </w:tcMar>
            <w:vAlign w:val="bottom"/>
            <w:hideMark/>
          </w:tcPr>
          <w:p w14:paraId="3EDE2F6D" w14:textId="77777777" w:rsidR="00000000" w:rsidRDefault="009B6C69">
            <w:pPr>
              <w:spacing w:after="100"/>
              <w:jc w:val="right"/>
              <w:rPr>
                <w:rFonts w:eastAsia="Times New Roman"/>
              </w:rPr>
            </w:pPr>
          </w:p>
        </w:tc>
        <w:tc>
          <w:tcPr>
            <w:tcW w:w="0" w:type="auto"/>
            <w:vAlign w:val="center"/>
            <w:hideMark/>
          </w:tcPr>
          <w:p w14:paraId="6CCE316D" w14:textId="77777777" w:rsidR="00000000" w:rsidRDefault="009B6C69">
            <w:pPr>
              <w:spacing w:after="100"/>
              <w:jc w:val="right"/>
              <w:rPr>
                <w:rFonts w:eastAsia="Times New Roman"/>
                <w:sz w:val="20"/>
                <w:szCs w:val="20"/>
              </w:rPr>
            </w:pPr>
          </w:p>
        </w:tc>
        <w:tc>
          <w:tcPr>
            <w:tcW w:w="0" w:type="auto"/>
            <w:vAlign w:val="center"/>
            <w:hideMark/>
          </w:tcPr>
          <w:p w14:paraId="3D4B11B8" w14:textId="77777777" w:rsidR="00000000" w:rsidRDefault="009B6C69">
            <w:pPr>
              <w:spacing w:after="100"/>
              <w:rPr>
                <w:rFonts w:eastAsia="Times New Roman"/>
                <w:sz w:val="20"/>
                <w:szCs w:val="20"/>
              </w:rPr>
            </w:pPr>
          </w:p>
        </w:tc>
      </w:tr>
      <w:tr w:rsidR="00000000" w14:paraId="2C27D376" w14:textId="77777777">
        <w:trPr>
          <w:divId w:val="2072264570"/>
        </w:trPr>
        <w:tc>
          <w:tcPr>
            <w:tcW w:w="0" w:type="auto"/>
            <w:gridSpan w:val="3"/>
            <w:shd w:val="clear" w:color="auto" w:fill="FFFFFF"/>
            <w:tcMar>
              <w:top w:w="30" w:type="dxa"/>
              <w:left w:w="155" w:type="dxa"/>
              <w:bottom w:w="30" w:type="dxa"/>
              <w:right w:w="20" w:type="dxa"/>
            </w:tcMar>
            <w:vAlign w:val="bottom"/>
            <w:hideMark/>
          </w:tcPr>
          <w:p w14:paraId="2FC3C9A2" w14:textId="77777777" w:rsidR="00000000" w:rsidRDefault="009B6C69">
            <w:pPr>
              <w:spacing w:after="100"/>
              <w:rPr>
                <w:rFonts w:eastAsia="Times New Roman"/>
              </w:rPr>
            </w:pPr>
            <w:r>
              <w:rPr>
                <w:rFonts w:eastAsia="Times New Roman"/>
                <w:color w:val="000000"/>
                <w:sz w:val="18"/>
                <w:szCs w:val="18"/>
              </w:rPr>
              <w:t>RFFE (2)</w:t>
            </w:r>
          </w:p>
        </w:tc>
        <w:tc>
          <w:tcPr>
            <w:tcW w:w="0" w:type="auto"/>
            <w:gridSpan w:val="2"/>
            <w:shd w:val="clear" w:color="auto" w:fill="FFFFFF"/>
            <w:tcMar>
              <w:top w:w="30" w:type="dxa"/>
              <w:left w:w="20" w:type="dxa"/>
              <w:bottom w:w="30" w:type="dxa"/>
              <w:right w:w="0" w:type="dxa"/>
            </w:tcMar>
            <w:vAlign w:val="bottom"/>
            <w:hideMark/>
          </w:tcPr>
          <w:p w14:paraId="051B0D45" w14:textId="77777777" w:rsidR="00000000" w:rsidRDefault="009B6C69">
            <w:pPr>
              <w:spacing w:after="100"/>
              <w:jc w:val="right"/>
              <w:rPr>
                <w:rFonts w:eastAsia="Times New Roman"/>
              </w:rPr>
            </w:pPr>
            <w:r>
              <w:rPr>
                <w:rFonts w:eastAsia="Times New Roman"/>
                <w:color w:val="000000"/>
                <w:sz w:val="18"/>
                <w:szCs w:val="18"/>
              </w:rPr>
              <w:t>4,330 </w:t>
            </w:r>
          </w:p>
        </w:tc>
        <w:tc>
          <w:tcPr>
            <w:tcW w:w="0" w:type="auto"/>
            <w:shd w:val="clear" w:color="auto" w:fill="FFFFFF"/>
            <w:tcMar>
              <w:top w:w="30" w:type="dxa"/>
              <w:left w:w="0" w:type="dxa"/>
              <w:bottom w:w="30" w:type="dxa"/>
              <w:right w:w="20" w:type="dxa"/>
            </w:tcMar>
            <w:vAlign w:val="bottom"/>
            <w:hideMark/>
          </w:tcPr>
          <w:p w14:paraId="79D8B32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5CF97E"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DC1E08" w14:textId="77777777" w:rsidR="00000000" w:rsidRDefault="009B6C69">
            <w:pPr>
              <w:spacing w:after="100"/>
              <w:jc w:val="right"/>
              <w:rPr>
                <w:rFonts w:eastAsia="Times New Roman"/>
              </w:rPr>
            </w:pPr>
            <w:r>
              <w:rPr>
                <w:rFonts w:eastAsia="Times New Roman"/>
                <w:color w:val="000000"/>
                <w:sz w:val="18"/>
                <w:szCs w:val="18"/>
              </w:rPr>
              <w:t>4,158 </w:t>
            </w:r>
          </w:p>
        </w:tc>
        <w:tc>
          <w:tcPr>
            <w:tcW w:w="0" w:type="auto"/>
            <w:shd w:val="clear" w:color="auto" w:fill="FFFFFF"/>
            <w:tcMar>
              <w:top w:w="30" w:type="dxa"/>
              <w:left w:w="0" w:type="dxa"/>
              <w:bottom w:w="30" w:type="dxa"/>
              <w:right w:w="20" w:type="dxa"/>
            </w:tcMar>
            <w:vAlign w:val="bottom"/>
            <w:hideMark/>
          </w:tcPr>
          <w:p w14:paraId="6D78E8C7" w14:textId="77777777" w:rsidR="00000000" w:rsidRDefault="009B6C69">
            <w:pPr>
              <w:spacing w:after="100"/>
              <w:jc w:val="right"/>
              <w:rPr>
                <w:rFonts w:eastAsia="Times New Roman"/>
              </w:rPr>
            </w:pPr>
          </w:p>
        </w:tc>
        <w:tc>
          <w:tcPr>
            <w:tcW w:w="0" w:type="auto"/>
            <w:vAlign w:val="center"/>
            <w:hideMark/>
          </w:tcPr>
          <w:p w14:paraId="52870C42" w14:textId="77777777" w:rsidR="00000000" w:rsidRDefault="009B6C69">
            <w:pPr>
              <w:spacing w:after="100"/>
              <w:jc w:val="right"/>
              <w:rPr>
                <w:rFonts w:eastAsia="Times New Roman"/>
                <w:sz w:val="20"/>
                <w:szCs w:val="20"/>
              </w:rPr>
            </w:pPr>
          </w:p>
        </w:tc>
        <w:tc>
          <w:tcPr>
            <w:tcW w:w="0" w:type="auto"/>
            <w:vAlign w:val="center"/>
            <w:hideMark/>
          </w:tcPr>
          <w:p w14:paraId="21EE2475"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F9663C"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D3DB72" w14:textId="77777777" w:rsidR="00000000" w:rsidRDefault="009B6C69">
            <w:pPr>
              <w:spacing w:after="100"/>
              <w:jc w:val="right"/>
              <w:rPr>
                <w:rFonts w:eastAsia="Times New Roman"/>
              </w:rPr>
            </w:pPr>
            <w:r>
              <w:rPr>
                <w:rFonts w:eastAsia="Times New Roman"/>
                <w:color w:val="000000"/>
                <w:sz w:val="18"/>
                <w:szCs w:val="18"/>
              </w:rPr>
              <w:t>172 </w:t>
            </w:r>
          </w:p>
        </w:tc>
        <w:tc>
          <w:tcPr>
            <w:tcW w:w="0" w:type="auto"/>
            <w:shd w:val="clear" w:color="auto" w:fill="FFFFFF"/>
            <w:tcMar>
              <w:top w:w="30" w:type="dxa"/>
              <w:left w:w="0" w:type="dxa"/>
              <w:bottom w:w="30" w:type="dxa"/>
              <w:right w:w="20" w:type="dxa"/>
            </w:tcMar>
            <w:vAlign w:val="bottom"/>
            <w:hideMark/>
          </w:tcPr>
          <w:p w14:paraId="6B968179" w14:textId="77777777" w:rsidR="00000000" w:rsidRDefault="009B6C69">
            <w:pPr>
              <w:spacing w:after="100"/>
              <w:jc w:val="right"/>
              <w:rPr>
                <w:rFonts w:eastAsia="Times New Roman"/>
              </w:rPr>
            </w:pPr>
          </w:p>
        </w:tc>
        <w:tc>
          <w:tcPr>
            <w:tcW w:w="0" w:type="auto"/>
            <w:vAlign w:val="center"/>
            <w:hideMark/>
          </w:tcPr>
          <w:p w14:paraId="07F1EFBA" w14:textId="77777777" w:rsidR="00000000" w:rsidRDefault="009B6C69">
            <w:pPr>
              <w:spacing w:after="100"/>
              <w:jc w:val="right"/>
              <w:rPr>
                <w:rFonts w:eastAsia="Times New Roman"/>
                <w:sz w:val="20"/>
                <w:szCs w:val="20"/>
              </w:rPr>
            </w:pPr>
          </w:p>
        </w:tc>
        <w:tc>
          <w:tcPr>
            <w:tcW w:w="0" w:type="auto"/>
            <w:vAlign w:val="center"/>
            <w:hideMark/>
          </w:tcPr>
          <w:p w14:paraId="67867448" w14:textId="77777777" w:rsidR="00000000" w:rsidRDefault="009B6C69">
            <w:pPr>
              <w:spacing w:after="100"/>
              <w:rPr>
                <w:rFonts w:eastAsia="Times New Roman"/>
                <w:sz w:val="20"/>
                <w:szCs w:val="20"/>
              </w:rPr>
            </w:pPr>
          </w:p>
        </w:tc>
      </w:tr>
      <w:tr w:rsidR="00000000" w14:paraId="7DBB9209" w14:textId="77777777">
        <w:trPr>
          <w:divId w:val="2072264570"/>
        </w:trPr>
        <w:tc>
          <w:tcPr>
            <w:tcW w:w="0" w:type="auto"/>
            <w:gridSpan w:val="3"/>
            <w:shd w:val="clear" w:color="auto" w:fill="CCEEFF"/>
            <w:tcMar>
              <w:top w:w="30" w:type="dxa"/>
              <w:left w:w="155" w:type="dxa"/>
              <w:bottom w:w="30" w:type="dxa"/>
              <w:right w:w="20" w:type="dxa"/>
            </w:tcMar>
            <w:vAlign w:val="bottom"/>
            <w:hideMark/>
          </w:tcPr>
          <w:p w14:paraId="0EE81F86" w14:textId="77777777" w:rsidR="00000000" w:rsidRDefault="009B6C69">
            <w:pPr>
              <w:spacing w:after="100"/>
              <w:rPr>
                <w:rFonts w:eastAsia="Times New Roman"/>
              </w:rPr>
            </w:pPr>
            <w:r>
              <w:rPr>
                <w:rFonts w:eastAsia="Times New Roman"/>
                <w:color w:val="000000"/>
                <w:sz w:val="18"/>
                <w:szCs w:val="18"/>
              </w:rPr>
              <w:t>Automotive (3)</w:t>
            </w:r>
          </w:p>
        </w:tc>
        <w:tc>
          <w:tcPr>
            <w:tcW w:w="0" w:type="auto"/>
            <w:gridSpan w:val="2"/>
            <w:shd w:val="clear" w:color="auto" w:fill="CCEEFF"/>
            <w:tcMar>
              <w:top w:w="30" w:type="dxa"/>
              <w:left w:w="20" w:type="dxa"/>
              <w:bottom w:w="30" w:type="dxa"/>
              <w:right w:w="0" w:type="dxa"/>
            </w:tcMar>
            <w:vAlign w:val="bottom"/>
            <w:hideMark/>
          </w:tcPr>
          <w:p w14:paraId="7A0E205B" w14:textId="77777777" w:rsidR="00000000" w:rsidRDefault="009B6C69">
            <w:pPr>
              <w:spacing w:after="100"/>
              <w:jc w:val="right"/>
              <w:rPr>
                <w:rFonts w:eastAsia="Times New Roman"/>
              </w:rPr>
            </w:pPr>
            <w:r>
              <w:rPr>
                <w:rFonts w:eastAsia="Times New Roman"/>
                <w:color w:val="000000"/>
                <w:sz w:val="18"/>
                <w:szCs w:val="18"/>
              </w:rPr>
              <w:t>1,372 </w:t>
            </w:r>
          </w:p>
        </w:tc>
        <w:tc>
          <w:tcPr>
            <w:tcW w:w="0" w:type="auto"/>
            <w:shd w:val="clear" w:color="auto" w:fill="CCEEFF"/>
            <w:tcMar>
              <w:top w:w="30" w:type="dxa"/>
              <w:left w:w="0" w:type="dxa"/>
              <w:bottom w:w="30" w:type="dxa"/>
              <w:right w:w="20" w:type="dxa"/>
            </w:tcMar>
            <w:vAlign w:val="bottom"/>
            <w:hideMark/>
          </w:tcPr>
          <w:p w14:paraId="0AFC4A9C"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C6E66B"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823CA2" w14:textId="77777777" w:rsidR="00000000" w:rsidRDefault="009B6C69">
            <w:pPr>
              <w:spacing w:after="100"/>
              <w:jc w:val="right"/>
              <w:rPr>
                <w:rFonts w:eastAsia="Times New Roman"/>
              </w:rPr>
            </w:pPr>
            <w:r>
              <w:rPr>
                <w:rFonts w:eastAsia="Times New Roman"/>
                <w:color w:val="000000"/>
                <w:sz w:val="18"/>
                <w:szCs w:val="18"/>
              </w:rPr>
              <w:t>975 </w:t>
            </w:r>
          </w:p>
        </w:tc>
        <w:tc>
          <w:tcPr>
            <w:tcW w:w="0" w:type="auto"/>
            <w:shd w:val="clear" w:color="auto" w:fill="CCEEFF"/>
            <w:tcMar>
              <w:top w:w="30" w:type="dxa"/>
              <w:left w:w="0" w:type="dxa"/>
              <w:bottom w:w="30" w:type="dxa"/>
              <w:right w:w="20" w:type="dxa"/>
            </w:tcMar>
            <w:vAlign w:val="bottom"/>
            <w:hideMark/>
          </w:tcPr>
          <w:p w14:paraId="675D01AB" w14:textId="77777777" w:rsidR="00000000" w:rsidRDefault="009B6C69">
            <w:pPr>
              <w:spacing w:after="100"/>
              <w:jc w:val="right"/>
              <w:rPr>
                <w:rFonts w:eastAsia="Times New Roman"/>
              </w:rPr>
            </w:pPr>
          </w:p>
        </w:tc>
        <w:tc>
          <w:tcPr>
            <w:tcW w:w="0" w:type="auto"/>
            <w:vAlign w:val="center"/>
            <w:hideMark/>
          </w:tcPr>
          <w:p w14:paraId="7615EFC2" w14:textId="77777777" w:rsidR="00000000" w:rsidRDefault="009B6C69">
            <w:pPr>
              <w:spacing w:after="100"/>
              <w:jc w:val="right"/>
              <w:rPr>
                <w:rFonts w:eastAsia="Times New Roman"/>
                <w:sz w:val="20"/>
                <w:szCs w:val="20"/>
              </w:rPr>
            </w:pPr>
          </w:p>
        </w:tc>
        <w:tc>
          <w:tcPr>
            <w:tcW w:w="0" w:type="auto"/>
            <w:vAlign w:val="center"/>
            <w:hideMark/>
          </w:tcPr>
          <w:p w14:paraId="429BE23B"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42DBE7"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FB3165" w14:textId="77777777" w:rsidR="00000000" w:rsidRDefault="009B6C69">
            <w:pPr>
              <w:spacing w:after="100"/>
              <w:jc w:val="right"/>
              <w:rPr>
                <w:rFonts w:eastAsia="Times New Roman"/>
              </w:rPr>
            </w:pPr>
            <w:r>
              <w:rPr>
                <w:rFonts w:eastAsia="Times New Roman"/>
                <w:color w:val="000000"/>
                <w:sz w:val="18"/>
                <w:szCs w:val="18"/>
              </w:rPr>
              <w:t>397 </w:t>
            </w:r>
          </w:p>
        </w:tc>
        <w:tc>
          <w:tcPr>
            <w:tcW w:w="0" w:type="auto"/>
            <w:shd w:val="clear" w:color="auto" w:fill="CCEEFF"/>
            <w:tcMar>
              <w:top w:w="30" w:type="dxa"/>
              <w:left w:w="0" w:type="dxa"/>
              <w:bottom w:w="30" w:type="dxa"/>
              <w:right w:w="20" w:type="dxa"/>
            </w:tcMar>
            <w:vAlign w:val="bottom"/>
            <w:hideMark/>
          </w:tcPr>
          <w:p w14:paraId="3BA2A890" w14:textId="77777777" w:rsidR="00000000" w:rsidRDefault="009B6C69">
            <w:pPr>
              <w:spacing w:after="100"/>
              <w:jc w:val="right"/>
              <w:rPr>
                <w:rFonts w:eastAsia="Times New Roman"/>
              </w:rPr>
            </w:pPr>
          </w:p>
        </w:tc>
        <w:tc>
          <w:tcPr>
            <w:tcW w:w="0" w:type="auto"/>
            <w:vAlign w:val="center"/>
            <w:hideMark/>
          </w:tcPr>
          <w:p w14:paraId="6A2970FB" w14:textId="77777777" w:rsidR="00000000" w:rsidRDefault="009B6C69">
            <w:pPr>
              <w:spacing w:after="100"/>
              <w:jc w:val="right"/>
              <w:rPr>
                <w:rFonts w:eastAsia="Times New Roman"/>
                <w:sz w:val="20"/>
                <w:szCs w:val="20"/>
              </w:rPr>
            </w:pPr>
          </w:p>
        </w:tc>
        <w:tc>
          <w:tcPr>
            <w:tcW w:w="0" w:type="auto"/>
            <w:vAlign w:val="center"/>
            <w:hideMark/>
          </w:tcPr>
          <w:p w14:paraId="52E030C3" w14:textId="77777777" w:rsidR="00000000" w:rsidRDefault="009B6C69">
            <w:pPr>
              <w:spacing w:after="100"/>
              <w:rPr>
                <w:rFonts w:eastAsia="Times New Roman"/>
                <w:sz w:val="20"/>
                <w:szCs w:val="20"/>
              </w:rPr>
            </w:pPr>
          </w:p>
        </w:tc>
      </w:tr>
      <w:tr w:rsidR="00000000" w14:paraId="1B0EB95E" w14:textId="77777777">
        <w:trPr>
          <w:divId w:val="2072264570"/>
        </w:trPr>
        <w:tc>
          <w:tcPr>
            <w:tcW w:w="0" w:type="auto"/>
            <w:gridSpan w:val="3"/>
            <w:shd w:val="clear" w:color="auto" w:fill="FFFFFF"/>
            <w:tcMar>
              <w:top w:w="30" w:type="dxa"/>
              <w:left w:w="155" w:type="dxa"/>
              <w:bottom w:w="30" w:type="dxa"/>
              <w:right w:w="20" w:type="dxa"/>
            </w:tcMar>
            <w:vAlign w:val="bottom"/>
            <w:hideMark/>
          </w:tcPr>
          <w:p w14:paraId="1FDE6460" w14:textId="77777777" w:rsidR="00000000" w:rsidRDefault="009B6C69">
            <w:pPr>
              <w:spacing w:after="100"/>
              <w:rPr>
                <w:rFonts w:eastAsia="Times New Roman"/>
              </w:rPr>
            </w:pPr>
            <w:r>
              <w:rPr>
                <w:rFonts w:eastAsia="Times New Roman"/>
                <w:color w:val="000000"/>
                <w:sz w:val="18"/>
                <w:szCs w:val="18"/>
              </w:rPr>
              <w:t>IoT (internet of things) (4)</w:t>
            </w:r>
          </w:p>
        </w:tc>
        <w:tc>
          <w:tcPr>
            <w:tcW w:w="0" w:type="auto"/>
            <w:gridSpan w:val="2"/>
            <w:shd w:val="clear" w:color="auto" w:fill="FFFFFF"/>
            <w:tcMar>
              <w:top w:w="30" w:type="dxa"/>
              <w:left w:w="20" w:type="dxa"/>
              <w:bottom w:w="30" w:type="dxa"/>
              <w:right w:w="0" w:type="dxa"/>
            </w:tcMar>
            <w:vAlign w:val="bottom"/>
            <w:hideMark/>
          </w:tcPr>
          <w:p w14:paraId="31BD6927" w14:textId="77777777" w:rsidR="00000000" w:rsidRDefault="009B6C69">
            <w:pPr>
              <w:spacing w:after="100"/>
              <w:jc w:val="right"/>
              <w:rPr>
                <w:rFonts w:eastAsia="Times New Roman"/>
              </w:rPr>
            </w:pPr>
            <w:r>
              <w:rPr>
                <w:rFonts w:eastAsia="Times New Roman"/>
                <w:color w:val="000000"/>
                <w:sz w:val="18"/>
                <w:szCs w:val="18"/>
              </w:rPr>
              <w:t>6,948 </w:t>
            </w:r>
          </w:p>
        </w:tc>
        <w:tc>
          <w:tcPr>
            <w:tcW w:w="0" w:type="auto"/>
            <w:shd w:val="clear" w:color="auto" w:fill="FFFFFF"/>
            <w:tcMar>
              <w:top w:w="30" w:type="dxa"/>
              <w:left w:w="0" w:type="dxa"/>
              <w:bottom w:w="30" w:type="dxa"/>
              <w:right w:w="20" w:type="dxa"/>
            </w:tcMar>
            <w:vAlign w:val="bottom"/>
            <w:hideMark/>
          </w:tcPr>
          <w:p w14:paraId="4A77D270"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D0E149"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5F9C1C" w14:textId="77777777" w:rsidR="00000000" w:rsidRDefault="009B6C69">
            <w:pPr>
              <w:spacing w:after="100"/>
              <w:jc w:val="right"/>
              <w:rPr>
                <w:rFonts w:eastAsia="Times New Roman"/>
              </w:rPr>
            </w:pPr>
            <w:r>
              <w:rPr>
                <w:rFonts w:eastAsia="Times New Roman"/>
                <w:color w:val="000000"/>
                <w:sz w:val="18"/>
                <w:szCs w:val="18"/>
              </w:rPr>
              <w:t>5,056 </w:t>
            </w:r>
          </w:p>
        </w:tc>
        <w:tc>
          <w:tcPr>
            <w:tcW w:w="0" w:type="auto"/>
            <w:shd w:val="clear" w:color="auto" w:fill="FFFFFF"/>
            <w:tcMar>
              <w:top w:w="30" w:type="dxa"/>
              <w:left w:w="0" w:type="dxa"/>
              <w:bottom w:w="30" w:type="dxa"/>
              <w:right w:w="20" w:type="dxa"/>
            </w:tcMar>
            <w:vAlign w:val="bottom"/>
            <w:hideMark/>
          </w:tcPr>
          <w:p w14:paraId="6FF4E245" w14:textId="77777777" w:rsidR="00000000" w:rsidRDefault="009B6C69">
            <w:pPr>
              <w:spacing w:after="100"/>
              <w:jc w:val="right"/>
              <w:rPr>
                <w:rFonts w:eastAsia="Times New Roman"/>
              </w:rPr>
            </w:pPr>
          </w:p>
        </w:tc>
        <w:tc>
          <w:tcPr>
            <w:tcW w:w="0" w:type="auto"/>
            <w:vAlign w:val="center"/>
            <w:hideMark/>
          </w:tcPr>
          <w:p w14:paraId="209953E6" w14:textId="77777777" w:rsidR="00000000" w:rsidRDefault="009B6C69">
            <w:pPr>
              <w:spacing w:after="100"/>
              <w:jc w:val="right"/>
              <w:rPr>
                <w:rFonts w:eastAsia="Times New Roman"/>
                <w:sz w:val="20"/>
                <w:szCs w:val="20"/>
              </w:rPr>
            </w:pPr>
          </w:p>
        </w:tc>
        <w:tc>
          <w:tcPr>
            <w:tcW w:w="0" w:type="auto"/>
            <w:vAlign w:val="center"/>
            <w:hideMark/>
          </w:tcPr>
          <w:p w14:paraId="35346883"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9A27C8"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F4F45A" w14:textId="77777777" w:rsidR="00000000" w:rsidRDefault="009B6C69">
            <w:pPr>
              <w:spacing w:after="100"/>
              <w:jc w:val="right"/>
              <w:rPr>
                <w:rFonts w:eastAsia="Times New Roman"/>
              </w:rPr>
            </w:pPr>
            <w:r>
              <w:rPr>
                <w:rFonts w:eastAsia="Times New Roman"/>
                <w:color w:val="000000"/>
                <w:sz w:val="18"/>
                <w:szCs w:val="18"/>
              </w:rPr>
              <w:t>1,892 </w:t>
            </w:r>
          </w:p>
        </w:tc>
        <w:tc>
          <w:tcPr>
            <w:tcW w:w="0" w:type="auto"/>
            <w:shd w:val="clear" w:color="auto" w:fill="FFFFFF"/>
            <w:tcMar>
              <w:top w:w="30" w:type="dxa"/>
              <w:left w:w="0" w:type="dxa"/>
              <w:bottom w:w="30" w:type="dxa"/>
              <w:right w:w="20" w:type="dxa"/>
            </w:tcMar>
            <w:vAlign w:val="bottom"/>
            <w:hideMark/>
          </w:tcPr>
          <w:p w14:paraId="1A4F1297" w14:textId="77777777" w:rsidR="00000000" w:rsidRDefault="009B6C69">
            <w:pPr>
              <w:spacing w:after="100"/>
              <w:jc w:val="right"/>
              <w:rPr>
                <w:rFonts w:eastAsia="Times New Roman"/>
              </w:rPr>
            </w:pPr>
          </w:p>
        </w:tc>
        <w:tc>
          <w:tcPr>
            <w:tcW w:w="0" w:type="auto"/>
            <w:vAlign w:val="center"/>
            <w:hideMark/>
          </w:tcPr>
          <w:p w14:paraId="6688E1ED" w14:textId="77777777" w:rsidR="00000000" w:rsidRDefault="009B6C69">
            <w:pPr>
              <w:spacing w:after="100"/>
              <w:jc w:val="right"/>
              <w:rPr>
                <w:rFonts w:eastAsia="Times New Roman"/>
                <w:sz w:val="20"/>
                <w:szCs w:val="20"/>
              </w:rPr>
            </w:pPr>
          </w:p>
        </w:tc>
        <w:tc>
          <w:tcPr>
            <w:tcW w:w="0" w:type="auto"/>
            <w:vAlign w:val="center"/>
            <w:hideMark/>
          </w:tcPr>
          <w:p w14:paraId="2C502E58" w14:textId="77777777" w:rsidR="00000000" w:rsidRDefault="009B6C69">
            <w:pPr>
              <w:spacing w:after="100"/>
              <w:rPr>
                <w:rFonts w:eastAsia="Times New Roman"/>
                <w:sz w:val="20"/>
                <w:szCs w:val="20"/>
              </w:rPr>
            </w:pPr>
          </w:p>
        </w:tc>
      </w:tr>
      <w:tr w:rsidR="00000000" w14:paraId="41C20B4C" w14:textId="77777777">
        <w:trPr>
          <w:divId w:val="2072264570"/>
        </w:trPr>
        <w:tc>
          <w:tcPr>
            <w:tcW w:w="0" w:type="auto"/>
            <w:gridSpan w:val="3"/>
            <w:shd w:val="clear" w:color="auto" w:fill="CCEEFF"/>
            <w:tcMar>
              <w:top w:w="30" w:type="dxa"/>
              <w:left w:w="20" w:type="dxa"/>
              <w:bottom w:w="30" w:type="dxa"/>
              <w:right w:w="20" w:type="dxa"/>
            </w:tcMar>
            <w:vAlign w:val="bottom"/>
            <w:hideMark/>
          </w:tcPr>
          <w:p w14:paraId="1EEA04FF" w14:textId="77777777" w:rsidR="00000000" w:rsidRDefault="009B6C69">
            <w:pPr>
              <w:spacing w:after="100"/>
              <w:rPr>
                <w:rFonts w:eastAsia="Times New Roman"/>
              </w:rPr>
            </w:pPr>
            <w:r>
              <w:rPr>
                <w:rFonts w:eastAsia="Times New Roman"/>
                <w:color w:val="000000"/>
                <w:sz w:val="18"/>
                <w:szCs w:val="18"/>
              </w:rPr>
              <w:t>Total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CE66CF"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4AC135" w14:textId="77777777" w:rsidR="00000000" w:rsidRDefault="009B6C69">
            <w:pPr>
              <w:spacing w:after="100"/>
              <w:jc w:val="right"/>
              <w:rPr>
                <w:rFonts w:eastAsia="Times New Roman"/>
              </w:rPr>
            </w:pPr>
            <w:r>
              <w:rPr>
                <w:rFonts w:eastAsia="Times New Roman"/>
                <w:color w:val="000000"/>
                <w:sz w:val="18"/>
                <w:szCs w:val="18"/>
              </w:rPr>
              <w:t>37,677 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E2D5F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3711B0"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AE662E"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92B2FF" w14:textId="77777777" w:rsidR="00000000" w:rsidRDefault="009B6C69">
            <w:pPr>
              <w:spacing w:after="100"/>
              <w:jc w:val="right"/>
              <w:rPr>
                <w:rFonts w:eastAsia="Times New Roman"/>
              </w:rPr>
            </w:pPr>
            <w:r>
              <w:rPr>
                <w:rFonts w:eastAsia="Times New Roman"/>
                <w:color w:val="000000"/>
                <w:sz w:val="18"/>
                <w:szCs w:val="18"/>
              </w:rPr>
              <w:t>27,019 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E9DAFE" w14:textId="77777777" w:rsidR="00000000" w:rsidRDefault="009B6C69">
            <w:pPr>
              <w:spacing w:after="100"/>
              <w:jc w:val="right"/>
              <w:rPr>
                <w:rFonts w:eastAsia="Times New Roman"/>
              </w:rPr>
            </w:pPr>
          </w:p>
        </w:tc>
        <w:tc>
          <w:tcPr>
            <w:tcW w:w="0" w:type="auto"/>
            <w:vAlign w:val="center"/>
            <w:hideMark/>
          </w:tcPr>
          <w:p w14:paraId="4A8333F0" w14:textId="77777777" w:rsidR="00000000" w:rsidRDefault="009B6C69">
            <w:pPr>
              <w:spacing w:after="100"/>
              <w:jc w:val="right"/>
              <w:rPr>
                <w:rFonts w:eastAsia="Times New Roman"/>
                <w:sz w:val="20"/>
                <w:szCs w:val="20"/>
              </w:rPr>
            </w:pPr>
          </w:p>
        </w:tc>
        <w:tc>
          <w:tcPr>
            <w:tcW w:w="0" w:type="auto"/>
            <w:vAlign w:val="center"/>
            <w:hideMark/>
          </w:tcPr>
          <w:p w14:paraId="266C6D28"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A471BF"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AC7A89"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E5C4EB" w14:textId="77777777" w:rsidR="00000000" w:rsidRDefault="009B6C69">
            <w:pPr>
              <w:spacing w:after="100"/>
              <w:jc w:val="right"/>
              <w:rPr>
                <w:rFonts w:eastAsia="Times New Roman"/>
              </w:rPr>
            </w:pPr>
            <w:r>
              <w:rPr>
                <w:rFonts w:eastAsia="Times New Roman"/>
                <w:color w:val="000000"/>
                <w:sz w:val="18"/>
                <w:szCs w:val="18"/>
              </w:rPr>
              <w:t>10,658 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C03B79" w14:textId="77777777" w:rsidR="00000000" w:rsidRDefault="009B6C69">
            <w:pPr>
              <w:spacing w:after="100"/>
              <w:jc w:val="right"/>
              <w:rPr>
                <w:rFonts w:eastAsia="Times New Roman"/>
              </w:rPr>
            </w:pPr>
          </w:p>
        </w:tc>
        <w:tc>
          <w:tcPr>
            <w:tcW w:w="0" w:type="auto"/>
            <w:vAlign w:val="center"/>
            <w:hideMark/>
          </w:tcPr>
          <w:p w14:paraId="5CB64B1A" w14:textId="77777777" w:rsidR="00000000" w:rsidRDefault="009B6C69">
            <w:pPr>
              <w:spacing w:after="100"/>
              <w:jc w:val="right"/>
              <w:rPr>
                <w:rFonts w:eastAsia="Times New Roman"/>
                <w:sz w:val="20"/>
                <w:szCs w:val="20"/>
              </w:rPr>
            </w:pPr>
          </w:p>
        </w:tc>
        <w:tc>
          <w:tcPr>
            <w:tcW w:w="0" w:type="auto"/>
            <w:vAlign w:val="center"/>
            <w:hideMark/>
          </w:tcPr>
          <w:p w14:paraId="586BFC7C" w14:textId="77777777" w:rsidR="00000000" w:rsidRDefault="009B6C69">
            <w:pPr>
              <w:spacing w:after="100"/>
              <w:rPr>
                <w:rFonts w:eastAsia="Times New Roman"/>
                <w:sz w:val="20"/>
                <w:szCs w:val="20"/>
              </w:rPr>
            </w:pPr>
          </w:p>
        </w:tc>
      </w:tr>
      <w:tr w:rsidR="00000000" w14:paraId="1BD626A6" w14:textId="77777777">
        <w:trPr>
          <w:divId w:val="2072264570"/>
        </w:trPr>
        <w:tc>
          <w:tcPr>
            <w:tcW w:w="0" w:type="auto"/>
            <w:gridSpan w:val="3"/>
            <w:vAlign w:val="center"/>
            <w:hideMark/>
          </w:tcPr>
          <w:p w14:paraId="4C382BD0" w14:textId="77777777" w:rsidR="00000000" w:rsidRDefault="009B6C69">
            <w:pPr>
              <w:spacing w:after="100"/>
              <w:rPr>
                <w:rFonts w:eastAsia="Times New Roman"/>
                <w:sz w:val="20"/>
                <w:szCs w:val="20"/>
              </w:rPr>
            </w:pPr>
          </w:p>
        </w:tc>
        <w:tc>
          <w:tcPr>
            <w:tcW w:w="0" w:type="auto"/>
            <w:gridSpan w:val="3"/>
            <w:vAlign w:val="center"/>
            <w:hideMark/>
          </w:tcPr>
          <w:p w14:paraId="21F5B629" w14:textId="77777777" w:rsidR="00000000" w:rsidRDefault="009B6C69">
            <w:pPr>
              <w:spacing w:after="100"/>
              <w:rPr>
                <w:rFonts w:eastAsia="Times New Roman"/>
                <w:sz w:val="20"/>
                <w:szCs w:val="20"/>
              </w:rPr>
            </w:pPr>
          </w:p>
        </w:tc>
        <w:tc>
          <w:tcPr>
            <w:tcW w:w="0" w:type="auto"/>
            <w:gridSpan w:val="3"/>
            <w:vAlign w:val="center"/>
            <w:hideMark/>
          </w:tcPr>
          <w:p w14:paraId="6A5A1670" w14:textId="77777777" w:rsidR="00000000" w:rsidRDefault="009B6C69">
            <w:pPr>
              <w:spacing w:after="100"/>
              <w:rPr>
                <w:rFonts w:eastAsia="Times New Roman"/>
                <w:sz w:val="20"/>
                <w:szCs w:val="20"/>
              </w:rPr>
            </w:pPr>
          </w:p>
        </w:tc>
        <w:tc>
          <w:tcPr>
            <w:tcW w:w="0" w:type="auto"/>
            <w:gridSpan w:val="3"/>
            <w:vAlign w:val="center"/>
            <w:hideMark/>
          </w:tcPr>
          <w:p w14:paraId="1D1BB4D6" w14:textId="77777777" w:rsidR="00000000" w:rsidRDefault="009B6C69">
            <w:pPr>
              <w:spacing w:after="100"/>
              <w:rPr>
                <w:rFonts w:eastAsia="Times New Roman"/>
                <w:sz w:val="20"/>
                <w:szCs w:val="20"/>
              </w:rPr>
            </w:pPr>
          </w:p>
        </w:tc>
        <w:tc>
          <w:tcPr>
            <w:tcW w:w="0" w:type="auto"/>
            <w:vAlign w:val="center"/>
            <w:hideMark/>
          </w:tcPr>
          <w:p w14:paraId="4AF529AB" w14:textId="77777777" w:rsidR="00000000" w:rsidRDefault="009B6C69">
            <w:pPr>
              <w:spacing w:after="100"/>
              <w:rPr>
                <w:rFonts w:eastAsia="Times New Roman"/>
                <w:sz w:val="20"/>
                <w:szCs w:val="20"/>
              </w:rPr>
            </w:pPr>
          </w:p>
        </w:tc>
        <w:tc>
          <w:tcPr>
            <w:tcW w:w="0" w:type="auto"/>
            <w:vAlign w:val="center"/>
            <w:hideMark/>
          </w:tcPr>
          <w:p w14:paraId="3A4C5A3E" w14:textId="77777777" w:rsidR="00000000" w:rsidRDefault="009B6C69">
            <w:pPr>
              <w:spacing w:after="100"/>
              <w:rPr>
                <w:rFonts w:eastAsia="Times New Roman"/>
                <w:sz w:val="20"/>
                <w:szCs w:val="20"/>
              </w:rPr>
            </w:pPr>
          </w:p>
        </w:tc>
        <w:tc>
          <w:tcPr>
            <w:tcW w:w="0" w:type="auto"/>
            <w:gridSpan w:val="3"/>
            <w:vAlign w:val="center"/>
            <w:hideMark/>
          </w:tcPr>
          <w:p w14:paraId="1E2EBD30" w14:textId="77777777" w:rsidR="00000000" w:rsidRDefault="009B6C69">
            <w:pPr>
              <w:spacing w:after="100"/>
              <w:rPr>
                <w:rFonts w:eastAsia="Times New Roman"/>
                <w:sz w:val="20"/>
                <w:szCs w:val="20"/>
              </w:rPr>
            </w:pPr>
          </w:p>
        </w:tc>
        <w:tc>
          <w:tcPr>
            <w:tcW w:w="0" w:type="auto"/>
            <w:gridSpan w:val="3"/>
            <w:vAlign w:val="center"/>
            <w:hideMark/>
          </w:tcPr>
          <w:p w14:paraId="021CAAEA" w14:textId="77777777" w:rsidR="00000000" w:rsidRDefault="009B6C69">
            <w:pPr>
              <w:spacing w:after="100"/>
              <w:rPr>
                <w:rFonts w:eastAsia="Times New Roman"/>
                <w:sz w:val="20"/>
                <w:szCs w:val="20"/>
              </w:rPr>
            </w:pPr>
          </w:p>
        </w:tc>
        <w:tc>
          <w:tcPr>
            <w:tcW w:w="0" w:type="auto"/>
            <w:vAlign w:val="center"/>
            <w:hideMark/>
          </w:tcPr>
          <w:p w14:paraId="20D589A2" w14:textId="77777777" w:rsidR="00000000" w:rsidRDefault="009B6C69">
            <w:pPr>
              <w:spacing w:after="100"/>
              <w:rPr>
                <w:rFonts w:eastAsia="Times New Roman"/>
                <w:sz w:val="20"/>
                <w:szCs w:val="20"/>
              </w:rPr>
            </w:pPr>
          </w:p>
        </w:tc>
        <w:tc>
          <w:tcPr>
            <w:tcW w:w="0" w:type="auto"/>
            <w:vAlign w:val="center"/>
            <w:hideMark/>
          </w:tcPr>
          <w:p w14:paraId="3B0DCF4A" w14:textId="77777777" w:rsidR="00000000" w:rsidRDefault="009B6C69">
            <w:pPr>
              <w:spacing w:after="100"/>
              <w:rPr>
                <w:rFonts w:eastAsia="Times New Roman"/>
                <w:sz w:val="20"/>
                <w:szCs w:val="20"/>
              </w:rPr>
            </w:pPr>
          </w:p>
        </w:tc>
      </w:tr>
      <w:tr w:rsidR="00000000" w14:paraId="169AA4B3" w14:textId="77777777">
        <w:trPr>
          <w:divId w:val="2072264570"/>
        </w:trPr>
        <w:tc>
          <w:tcPr>
            <w:tcW w:w="0" w:type="auto"/>
            <w:gridSpan w:val="3"/>
            <w:vAlign w:val="center"/>
            <w:hideMark/>
          </w:tcPr>
          <w:p w14:paraId="01955CD7" w14:textId="77777777" w:rsidR="00000000" w:rsidRDefault="009B6C69">
            <w:pPr>
              <w:spacing w:after="100"/>
              <w:rPr>
                <w:rFonts w:eastAsia="Times New Roman"/>
                <w:sz w:val="20"/>
                <w:szCs w:val="20"/>
              </w:rPr>
            </w:pPr>
          </w:p>
        </w:tc>
        <w:tc>
          <w:tcPr>
            <w:tcW w:w="0" w:type="auto"/>
            <w:gridSpan w:val="3"/>
            <w:vAlign w:val="center"/>
            <w:hideMark/>
          </w:tcPr>
          <w:p w14:paraId="5A174FDD" w14:textId="77777777" w:rsidR="00000000" w:rsidRDefault="009B6C69">
            <w:pPr>
              <w:spacing w:after="100"/>
              <w:rPr>
                <w:rFonts w:eastAsia="Times New Roman"/>
                <w:sz w:val="20"/>
                <w:szCs w:val="20"/>
              </w:rPr>
            </w:pPr>
          </w:p>
        </w:tc>
        <w:tc>
          <w:tcPr>
            <w:tcW w:w="0" w:type="auto"/>
            <w:gridSpan w:val="3"/>
            <w:vAlign w:val="center"/>
            <w:hideMark/>
          </w:tcPr>
          <w:p w14:paraId="4B5FAE1F" w14:textId="77777777" w:rsidR="00000000" w:rsidRDefault="009B6C69">
            <w:pPr>
              <w:spacing w:after="100"/>
              <w:rPr>
                <w:rFonts w:eastAsia="Times New Roman"/>
                <w:sz w:val="20"/>
                <w:szCs w:val="20"/>
              </w:rPr>
            </w:pPr>
          </w:p>
        </w:tc>
        <w:tc>
          <w:tcPr>
            <w:tcW w:w="0" w:type="auto"/>
            <w:gridSpan w:val="3"/>
            <w:vAlign w:val="center"/>
            <w:hideMark/>
          </w:tcPr>
          <w:p w14:paraId="30A7C297" w14:textId="77777777" w:rsidR="00000000" w:rsidRDefault="009B6C69">
            <w:pPr>
              <w:spacing w:after="100"/>
              <w:rPr>
                <w:rFonts w:eastAsia="Times New Roman"/>
                <w:sz w:val="20"/>
                <w:szCs w:val="20"/>
              </w:rPr>
            </w:pPr>
          </w:p>
        </w:tc>
        <w:tc>
          <w:tcPr>
            <w:tcW w:w="0" w:type="auto"/>
            <w:vAlign w:val="center"/>
            <w:hideMark/>
          </w:tcPr>
          <w:p w14:paraId="2EE0E0D7" w14:textId="77777777" w:rsidR="00000000" w:rsidRDefault="009B6C69">
            <w:pPr>
              <w:spacing w:after="100"/>
              <w:rPr>
                <w:rFonts w:eastAsia="Times New Roman"/>
                <w:sz w:val="20"/>
                <w:szCs w:val="20"/>
              </w:rPr>
            </w:pPr>
          </w:p>
        </w:tc>
        <w:tc>
          <w:tcPr>
            <w:tcW w:w="0" w:type="auto"/>
            <w:vAlign w:val="center"/>
            <w:hideMark/>
          </w:tcPr>
          <w:p w14:paraId="041E649C" w14:textId="77777777" w:rsidR="00000000" w:rsidRDefault="009B6C69">
            <w:pPr>
              <w:spacing w:after="100"/>
              <w:rPr>
                <w:rFonts w:eastAsia="Times New Roman"/>
                <w:sz w:val="20"/>
                <w:szCs w:val="20"/>
              </w:rPr>
            </w:pPr>
          </w:p>
        </w:tc>
        <w:tc>
          <w:tcPr>
            <w:tcW w:w="0" w:type="auto"/>
            <w:gridSpan w:val="3"/>
            <w:vAlign w:val="center"/>
            <w:hideMark/>
          </w:tcPr>
          <w:p w14:paraId="1D06799C" w14:textId="77777777" w:rsidR="00000000" w:rsidRDefault="009B6C69">
            <w:pPr>
              <w:spacing w:after="100"/>
              <w:rPr>
                <w:rFonts w:eastAsia="Times New Roman"/>
                <w:sz w:val="20"/>
                <w:szCs w:val="20"/>
              </w:rPr>
            </w:pPr>
          </w:p>
        </w:tc>
        <w:tc>
          <w:tcPr>
            <w:tcW w:w="0" w:type="auto"/>
            <w:gridSpan w:val="3"/>
            <w:vAlign w:val="center"/>
            <w:hideMark/>
          </w:tcPr>
          <w:p w14:paraId="1C740D59" w14:textId="77777777" w:rsidR="00000000" w:rsidRDefault="009B6C69">
            <w:pPr>
              <w:spacing w:after="100"/>
              <w:rPr>
                <w:rFonts w:eastAsia="Times New Roman"/>
                <w:sz w:val="20"/>
                <w:szCs w:val="20"/>
              </w:rPr>
            </w:pPr>
          </w:p>
        </w:tc>
        <w:tc>
          <w:tcPr>
            <w:tcW w:w="0" w:type="auto"/>
            <w:vAlign w:val="center"/>
            <w:hideMark/>
          </w:tcPr>
          <w:p w14:paraId="2B30C13C" w14:textId="77777777" w:rsidR="00000000" w:rsidRDefault="009B6C69">
            <w:pPr>
              <w:spacing w:after="100"/>
              <w:rPr>
                <w:rFonts w:eastAsia="Times New Roman"/>
                <w:sz w:val="20"/>
                <w:szCs w:val="20"/>
              </w:rPr>
            </w:pPr>
          </w:p>
        </w:tc>
        <w:tc>
          <w:tcPr>
            <w:tcW w:w="0" w:type="auto"/>
            <w:vAlign w:val="center"/>
            <w:hideMark/>
          </w:tcPr>
          <w:p w14:paraId="0871F397" w14:textId="77777777" w:rsidR="00000000" w:rsidRDefault="009B6C69">
            <w:pPr>
              <w:spacing w:after="100"/>
              <w:rPr>
                <w:rFonts w:eastAsia="Times New Roman"/>
                <w:sz w:val="20"/>
                <w:szCs w:val="20"/>
              </w:rPr>
            </w:pPr>
          </w:p>
        </w:tc>
      </w:tr>
      <w:tr w:rsidR="00000000" w14:paraId="0EF48011" w14:textId="77777777">
        <w:trPr>
          <w:divId w:val="2072264570"/>
        </w:trPr>
        <w:tc>
          <w:tcPr>
            <w:tcW w:w="0" w:type="auto"/>
            <w:gridSpan w:val="3"/>
            <w:shd w:val="clear" w:color="auto" w:fill="FFFFFF"/>
            <w:tcMar>
              <w:top w:w="30" w:type="dxa"/>
              <w:left w:w="20" w:type="dxa"/>
              <w:bottom w:w="30" w:type="dxa"/>
              <w:right w:w="20" w:type="dxa"/>
            </w:tcMar>
            <w:vAlign w:val="bottom"/>
            <w:hideMark/>
          </w:tcPr>
          <w:p w14:paraId="45AD2D63" w14:textId="77777777" w:rsidR="00000000" w:rsidRDefault="009B6C69">
            <w:pPr>
              <w:spacing w:after="100"/>
              <w:rPr>
                <w:rFonts w:eastAsia="Times New Roman"/>
              </w:rPr>
            </w:pPr>
            <w:r>
              <w:rPr>
                <w:rFonts w:eastAsia="Times New Roman"/>
                <w:b/>
                <w:bCs/>
                <w:color w:val="000000"/>
                <w:sz w:val="18"/>
                <w:szCs w:val="18"/>
              </w:rPr>
              <w:t>EBT (5)</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1FB2F7F3"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FDED59B" w14:textId="77777777" w:rsidR="00000000" w:rsidRDefault="009B6C69">
            <w:pPr>
              <w:spacing w:after="100"/>
              <w:jc w:val="right"/>
              <w:rPr>
                <w:rFonts w:eastAsia="Times New Roman"/>
              </w:rPr>
            </w:pPr>
            <w:r>
              <w:rPr>
                <w:rFonts w:eastAsia="Times New Roman"/>
                <w:color w:val="000000"/>
                <w:sz w:val="18"/>
                <w:szCs w:val="18"/>
              </w:rPr>
              <w:t>12,837 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2B57B38"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4DA00" w14:textId="77777777" w:rsidR="00000000" w:rsidRDefault="009B6C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76C16DB"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8B595C4" w14:textId="77777777" w:rsidR="00000000" w:rsidRDefault="009B6C69">
            <w:pPr>
              <w:spacing w:after="100"/>
              <w:jc w:val="right"/>
              <w:rPr>
                <w:rFonts w:eastAsia="Times New Roman"/>
              </w:rPr>
            </w:pPr>
            <w:r>
              <w:rPr>
                <w:rFonts w:eastAsia="Times New Roman"/>
                <w:color w:val="000000"/>
                <w:sz w:val="18"/>
                <w:szCs w:val="18"/>
              </w:rPr>
              <w:t>7,763 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93F619C" w14:textId="77777777" w:rsidR="00000000" w:rsidRDefault="009B6C69">
            <w:pPr>
              <w:spacing w:after="100"/>
              <w:jc w:val="right"/>
              <w:rPr>
                <w:rFonts w:eastAsia="Times New Roman"/>
              </w:rPr>
            </w:pPr>
          </w:p>
        </w:tc>
        <w:tc>
          <w:tcPr>
            <w:tcW w:w="0" w:type="auto"/>
            <w:vAlign w:val="center"/>
            <w:hideMark/>
          </w:tcPr>
          <w:p w14:paraId="1F907C9C" w14:textId="77777777" w:rsidR="00000000" w:rsidRDefault="009B6C69">
            <w:pPr>
              <w:spacing w:after="100"/>
              <w:jc w:val="right"/>
              <w:rPr>
                <w:rFonts w:eastAsia="Times New Roman"/>
                <w:sz w:val="20"/>
                <w:szCs w:val="20"/>
              </w:rPr>
            </w:pPr>
          </w:p>
        </w:tc>
        <w:tc>
          <w:tcPr>
            <w:tcW w:w="0" w:type="auto"/>
            <w:vAlign w:val="center"/>
            <w:hideMark/>
          </w:tcPr>
          <w:p w14:paraId="05092579"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EF3A4B" w14:textId="77777777" w:rsidR="00000000" w:rsidRDefault="009B6C69">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69C36F2"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1F4CABD" w14:textId="77777777" w:rsidR="00000000" w:rsidRDefault="009B6C69">
            <w:pPr>
              <w:spacing w:after="100"/>
              <w:jc w:val="right"/>
              <w:rPr>
                <w:rFonts w:eastAsia="Times New Roman"/>
              </w:rPr>
            </w:pPr>
            <w:r>
              <w:rPr>
                <w:rFonts w:eastAsia="Times New Roman"/>
                <w:color w:val="000000"/>
                <w:sz w:val="18"/>
                <w:szCs w:val="18"/>
              </w:rPr>
              <w:t>5,074 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71292EB" w14:textId="77777777" w:rsidR="00000000" w:rsidRDefault="009B6C69">
            <w:pPr>
              <w:spacing w:after="100"/>
              <w:jc w:val="right"/>
              <w:rPr>
                <w:rFonts w:eastAsia="Times New Roman"/>
              </w:rPr>
            </w:pPr>
          </w:p>
        </w:tc>
        <w:tc>
          <w:tcPr>
            <w:tcW w:w="0" w:type="auto"/>
            <w:vAlign w:val="center"/>
            <w:hideMark/>
          </w:tcPr>
          <w:p w14:paraId="4E9B2E8B" w14:textId="77777777" w:rsidR="00000000" w:rsidRDefault="009B6C69">
            <w:pPr>
              <w:spacing w:after="100"/>
              <w:jc w:val="right"/>
              <w:rPr>
                <w:rFonts w:eastAsia="Times New Roman"/>
                <w:sz w:val="20"/>
                <w:szCs w:val="20"/>
              </w:rPr>
            </w:pPr>
          </w:p>
        </w:tc>
        <w:tc>
          <w:tcPr>
            <w:tcW w:w="0" w:type="auto"/>
            <w:vAlign w:val="center"/>
            <w:hideMark/>
          </w:tcPr>
          <w:p w14:paraId="325556ED" w14:textId="77777777" w:rsidR="00000000" w:rsidRDefault="009B6C69">
            <w:pPr>
              <w:spacing w:after="100"/>
              <w:rPr>
                <w:rFonts w:eastAsia="Times New Roman"/>
                <w:sz w:val="20"/>
                <w:szCs w:val="20"/>
              </w:rPr>
            </w:pPr>
          </w:p>
        </w:tc>
      </w:tr>
      <w:tr w:rsidR="00000000" w14:paraId="21920304" w14:textId="77777777">
        <w:trPr>
          <w:divId w:val="2072264570"/>
        </w:trPr>
        <w:tc>
          <w:tcPr>
            <w:tcW w:w="0" w:type="auto"/>
            <w:gridSpan w:val="3"/>
            <w:vAlign w:val="center"/>
            <w:hideMark/>
          </w:tcPr>
          <w:p w14:paraId="54E1C7F8" w14:textId="77777777" w:rsidR="00000000" w:rsidRDefault="009B6C69">
            <w:pPr>
              <w:spacing w:after="100"/>
              <w:rPr>
                <w:rFonts w:eastAsia="Times New Roman"/>
                <w:sz w:val="20"/>
                <w:szCs w:val="20"/>
              </w:rPr>
            </w:pPr>
          </w:p>
        </w:tc>
        <w:tc>
          <w:tcPr>
            <w:tcW w:w="0" w:type="auto"/>
            <w:gridSpan w:val="3"/>
            <w:vAlign w:val="center"/>
            <w:hideMark/>
          </w:tcPr>
          <w:p w14:paraId="74C14CFB" w14:textId="77777777" w:rsidR="00000000" w:rsidRDefault="009B6C69">
            <w:pPr>
              <w:spacing w:after="100"/>
              <w:rPr>
                <w:rFonts w:eastAsia="Times New Roman"/>
                <w:sz w:val="20"/>
                <w:szCs w:val="20"/>
              </w:rPr>
            </w:pPr>
          </w:p>
        </w:tc>
        <w:tc>
          <w:tcPr>
            <w:tcW w:w="0" w:type="auto"/>
            <w:gridSpan w:val="3"/>
            <w:vAlign w:val="center"/>
            <w:hideMark/>
          </w:tcPr>
          <w:p w14:paraId="36B33BDC" w14:textId="77777777" w:rsidR="00000000" w:rsidRDefault="009B6C69">
            <w:pPr>
              <w:spacing w:after="100"/>
              <w:rPr>
                <w:rFonts w:eastAsia="Times New Roman"/>
                <w:sz w:val="20"/>
                <w:szCs w:val="20"/>
              </w:rPr>
            </w:pPr>
          </w:p>
        </w:tc>
        <w:tc>
          <w:tcPr>
            <w:tcW w:w="0" w:type="auto"/>
            <w:gridSpan w:val="3"/>
            <w:vAlign w:val="center"/>
            <w:hideMark/>
          </w:tcPr>
          <w:p w14:paraId="150C385F" w14:textId="77777777" w:rsidR="00000000" w:rsidRDefault="009B6C69">
            <w:pPr>
              <w:spacing w:after="100"/>
              <w:rPr>
                <w:rFonts w:eastAsia="Times New Roman"/>
                <w:sz w:val="20"/>
                <w:szCs w:val="20"/>
              </w:rPr>
            </w:pPr>
          </w:p>
        </w:tc>
        <w:tc>
          <w:tcPr>
            <w:tcW w:w="0" w:type="auto"/>
            <w:vAlign w:val="center"/>
            <w:hideMark/>
          </w:tcPr>
          <w:p w14:paraId="10DB5900" w14:textId="77777777" w:rsidR="00000000" w:rsidRDefault="009B6C69">
            <w:pPr>
              <w:spacing w:after="100"/>
              <w:rPr>
                <w:rFonts w:eastAsia="Times New Roman"/>
                <w:sz w:val="20"/>
                <w:szCs w:val="20"/>
              </w:rPr>
            </w:pPr>
          </w:p>
        </w:tc>
        <w:tc>
          <w:tcPr>
            <w:tcW w:w="0" w:type="auto"/>
            <w:vAlign w:val="center"/>
            <w:hideMark/>
          </w:tcPr>
          <w:p w14:paraId="49F2093A" w14:textId="77777777" w:rsidR="00000000" w:rsidRDefault="009B6C69">
            <w:pPr>
              <w:spacing w:after="100"/>
              <w:rPr>
                <w:rFonts w:eastAsia="Times New Roman"/>
                <w:sz w:val="20"/>
                <w:szCs w:val="20"/>
              </w:rPr>
            </w:pPr>
          </w:p>
        </w:tc>
        <w:tc>
          <w:tcPr>
            <w:tcW w:w="0" w:type="auto"/>
            <w:gridSpan w:val="3"/>
            <w:vAlign w:val="center"/>
            <w:hideMark/>
          </w:tcPr>
          <w:p w14:paraId="6558C0B2" w14:textId="77777777" w:rsidR="00000000" w:rsidRDefault="009B6C69">
            <w:pPr>
              <w:spacing w:after="100"/>
              <w:rPr>
                <w:rFonts w:eastAsia="Times New Roman"/>
                <w:sz w:val="20"/>
                <w:szCs w:val="20"/>
              </w:rPr>
            </w:pPr>
          </w:p>
        </w:tc>
        <w:tc>
          <w:tcPr>
            <w:tcW w:w="0" w:type="auto"/>
            <w:gridSpan w:val="3"/>
            <w:vAlign w:val="center"/>
            <w:hideMark/>
          </w:tcPr>
          <w:p w14:paraId="18E56992" w14:textId="77777777" w:rsidR="00000000" w:rsidRDefault="009B6C69">
            <w:pPr>
              <w:spacing w:after="100"/>
              <w:rPr>
                <w:rFonts w:eastAsia="Times New Roman"/>
                <w:sz w:val="20"/>
                <w:szCs w:val="20"/>
              </w:rPr>
            </w:pPr>
          </w:p>
        </w:tc>
        <w:tc>
          <w:tcPr>
            <w:tcW w:w="0" w:type="auto"/>
            <w:vAlign w:val="center"/>
            <w:hideMark/>
          </w:tcPr>
          <w:p w14:paraId="340FD803" w14:textId="77777777" w:rsidR="00000000" w:rsidRDefault="009B6C69">
            <w:pPr>
              <w:spacing w:after="100"/>
              <w:rPr>
                <w:rFonts w:eastAsia="Times New Roman"/>
                <w:sz w:val="20"/>
                <w:szCs w:val="20"/>
              </w:rPr>
            </w:pPr>
          </w:p>
        </w:tc>
        <w:tc>
          <w:tcPr>
            <w:tcW w:w="0" w:type="auto"/>
            <w:vAlign w:val="center"/>
            <w:hideMark/>
          </w:tcPr>
          <w:p w14:paraId="5EDEB9FD" w14:textId="77777777" w:rsidR="00000000" w:rsidRDefault="009B6C69">
            <w:pPr>
              <w:spacing w:after="100"/>
              <w:rPr>
                <w:rFonts w:eastAsia="Times New Roman"/>
                <w:sz w:val="20"/>
                <w:szCs w:val="20"/>
              </w:rPr>
            </w:pPr>
          </w:p>
        </w:tc>
      </w:tr>
      <w:tr w:rsidR="00000000" w14:paraId="44D76AF2" w14:textId="77777777">
        <w:trPr>
          <w:divId w:val="2072264570"/>
        </w:trPr>
        <w:tc>
          <w:tcPr>
            <w:tcW w:w="0" w:type="auto"/>
            <w:gridSpan w:val="3"/>
            <w:vAlign w:val="center"/>
            <w:hideMark/>
          </w:tcPr>
          <w:p w14:paraId="798A7DB3" w14:textId="77777777" w:rsidR="00000000" w:rsidRDefault="009B6C69">
            <w:pPr>
              <w:spacing w:after="100"/>
              <w:rPr>
                <w:rFonts w:eastAsia="Times New Roman"/>
                <w:sz w:val="20"/>
                <w:szCs w:val="20"/>
              </w:rPr>
            </w:pPr>
          </w:p>
        </w:tc>
        <w:tc>
          <w:tcPr>
            <w:tcW w:w="0" w:type="auto"/>
            <w:gridSpan w:val="3"/>
            <w:vAlign w:val="center"/>
            <w:hideMark/>
          </w:tcPr>
          <w:p w14:paraId="510546A5" w14:textId="77777777" w:rsidR="00000000" w:rsidRDefault="009B6C69">
            <w:pPr>
              <w:spacing w:after="100"/>
              <w:rPr>
                <w:rFonts w:eastAsia="Times New Roman"/>
                <w:sz w:val="20"/>
                <w:szCs w:val="20"/>
              </w:rPr>
            </w:pPr>
          </w:p>
        </w:tc>
        <w:tc>
          <w:tcPr>
            <w:tcW w:w="0" w:type="auto"/>
            <w:gridSpan w:val="3"/>
            <w:vAlign w:val="center"/>
            <w:hideMark/>
          </w:tcPr>
          <w:p w14:paraId="52740347" w14:textId="77777777" w:rsidR="00000000" w:rsidRDefault="009B6C69">
            <w:pPr>
              <w:spacing w:after="100"/>
              <w:rPr>
                <w:rFonts w:eastAsia="Times New Roman"/>
                <w:sz w:val="20"/>
                <w:szCs w:val="20"/>
              </w:rPr>
            </w:pPr>
          </w:p>
        </w:tc>
        <w:tc>
          <w:tcPr>
            <w:tcW w:w="0" w:type="auto"/>
            <w:gridSpan w:val="3"/>
            <w:vAlign w:val="center"/>
            <w:hideMark/>
          </w:tcPr>
          <w:p w14:paraId="47AEA4BE" w14:textId="77777777" w:rsidR="00000000" w:rsidRDefault="009B6C69">
            <w:pPr>
              <w:spacing w:after="100"/>
              <w:rPr>
                <w:rFonts w:eastAsia="Times New Roman"/>
                <w:sz w:val="20"/>
                <w:szCs w:val="20"/>
              </w:rPr>
            </w:pPr>
          </w:p>
        </w:tc>
        <w:tc>
          <w:tcPr>
            <w:tcW w:w="0" w:type="auto"/>
            <w:vAlign w:val="center"/>
            <w:hideMark/>
          </w:tcPr>
          <w:p w14:paraId="11F2E0B9" w14:textId="77777777" w:rsidR="00000000" w:rsidRDefault="009B6C69">
            <w:pPr>
              <w:spacing w:after="100"/>
              <w:rPr>
                <w:rFonts w:eastAsia="Times New Roman"/>
                <w:sz w:val="20"/>
                <w:szCs w:val="20"/>
              </w:rPr>
            </w:pPr>
          </w:p>
        </w:tc>
        <w:tc>
          <w:tcPr>
            <w:tcW w:w="0" w:type="auto"/>
            <w:vAlign w:val="center"/>
            <w:hideMark/>
          </w:tcPr>
          <w:p w14:paraId="2DA3C890" w14:textId="77777777" w:rsidR="00000000" w:rsidRDefault="009B6C69">
            <w:pPr>
              <w:spacing w:after="100"/>
              <w:rPr>
                <w:rFonts w:eastAsia="Times New Roman"/>
                <w:sz w:val="20"/>
                <w:szCs w:val="20"/>
              </w:rPr>
            </w:pPr>
          </w:p>
        </w:tc>
        <w:tc>
          <w:tcPr>
            <w:tcW w:w="0" w:type="auto"/>
            <w:gridSpan w:val="3"/>
            <w:vAlign w:val="center"/>
            <w:hideMark/>
          </w:tcPr>
          <w:p w14:paraId="7F520E5B" w14:textId="77777777" w:rsidR="00000000" w:rsidRDefault="009B6C69">
            <w:pPr>
              <w:spacing w:after="100"/>
              <w:rPr>
                <w:rFonts w:eastAsia="Times New Roman"/>
                <w:sz w:val="20"/>
                <w:szCs w:val="20"/>
              </w:rPr>
            </w:pPr>
          </w:p>
        </w:tc>
        <w:tc>
          <w:tcPr>
            <w:tcW w:w="0" w:type="auto"/>
            <w:gridSpan w:val="3"/>
            <w:vAlign w:val="center"/>
            <w:hideMark/>
          </w:tcPr>
          <w:p w14:paraId="09FDB54B" w14:textId="77777777" w:rsidR="00000000" w:rsidRDefault="009B6C69">
            <w:pPr>
              <w:spacing w:after="100"/>
              <w:rPr>
                <w:rFonts w:eastAsia="Times New Roman"/>
                <w:sz w:val="20"/>
                <w:szCs w:val="20"/>
              </w:rPr>
            </w:pPr>
          </w:p>
        </w:tc>
        <w:tc>
          <w:tcPr>
            <w:tcW w:w="0" w:type="auto"/>
            <w:vAlign w:val="center"/>
            <w:hideMark/>
          </w:tcPr>
          <w:p w14:paraId="6520B804" w14:textId="77777777" w:rsidR="00000000" w:rsidRDefault="009B6C69">
            <w:pPr>
              <w:spacing w:after="100"/>
              <w:rPr>
                <w:rFonts w:eastAsia="Times New Roman"/>
                <w:sz w:val="20"/>
                <w:szCs w:val="20"/>
              </w:rPr>
            </w:pPr>
          </w:p>
        </w:tc>
        <w:tc>
          <w:tcPr>
            <w:tcW w:w="0" w:type="auto"/>
            <w:vAlign w:val="center"/>
            <w:hideMark/>
          </w:tcPr>
          <w:p w14:paraId="33404D04" w14:textId="77777777" w:rsidR="00000000" w:rsidRDefault="009B6C69">
            <w:pPr>
              <w:spacing w:after="100"/>
              <w:rPr>
                <w:rFonts w:eastAsia="Times New Roman"/>
                <w:sz w:val="20"/>
                <w:szCs w:val="20"/>
              </w:rPr>
            </w:pPr>
          </w:p>
        </w:tc>
      </w:tr>
      <w:tr w:rsidR="00000000" w14:paraId="35937D54" w14:textId="77777777">
        <w:trPr>
          <w:divId w:val="2072264570"/>
        </w:trPr>
        <w:tc>
          <w:tcPr>
            <w:tcW w:w="0" w:type="auto"/>
            <w:gridSpan w:val="3"/>
            <w:vAlign w:val="center"/>
            <w:hideMark/>
          </w:tcPr>
          <w:p w14:paraId="172E8D40" w14:textId="77777777" w:rsidR="00000000" w:rsidRDefault="009B6C69">
            <w:pPr>
              <w:spacing w:after="100"/>
              <w:rPr>
                <w:rFonts w:eastAsia="Times New Roman"/>
                <w:sz w:val="20"/>
                <w:szCs w:val="20"/>
              </w:rPr>
            </w:pPr>
          </w:p>
        </w:tc>
        <w:tc>
          <w:tcPr>
            <w:tcW w:w="0" w:type="auto"/>
            <w:gridSpan w:val="3"/>
            <w:vAlign w:val="center"/>
            <w:hideMark/>
          </w:tcPr>
          <w:p w14:paraId="6FED80BA" w14:textId="77777777" w:rsidR="00000000" w:rsidRDefault="009B6C69">
            <w:pPr>
              <w:spacing w:after="100"/>
              <w:rPr>
                <w:rFonts w:eastAsia="Times New Roman"/>
                <w:sz w:val="20"/>
                <w:szCs w:val="20"/>
              </w:rPr>
            </w:pPr>
          </w:p>
        </w:tc>
        <w:tc>
          <w:tcPr>
            <w:tcW w:w="0" w:type="auto"/>
            <w:gridSpan w:val="3"/>
            <w:vAlign w:val="center"/>
            <w:hideMark/>
          </w:tcPr>
          <w:p w14:paraId="05704D6B" w14:textId="77777777" w:rsidR="00000000" w:rsidRDefault="009B6C69">
            <w:pPr>
              <w:spacing w:after="100"/>
              <w:rPr>
                <w:rFonts w:eastAsia="Times New Roman"/>
                <w:sz w:val="20"/>
                <w:szCs w:val="20"/>
              </w:rPr>
            </w:pPr>
          </w:p>
        </w:tc>
        <w:tc>
          <w:tcPr>
            <w:tcW w:w="0" w:type="auto"/>
            <w:gridSpan w:val="3"/>
            <w:vAlign w:val="center"/>
            <w:hideMark/>
          </w:tcPr>
          <w:p w14:paraId="4056C070" w14:textId="77777777" w:rsidR="00000000" w:rsidRDefault="009B6C69">
            <w:pPr>
              <w:spacing w:after="100"/>
              <w:rPr>
                <w:rFonts w:eastAsia="Times New Roman"/>
                <w:sz w:val="20"/>
                <w:szCs w:val="20"/>
              </w:rPr>
            </w:pPr>
          </w:p>
        </w:tc>
        <w:tc>
          <w:tcPr>
            <w:tcW w:w="0" w:type="auto"/>
            <w:vAlign w:val="center"/>
            <w:hideMark/>
          </w:tcPr>
          <w:p w14:paraId="5B2155DD" w14:textId="77777777" w:rsidR="00000000" w:rsidRDefault="009B6C69">
            <w:pPr>
              <w:spacing w:after="100"/>
              <w:rPr>
                <w:rFonts w:eastAsia="Times New Roman"/>
                <w:sz w:val="20"/>
                <w:szCs w:val="20"/>
              </w:rPr>
            </w:pPr>
          </w:p>
        </w:tc>
        <w:tc>
          <w:tcPr>
            <w:tcW w:w="0" w:type="auto"/>
            <w:vAlign w:val="center"/>
            <w:hideMark/>
          </w:tcPr>
          <w:p w14:paraId="28E7DC93" w14:textId="77777777" w:rsidR="00000000" w:rsidRDefault="009B6C69">
            <w:pPr>
              <w:spacing w:after="100"/>
              <w:rPr>
                <w:rFonts w:eastAsia="Times New Roman"/>
                <w:sz w:val="20"/>
                <w:szCs w:val="20"/>
              </w:rPr>
            </w:pPr>
          </w:p>
        </w:tc>
        <w:tc>
          <w:tcPr>
            <w:tcW w:w="0" w:type="auto"/>
            <w:gridSpan w:val="3"/>
            <w:vAlign w:val="center"/>
            <w:hideMark/>
          </w:tcPr>
          <w:p w14:paraId="6205AC59" w14:textId="77777777" w:rsidR="00000000" w:rsidRDefault="009B6C69">
            <w:pPr>
              <w:spacing w:after="100"/>
              <w:rPr>
                <w:rFonts w:eastAsia="Times New Roman"/>
                <w:sz w:val="20"/>
                <w:szCs w:val="20"/>
              </w:rPr>
            </w:pPr>
          </w:p>
        </w:tc>
        <w:tc>
          <w:tcPr>
            <w:tcW w:w="0" w:type="auto"/>
            <w:gridSpan w:val="3"/>
            <w:vAlign w:val="center"/>
            <w:hideMark/>
          </w:tcPr>
          <w:p w14:paraId="0EB1ADF9" w14:textId="77777777" w:rsidR="00000000" w:rsidRDefault="009B6C69">
            <w:pPr>
              <w:spacing w:after="100"/>
              <w:rPr>
                <w:rFonts w:eastAsia="Times New Roman"/>
                <w:sz w:val="20"/>
                <w:szCs w:val="20"/>
              </w:rPr>
            </w:pPr>
          </w:p>
        </w:tc>
        <w:tc>
          <w:tcPr>
            <w:tcW w:w="0" w:type="auto"/>
            <w:vAlign w:val="center"/>
            <w:hideMark/>
          </w:tcPr>
          <w:p w14:paraId="516BE28D" w14:textId="77777777" w:rsidR="00000000" w:rsidRDefault="009B6C69">
            <w:pPr>
              <w:spacing w:after="100"/>
              <w:rPr>
                <w:rFonts w:eastAsia="Times New Roman"/>
                <w:sz w:val="20"/>
                <w:szCs w:val="20"/>
              </w:rPr>
            </w:pPr>
          </w:p>
        </w:tc>
        <w:tc>
          <w:tcPr>
            <w:tcW w:w="0" w:type="auto"/>
            <w:vAlign w:val="center"/>
            <w:hideMark/>
          </w:tcPr>
          <w:p w14:paraId="32DF24CC" w14:textId="77777777" w:rsidR="00000000" w:rsidRDefault="009B6C69">
            <w:pPr>
              <w:spacing w:after="100"/>
              <w:rPr>
                <w:rFonts w:eastAsia="Times New Roman"/>
                <w:sz w:val="20"/>
                <w:szCs w:val="20"/>
              </w:rPr>
            </w:pPr>
          </w:p>
        </w:tc>
      </w:tr>
      <w:tr w:rsidR="00000000" w14:paraId="73E76D34" w14:textId="77777777">
        <w:trPr>
          <w:divId w:val="2072264570"/>
        </w:trPr>
        <w:tc>
          <w:tcPr>
            <w:tcW w:w="0" w:type="auto"/>
            <w:gridSpan w:val="3"/>
            <w:shd w:val="clear" w:color="auto" w:fill="CCEEFF"/>
            <w:tcMar>
              <w:top w:w="30" w:type="dxa"/>
              <w:left w:w="20" w:type="dxa"/>
              <w:bottom w:w="30" w:type="dxa"/>
              <w:right w:w="20" w:type="dxa"/>
            </w:tcMar>
            <w:vAlign w:val="bottom"/>
            <w:hideMark/>
          </w:tcPr>
          <w:p w14:paraId="763BC379" w14:textId="77777777" w:rsidR="00000000" w:rsidRDefault="009B6C69">
            <w:pPr>
              <w:spacing w:after="100"/>
              <w:rPr>
                <w:rFonts w:eastAsia="Times New Roman"/>
              </w:rPr>
            </w:pPr>
            <w:r>
              <w:rPr>
                <w:rFonts w:eastAsia="Times New Roman"/>
                <w:color w:val="000000"/>
                <w:sz w:val="18"/>
                <w:szCs w:val="18"/>
              </w:rPr>
              <w:t>EBT as a % of revenues</w:t>
            </w:r>
          </w:p>
        </w:tc>
        <w:tc>
          <w:tcPr>
            <w:tcW w:w="0" w:type="auto"/>
            <w:gridSpan w:val="2"/>
            <w:shd w:val="clear" w:color="auto" w:fill="CCEEFF"/>
            <w:tcMar>
              <w:top w:w="30" w:type="dxa"/>
              <w:left w:w="20" w:type="dxa"/>
              <w:bottom w:w="30" w:type="dxa"/>
              <w:right w:w="0" w:type="dxa"/>
            </w:tcMar>
            <w:vAlign w:val="bottom"/>
            <w:hideMark/>
          </w:tcPr>
          <w:p w14:paraId="6DC6EF7E" w14:textId="77777777" w:rsidR="00000000" w:rsidRDefault="009B6C69">
            <w:pPr>
              <w:spacing w:after="100"/>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bottom"/>
            <w:hideMark/>
          </w:tcPr>
          <w:p w14:paraId="03DE9C67" w14:textId="77777777" w:rsidR="00000000" w:rsidRDefault="009B6C69">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E22D6FD" w14:textId="77777777" w:rsidR="00000000" w:rsidRDefault="009B6C6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9E6AE5" w14:textId="77777777" w:rsidR="00000000" w:rsidRDefault="009B6C69">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bottom"/>
            <w:hideMark/>
          </w:tcPr>
          <w:p w14:paraId="7D77BBDD" w14:textId="77777777" w:rsidR="00000000" w:rsidRDefault="009B6C69">
            <w:pPr>
              <w:spacing w:after="100"/>
              <w:rPr>
                <w:rFonts w:eastAsia="Times New Roman"/>
              </w:rPr>
            </w:pPr>
            <w:r>
              <w:rPr>
                <w:rFonts w:eastAsia="Times New Roman"/>
                <w:color w:val="000000"/>
                <w:sz w:val="18"/>
                <w:szCs w:val="18"/>
              </w:rPr>
              <w:t>%</w:t>
            </w:r>
          </w:p>
        </w:tc>
        <w:tc>
          <w:tcPr>
            <w:tcW w:w="0" w:type="auto"/>
            <w:vAlign w:val="center"/>
            <w:hideMark/>
          </w:tcPr>
          <w:p w14:paraId="756F03F8" w14:textId="77777777" w:rsidR="00000000" w:rsidRDefault="009B6C69">
            <w:pPr>
              <w:spacing w:after="100"/>
              <w:rPr>
                <w:rFonts w:eastAsia="Times New Roman"/>
              </w:rPr>
            </w:pPr>
          </w:p>
        </w:tc>
        <w:tc>
          <w:tcPr>
            <w:tcW w:w="0" w:type="auto"/>
            <w:vAlign w:val="center"/>
            <w:hideMark/>
          </w:tcPr>
          <w:p w14:paraId="3EF83682"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4FE4FA" w14:textId="77777777" w:rsidR="00000000" w:rsidRDefault="009B6C69">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B103D29" w14:textId="77777777" w:rsidR="00000000" w:rsidRDefault="009B6C69">
            <w:pPr>
              <w:spacing w:after="100"/>
              <w:jc w:val="right"/>
              <w:rPr>
                <w:rFonts w:eastAsia="Times New Roman"/>
              </w:rPr>
            </w:pPr>
            <w:r>
              <w:rPr>
                <w:rFonts w:eastAsia="Times New Roman"/>
                <w:color w:val="000000"/>
                <w:sz w:val="18"/>
                <w:szCs w:val="18"/>
              </w:rPr>
              <w:t>5 points</w:t>
            </w:r>
          </w:p>
        </w:tc>
        <w:tc>
          <w:tcPr>
            <w:tcW w:w="0" w:type="auto"/>
            <w:vAlign w:val="center"/>
            <w:hideMark/>
          </w:tcPr>
          <w:p w14:paraId="79072EC6" w14:textId="77777777" w:rsidR="00000000" w:rsidRDefault="009B6C69">
            <w:pPr>
              <w:spacing w:after="100"/>
              <w:jc w:val="right"/>
              <w:rPr>
                <w:rFonts w:eastAsia="Times New Roman"/>
              </w:rPr>
            </w:pPr>
          </w:p>
        </w:tc>
        <w:tc>
          <w:tcPr>
            <w:tcW w:w="0" w:type="auto"/>
            <w:vAlign w:val="center"/>
            <w:hideMark/>
          </w:tcPr>
          <w:p w14:paraId="239A5CD0" w14:textId="77777777" w:rsidR="00000000" w:rsidRDefault="009B6C69">
            <w:pPr>
              <w:spacing w:after="100"/>
              <w:rPr>
                <w:rFonts w:eastAsia="Times New Roman"/>
                <w:sz w:val="20"/>
                <w:szCs w:val="20"/>
              </w:rPr>
            </w:pPr>
          </w:p>
        </w:tc>
      </w:tr>
      <w:tr w:rsidR="00000000" w14:paraId="4C34FB93" w14:textId="77777777">
        <w:trPr>
          <w:divId w:val="2072264570"/>
        </w:trPr>
        <w:tc>
          <w:tcPr>
            <w:tcW w:w="0" w:type="auto"/>
            <w:gridSpan w:val="3"/>
            <w:vAlign w:val="center"/>
            <w:hideMark/>
          </w:tcPr>
          <w:p w14:paraId="10555556" w14:textId="77777777" w:rsidR="00000000" w:rsidRDefault="009B6C69">
            <w:pPr>
              <w:spacing w:after="100"/>
              <w:rPr>
                <w:rFonts w:eastAsia="Times New Roman"/>
                <w:sz w:val="20"/>
                <w:szCs w:val="20"/>
              </w:rPr>
            </w:pPr>
          </w:p>
        </w:tc>
        <w:tc>
          <w:tcPr>
            <w:tcW w:w="0" w:type="auto"/>
            <w:gridSpan w:val="3"/>
            <w:vAlign w:val="center"/>
            <w:hideMark/>
          </w:tcPr>
          <w:p w14:paraId="34B77805" w14:textId="77777777" w:rsidR="00000000" w:rsidRDefault="009B6C69">
            <w:pPr>
              <w:spacing w:after="100"/>
              <w:rPr>
                <w:rFonts w:eastAsia="Times New Roman"/>
                <w:sz w:val="20"/>
                <w:szCs w:val="20"/>
              </w:rPr>
            </w:pPr>
          </w:p>
        </w:tc>
        <w:tc>
          <w:tcPr>
            <w:tcW w:w="0" w:type="auto"/>
            <w:gridSpan w:val="3"/>
            <w:vAlign w:val="center"/>
            <w:hideMark/>
          </w:tcPr>
          <w:p w14:paraId="7D841EFF" w14:textId="77777777" w:rsidR="00000000" w:rsidRDefault="009B6C69">
            <w:pPr>
              <w:spacing w:after="100"/>
              <w:rPr>
                <w:rFonts w:eastAsia="Times New Roman"/>
                <w:sz w:val="20"/>
                <w:szCs w:val="20"/>
              </w:rPr>
            </w:pPr>
          </w:p>
        </w:tc>
        <w:tc>
          <w:tcPr>
            <w:tcW w:w="0" w:type="auto"/>
            <w:gridSpan w:val="3"/>
            <w:vAlign w:val="center"/>
            <w:hideMark/>
          </w:tcPr>
          <w:p w14:paraId="50A60BE8" w14:textId="77777777" w:rsidR="00000000" w:rsidRDefault="009B6C69">
            <w:pPr>
              <w:spacing w:after="100"/>
              <w:rPr>
                <w:rFonts w:eastAsia="Times New Roman"/>
                <w:sz w:val="20"/>
                <w:szCs w:val="20"/>
              </w:rPr>
            </w:pPr>
          </w:p>
        </w:tc>
        <w:tc>
          <w:tcPr>
            <w:tcW w:w="0" w:type="auto"/>
            <w:vAlign w:val="center"/>
            <w:hideMark/>
          </w:tcPr>
          <w:p w14:paraId="0D239315" w14:textId="77777777" w:rsidR="00000000" w:rsidRDefault="009B6C69">
            <w:pPr>
              <w:spacing w:after="100"/>
              <w:rPr>
                <w:rFonts w:eastAsia="Times New Roman"/>
                <w:sz w:val="20"/>
                <w:szCs w:val="20"/>
              </w:rPr>
            </w:pPr>
          </w:p>
        </w:tc>
        <w:tc>
          <w:tcPr>
            <w:tcW w:w="0" w:type="auto"/>
            <w:vAlign w:val="center"/>
            <w:hideMark/>
          </w:tcPr>
          <w:p w14:paraId="28CE5144" w14:textId="77777777" w:rsidR="00000000" w:rsidRDefault="009B6C69">
            <w:pPr>
              <w:spacing w:after="100"/>
              <w:rPr>
                <w:rFonts w:eastAsia="Times New Roman"/>
                <w:sz w:val="20"/>
                <w:szCs w:val="20"/>
              </w:rPr>
            </w:pPr>
          </w:p>
        </w:tc>
        <w:tc>
          <w:tcPr>
            <w:tcW w:w="0" w:type="auto"/>
            <w:gridSpan w:val="3"/>
            <w:vAlign w:val="center"/>
            <w:hideMark/>
          </w:tcPr>
          <w:p w14:paraId="0E105FDE" w14:textId="77777777" w:rsidR="00000000" w:rsidRDefault="009B6C69">
            <w:pPr>
              <w:spacing w:after="100"/>
              <w:rPr>
                <w:rFonts w:eastAsia="Times New Roman"/>
                <w:sz w:val="20"/>
                <w:szCs w:val="20"/>
              </w:rPr>
            </w:pPr>
          </w:p>
        </w:tc>
        <w:tc>
          <w:tcPr>
            <w:tcW w:w="0" w:type="auto"/>
            <w:gridSpan w:val="3"/>
            <w:vAlign w:val="center"/>
            <w:hideMark/>
          </w:tcPr>
          <w:p w14:paraId="253A8A09" w14:textId="77777777" w:rsidR="00000000" w:rsidRDefault="009B6C69">
            <w:pPr>
              <w:spacing w:after="100"/>
              <w:rPr>
                <w:rFonts w:eastAsia="Times New Roman"/>
                <w:sz w:val="20"/>
                <w:szCs w:val="20"/>
              </w:rPr>
            </w:pPr>
          </w:p>
        </w:tc>
        <w:tc>
          <w:tcPr>
            <w:tcW w:w="0" w:type="auto"/>
            <w:vAlign w:val="center"/>
            <w:hideMark/>
          </w:tcPr>
          <w:p w14:paraId="51CE528F" w14:textId="77777777" w:rsidR="00000000" w:rsidRDefault="009B6C69">
            <w:pPr>
              <w:spacing w:after="100"/>
              <w:rPr>
                <w:rFonts w:eastAsia="Times New Roman"/>
                <w:sz w:val="20"/>
                <w:szCs w:val="20"/>
              </w:rPr>
            </w:pPr>
          </w:p>
        </w:tc>
        <w:tc>
          <w:tcPr>
            <w:tcW w:w="0" w:type="auto"/>
            <w:vAlign w:val="center"/>
            <w:hideMark/>
          </w:tcPr>
          <w:p w14:paraId="7342293D" w14:textId="77777777" w:rsidR="00000000" w:rsidRDefault="009B6C69">
            <w:pPr>
              <w:spacing w:after="100"/>
              <w:rPr>
                <w:rFonts w:eastAsia="Times New Roman"/>
                <w:sz w:val="20"/>
                <w:szCs w:val="20"/>
              </w:rPr>
            </w:pPr>
          </w:p>
        </w:tc>
      </w:tr>
      <w:tr w:rsidR="00000000" w14:paraId="16CC0279" w14:textId="77777777">
        <w:trPr>
          <w:divId w:val="2072264570"/>
        </w:trPr>
        <w:tc>
          <w:tcPr>
            <w:tcW w:w="0" w:type="auto"/>
            <w:gridSpan w:val="3"/>
            <w:vAlign w:val="center"/>
            <w:hideMark/>
          </w:tcPr>
          <w:p w14:paraId="27A41E54" w14:textId="77777777" w:rsidR="00000000" w:rsidRDefault="009B6C69">
            <w:pPr>
              <w:spacing w:after="100"/>
              <w:rPr>
                <w:rFonts w:eastAsia="Times New Roman"/>
                <w:sz w:val="20"/>
                <w:szCs w:val="20"/>
              </w:rPr>
            </w:pPr>
          </w:p>
        </w:tc>
        <w:tc>
          <w:tcPr>
            <w:tcW w:w="0" w:type="auto"/>
            <w:gridSpan w:val="3"/>
            <w:vAlign w:val="center"/>
            <w:hideMark/>
          </w:tcPr>
          <w:p w14:paraId="5E2C53E1" w14:textId="77777777" w:rsidR="00000000" w:rsidRDefault="009B6C69">
            <w:pPr>
              <w:spacing w:after="100"/>
              <w:rPr>
                <w:rFonts w:eastAsia="Times New Roman"/>
                <w:sz w:val="20"/>
                <w:szCs w:val="20"/>
              </w:rPr>
            </w:pPr>
          </w:p>
        </w:tc>
        <w:tc>
          <w:tcPr>
            <w:tcW w:w="0" w:type="auto"/>
            <w:gridSpan w:val="3"/>
            <w:vAlign w:val="center"/>
            <w:hideMark/>
          </w:tcPr>
          <w:p w14:paraId="659AD6FF" w14:textId="77777777" w:rsidR="00000000" w:rsidRDefault="009B6C69">
            <w:pPr>
              <w:spacing w:after="100"/>
              <w:rPr>
                <w:rFonts w:eastAsia="Times New Roman"/>
                <w:sz w:val="20"/>
                <w:szCs w:val="20"/>
              </w:rPr>
            </w:pPr>
          </w:p>
        </w:tc>
        <w:tc>
          <w:tcPr>
            <w:tcW w:w="0" w:type="auto"/>
            <w:gridSpan w:val="3"/>
            <w:vAlign w:val="center"/>
            <w:hideMark/>
          </w:tcPr>
          <w:p w14:paraId="0036E2EF" w14:textId="77777777" w:rsidR="00000000" w:rsidRDefault="009B6C69">
            <w:pPr>
              <w:spacing w:after="100"/>
              <w:rPr>
                <w:rFonts w:eastAsia="Times New Roman"/>
                <w:sz w:val="20"/>
                <w:szCs w:val="20"/>
              </w:rPr>
            </w:pPr>
          </w:p>
        </w:tc>
        <w:tc>
          <w:tcPr>
            <w:tcW w:w="0" w:type="auto"/>
            <w:vAlign w:val="center"/>
            <w:hideMark/>
          </w:tcPr>
          <w:p w14:paraId="54ACACAF" w14:textId="77777777" w:rsidR="00000000" w:rsidRDefault="009B6C69">
            <w:pPr>
              <w:spacing w:after="100"/>
              <w:rPr>
                <w:rFonts w:eastAsia="Times New Roman"/>
                <w:sz w:val="20"/>
                <w:szCs w:val="20"/>
              </w:rPr>
            </w:pPr>
          </w:p>
        </w:tc>
        <w:tc>
          <w:tcPr>
            <w:tcW w:w="0" w:type="auto"/>
            <w:vAlign w:val="center"/>
            <w:hideMark/>
          </w:tcPr>
          <w:p w14:paraId="7F69A8D0" w14:textId="77777777" w:rsidR="00000000" w:rsidRDefault="009B6C69">
            <w:pPr>
              <w:spacing w:after="100"/>
              <w:rPr>
                <w:rFonts w:eastAsia="Times New Roman"/>
                <w:sz w:val="20"/>
                <w:szCs w:val="20"/>
              </w:rPr>
            </w:pPr>
          </w:p>
        </w:tc>
        <w:tc>
          <w:tcPr>
            <w:tcW w:w="0" w:type="auto"/>
            <w:gridSpan w:val="3"/>
            <w:vAlign w:val="center"/>
            <w:hideMark/>
          </w:tcPr>
          <w:p w14:paraId="137E29BA" w14:textId="77777777" w:rsidR="00000000" w:rsidRDefault="009B6C69">
            <w:pPr>
              <w:spacing w:after="100"/>
              <w:rPr>
                <w:rFonts w:eastAsia="Times New Roman"/>
                <w:sz w:val="20"/>
                <w:szCs w:val="20"/>
              </w:rPr>
            </w:pPr>
          </w:p>
        </w:tc>
        <w:tc>
          <w:tcPr>
            <w:tcW w:w="0" w:type="auto"/>
            <w:gridSpan w:val="3"/>
            <w:vAlign w:val="center"/>
            <w:hideMark/>
          </w:tcPr>
          <w:p w14:paraId="6A138947" w14:textId="77777777" w:rsidR="00000000" w:rsidRDefault="009B6C69">
            <w:pPr>
              <w:spacing w:after="100"/>
              <w:rPr>
                <w:rFonts w:eastAsia="Times New Roman"/>
                <w:sz w:val="20"/>
                <w:szCs w:val="20"/>
              </w:rPr>
            </w:pPr>
          </w:p>
        </w:tc>
        <w:tc>
          <w:tcPr>
            <w:tcW w:w="0" w:type="auto"/>
            <w:vAlign w:val="center"/>
            <w:hideMark/>
          </w:tcPr>
          <w:p w14:paraId="0A86584A" w14:textId="77777777" w:rsidR="00000000" w:rsidRDefault="009B6C69">
            <w:pPr>
              <w:spacing w:after="100"/>
              <w:rPr>
                <w:rFonts w:eastAsia="Times New Roman"/>
                <w:sz w:val="20"/>
                <w:szCs w:val="20"/>
              </w:rPr>
            </w:pPr>
          </w:p>
        </w:tc>
        <w:tc>
          <w:tcPr>
            <w:tcW w:w="0" w:type="auto"/>
            <w:vAlign w:val="center"/>
            <w:hideMark/>
          </w:tcPr>
          <w:p w14:paraId="5EF5CD26" w14:textId="77777777" w:rsidR="00000000" w:rsidRDefault="009B6C69">
            <w:pPr>
              <w:spacing w:after="100"/>
              <w:rPr>
                <w:rFonts w:eastAsia="Times New Roman"/>
                <w:sz w:val="20"/>
                <w:szCs w:val="20"/>
              </w:rPr>
            </w:pPr>
          </w:p>
        </w:tc>
      </w:tr>
    </w:tbl>
    <w:p w14:paraId="2B87A35E" w14:textId="77777777" w:rsidR="00000000" w:rsidRDefault="009B6C69">
      <w:pPr>
        <w:ind w:firstLine="360"/>
        <w:divId w:val="2072264570"/>
        <w:rPr>
          <w:rFonts w:eastAsia="Times New Roman"/>
        </w:rPr>
      </w:pPr>
      <w:r>
        <w:rPr>
          <w:rFonts w:eastAsia="Times New Roman"/>
          <w:color w:val="000000"/>
          <w:sz w:val="18"/>
          <w:szCs w:val="18"/>
        </w:rPr>
        <w:t xml:space="preserve">(1) Includes revenues from products sold for use in mobile handsets, excluding RFFE (radio frequency front-end) components. </w:t>
      </w:r>
    </w:p>
    <w:p w14:paraId="0D930499" w14:textId="77777777" w:rsidR="00000000" w:rsidRDefault="009B6C69">
      <w:pPr>
        <w:ind w:hanging="270"/>
        <w:divId w:val="1283806790"/>
        <w:rPr>
          <w:rFonts w:eastAsia="Times New Roman"/>
        </w:rPr>
      </w:pPr>
      <w:r>
        <w:rPr>
          <w:rFonts w:eastAsia="Times New Roman"/>
          <w:color w:val="000000"/>
          <w:sz w:val="18"/>
          <w:szCs w:val="18"/>
        </w:rPr>
        <w:t xml:space="preserve">(2) Includes all revenues from sales of 4G, 5G sub-6 and 5G millimeter wave RFFE products (a substantial portion of which are sold </w:t>
      </w:r>
      <w:r>
        <w:rPr>
          <w:rFonts w:eastAsia="Times New Roman"/>
          <w:color w:val="000000"/>
          <w:sz w:val="18"/>
          <w:szCs w:val="18"/>
        </w:rPr>
        <w:t>for use in mobile handsets) and excludes radio frequency transceiver components.</w:t>
      </w:r>
    </w:p>
    <w:p w14:paraId="5C2424F1" w14:textId="77777777" w:rsidR="00000000" w:rsidRDefault="009B6C69">
      <w:pPr>
        <w:ind w:hanging="270"/>
        <w:divId w:val="1737783096"/>
        <w:rPr>
          <w:rFonts w:eastAsia="Times New Roman"/>
        </w:rPr>
      </w:pPr>
      <w:r>
        <w:rPr>
          <w:rFonts w:eastAsia="Times New Roman"/>
          <w:color w:val="000000"/>
          <w:sz w:val="18"/>
          <w:szCs w:val="18"/>
        </w:rPr>
        <w:t>(3) Includes revenues from products sold for use in automobiles, including connectivity, digital cockpit and advanced driver assistance and automated driving.</w:t>
      </w:r>
    </w:p>
    <w:p w14:paraId="71AA16B4" w14:textId="77777777" w:rsidR="00000000" w:rsidRDefault="009B6C69">
      <w:pPr>
        <w:ind w:hanging="270"/>
        <w:divId w:val="1236356282"/>
        <w:rPr>
          <w:rFonts w:eastAsia="Times New Roman"/>
        </w:rPr>
      </w:pPr>
      <w:r>
        <w:rPr>
          <w:rFonts w:eastAsia="Times New Roman"/>
          <w:color w:val="000000"/>
          <w:sz w:val="18"/>
          <w:szCs w:val="18"/>
        </w:rPr>
        <w:t>(4) Primarily in</w:t>
      </w:r>
      <w:r>
        <w:rPr>
          <w:rFonts w:eastAsia="Times New Roman"/>
          <w:color w:val="000000"/>
          <w:sz w:val="18"/>
          <w:szCs w:val="18"/>
        </w:rPr>
        <w:t>cludes products sold for use in the following industries and applications: consumer (including computing, voice and music and XR), edge networking (including mobile broadband and wireless access points) and industrial (including handhelds, retail, transpor</w:t>
      </w:r>
      <w:r>
        <w:rPr>
          <w:rFonts w:eastAsia="Times New Roman"/>
          <w:color w:val="000000"/>
          <w:sz w:val="18"/>
          <w:szCs w:val="18"/>
        </w:rPr>
        <w:t>tation and logistics and utilities).</w:t>
      </w:r>
    </w:p>
    <w:p w14:paraId="2535D979" w14:textId="77777777" w:rsidR="00000000" w:rsidRDefault="009B6C69">
      <w:pPr>
        <w:divId w:val="468940949"/>
        <w:rPr>
          <w:rFonts w:eastAsia="Times New Roman"/>
        </w:rPr>
      </w:pPr>
      <w:r>
        <w:rPr>
          <w:rFonts w:eastAsia="Times New Roman"/>
          <w:color w:val="000000"/>
          <w:sz w:val="18"/>
          <w:szCs w:val="18"/>
        </w:rPr>
        <w:t>(5) Earnings (loss) before income taxes.</w:t>
      </w:r>
    </w:p>
    <w:p w14:paraId="1DE4C7F5" w14:textId="77777777" w:rsidR="00000000" w:rsidRDefault="009B6C69">
      <w:pPr>
        <w:ind w:firstLine="360"/>
        <w:divId w:val="184254412"/>
        <w:rPr>
          <w:rFonts w:eastAsia="Times New Roman"/>
        </w:rPr>
      </w:pPr>
      <w:r>
        <w:rPr>
          <w:rFonts w:eastAsia="Times New Roman"/>
          <w:color w:val="000000"/>
          <w:sz w:val="20"/>
          <w:szCs w:val="20"/>
        </w:rPr>
        <w:t>Substantially all of QCT’s revenues consist of equipment and services revenues, which were $37.0 billion and $26.6 billion in fiscal 2022 and 2021, respectively. QCT handsets, au</w:t>
      </w:r>
      <w:r>
        <w:rPr>
          <w:rFonts w:eastAsia="Times New Roman"/>
          <w:color w:val="000000"/>
          <w:sz w:val="20"/>
          <w:szCs w:val="20"/>
        </w:rPr>
        <w:t>tomotive and IoT revenues mostly relate to sales of our Snapdragon platforms (which include processors and modems), stand-alone Mobile Data Modems, radio frequency transceiver, power management and wireless connectivity integrated chipsets.</w:t>
      </w:r>
    </w:p>
    <w:p w14:paraId="6CD7C30A" w14:textId="77777777" w:rsidR="00000000" w:rsidRDefault="009B6C69">
      <w:pPr>
        <w:divId w:val="1766341765"/>
        <w:rPr>
          <w:rFonts w:eastAsia="Times New Roman"/>
        </w:rPr>
      </w:pPr>
      <w:r>
        <w:rPr>
          <w:rFonts w:eastAsia="Times New Roman"/>
          <w:b/>
          <w:bCs/>
          <w:i/>
          <w:iCs/>
          <w:color w:val="000000"/>
          <w:sz w:val="20"/>
          <w:szCs w:val="20"/>
        </w:rPr>
        <w:t>2022 vs. 2021</w:t>
      </w:r>
    </w:p>
    <w:p w14:paraId="2C6249F3" w14:textId="77777777" w:rsidR="00000000" w:rsidRDefault="009B6C69">
      <w:pPr>
        <w:divId w:val="1495875585"/>
        <w:rPr>
          <w:rFonts w:eastAsia="Times New Roman"/>
        </w:rPr>
      </w:pPr>
      <w:r>
        <w:rPr>
          <w:rFonts w:eastAsia="Times New Roman"/>
          <w:color w:val="000000"/>
          <w:sz w:val="20"/>
          <w:szCs w:val="20"/>
        </w:rPr>
        <w:t>The increase in QCT revenues in fiscal 2022 was primarily due to:</w:t>
      </w:r>
    </w:p>
    <w:p w14:paraId="51BBB7BB" w14:textId="77777777" w:rsidR="00000000" w:rsidRDefault="009B6C69">
      <w:pPr>
        <w:ind w:hanging="360"/>
        <w:divId w:val="2080517061"/>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handset revenues, primarily driven by $6.6 billion in higher revenues per integrated circuit from increases in average selling prices and favorable mix toward higher-tier 5G prod</w:t>
      </w:r>
      <w:r>
        <w:rPr>
          <w:rFonts w:eastAsia="Times New Roman"/>
          <w:color w:val="000000"/>
          <w:sz w:val="20"/>
          <w:szCs w:val="20"/>
        </w:rPr>
        <w:t>ucts and $1.3 billion in higher integrated circuit shipments to major OEMs</w:t>
      </w:r>
    </w:p>
    <w:p w14:paraId="29847393" w14:textId="77777777" w:rsidR="00000000" w:rsidRDefault="009B6C69">
      <w:pPr>
        <w:ind w:hanging="360"/>
        <w:divId w:val="904024699"/>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RFFE revenues, driven by an increase in demand for 4G/5G products from major OEMs</w:t>
      </w:r>
    </w:p>
    <w:p w14:paraId="5952A4CB" w14:textId="77777777" w:rsidR="00000000" w:rsidRDefault="009B6C69">
      <w:pPr>
        <w:ind w:hanging="360"/>
        <w:divId w:val="1532643617"/>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 xml:space="preserve">higher automotive revenues, primarily driven by an increase in demand for digital </w:t>
      </w:r>
      <w:r>
        <w:rPr>
          <w:rFonts w:eastAsia="Times New Roman"/>
          <w:color w:val="000000"/>
          <w:sz w:val="20"/>
          <w:szCs w:val="20"/>
        </w:rPr>
        <w:t>cockpit products</w:t>
      </w:r>
    </w:p>
    <w:p w14:paraId="5288EA25" w14:textId="77777777" w:rsidR="00000000" w:rsidRDefault="009B6C69">
      <w:pPr>
        <w:ind w:hanging="360"/>
        <w:divId w:val="61342345"/>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IoT revenues across consumer, edge networking and industrial products, driven by a $951 million increase in demand, with the remaining increase of $941 million primarily due to favorable mix and higher average selling prices</w:t>
      </w:r>
    </w:p>
    <w:p w14:paraId="698B6495" w14:textId="77777777" w:rsidR="00000000" w:rsidRDefault="009B6C69">
      <w:pPr>
        <w:divId w:val="999037947"/>
        <w:rPr>
          <w:rFonts w:eastAsia="Times New Roman"/>
        </w:rPr>
      </w:pPr>
      <w:r>
        <w:rPr>
          <w:rFonts w:eastAsia="Times New Roman"/>
          <w:color w:val="000000"/>
          <w:sz w:val="20"/>
          <w:szCs w:val="20"/>
        </w:rPr>
        <w:t>QC</w:t>
      </w:r>
      <w:r>
        <w:rPr>
          <w:rFonts w:eastAsia="Times New Roman"/>
          <w:color w:val="000000"/>
          <w:sz w:val="20"/>
          <w:szCs w:val="20"/>
        </w:rPr>
        <w:t>T EBT as a percentage of revenues increased in fiscal 2022 due to:</w:t>
      </w:r>
    </w:p>
    <w:p w14:paraId="239E8B7C" w14:textId="77777777" w:rsidR="00000000" w:rsidRDefault="009B6C69">
      <w:pPr>
        <w:ind w:hanging="360"/>
        <w:divId w:val="1852451787"/>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revenues</w:t>
      </w:r>
    </w:p>
    <w:p w14:paraId="1459E858" w14:textId="77777777" w:rsidR="00000000" w:rsidRDefault="009B6C69">
      <w:pPr>
        <w:ind w:hanging="360"/>
        <w:divId w:val="751244371"/>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gross margin percentage, primarily driven by higher average selling price and favorable mix towards higher-tier 5G products, partially offset by higher prod</w:t>
      </w:r>
      <w:r>
        <w:rPr>
          <w:rFonts w:eastAsia="Times New Roman"/>
          <w:color w:val="000000"/>
          <w:sz w:val="20"/>
          <w:szCs w:val="20"/>
        </w:rPr>
        <w:t>uct costs</w:t>
      </w:r>
    </w:p>
    <w:p w14:paraId="583338B5" w14:textId="77777777" w:rsidR="00000000" w:rsidRDefault="009B6C69">
      <w:pPr>
        <w:ind w:hanging="360"/>
        <w:divId w:val="1377386542"/>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higher operating expenses, primarily driven by higher research and development expenses</w:t>
      </w:r>
    </w:p>
    <w:p w14:paraId="40134F32" w14:textId="77777777" w:rsidR="00000000" w:rsidRDefault="009B6C69">
      <w:pPr>
        <w:ind w:firstLine="360"/>
        <w:divId w:val="1923442544"/>
        <w:rPr>
          <w:rFonts w:eastAsia="Times New Roman"/>
        </w:rPr>
      </w:pPr>
      <w:r>
        <w:rPr>
          <w:rFonts w:eastAsia="Times New Roman"/>
          <w:b/>
          <w:bCs/>
          <w:i/>
          <w:iCs/>
          <w:color w:val="000000"/>
          <w:sz w:val="20"/>
          <w:szCs w:val="20"/>
        </w:rPr>
        <w:t>QTL Segment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7"/>
        <w:gridCol w:w="4880"/>
        <w:gridCol w:w="36"/>
        <w:gridCol w:w="110"/>
        <w:gridCol w:w="811"/>
        <w:gridCol w:w="170"/>
        <w:gridCol w:w="36"/>
        <w:gridCol w:w="36"/>
        <w:gridCol w:w="36"/>
        <w:gridCol w:w="110"/>
        <w:gridCol w:w="737"/>
        <w:gridCol w:w="170"/>
        <w:gridCol w:w="36"/>
        <w:gridCol w:w="36"/>
        <w:gridCol w:w="36"/>
        <w:gridCol w:w="36"/>
        <w:gridCol w:w="36"/>
        <w:gridCol w:w="111"/>
        <w:gridCol w:w="738"/>
        <w:gridCol w:w="36"/>
        <w:gridCol w:w="36"/>
        <w:gridCol w:w="36"/>
      </w:tblGrid>
      <w:tr w:rsidR="00000000" w14:paraId="076AE632" w14:textId="77777777">
        <w:trPr>
          <w:divId w:val="1923442544"/>
        </w:trPr>
        <w:tc>
          <w:tcPr>
            <w:tcW w:w="50" w:type="pct"/>
            <w:vAlign w:val="center"/>
            <w:hideMark/>
          </w:tcPr>
          <w:p w14:paraId="3FD20A08" w14:textId="77777777" w:rsidR="00000000" w:rsidRDefault="009B6C69">
            <w:pPr>
              <w:ind w:firstLine="360"/>
              <w:rPr>
                <w:rFonts w:eastAsia="Times New Roman"/>
              </w:rPr>
            </w:pPr>
          </w:p>
        </w:tc>
        <w:tc>
          <w:tcPr>
            <w:tcW w:w="3062" w:type="pct"/>
            <w:vAlign w:val="center"/>
            <w:hideMark/>
          </w:tcPr>
          <w:p w14:paraId="77D798B7" w14:textId="77777777" w:rsidR="00000000" w:rsidRDefault="009B6C69">
            <w:pPr>
              <w:spacing w:after="100"/>
              <w:rPr>
                <w:rFonts w:eastAsia="Times New Roman"/>
                <w:sz w:val="20"/>
                <w:szCs w:val="20"/>
              </w:rPr>
            </w:pPr>
          </w:p>
        </w:tc>
        <w:tc>
          <w:tcPr>
            <w:tcW w:w="5" w:type="pct"/>
            <w:vAlign w:val="center"/>
            <w:hideMark/>
          </w:tcPr>
          <w:p w14:paraId="250A8D15" w14:textId="77777777" w:rsidR="00000000" w:rsidRDefault="009B6C69">
            <w:pPr>
              <w:spacing w:after="100"/>
              <w:rPr>
                <w:rFonts w:eastAsia="Times New Roman"/>
                <w:sz w:val="20"/>
                <w:szCs w:val="20"/>
              </w:rPr>
            </w:pPr>
          </w:p>
        </w:tc>
        <w:tc>
          <w:tcPr>
            <w:tcW w:w="50" w:type="pct"/>
            <w:vAlign w:val="center"/>
            <w:hideMark/>
          </w:tcPr>
          <w:p w14:paraId="20D327FC" w14:textId="77777777" w:rsidR="00000000" w:rsidRDefault="009B6C69">
            <w:pPr>
              <w:spacing w:after="100"/>
              <w:rPr>
                <w:rFonts w:eastAsia="Times New Roman"/>
                <w:sz w:val="20"/>
                <w:szCs w:val="20"/>
              </w:rPr>
            </w:pPr>
          </w:p>
        </w:tc>
        <w:tc>
          <w:tcPr>
            <w:tcW w:w="547" w:type="pct"/>
            <w:vAlign w:val="center"/>
            <w:hideMark/>
          </w:tcPr>
          <w:p w14:paraId="5FB1C1B7" w14:textId="77777777" w:rsidR="00000000" w:rsidRDefault="009B6C69">
            <w:pPr>
              <w:spacing w:after="100"/>
              <w:rPr>
                <w:rFonts w:eastAsia="Times New Roman"/>
                <w:sz w:val="20"/>
                <w:szCs w:val="20"/>
              </w:rPr>
            </w:pPr>
          </w:p>
        </w:tc>
        <w:tc>
          <w:tcPr>
            <w:tcW w:w="5" w:type="pct"/>
            <w:vAlign w:val="center"/>
            <w:hideMark/>
          </w:tcPr>
          <w:p w14:paraId="41617B26" w14:textId="77777777" w:rsidR="00000000" w:rsidRDefault="009B6C69">
            <w:pPr>
              <w:spacing w:after="100"/>
              <w:rPr>
                <w:rFonts w:eastAsia="Times New Roman"/>
                <w:sz w:val="20"/>
                <w:szCs w:val="20"/>
              </w:rPr>
            </w:pPr>
          </w:p>
        </w:tc>
        <w:tc>
          <w:tcPr>
            <w:tcW w:w="5" w:type="pct"/>
            <w:vAlign w:val="center"/>
            <w:hideMark/>
          </w:tcPr>
          <w:p w14:paraId="53BE2956" w14:textId="77777777" w:rsidR="00000000" w:rsidRDefault="009B6C69">
            <w:pPr>
              <w:spacing w:after="100"/>
              <w:rPr>
                <w:rFonts w:eastAsia="Times New Roman"/>
                <w:sz w:val="20"/>
                <w:szCs w:val="20"/>
              </w:rPr>
            </w:pPr>
          </w:p>
        </w:tc>
        <w:tc>
          <w:tcPr>
            <w:tcW w:w="27" w:type="pct"/>
            <w:vAlign w:val="center"/>
            <w:hideMark/>
          </w:tcPr>
          <w:p w14:paraId="41449B7D" w14:textId="77777777" w:rsidR="00000000" w:rsidRDefault="009B6C69">
            <w:pPr>
              <w:spacing w:after="100"/>
              <w:rPr>
                <w:rFonts w:eastAsia="Times New Roman"/>
                <w:sz w:val="20"/>
                <w:szCs w:val="20"/>
              </w:rPr>
            </w:pPr>
          </w:p>
        </w:tc>
        <w:tc>
          <w:tcPr>
            <w:tcW w:w="5" w:type="pct"/>
            <w:vAlign w:val="center"/>
            <w:hideMark/>
          </w:tcPr>
          <w:p w14:paraId="000DDCB0" w14:textId="77777777" w:rsidR="00000000" w:rsidRDefault="009B6C69">
            <w:pPr>
              <w:spacing w:after="100"/>
              <w:rPr>
                <w:rFonts w:eastAsia="Times New Roman"/>
                <w:sz w:val="20"/>
                <w:szCs w:val="20"/>
              </w:rPr>
            </w:pPr>
          </w:p>
        </w:tc>
        <w:tc>
          <w:tcPr>
            <w:tcW w:w="50" w:type="pct"/>
            <w:vAlign w:val="center"/>
            <w:hideMark/>
          </w:tcPr>
          <w:p w14:paraId="2ED7E9FC" w14:textId="77777777" w:rsidR="00000000" w:rsidRDefault="009B6C69">
            <w:pPr>
              <w:spacing w:after="100"/>
              <w:rPr>
                <w:rFonts w:eastAsia="Times New Roman"/>
                <w:sz w:val="20"/>
                <w:szCs w:val="20"/>
              </w:rPr>
            </w:pPr>
          </w:p>
        </w:tc>
        <w:tc>
          <w:tcPr>
            <w:tcW w:w="547" w:type="pct"/>
            <w:vAlign w:val="center"/>
            <w:hideMark/>
          </w:tcPr>
          <w:p w14:paraId="2C383C2B" w14:textId="77777777" w:rsidR="00000000" w:rsidRDefault="009B6C69">
            <w:pPr>
              <w:spacing w:after="100"/>
              <w:rPr>
                <w:rFonts w:eastAsia="Times New Roman"/>
                <w:sz w:val="20"/>
                <w:szCs w:val="20"/>
              </w:rPr>
            </w:pPr>
          </w:p>
        </w:tc>
        <w:tc>
          <w:tcPr>
            <w:tcW w:w="5" w:type="pct"/>
            <w:vAlign w:val="center"/>
            <w:hideMark/>
          </w:tcPr>
          <w:p w14:paraId="04691A03" w14:textId="77777777" w:rsidR="00000000" w:rsidRDefault="009B6C69">
            <w:pPr>
              <w:spacing w:after="100"/>
              <w:rPr>
                <w:rFonts w:eastAsia="Times New Roman"/>
                <w:sz w:val="20"/>
                <w:szCs w:val="20"/>
              </w:rPr>
            </w:pPr>
          </w:p>
        </w:tc>
        <w:tc>
          <w:tcPr>
            <w:tcW w:w="5" w:type="pct"/>
            <w:vAlign w:val="center"/>
            <w:hideMark/>
          </w:tcPr>
          <w:p w14:paraId="4F179724" w14:textId="77777777" w:rsidR="00000000" w:rsidRDefault="009B6C69">
            <w:pPr>
              <w:spacing w:after="100"/>
              <w:rPr>
                <w:rFonts w:eastAsia="Times New Roman"/>
                <w:sz w:val="20"/>
                <w:szCs w:val="20"/>
              </w:rPr>
            </w:pPr>
          </w:p>
        </w:tc>
        <w:tc>
          <w:tcPr>
            <w:tcW w:w="27" w:type="pct"/>
            <w:vAlign w:val="center"/>
            <w:hideMark/>
          </w:tcPr>
          <w:p w14:paraId="570E26CE" w14:textId="77777777" w:rsidR="00000000" w:rsidRDefault="009B6C69">
            <w:pPr>
              <w:spacing w:after="100"/>
              <w:rPr>
                <w:rFonts w:eastAsia="Times New Roman"/>
                <w:sz w:val="20"/>
                <w:szCs w:val="20"/>
              </w:rPr>
            </w:pPr>
          </w:p>
        </w:tc>
        <w:tc>
          <w:tcPr>
            <w:tcW w:w="5" w:type="pct"/>
            <w:vAlign w:val="center"/>
            <w:hideMark/>
          </w:tcPr>
          <w:p w14:paraId="54F387CC" w14:textId="77777777" w:rsidR="00000000" w:rsidRDefault="009B6C69">
            <w:pPr>
              <w:spacing w:after="100"/>
              <w:rPr>
                <w:rFonts w:eastAsia="Times New Roman"/>
                <w:sz w:val="20"/>
                <w:szCs w:val="20"/>
              </w:rPr>
            </w:pPr>
          </w:p>
        </w:tc>
        <w:tc>
          <w:tcPr>
            <w:tcW w:w="0" w:type="auto"/>
            <w:vAlign w:val="center"/>
            <w:hideMark/>
          </w:tcPr>
          <w:p w14:paraId="1DAD8A95" w14:textId="77777777" w:rsidR="00000000" w:rsidRDefault="009B6C69">
            <w:pPr>
              <w:spacing w:after="100"/>
              <w:rPr>
                <w:rFonts w:eastAsia="Times New Roman"/>
                <w:sz w:val="20"/>
                <w:szCs w:val="20"/>
              </w:rPr>
            </w:pPr>
          </w:p>
        </w:tc>
        <w:tc>
          <w:tcPr>
            <w:tcW w:w="0" w:type="auto"/>
            <w:vAlign w:val="center"/>
            <w:hideMark/>
          </w:tcPr>
          <w:p w14:paraId="25AA3811" w14:textId="77777777" w:rsidR="00000000" w:rsidRDefault="009B6C69">
            <w:pPr>
              <w:spacing w:after="100"/>
              <w:rPr>
                <w:rFonts w:eastAsia="Times New Roman"/>
                <w:sz w:val="20"/>
                <w:szCs w:val="20"/>
              </w:rPr>
            </w:pPr>
          </w:p>
        </w:tc>
        <w:tc>
          <w:tcPr>
            <w:tcW w:w="50" w:type="pct"/>
            <w:vAlign w:val="center"/>
            <w:hideMark/>
          </w:tcPr>
          <w:p w14:paraId="0E35B806" w14:textId="77777777" w:rsidR="00000000" w:rsidRDefault="009B6C69">
            <w:pPr>
              <w:spacing w:after="100"/>
              <w:rPr>
                <w:rFonts w:eastAsia="Times New Roman"/>
                <w:sz w:val="20"/>
                <w:szCs w:val="20"/>
              </w:rPr>
            </w:pPr>
          </w:p>
        </w:tc>
        <w:tc>
          <w:tcPr>
            <w:tcW w:w="547" w:type="pct"/>
            <w:vAlign w:val="center"/>
            <w:hideMark/>
          </w:tcPr>
          <w:p w14:paraId="3DE17B79" w14:textId="77777777" w:rsidR="00000000" w:rsidRDefault="009B6C69">
            <w:pPr>
              <w:spacing w:after="100"/>
              <w:rPr>
                <w:rFonts w:eastAsia="Times New Roman"/>
                <w:sz w:val="20"/>
                <w:szCs w:val="20"/>
              </w:rPr>
            </w:pPr>
          </w:p>
        </w:tc>
        <w:tc>
          <w:tcPr>
            <w:tcW w:w="5" w:type="pct"/>
            <w:vAlign w:val="center"/>
            <w:hideMark/>
          </w:tcPr>
          <w:p w14:paraId="0E4A9AC4" w14:textId="77777777" w:rsidR="00000000" w:rsidRDefault="009B6C69">
            <w:pPr>
              <w:spacing w:after="100"/>
              <w:rPr>
                <w:rFonts w:eastAsia="Times New Roman"/>
                <w:sz w:val="20"/>
                <w:szCs w:val="20"/>
              </w:rPr>
            </w:pPr>
          </w:p>
        </w:tc>
        <w:tc>
          <w:tcPr>
            <w:tcW w:w="0" w:type="auto"/>
            <w:vAlign w:val="center"/>
            <w:hideMark/>
          </w:tcPr>
          <w:p w14:paraId="5F200175" w14:textId="77777777" w:rsidR="00000000" w:rsidRDefault="009B6C69">
            <w:pPr>
              <w:spacing w:after="100"/>
              <w:rPr>
                <w:rFonts w:eastAsia="Times New Roman"/>
                <w:sz w:val="20"/>
                <w:szCs w:val="20"/>
              </w:rPr>
            </w:pPr>
          </w:p>
        </w:tc>
        <w:tc>
          <w:tcPr>
            <w:tcW w:w="0" w:type="auto"/>
            <w:vAlign w:val="center"/>
            <w:hideMark/>
          </w:tcPr>
          <w:p w14:paraId="69E4BE71" w14:textId="77777777" w:rsidR="00000000" w:rsidRDefault="009B6C69">
            <w:pPr>
              <w:spacing w:after="100"/>
              <w:rPr>
                <w:rFonts w:eastAsia="Times New Roman"/>
                <w:sz w:val="20"/>
                <w:szCs w:val="20"/>
              </w:rPr>
            </w:pPr>
          </w:p>
        </w:tc>
      </w:tr>
      <w:tr w:rsidR="00000000" w14:paraId="560AEFF9" w14:textId="77777777">
        <w:trPr>
          <w:divId w:val="1923442544"/>
        </w:trPr>
        <w:tc>
          <w:tcPr>
            <w:tcW w:w="0" w:type="auto"/>
            <w:gridSpan w:val="3"/>
            <w:tcMar>
              <w:top w:w="0" w:type="dxa"/>
              <w:left w:w="20" w:type="dxa"/>
              <w:bottom w:w="0" w:type="dxa"/>
              <w:right w:w="20" w:type="dxa"/>
            </w:tcMar>
            <w:vAlign w:val="center"/>
            <w:hideMark/>
          </w:tcPr>
          <w:p w14:paraId="2B0DCA48"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B15F5E3"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14:paraId="2486D51E"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3AA9698"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226035FD" w14:textId="77777777" w:rsidR="00000000" w:rsidRDefault="009B6C69">
            <w:pPr>
              <w:spacing w:after="100"/>
              <w:jc w:val="center"/>
              <w:rPr>
                <w:rFonts w:eastAsia="Times New Roman"/>
              </w:rPr>
            </w:pPr>
          </w:p>
        </w:tc>
        <w:tc>
          <w:tcPr>
            <w:tcW w:w="0" w:type="auto"/>
            <w:vAlign w:val="center"/>
            <w:hideMark/>
          </w:tcPr>
          <w:p w14:paraId="6003EC8C" w14:textId="77777777" w:rsidR="00000000" w:rsidRDefault="009B6C69">
            <w:pPr>
              <w:spacing w:after="100"/>
              <w:rPr>
                <w:rFonts w:eastAsia="Times New Roman"/>
                <w:sz w:val="20"/>
                <w:szCs w:val="20"/>
              </w:rPr>
            </w:pPr>
          </w:p>
        </w:tc>
        <w:tc>
          <w:tcPr>
            <w:tcW w:w="0" w:type="auto"/>
            <w:vAlign w:val="center"/>
            <w:hideMark/>
          </w:tcPr>
          <w:p w14:paraId="11969532"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8E66CF0" w14:textId="77777777" w:rsidR="00000000" w:rsidRDefault="009B6C69">
            <w:pPr>
              <w:spacing w:after="100"/>
              <w:jc w:val="center"/>
              <w:rPr>
                <w:rFonts w:eastAsia="Times New Roman"/>
              </w:rPr>
            </w:pPr>
            <w:r>
              <w:rPr>
                <w:rFonts w:eastAsia="Times New Roman"/>
                <w:b/>
                <w:bCs/>
                <w:color w:val="000000"/>
                <w:sz w:val="18"/>
                <w:szCs w:val="18"/>
              </w:rPr>
              <w:t>Change</w:t>
            </w:r>
          </w:p>
        </w:tc>
        <w:tc>
          <w:tcPr>
            <w:tcW w:w="0" w:type="auto"/>
            <w:vAlign w:val="center"/>
            <w:hideMark/>
          </w:tcPr>
          <w:p w14:paraId="1AEE21DC" w14:textId="77777777" w:rsidR="00000000" w:rsidRDefault="009B6C69">
            <w:pPr>
              <w:spacing w:after="100"/>
              <w:jc w:val="center"/>
              <w:rPr>
                <w:rFonts w:eastAsia="Times New Roman"/>
              </w:rPr>
            </w:pPr>
          </w:p>
        </w:tc>
        <w:tc>
          <w:tcPr>
            <w:tcW w:w="0" w:type="auto"/>
            <w:vAlign w:val="center"/>
            <w:hideMark/>
          </w:tcPr>
          <w:p w14:paraId="3C95B343" w14:textId="77777777" w:rsidR="00000000" w:rsidRDefault="009B6C69">
            <w:pPr>
              <w:spacing w:after="100"/>
              <w:rPr>
                <w:rFonts w:eastAsia="Times New Roman"/>
                <w:sz w:val="20"/>
                <w:szCs w:val="20"/>
              </w:rPr>
            </w:pPr>
          </w:p>
        </w:tc>
      </w:tr>
      <w:tr w:rsidR="00000000" w14:paraId="4610F5AE" w14:textId="77777777">
        <w:trPr>
          <w:divId w:val="1923442544"/>
        </w:trPr>
        <w:tc>
          <w:tcPr>
            <w:tcW w:w="0" w:type="auto"/>
            <w:gridSpan w:val="3"/>
            <w:shd w:val="clear" w:color="auto" w:fill="CCEEFF"/>
            <w:tcMar>
              <w:top w:w="30" w:type="dxa"/>
              <w:left w:w="20" w:type="dxa"/>
              <w:bottom w:w="30" w:type="dxa"/>
              <w:right w:w="20" w:type="dxa"/>
            </w:tcMar>
            <w:vAlign w:val="bottom"/>
            <w:hideMark/>
          </w:tcPr>
          <w:p w14:paraId="7CA50D1A" w14:textId="77777777" w:rsidR="00000000" w:rsidRDefault="009B6C69">
            <w:pPr>
              <w:spacing w:after="100"/>
              <w:rPr>
                <w:rFonts w:eastAsia="Times New Roman"/>
              </w:rPr>
            </w:pPr>
            <w:r>
              <w:rPr>
                <w:rFonts w:eastAsia="Times New Roman"/>
                <w:color w:val="000000"/>
                <w:sz w:val="18"/>
                <w:szCs w:val="18"/>
              </w:rPr>
              <w:t>Licensing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F4A2FE"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1DD08D" w14:textId="77777777" w:rsidR="00000000" w:rsidRDefault="009B6C69">
            <w:pPr>
              <w:spacing w:after="100"/>
              <w:jc w:val="right"/>
              <w:rPr>
                <w:rFonts w:eastAsia="Times New Roman"/>
              </w:rPr>
            </w:pPr>
            <w:r>
              <w:rPr>
                <w:rFonts w:eastAsia="Times New Roman"/>
                <w:color w:val="000000"/>
                <w:sz w:val="18"/>
                <w:szCs w:val="18"/>
              </w:rPr>
              <w:t>6,358 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D688B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489A7F"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5BB9D4"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F4BCA1" w14:textId="77777777" w:rsidR="00000000" w:rsidRDefault="009B6C69">
            <w:pPr>
              <w:spacing w:after="100"/>
              <w:jc w:val="right"/>
              <w:rPr>
                <w:rFonts w:eastAsia="Times New Roman"/>
              </w:rPr>
            </w:pPr>
            <w:r>
              <w:rPr>
                <w:rFonts w:eastAsia="Times New Roman"/>
                <w:color w:val="000000"/>
                <w:sz w:val="18"/>
                <w:szCs w:val="18"/>
              </w:rPr>
              <w:t>6,320 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F53252"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9858B7" w14:textId="77777777" w:rsidR="00000000" w:rsidRDefault="009B6C69">
            <w:pPr>
              <w:spacing w:after="100"/>
              <w:jc w:val="right"/>
              <w:rPr>
                <w:rFonts w:eastAsia="Times New Roman"/>
                <w:sz w:val="20"/>
                <w:szCs w:val="20"/>
              </w:rPr>
            </w:pPr>
          </w:p>
        </w:tc>
        <w:tc>
          <w:tcPr>
            <w:tcW w:w="0" w:type="auto"/>
            <w:vAlign w:val="center"/>
            <w:hideMark/>
          </w:tcPr>
          <w:p w14:paraId="21905819" w14:textId="77777777" w:rsidR="00000000" w:rsidRDefault="009B6C69">
            <w:pPr>
              <w:spacing w:after="100"/>
              <w:rPr>
                <w:rFonts w:eastAsia="Times New Roman"/>
                <w:sz w:val="20"/>
                <w:szCs w:val="20"/>
              </w:rPr>
            </w:pPr>
          </w:p>
        </w:tc>
        <w:tc>
          <w:tcPr>
            <w:tcW w:w="0" w:type="auto"/>
            <w:vAlign w:val="center"/>
            <w:hideMark/>
          </w:tcPr>
          <w:p w14:paraId="399074F9"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E44FA4"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D048F4" w14:textId="77777777" w:rsidR="00000000" w:rsidRDefault="009B6C69">
            <w:pPr>
              <w:spacing w:after="100"/>
              <w:jc w:val="right"/>
              <w:rPr>
                <w:rFonts w:eastAsia="Times New Roman"/>
              </w:rPr>
            </w:pPr>
            <w:r>
              <w:rPr>
                <w:rFonts w:eastAsia="Times New Roman"/>
                <w:color w:val="000000"/>
                <w:sz w:val="18"/>
                <w:szCs w:val="18"/>
              </w:rPr>
              <w:t>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8B9495" w14:textId="77777777" w:rsidR="00000000" w:rsidRDefault="009B6C69">
            <w:pPr>
              <w:spacing w:after="100"/>
              <w:jc w:val="right"/>
              <w:rPr>
                <w:rFonts w:eastAsia="Times New Roman"/>
              </w:rPr>
            </w:pPr>
          </w:p>
        </w:tc>
        <w:tc>
          <w:tcPr>
            <w:tcW w:w="0" w:type="auto"/>
            <w:vAlign w:val="center"/>
            <w:hideMark/>
          </w:tcPr>
          <w:p w14:paraId="54CFC6BC" w14:textId="77777777" w:rsidR="00000000" w:rsidRDefault="009B6C69">
            <w:pPr>
              <w:spacing w:after="100"/>
              <w:jc w:val="right"/>
              <w:rPr>
                <w:rFonts w:eastAsia="Times New Roman"/>
                <w:sz w:val="20"/>
                <w:szCs w:val="20"/>
              </w:rPr>
            </w:pPr>
          </w:p>
        </w:tc>
        <w:tc>
          <w:tcPr>
            <w:tcW w:w="0" w:type="auto"/>
            <w:vAlign w:val="center"/>
            <w:hideMark/>
          </w:tcPr>
          <w:p w14:paraId="4207F363" w14:textId="77777777" w:rsidR="00000000" w:rsidRDefault="009B6C69">
            <w:pPr>
              <w:spacing w:after="100"/>
              <w:rPr>
                <w:rFonts w:eastAsia="Times New Roman"/>
                <w:sz w:val="20"/>
                <w:szCs w:val="20"/>
              </w:rPr>
            </w:pPr>
          </w:p>
        </w:tc>
      </w:tr>
      <w:tr w:rsidR="00000000" w14:paraId="13822A9A" w14:textId="77777777">
        <w:trPr>
          <w:divId w:val="1923442544"/>
        </w:trPr>
        <w:tc>
          <w:tcPr>
            <w:tcW w:w="0" w:type="auto"/>
            <w:gridSpan w:val="3"/>
            <w:shd w:val="clear" w:color="auto" w:fill="FFFFFF"/>
            <w:tcMar>
              <w:top w:w="30" w:type="dxa"/>
              <w:left w:w="20" w:type="dxa"/>
              <w:bottom w:w="30" w:type="dxa"/>
              <w:right w:w="20" w:type="dxa"/>
            </w:tcMar>
            <w:vAlign w:val="bottom"/>
            <w:hideMark/>
          </w:tcPr>
          <w:p w14:paraId="13ADF073" w14:textId="77777777" w:rsidR="00000000" w:rsidRDefault="009B6C69">
            <w:pPr>
              <w:spacing w:after="100"/>
              <w:rPr>
                <w:rFonts w:eastAsia="Times New Roman"/>
              </w:rPr>
            </w:pPr>
            <w:r>
              <w:rPr>
                <w:rFonts w:eastAsia="Times New Roman"/>
                <w:color w:val="000000"/>
                <w:sz w:val="18"/>
                <w:szCs w:val="18"/>
              </w:rPr>
              <w:t>EBT</w:t>
            </w:r>
          </w:p>
        </w:tc>
        <w:tc>
          <w:tcPr>
            <w:tcW w:w="0" w:type="auto"/>
            <w:gridSpan w:val="2"/>
            <w:shd w:val="clear" w:color="auto" w:fill="FFFFFF"/>
            <w:tcMar>
              <w:top w:w="30" w:type="dxa"/>
              <w:left w:w="20" w:type="dxa"/>
              <w:bottom w:w="30" w:type="dxa"/>
              <w:right w:w="0" w:type="dxa"/>
            </w:tcMar>
            <w:vAlign w:val="bottom"/>
            <w:hideMark/>
          </w:tcPr>
          <w:p w14:paraId="12EE3642" w14:textId="77777777" w:rsidR="00000000" w:rsidRDefault="009B6C69">
            <w:pPr>
              <w:spacing w:after="100"/>
              <w:jc w:val="right"/>
              <w:rPr>
                <w:rFonts w:eastAsia="Times New Roman"/>
              </w:rPr>
            </w:pPr>
            <w:r>
              <w:rPr>
                <w:rFonts w:eastAsia="Times New Roman"/>
                <w:color w:val="000000"/>
                <w:sz w:val="18"/>
                <w:szCs w:val="18"/>
              </w:rPr>
              <w:t>4,628 </w:t>
            </w:r>
          </w:p>
        </w:tc>
        <w:tc>
          <w:tcPr>
            <w:tcW w:w="0" w:type="auto"/>
            <w:shd w:val="clear" w:color="auto" w:fill="FFFFFF"/>
            <w:tcMar>
              <w:top w:w="30" w:type="dxa"/>
              <w:left w:w="0" w:type="dxa"/>
              <w:bottom w:w="30" w:type="dxa"/>
              <w:right w:w="20" w:type="dxa"/>
            </w:tcMar>
            <w:vAlign w:val="bottom"/>
            <w:hideMark/>
          </w:tcPr>
          <w:p w14:paraId="57A44A95"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CE1057"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55CE20" w14:textId="77777777" w:rsidR="00000000" w:rsidRDefault="009B6C69">
            <w:pPr>
              <w:spacing w:after="100"/>
              <w:jc w:val="right"/>
              <w:rPr>
                <w:rFonts w:eastAsia="Times New Roman"/>
              </w:rPr>
            </w:pPr>
            <w:r>
              <w:rPr>
                <w:rFonts w:eastAsia="Times New Roman"/>
                <w:color w:val="000000"/>
                <w:sz w:val="18"/>
                <w:szCs w:val="18"/>
              </w:rPr>
              <w:t>4,627 </w:t>
            </w:r>
          </w:p>
        </w:tc>
        <w:tc>
          <w:tcPr>
            <w:tcW w:w="0" w:type="auto"/>
            <w:shd w:val="clear" w:color="auto" w:fill="FFFFFF"/>
            <w:tcMar>
              <w:top w:w="30" w:type="dxa"/>
              <w:left w:w="0" w:type="dxa"/>
              <w:bottom w:w="30" w:type="dxa"/>
              <w:right w:w="20" w:type="dxa"/>
            </w:tcMar>
            <w:vAlign w:val="bottom"/>
            <w:hideMark/>
          </w:tcPr>
          <w:p w14:paraId="76D1400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92DC75" w14:textId="77777777" w:rsidR="00000000" w:rsidRDefault="009B6C69">
            <w:pPr>
              <w:spacing w:after="100"/>
              <w:jc w:val="right"/>
              <w:rPr>
                <w:rFonts w:eastAsia="Times New Roman"/>
                <w:sz w:val="20"/>
                <w:szCs w:val="20"/>
              </w:rPr>
            </w:pPr>
          </w:p>
        </w:tc>
        <w:tc>
          <w:tcPr>
            <w:tcW w:w="0" w:type="auto"/>
            <w:vAlign w:val="center"/>
            <w:hideMark/>
          </w:tcPr>
          <w:p w14:paraId="2120637A" w14:textId="77777777" w:rsidR="00000000" w:rsidRDefault="009B6C69">
            <w:pPr>
              <w:spacing w:after="100"/>
              <w:rPr>
                <w:rFonts w:eastAsia="Times New Roman"/>
                <w:sz w:val="20"/>
                <w:szCs w:val="20"/>
              </w:rPr>
            </w:pPr>
          </w:p>
        </w:tc>
        <w:tc>
          <w:tcPr>
            <w:tcW w:w="0" w:type="auto"/>
            <w:vAlign w:val="center"/>
            <w:hideMark/>
          </w:tcPr>
          <w:p w14:paraId="7294F32B"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41AD22" w14:textId="77777777" w:rsidR="00000000" w:rsidRDefault="009B6C69">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0D9BDC94" w14:textId="77777777" w:rsidR="00000000" w:rsidRDefault="009B6C69">
            <w:pPr>
              <w:spacing w:after="100"/>
              <w:jc w:val="right"/>
              <w:rPr>
                <w:rFonts w:eastAsia="Times New Roman"/>
              </w:rPr>
            </w:pPr>
          </w:p>
        </w:tc>
        <w:tc>
          <w:tcPr>
            <w:tcW w:w="0" w:type="auto"/>
            <w:vAlign w:val="center"/>
            <w:hideMark/>
          </w:tcPr>
          <w:p w14:paraId="2F69CA78" w14:textId="77777777" w:rsidR="00000000" w:rsidRDefault="009B6C69">
            <w:pPr>
              <w:spacing w:after="100"/>
              <w:jc w:val="right"/>
              <w:rPr>
                <w:rFonts w:eastAsia="Times New Roman"/>
                <w:sz w:val="20"/>
                <w:szCs w:val="20"/>
              </w:rPr>
            </w:pPr>
          </w:p>
        </w:tc>
        <w:tc>
          <w:tcPr>
            <w:tcW w:w="0" w:type="auto"/>
            <w:vAlign w:val="center"/>
            <w:hideMark/>
          </w:tcPr>
          <w:p w14:paraId="088939FC" w14:textId="77777777" w:rsidR="00000000" w:rsidRDefault="009B6C69">
            <w:pPr>
              <w:spacing w:after="100"/>
              <w:rPr>
                <w:rFonts w:eastAsia="Times New Roman"/>
                <w:sz w:val="20"/>
                <w:szCs w:val="20"/>
              </w:rPr>
            </w:pPr>
          </w:p>
        </w:tc>
      </w:tr>
      <w:tr w:rsidR="00000000" w14:paraId="047E9E7A" w14:textId="77777777">
        <w:trPr>
          <w:divId w:val="1923442544"/>
        </w:trPr>
        <w:tc>
          <w:tcPr>
            <w:tcW w:w="0" w:type="auto"/>
            <w:gridSpan w:val="3"/>
            <w:shd w:val="clear" w:color="auto" w:fill="CCEEFF"/>
            <w:tcMar>
              <w:top w:w="30" w:type="dxa"/>
              <w:left w:w="20" w:type="dxa"/>
              <w:bottom w:w="30" w:type="dxa"/>
              <w:right w:w="20" w:type="dxa"/>
            </w:tcMar>
            <w:vAlign w:val="bottom"/>
            <w:hideMark/>
          </w:tcPr>
          <w:p w14:paraId="03A91650" w14:textId="77777777" w:rsidR="00000000" w:rsidRDefault="009B6C69">
            <w:pPr>
              <w:spacing w:after="100"/>
              <w:rPr>
                <w:rFonts w:eastAsia="Times New Roman"/>
              </w:rPr>
            </w:pPr>
            <w:r>
              <w:rPr>
                <w:rFonts w:eastAsia="Times New Roman"/>
                <w:color w:val="000000"/>
                <w:sz w:val="18"/>
                <w:szCs w:val="18"/>
              </w:rPr>
              <w:t>EBT as a % of revenues</w:t>
            </w:r>
          </w:p>
        </w:tc>
        <w:tc>
          <w:tcPr>
            <w:tcW w:w="0" w:type="auto"/>
            <w:gridSpan w:val="2"/>
            <w:shd w:val="clear" w:color="auto" w:fill="CCEEFF"/>
            <w:tcMar>
              <w:top w:w="30" w:type="dxa"/>
              <w:left w:w="20" w:type="dxa"/>
              <w:bottom w:w="30" w:type="dxa"/>
              <w:right w:w="0" w:type="dxa"/>
            </w:tcMar>
            <w:vAlign w:val="bottom"/>
            <w:hideMark/>
          </w:tcPr>
          <w:p w14:paraId="08C9AFAA" w14:textId="77777777" w:rsidR="00000000" w:rsidRDefault="009B6C69">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bottom"/>
            <w:hideMark/>
          </w:tcPr>
          <w:p w14:paraId="3C64D3DE" w14:textId="77777777" w:rsidR="00000000" w:rsidRDefault="009B6C69">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320AD97" w14:textId="77777777" w:rsidR="00000000" w:rsidRDefault="009B6C6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B02757" w14:textId="77777777" w:rsidR="00000000" w:rsidRDefault="009B6C69">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bottom"/>
            <w:hideMark/>
          </w:tcPr>
          <w:p w14:paraId="5BE1F1E6" w14:textId="77777777" w:rsidR="00000000" w:rsidRDefault="009B6C69">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609E55E" w14:textId="77777777" w:rsidR="00000000" w:rsidRDefault="009B6C69">
            <w:pPr>
              <w:spacing w:after="100"/>
              <w:rPr>
                <w:rFonts w:eastAsia="Times New Roman"/>
              </w:rPr>
            </w:pPr>
          </w:p>
        </w:tc>
        <w:tc>
          <w:tcPr>
            <w:tcW w:w="0" w:type="auto"/>
            <w:vAlign w:val="center"/>
            <w:hideMark/>
          </w:tcPr>
          <w:p w14:paraId="44B0EE56" w14:textId="77777777" w:rsidR="00000000" w:rsidRDefault="009B6C69">
            <w:pPr>
              <w:spacing w:after="100"/>
              <w:rPr>
                <w:rFonts w:eastAsia="Times New Roman"/>
                <w:sz w:val="20"/>
                <w:szCs w:val="20"/>
              </w:rPr>
            </w:pPr>
          </w:p>
        </w:tc>
        <w:tc>
          <w:tcPr>
            <w:tcW w:w="0" w:type="auto"/>
            <w:vAlign w:val="center"/>
            <w:hideMark/>
          </w:tcPr>
          <w:p w14:paraId="52B43301" w14:textId="77777777" w:rsidR="00000000" w:rsidRDefault="009B6C69">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6159E6E" w14:textId="77777777" w:rsidR="00000000" w:rsidRDefault="009B6C69">
            <w:pPr>
              <w:spacing w:after="100"/>
              <w:jc w:val="right"/>
              <w:rPr>
                <w:rFonts w:eastAsia="Times New Roman"/>
              </w:rPr>
            </w:pPr>
            <w:r>
              <w:rPr>
                <w:rFonts w:eastAsia="Times New Roman"/>
                <w:color w:val="000000"/>
                <w:sz w:val="18"/>
                <w:szCs w:val="18"/>
              </w:rPr>
              <w:t>—</w:t>
            </w:r>
          </w:p>
        </w:tc>
        <w:tc>
          <w:tcPr>
            <w:tcW w:w="0" w:type="auto"/>
            <w:vAlign w:val="center"/>
            <w:hideMark/>
          </w:tcPr>
          <w:p w14:paraId="666BBF78" w14:textId="77777777" w:rsidR="00000000" w:rsidRDefault="009B6C69">
            <w:pPr>
              <w:spacing w:after="100"/>
              <w:jc w:val="right"/>
              <w:rPr>
                <w:rFonts w:eastAsia="Times New Roman"/>
              </w:rPr>
            </w:pPr>
          </w:p>
        </w:tc>
        <w:tc>
          <w:tcPr>
            <w:tcW w:w="0" w:type="auto"/>
            <w:vAlign w:val="center"/>
            <w:hideMark/>
          </w:tcPr>
          <w:p w14:paraId="4E9D52CF" w14:textId="77777777" w:rsidR="00000000" w:rsidRDefault="009B6C69">
            <w:pPr>
              <w:spacing w:after="100"/>
              <w:rPr>
                <w:rFonts w:eastAsia="Times New Roman"/>
                <w:sz w:val="20"/>
                <w:szCs w:val="20"/>
              </w:rPr>
            </w:pPr>
          </w:p>
        </w:tc>
      </w:tr>
      <w:tr w:rsidR="00000000" w14:paraId="4BBF02FC" w14:textId="77777777">
        <w:trPr>
          <w:divId w:val="1923442544"/>
        </w:trPr>
        <w:tc>
          <w:tcPr>
            <w:tcW w:w="0" w:type="auto"/>
            <w:gridSpan w:val="3"/>
            <w:vAlign w:val="center"/>
            <w:hideMark/>
          </w:tcPr>
          <w:p w14:paraId="0892688B" w14:textId="77777777" w:rsidR="00000000" w:rsidRDefault="009B6C69">
            <w:pPr>
              <w:spacing w:after="100"/>
              <w:rPr>
                <w:rFonts w:eastAsia="Times New Roman"/>
                <w:sz w:val="20"/>
                <w:szCs w:val="20"/>
              </w:rPr>
            </w:pPr>
          </w:p>
        </w:tc>
        <w:tc>
          <w:tcPr>
            <w:tcW w:w="0" w:type="auto"/>
            <w:gridSpan w:val="3"/>
            <w:vAlign w:val="center"/>
            <w:hideMark/>
          </w:tcPr>
          <w:p w14:paraId="73C15524" w14:textId="77777777" w:rsidR="00000000" w:rsidRDefault="009B6C69">
            <w:pPr>
              <w:spacing w:after="100"/>
              <w:rPr>
                <w:rFonts w:eastAsia="Times New Roman"/>
                <w:sz w:val="20"/>
                <w:szCs w:val="20"/>
              </w:rPr>
            </w:pPr>
          </w:p>
        </w:tc>
        <w:tc>
          <w:tcPr>
            <w:tcW w:w="0" w:type="auto"/>
            <w:gridSpan w:val="3"/>
            <w:vAlign w:val="center"/>
            <w:hideMark/>
          </w:tcPr>
          <w:p w14:paraId="5AEC2C34" w14:textId="77777777" w:rsidR="00000000" w:rsidRDefault="009B6C69">
            <w:pPr>
              <w:spacing w:after="100"/>
              <w:rPr>
                <w:rFonts w:eastAsia="Times New Roman"/>
                <w:sz w:val="20"/>
                <w:szCs w:val="20"/>
              </w:rPr>
            </w:pPr>
          </w:p>
        </w:tc>
        <w:tc>
          <w:tcPr>
            <w:tcW w:w="0" w:type="auto"/>
            <w:gridSpan w:val="3"/>
            <w:vAlign w:val="center"/>
            <w:hideMark/>
          </w:tcPr>
          <w:p w14:paraId="3168B6E9" w14:textId="77777777" w:rsidR="00000000" w:rsidRDefault="009B6C69">
            <w:pPr>
              <w:spacing w:after="100"/>
              <w:rPr>
                <w:rFonts w:eastAsia="Times New Roman"/>
                <w:sz w:val="20"/>
                <w:szCs w:val="20"/>
              </w:rPr>
            </w:pPr>
          </w:p>
        </w:tc>
        <w:tc>
          <w:tcPr>
            <w:tcW w:w="0" w:type="auto"/>
            <w:gridSpan w:val="3"/>
            <w:vAlign w:val="center"/>
            <w:hideMark/>
          </w:tcPr>
          <w:p w14:paraId="193DD154" w14:textId="77777777" w:rsidR="00000000" w:rsidRDefault="009B6C69">
            <w:pPr>
              <w:spacing w:after="100"/>
              <w:rPr>
                <w:rFonts w:eastAsia="Times New Roman"/>
                <w:sz w:val="20"/>
                <w:szCs w:val="20"/>
              </w:rPr>
            </w:pPr>
          </w:p>
        </w:tc>
        <w:tc>
          <w:tcPr>
            <w:tcW w:w="0" w:type="auto"/>
            <w:vAlign w:val="center"/>
            <w:hideMark/>
          </w:tcPr>
          <w:p w14:paraId="73943E55" w14:textId="77777777" w:rsidR="00000000" w:rsidRDefault="009B6C69">
            <w:pPr>
              <w:spacing w:after="100"/>
              <w:rPr>
                <w:rFonts w:eastAsia="Times New Roman"/>
                <w:sz w:val="20"/>
                <w:szCs w:val="20"/>
              </w:rPr>
            </w:pPr>
          </w:p>
        </w:tc>
        <w:tc>
          <w:tcPr>
            <w:tcW w:w="0" w:type="auto"/>
            <w:vAlign w:val="center"/>
            <w:hideMark/>
          </w:tcPr>
          <w:p w14:paraId="19283346" w14:textId="77777777" w:rsidR="00000000" w:rsidRDefault="009B6C69">
            <w:pPr>
              <w:spacing w:after="100"/>
              <w:rPr>
                <w:rFonts w:eastAsia="Times New Roman"/>
                <w:sz w:val="20"/>
                <w:szCs w:val="20"/>
              </w:rPr>
            </w:pPr>
          </w:p>
        </w:tc>
        <w:tc>
          <w:tcPr>
            <w:tcW w:w="0" w:type="auto"/>
            <w:gridSpan w:val="3"/>
            <w:vAlign w:val="center"/>
            <w:hideMark/>
          </w:tcPr>
          <w:p w14:paraId="3643C997" w14:textId="77777777" w:rsidR="00000000" w:rsidRDefault="009B6C69">
            <w:pPr>
              <w:spacing w:after="100"/>
              <w:rPr>
                <w:rFonts w:eastAsia="Times New Roman"/>
                <w:sz w:val="20"/>
                <w:szCs w:val="20"/>
              </w:rPr>
            </w:pPr>
          </w:p>
        </w:tc>
        <w:tc>
          <w:tcPr>
            <w:tcW w:w="0" w:type="auto"/>
            <w:vAlign w:val="center"/>
            <w:hideMark/>
          </w:tcPr>
          <w:p w14:paraId="6199726E" w14:textId="77777777" w:rsidR="00000000" w:rsidRDefault="009B6C69">
            <w:pPr>
              <w:spacing w:after="100"/>
              <w:rPr>
                <w:rFonts w:eastAsia="Times New Roman"/>
                <w:sz w:val="20"/>
                <w:szCs w:val="20"/>
              </w:rPr>
            </w:pPr>
          </w:p>
        </w:tc>
        <w:tc>
          <w:tcPr>
            <w:tcW w:w="0" w:type="auto"/>
            <w:vAlign w:val="center"/>
            <w:hideMark/>
          </w:tcPr>
          <w:p w14:paraId="56C7D83A" w14:textId="77777777" w:rsidR="00000000" w:rsidRDefault="009B6C69">
            <w:pPr>
              <w:spacing w:after="100"/>
              <w:rPr>
                <w:rFonts w:eastAsia="Times New Roman"/>
                <w:sz w:val="20"/>
                <w:szCs w:val="20"/>
              </w:rPr>
            </w:pPr>
          </w:p>
        </w:tc>
      </w:tr>
      <w:tr w:rsidR="00000000" w14:paraId="04999127" w14:textId="77777777">
        <w:trPr>
          <w:divId w:val="1923442544"/>
        </w:trPr>
        <w:tc>
          <w:tcPr>
            <w:tcW w:w="0" w:type="auto"/>
            <w:gridSpan w:val="3"/>
            <w:vAlign w:val="center"/>
            <w:hideMark/>
          </w:tcPr>
          <w:p w14:paraId="79E2562F" w14:textId="77777777" w:rsidR="00000000" w:rsidRDefault="009B6C69">
            <w:pPr>
              <w:spacing w:after="100"/>
              <w:rPr>
                <w:rFonts w:eastAsia="Times New Roman"/>
                <w:sz w:val="20"/>
                <w:szCs w:val="20"/>
              </w:rPr>
            </w:pPr>
          </w:p>
        </w:tc>
        <w:tc>
          <w:tcPr>
            <w:tcW w:w="0" w:type="auto"/>
            <w:gridSpan w:val="3"/>
            <w:vAlign w:val="center"/>
            <w:hideMark/>
          </w:tcPr>
          <w:p w14:paraId="7B1144B4" w14:textId="77777777" w:rsidR="00000000" w:rsidRDefault="009B6C69">
            <w:pPr>
              <w:spacing w:after="100"/>
              <w:rPr>
                <w:rFonts w:eastAsia="Times New Roman"/>
                <w:sz w:val="20"/>
                <w:szCs w:val="20"/>
              </w:rPr>
            </w:pPr>
          </w:p>
        </w:tc>
        <w:tc>
          <w:tcPr>
            <w:tcW w:w="0" w:type="auto"/>
            <w:gridSpan w:val="3"/>
            <w:vAlign w:val="center"/>
            <w:hideMark/>
          </w:tcPr>
          <w:p w14:paraId="6085A280" w14:textId="77777777" w:rsidR="00000000" w:rsidRDefault="009B6C69">
            <w:pPr>
              <w:spacing w:after="100"/>
              <w:rPr>
                <w:rFonts w:eastAsia="Times New Roman"/>
                <w:sz w:val="20"/>
                <w:szCs w:val="20"/>
              </w:rPr>
            </w:pPr>
          </w:p>
        </w:tc>
        <w:tc>
          <w:tcPr>
            <w:tcW w:w="0" w:type="auto"/>
            <w:gridSpan w:val="3"/>
            <w:vAlign w:val="center"/>
            <w:hideMark/>
          </w:tcPr>
          <w:p w14:paraId="01B8051C" w14:textId="77777777" w:rsidR="00000000" w:rsidRDefault="009B6C69">
            <w:pPr>
              <w:spacing w:after="100"/>
              <w:rPr>
                <w:rFonts w:eastAsia="Times New Roman"/>
                <w:sz w:val="20"/>
                <w:szCs w:val="20"/>
              </w:rPr>
            </w:pPr>
          </w:p>
        </w:tc>
        <w:tc>
          <w:tcPr>
            <w:tcW w:w="0" w:type="auto"/>
            <w:gridSpan w:val="3"/>
            <w:vAlign w:val="center"/>
            <w:hideMark/>
          </w:tcPr>
          <w:p w14:paraId="0BA8B946" w14:textId="77777777" w:rsidR="00000000" w:rsidRDefault="009B6C69">
            <w:pPr>
              <w:spacing w:after="100"/>
              <w:rPr>
                <w:rFonts w:eastAsia="Times New Roman"/>
                <w:sz w:val="20"/>
                <w:szCs w:val="20"/>
              </w:rPr>
            </w:pPr>
          </w:p>
        </w:tc>
        <w:tc>
          <w:tcPr>
            <w:tcW w:w="0" w:type="auto"/>
            <w:vAlign w:val="center"/>
            <w:hideMark/>
          </w:tcPr>
          <w:p w14:paraId="62D86B73" w14:textId="77777777" w:rsidR="00000000" w:rsidRDefault="009B6C69">
            <w:pPr>
              <w:spacing w:after="100"/>
              <w:rPr>
                <w:rFonts w:eastAsia="Times New Roman"/>
                <w:sz w:val="20"/>
                <w:szCs w:val="20"/>
              </w:rPr>
            </w:pPr>
          </w:p>
        </w:tc>
        <w:tc>
          <w:tcPr>
            <w:tcW w:w="0" w:type="auto"/>
            <w:vAlign w:val="center"/>
            <w:hideMark/>
          </w:tcPr>
          <w:p w14:paraId="239F1461" w14:textId="77777777" w:rsidR="00000000" w:rsidRDefault="009B6C69">
            <w:pPr>
              <w:spacing w:after="100"/>
              <w:rPr>
                <w:rFonts w:eastAsia="Times New Roman"/>
                <w:sz w:val="20"/>
                <w:szCs w:val="20"/>
              </w:rPr>
            </w:pPr>
          </w:p>
        </w:tc>
        <w:tc>
          <w:tcPr>
            <w:tcW w:w="0" w:type="auto"/>
            <w:gridSpan w:val="3"/>
            <w:vAlign w:val="center"/>
            <w:hideMark/>
          </w:tcPr>
          <w:p w14:paraId="28DD903A" w14:textId="77777777" w:rsidR="00000000" w:rsidRDefault="009B6C69">
            <w:pPr>
              <w:spacing w:after="100"/>
              <w:rPr>
                <w:rFonts w:eastAsia="Times New Roman"/>
                <w:sz w:val="20"/>
                <w:szCs w:val="20"/>
              </w:rPr>
            </w:pPr>
          </w:p>
        </w:tc>
        <w:tc>
          <w:tcPr>
            <w:tcW w:w="0" w:type="auto"/>
            <w:vAlign w:val="center"/>
            <w:hideMark/>
          </w:tcPr>
          <w:p w14:paraId="56F2C361" w14:textId="77777777" w:rsidR="00000000" w:rsidRDefault="009B6C69">
            <w:pPr>
              <w:spacing w:after="100"/>
              <w:rPr>
                <w:rFonts w:eastAsia="Times New Roman"/>
                <w:sz w:val="20"/>
                <w:szCs w:val="20"/>
              </w:rPr>
            </w:pPr>
          </w:p>
        </w:tc>
        <w:tc>
          <w:tcPr>
            <w:tcW w:w="0" w:type="auto"/>
            <w:vAlign w:val="center"/>
            <w:hideMark/>
          </w:tcPr>
          <w:p w14:paraId="3A3E56ED" w14:textId="77777777" w:rsidR="00000000" w:rsidRDefault="009B6C69">
            <w:pPr>
              <w:spacing w:after="100"/>
              <w:rPr>
                <w:rFonts w:eastAsia="Times New Roman"/>
                <w:sz w:val="20"/>
                <w:szCs w:val="20"/>
              </w:rPr>
            </w:pPr>
          </w:p>
        </w:tc>
      </w:tr>
    </w:tbl>
    <w:p w14:paraId="12622A7C" w14:textId="77777777" w:rsidR="00000000" w:rsidRDefault="009B6C69">
      <w:pPr>
        <w:ind w:hanging="720"/>
        <w:divId w:val="1596094070"/>
        <w:rPr>
          <w:rFonts w:eastAsia="Times New Roman"/>
        </w:rPr>
      </w:pPr>
      <w:r>
        <w:rPr>
          <w:rFonts w:eastAsia="Times New Roman"/>
          <w:b/>
          <w:bCs/>
          <w:i/>
          <w:iCs/>
          <w:color w:val="000000"/>
          <w:sz w:val="20"/>
          <w:szCs w:val="20"/>
        </w:rPr>
        <w:t>2022 vs. 2021</w:t>
      </w:r>
    </w:p>
    <w:p w14:paraId="5B049C0E" w14:textId="77777777" w:rsidR="00000000" w:rsidRDefault="009B6C69">
      <w:pPr>
        <w:divId w:val="655842304"/>
        <w:rPr>
          <w:rFonts w:eastAsia="Times New Roman"/>
        </w:rPr>
      </w:pPr>
      <w:r>
        <w:rPr>
          <w:rFonts w:eastAsia="Times New Roman"/>
          <w:color w:val="000000"/>
          <w:sz w:val="20"/>
          <w:szCs w:val="20"/>
        </w:rPr>
        <w:t>The increase in QTL licensing revenues in fiscal 2022 was primarily due to:</w:t>
      </w:r>
    </w:p>
    <w:p w14:paraId="5AE3AA17" w14:textId="77777777" w:rsidR="00000000" w:rsidRDefault="009B6C69">
      <w:pPr>
        <w:ind w:hanging="360"/>
        <w:divId w:val="68550789"/>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 xml:space="preserve">$308 million increase in estimated revenues per unit, which was primarily driven by favorable mix, including 5G </w:t>
      </w:r>
    </w:p>
    <w:p w14:paraId="6B01087F" w14:textId="77777777" w:rsidR="00000000" w:rsidRDefault="009B6C69">
      <w:pPr>
        <w:ind w:hanging="360"/>
        <w:divId w:val="1713995214"/>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$299 million decrease in estimated sales of 3G/4G/5G-based multimode products</w:t>
      </w:r>
    </w:p>
    <w:p w14:paraId="21AFEFAB" w14:textId="77777777" w:rsidR="00000000" w:rsidRDefault="009B6C69">
      <w:pPr>
        <w:divId w:val="2129007168"/>
        <w:rPr>
          <w:rFonts w:eastAsia="Times New Roman"/>
        </w:rPr>
      </w:pPr>
      <w:r>
        <w:rPr>
          <w:rFonts w:eastAsia="Times New Roman"/>
          <w:color w:val="000000"/>
          <w:sz w:val="20"/>
          <w:szCs w:val="20"/>
        </w:rPr>
        <w:t xml:space="preserve">QTL EBT as a percentage of revenues remained flat in fiscal </w:t>
      </w:r>
      <w:r>
        <w:rPr>
          <w:rFonts w:eastAsia="Times New Roman"/>
          <w:color w:val="000000"/>
          <w:sz w:val="20"/>
          <w:szCs w:val="20"/>
        </w:rPr>
        <w:t>2022.</w:t>
      </w:r>
    </w:p>
    <w:p w14:paraId="758A2C97" w14:textId="77777777" w:rsidR="00000000" w:rsidRDefault="009B6C69">
      <w:pPr>
        <w:jc w:val="center"/>
        <w:divId w:val="630213491"/>
        <w:rPr>
          <w:rFonts w:eastAsia="Times New Roman"/>
        </w:rPr>
      </w:pPr>
      <w:r>
        <w:rPr>
          <w:rFonts w:eastAsia="Times New Roman"/>
          <w:color w:val="000000"/>
          <w:sz w:val="20"/>
          <w:szCs w:val="20"/>
        </w:rPr>
        <w:t>43</w:t>
      </w:r>
    </w:p>
    <w:p w14:paraId="50DD82E8" w14:textId="77777777" w:rsidR="00000000" w:rsidRDefault="009B6C69">
      <w:pPr>
        <w:rPr>
          <w:rFonts w:eastAsia="Times New Roman"/>
        </w:rPr>
      </w:pPr>
      <w:r>
        <w:rPr>
          <w:rFonts w:eastAsia="Times New Roman"/>
        </w:rPr>
        <w:pict w14:anchorId="04454B4F">
          <v:rect id="_x0000_i1067" style="width:0;height:1.5pt" o:hralign="center" o:hrstd="t" o:hr="t" fillcolor="#a0a0a0" stroked="f"/>
        </w:pict>
      </w:r>
    </w:p>
    <w:p w14:paraId="5CF3E767" w14:textId="77777777" w:rsidR="00000000" w:rsidRDefault="009B6C69">
      <w:pPr>
        <w:divId w:val="1466922699"/>
        <w:rPr>
          <w:rFonts w:eastAsia="Times New Roman"/>
        </w:rPr>
      </w:pPr>
    </w:p>
    <w:p w14:paraId="1401548E" w14:textId="77777777" w:rsidR="00000000" w:rsidRDefault="009B6C69">
      <w:pPr>
        <w:ind w:firstLine="360"/>
        <w:divId w:val="1480345816"/>
        <w:rPr>
          <w:rFonts w:eastAsia="Times New Roman"/>
        </w:rPr>
      </w:pPr>
      <w:r>
        <w:rPr>
          <w:rFonts w:eastAsia="Times New Roman"/>
          <w:b/>
          <w:bCs/>
          <w:i/>
          <w:iCs/>
          <w:color w:val="000000"/>
          <w:sz w:val="20"/>
          <w:szCs w:val="20"/>
        </w:rPr>
        <w:t>QSI Segment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956"/>
        <w:gridCol w:w="36"/>
        <w:gridCol w:w="111"/>
        <w:gridCol w:w="849"/>
        <w:gridCol w:w="36"/>
        <w:gridCol w:w="36"/>
        <w:gridCol w:w="36"/>
        <w:gridCol w:w="36"/>
        <w:gridCol w:w="111"/>
        <w:gridCol w:w="813"/>
        <w:gridCol w:w="36"/>
        <w:gridCol w:w="36"/>
        <w:gridCol w:w="36"/>
        <w:gridCol w:w="36"/>
        <w:gridCol w:w="36"/>
        <w:gridCol w:w="36"/>
        <w:gridCol w:w="111"/>
        <w:gridCol w:w="814"/>
        <w:gridCol w:w="36"/>
        <w:gridCol w:w="36"/>
        <w:gridCol w:w="36"/>
      </w:tblGrid>
      <w:tr w:rsidR="00000000" w14:paraId="53B2014E" w14:textId="77777777">
        <w:trPr>
          <w:divId w:val="1480345816"/>
        </w:trPr>
        <w:tc>
          <w:tcPr>
            <w:tcW w:w="50" w:type="pct"/>
            <w:vAlign w:val="center"/>
            <w:hideMark/>
          </w:tcPr>
          <w:p w14:paraId="121581E9" w14:textId="77777777" w:rsidR="00000000" w:rsidRDefault="009B6C69">
            <w:pPr>
              <w:ind w:firstLine="360"/>
              <w:rPr>
                <w:rFonts w:eastAsia="Times New Roman"/>
              </w:rPr>
            </w:pPr>
          </w:p>
        </w:tc>
        <w:tc>
          <w:tcPr>
            <w:tcW w:w="3062" w:type="pct"/>
            <w:vAlign w:val="center"/>
            <w:hideMark/>
          </w:tcPr>
          <w:p w14:paraId="5E259592" w14:textId="77777777" w:rsidR="00000000" w:rsidRDefault="009B6C69">
            <w:pPr>
              <w:spacing w:after="100"/>
              <w:rPr>
                <w:rFonts w:eastAsia="Times New Roman"/>
                <w:sz w:val="20"/>
                <w:szCs w:val="20"/>
              </w:rPr>
            </w:pPr>
          </w:p>
        </w:tc>
        <w:tc>
          <w:tcPr>
            <w:tcW w:w="5" w:type="pct"/>
            <w:vAlign w:val="center"/>
            <w:hideMark/>
          </w:tcPr>
          <w:p w14:paraId="62E7D848" w14:textId="77777777" w:rsidR="00000000" w:rsidRDefault="009B6C69">
            <w:pPr>
              <w:spacing w:after="100"/>
              <w:rPr>
                <w:rFonts w:eastAsia="Times New Roman"/>
                <w:sz w:val="20"/>
                <w:szCs w:val="20"/>
              </w:rPr>
            </w:pPr>
          </w:p>
        </w:tc>
        <w:tc>
          <w:tcPr>
            <w:tcW w:w="50" w:type="pct"/>
            <w:vAlign w:val="center"/>
            <w:hideMark/>
          </w:tcPr>
          <w:p w14:paraId="73611E9D" w14:textId="77777777" w:rsidR="00000000" w:rsidRDefault="009B6C69">
            <w:pPr>
              <w:spacing w:after="100"/>
              <w:rPr>
                <w:rFonts w:eastAsia="Times New Roman"/>
                <w:sz w:val="20"/>
                <w:szCs w:val="20"/>
              </w:rPr>
            </w:pPr>
          </w:p>
        </w:tc>
        <w:tc>
          <w:tcPr>
            <w:tcW w:w="547" w:type="pct"/>
            <w:vAlign w:val="center"/>
            <w:hideMark/>
          </w:tcPr>
          <w:p w14:paraId="6FE072C8" w14:textId="77777777" w:rsidR="00000000" w:rsidRDefault="009B6C69">
            <w:pPr>
              <w:spacing w:after="100"/>
              <w:rPr>
                <w:rFonts w:eastAsia="Times New Roman"/>
                <w:sz w:val="20"/>
                <w:szCs w:val="20"/>
              </w:rPr>
            </w:pPr>
          </w:p>
        </w:tc>
        <w:tc>
          <w:tcPr>
            <w:tcW w:w="5" w:type="pct"/>
            <w:vAlign w:val="center"/>
            <w:hideMark/>
          </w:tcPr>
          <w:p w14:paraId="10A04557" w14:textId="77777777" w:rsidR="00000000" w:rsidRDefault="009B6C69">
            <w:pPr>
              <w:spacing w:after="100"/>
              <w:rPr>
                <w:rFonts w:eastAsia="Times New Roman"/>
                <w:sz w:val="20"/>
                <w:szCs w:val="20"/>
              </w:rPr>
            </w:pPr>
          </w:p>
        </w:tc>
        <w:tc>
          <w:tcPr>
            <w:tcW w:w="5" w:type="pct"/>
            <w:vAlign w:val="center"/>
            <w:hideMark/>
          </w:tcPr>
          <w:p w14:paraId="6F90D69F" w14:textId="77777777" w:rsidR="00000000" w:rsidRDefault="009B6C69">
            <w:pPr>
              <w:spacing w:after="100"/>
              <w:rPr>
                <w:rFonts w:eastAsia="Times New Roman"/>
                <w:sz w:val="20"/>
                <w:szCs w:val="20"/>
              </w:rPr>
            </w:pPr>
          </w:p>
        </w:tc>
        <w:tc>
          <w:tcPr>
            <w:tcW w:w="27" w:type="pct"/>
            <w:vAlign w:val="center"/>
            <w:hideMark/>
          </w:tcPr>
          <w:p w14:paraId="22867E8F" w14:textId="77777777" w:rsidR="00000000" w:rsidRDefault="009B6C69">
            <w:pPr>
              <w:spacing w:after="100"/>
              <w:rPr>
                <w:rFonts w:eastAsia="Times New Roman"/>
                <w:sz w:val="20"/>
                <w:szCs w:val="20"/>
              </w:rPr>
            </w:pPr>
          </w:p>
        </w:tc>
        <w:tc>
          <w:tcPr>
            <w:tcW w:w="5" w:type="pct"/>
            <w:vAlign w:val="center"/>
            <w:hideMark/>
          </w:tcPr>
          <w:p w14:paraId="1CB203E6" w14:textId="77777777" w:rsidR="00000000" w:rsidRDefault="009B6C69">
            <w:pPr>
              <w:spacing w:after="100"/>
              <w:rPr>
                <w:rFonts w:eastAsia="Times New Roman"/>
                <w:sz w:val="20"/>
                <w:szCs w:val="20"/>
              </w:rPr>
            </w:pPr>
          </w:p>
        </w:tc>
        <w:tc>
          <w:tcPr>
            <w:tcW w:w="50" w:type="pct"/>
            <w:vAlign w:val="center"/>
            <w:hideMark/>
          </w:tcPr>
          <w:p w14:paraId="744C611F" w14:textId="77777777" w:rsidR="00000000" w:rsidRDefault="009B6C69">
            <w:pPr>
              <w:spacing w:after="100"/>
              <w:rPr>
                <w:rFonts w:eastAsia="Times New Roman"/>
                <w:sz w:val="20"/>
                <w:szCs w:val="20"/>
              </w:rPr>
            </w:pPr>
          </w:p>
        </w:tc>
        <w:tc>
          <w:tcPr>
            <w:tcW w:w="547" w:type="pct"/>
            <w:vAlign w:val="center"/>
            <w:hideMark/>
          </w:tcPr>
          <w:p w14:paraId="3136E8E9" w14:textId="77777777" w:rsidR="00000000" w:rsidRDefault="009B6C69">
            <w:pPr>
              <w:spacing w:after="100"/>
              <w:rPr>
                <w:rFonts w:eastAsia="Times New Roman"/>
                <w:sz w:val="20"/>
                <w:szCs w:val="20"/>
              </w:rPr>
            </w:pPr>
          </w:p>
        </w:tc>
        <w:tc>
          <w:tcPr>
            <w:tcW w:w="5" w:type="pct"/>
            <w:vAlign w:val="center"/>
            <w:hideMark/>
          </w:tcPr>
          <w:p w14:paraId="2291F5DB" w14:textId="77777777" w:rsidR="00000000" w:rsidRDefault="009B6C69">
            <w:pPr>
              <w:spacing w:after="100"/>
              <w:rPr>
                <w:rFonts w:eastAsia="Times New Roman"/>
                <w:sz w:val="20"/>
                <w:szCs w:val="20"/>
              </w:rPr>
            </w:pPr>
          </w:p>
        </w:tc>
        <w:tc>
          <w:tcPr>
            <w:tcW w:w="5" w:type="pct"/>
            <w:vAlign w:val="center"/>
            <w:hideMark/>
          </w:tcPr>
          <w:p w14:paraId="5491A9C6" w14:textId="77777777" w:rsidR="00000000" w:rsidRDefault="009B6C69">
            <w:pPr>
              <w:spacing w:after="100"/>
              <w:rPr>
                <w:rFonts w:eastAsia="Times New Roman"/>
                <w:sz w:val="20"/>
                <w:szCs w:val="20"/>
              </w:rPr>
            </w:pPr>
          </w:p>
        </w:tc>
        <w:tc>
          <w:tcPr>
            <w:tcW w:w="27" w:type="pct"/>
            <w:vAlign w:val="center"/>
            <w:hideMark/>
          </w:tcPr>
          <w:p w14:paraId="732AFB40" w14:textId="77777777" w:rsidR="00000000" w:rsidRDefault="009B6C69">
            <w:pPr>
              <w:spacing w:after="100"/>
              <w:rPr>
                <w:rFonts w:eastAsia="Times New Roman"/>
                <w:sz w:val="20"/>
                <w:szCs w:val="20"/>
              </w:rPr>
            </w:pPr>
          </w:p>
        </w:tc>
        <w:tc>
          <w:tcPr>
            <w:tcW w:w="5" w:type="pct"/>
            <w:vAlign w:val="center"/>
            <w:hideMark/>
          </w:tcPr>
          <w:p w14:paraId="52F5BCC9" w14:textId="77777777" w:rsidR="00000000" w:rsidRDefault="009B6C69">
            <w:pPr>
              <w:spacing w:after="100"/>
              <w:rPr>
                <w:rFonts w:eastAsia="Times New Roman"/>
                <w:sz w:val="20"/>
                <w:szCs w:val="20"/>
              </w:rPr>
            </w:pPr>
          </w:p>
        </w:tc>
        <w:tc>
          <w:tcPr>
            <w:tcW w:w="0" w:type="auto"/>
            <w:vAlign w:val="center"/>
            <w:hideMark/>
          </w:tcPr>
          <w:p w14:paraId="385852A5" w14:textId="77777777" w:rsidR="00000000" w:rsidRDefault="009B6C69">
            <w:pPr>
              <w:spacing w:after="100"/>
              <w:rPr>
                <w:rFonts w:eastAsia="Times New Roman"/>
                <w:sz w:val="20"/>
                <w:szCs w:val="20"/>
              </w:rPr>
            </w:pPr>
          </w:p>
        </w:tc>
        <w:tc>
          <w:tcPr>
            <w:tcW w:w="0" w:type="auto"/>
            <w:vAlign w:val="center"/>
            <w:hideMark/>
          </w:tcPr>
          <w:p w14:paraId="2F6765CD" w14:textId="77777777" w:rsidR="00000000" w:rsidRDefault="009B6C69">
            <w:pPr>
              <w:spacing w:after="100"/>
              <w:rPr>
                <w:rFonts w:eastAsia="Times New Roman"/>
                <w:sz w:val="20"/>
                <w:szCs w:val="20"/>
              </w:rPr>
            </w:pPr>
          </w:p>
        </w:tc>
        <w:tc>
          <w:tcPr>
            <w:tcW w:w="50" w:type="pct"/>
            <w:vAlign w:val="center"/>
            <w:hideMark/>
          </w:tcPr>
          <w:p w14:paraId="2CB9257E" w14:textId="77777777" w:rsidR="00000000" w:rsidRDefault="009B6C69">
            <w:pPr>
              <w:spacing w:after="100"/>
              <w:rPr>
                <w:rFonts w:eastAsia="Times New Roman"/>
                <w:sz w:val="20"/>
                <w:szCs w:val="20"/>
              </w:rPr>
            </w:pPr>
          </w:p>
        </w:tc>
        <w:tc>
          <w:tcPr>
            <w:tcW w:w="547" w:type="pct"/>
            <w:vAlign w:val="center"/>
            <w:hideMark/>
          </w:tcPr>
          <w:p w14:paraId="55E01934" w14:textId="77777777" w:rsidR="00000000" w:rsidRDefault="009B6C69">
            <w:pPr>
              <w:spacing w:after="100"/>
              <w:rPr>
                <w:rFonts w:eastAsia="Times New Roman"/>
                <w:sz w:val="20"/>
                <w:szCs w:val="20"/>
              </w:rPr>
            </w:pPr>
          </w:p>
        </w:tc>
        <w:tc>
          <w:tcPr>
            <w:tcW w:w="5" w:type="pct"/>
            <w:vAlign w:val="center"/>
            <w:hideMark/>
          </w:tcPr>
          <w:p w14:paraId="1133D635" w14:textId="77777777" w:rsidR="00000000" w:rsidRDefault="009B6C69">
            <w:pPr>
              <w:spacing w:after="100"/>
              <w:rPr>
                <w:rFonts w:eastAsia="Times New Roman"/>
                <w:sz w:val="20"/>
                <w:szCs w:val="20"/>
              </w:rPr>
            </w:pPr>
          </w:p>
        </w:tc>
        <w:tc>
          <w:tcPr>
            <w:tcW w:w="0" w:type="auto"/>
            <w:vAlign w:val="center"/>
            <w:hideMark/>
          </w:tcPr>
          <w:p w14:paraId="0CAD5B77" w14:textId="77777777" w:rsidR="00000000" w:rsidRDefault="009B6C69">
            <w:pPr>
              <w:spacing w:after="100"/>
              <w:rPr>
                <w:rFonts w:eastAsia="Times New Roman"/>
                <w:sz w:val="20"/>
                <w:szCs w:val="20"/>
              </w:rPr>
            </w:pPr>
          </w:p>
        </w:tc>
        <w:tc>
          <w:tcPr>
            <w:tcW w:w="0" w:type="auto"/>
            <w:vAlign w:val="center"/>
            <w:hideMark/>
          </w:tcPr>
          <w:p w14:paraId="719A9E26" w14:textId="77777777" w:rsidR="00000000" w:rsidRDefault="009B6C69">
            <w:pPr>
              <w:spacing w:after="100"/>
              <w:rPr>
                <w:rFonts w:eastAsia="Times New Roman"/>
                <w:sz w:val="20"/>
                <w:szCs w:val="20"/>
              </w:rPr>
            </w:pPr>
          </w:p>
        </w:tc>
      </w:tr>
      <w:tr w:rsidR="00000000" w14:paraId="4E3B50D7" w14:textId="77777777">
        <w:trPr>
          <w:divId w:val="1480345816"/>
        </w:trPr>
        <w:tc>
          <w:tcPr>
            <w:tcW w:w="0" w:type="auto"/>
            <w:gridSpan w:val="3"/>
            <w:tcMar>
              <w:top w:w="0" w:type="dxa"/>
              <w:left w:w="20" w:type="dxa"/>
              <w:bottom w:w="0" w:type="dxa"/>
              <w:right w:w="20" w:type="dxa"/>
            </w:tcMar>
            <w:vAlign w:val="center"/>
            <w:hideMark/>
          </w:tcPr>
          <w:p w14:paraId="6EE8DD95"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6898B92"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14:paraId="15BC565B"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5498D57"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21C029DC" w14:textId="77777777" w:rsidR="00000000" w:rsidRDefault="009B6C69">
            <w:pPr>
              <w:spacing w:after="100"/>
              <w:jc w:val="center"/>
              <w:rPr>
                <w:rFonts w:eastAsia="Times New Roman"/>
              </w:rPr>
            </w:pPr>
          </w:p>
        </w:tc>
        <w:tc>
          <w:tcPr>
            <w:tcW w:w="0" w:type="auto"/>
            <w:vAlign w:val="center"/>
            <w:hideMark/>
          </w:tcPr>
          <w:p w14:paraId="64129C16" w14:textId="77777777" w:rsidR="00000000" w:rsidRDefault="009B6C69">
            <w:pPr>
              <w:spacing w:after="100"/>
              <w:rPr>
                <w:rFonts w:eastAsia="Times New Roman"/>
                <w:sz w:val="20"/>
                <w:szCs w:val="20"/>
              </w:rPr>
            </w:pPr>
          </w:p>
        </w:tc>
        <w:tc>
          <w:tcPr>
            <w:tcW w:w="0" w:type="auto"/>
            <w:vAlign w:val="center"/>
            <w:hideMark/>
          </w:tcPr>
          <w:p w14:paraId="38FAD68D"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A05C1E8" w14:textId="77777777" w:rsidR="00000000" w:rsidRDefault="009B6C69">
            <w:pPr>
              <w:spacing w:after="100"/>
              <w:jc w:val="center"/>
              <w:rPr>
                <w:rFonts w:eastAsia="Times New Roman"/>
              </w:rPr>
            </w:pPr>
            <w:r>
              <w:rPr>
                <w:rFonts w:eastAsia="Times New Roman"/>
                <w:b/>
                <w:bCs/>
                <w:color w:val="000000"/>
                <w:sz w:val="18"/>
                <w:szCs w:val="18"/>
              </w:rPr>
              <w:t>Change</w:t>
            </w:r>
          </w:p>
        </w:tc>
        <w:tc>
          <w:tcPr>
            <w:tcW w:w="0" w:type="auto"/>
            <w:vAlign w:val="center"/>
            <w:hideMark/>
          </w:tcPr>
          <w:p w14:paraId="19EC9D3A" w14:textId="77777777" w:rsidR="00000000" w:rsidRDefault="009B6C69">
            <w:pPr>
              <w:spacing w:after="100"/>
              <w:jc w:val="center"/>
              <w:rPr>
                <w:rFonts w:eastAsia="Times New Roman"/>
              </w:rPr>
            </w:pPr>
          </w:p>
        </w:tc>
        <w:tc>
          <w:tcPr>
            <w:tcW w:w="0" w:type="auto"/>
            <w:vAlign w:val="center"/>
            <w:hideMark/>
          </w:tcPr>
          <w:p w14:paraId="25587989" w14:textId="77777777" w:rsidR="00000000" w:rsidRDefault="009B6C69">
            <w:pPr>
              <w:spacing w:after="100"/>
              <w:rPr>
                <w:rFonts w:eastAsia="Times New Roman"/>
                <w:sz w:val="20"/>
                <w:szCs w:val="20"/>
              </w:rPr>
            </w:pPr>
          </w:p>
        </w:tc>
      </w:tr>
      <w:tr w:rsidR="00000000" w14:paraId="4EC2031B" w14:textId="77777777">
        <w:trPr>
          <w:divId w:val="1480345816"/>
        </w:trPr>
        <w:tc>
          <w:tcPr>
            <w:tcW w:w="0" w:type="auto"/>
            <w:gridSpan w:val="3"/>
            <w:shd w:val="clear" w:color="auto" w:fill="CCEEFF"/>
            <w:tcMar>
              <w:top w:w="30" w:type="dxa"/>
              <w:left w:w="20" w:type="dxa"/>
              <w:bottom w:w="30" w:type="dxa"/>
              <w:right w:w="20" w:type="dxa"/>
            </w:tcMar>
            <w:vAlign w:val="bottom"/>
            <w:hideMark/>
          </w:tcPr>
          <w:p w14:paraId="54991A4D" w14:textId="77777777" w:rsidR="00000000" w:rsidRDefault="009B6C69">
            <w:pPr>
              <w:spacing w:after="100"/>
              <w:rPr>
                <w:rFonts w:eastAsia="Times New Roman"/>
              </w:rPr>
            </w:pPr>
            <w:r>
              <w:rPr>
                <w:rFonts w:eastAsia="Times New Roman"/>
                <w:color w:val="000000"/>
                <w:sz w:val="18"/>
                <w:szCs w:val="18"/>
              </w:rPr>
              <w:t>Equipment and services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92DFC8"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9FAD08" w14:textId="77777777" w:rsidR="00000000" w:rsidRDefault="009B6C69">
            <w:pPr>
              <w:spacing w:after="100"/>
              <w:jc w:val="right"/>
              <w:rPr>
                <w:rFonts w:eastAsia="Times New Roman"/>
              </w:rPr>
            </w:pPr>
            <w:r>
              <w:rPr>
                <w:rFonts w:eastAsia="Times New Roman"/>
                <w:color w:val="000000"/>
                <w:sz w:val="18"/>
                <w:szCs w:val="18"/>
              </w:rPr>
              <w:t>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BE00A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2B93C9"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D13154"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5E3CE8" w14:textId="77777777" w:rsidR="00000000" w:rsidRDefault="009B6C69">
            <w:pPr>
              <w:spacing w:after="100"/>
              <w:jc w:val="right"/>
              <w:rPr>
                <w:rFonts w:eastAsia="Times New Roman"/>
              </w:rPr>
            </w:pPr>
            <w:r>
              <w:rPr>
                <w:rFonts w:eastAsia="Times New Roman"/>
                <w:color w:val="000000"/>
                <w:sz w:val="18"/>
                <w:szCs w:val="18"/>
              </w:rPr>
              <w:t>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535E8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5D6CFB" w14:textId="77777777" w:rsidR="00000000" w:rsidRDefault="009B6C69">
            <w:pPr>
              <w:spacing w:after="100"/>
              <w:jc w:val="right"/>
              <w:rPr>
                <w:rFonts w:eastAsia="Times New Roman"/>
                <w:sz w:val="20"/>
                <w:szCs w:val="20"/>
              </w:rPr>
            </w:pPr>
          </w:p>
        </w:tc>
        <w:tc>
          <w:tcPr>
            <w:tcW w:w="0" w:type="auto"/>
            <w:vAlign w:val="center"/>
            <w:hideMark/>
          </w:tcPr>
          <w:p w14:paraId="7D2AA528" w14:textId="77777777" w:rsidR="00000000" w:rsidRDefault="009B6C69">
            <w:pPr>
              <w:spacing w:after="100"/>
              <w:rPr>
                <w:rFonts w:eastAsia="Times New Roman"/>
                <w:sz w:val="20"/>
                <w:szCs w:val="20"/>
              </w:rPr>
            </w:pPr>
          </w:p>
        </w:tc>
        <w:tc>
          <w:tcPr>
            <w:tcW w:w="0" w:type="auto"/>
            <w:vAlign w:val="center"/>
            <w:hideMark/>
          </w:tcPr>
          <w:p w14:paraId="680EF6C6"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1E04E4"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AE5514" w14:textId="77777777" w:rsidR="00000000" w:rsidRDefault="009B6C69">
            <w:pPr>
              <w:spacing w:after="100"/>
              <w:jc w:val="right"/>
              <w:rPr>
                <w:rFonts w:eastAsia="Times New Roman"/>
              </w:rPr>
            </w:pPr>
            <w:r>
              <w:rPr>
                <w:rFonts w:eastAsia="Times New Roman"/>
                <w:color w:val="000000"/>
                <w:sz w:val="18"/>
                <w:szCs w:val="18"/>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02A73A" w14:textId="77777777" w:rsidR="00000000" w:rsidRDefault="009B6C69">
            <w:pPr>
              <w:spacing w:after="100"/>
              <w:jc w:val="right"/>
              <w:rPr>
                <w:rFonts w:eastAsia="Times New Roman"/>
              </w:rPr>
            </w:pPr>
          </w:p>
        </w:tc>
        <w:tc>
          <w:tcPr>
            <w:tcW w:w="0" w:type="auto"/>
            <w:vAlign w:val="center"/>
            <w:hideMark/>
          </w:tcPr>
          <w:p w14:paraId="7ED61011" w14:textId="77777777" w:rsidR="00000000" w:rsidRDefault="009B6C69">
            <w:pPr>
              <w:spacing w:after="100"/>
              <w:jc w:val="right"/>
              <w:rPr>
                <w:rFonts w:eastAsia="Times New Roman"/>
                <w:sz w:val="20"/>
                <w:szCs w:val="20"/>
              </w:rPr>
            </w:pPr>
          </w:p>
        </w:tc>
        <w:tc>
          <w:tcPr>
            <w:tcW w:w="0" w:type="auto"/>
            <w:vAlign w:val="center"/>
            <w:hideMark/>
          </w:tcPr>
          <w:p w14:paraId="75335E9F" w14:textId="77777777" w:rsidR="00000000" w:rsidRDefault="009B6C69">
            <w:pPr>
              <w:spacing w:after="100"/>
              <w:rPr>
                <w:rFonts w:eastAsia="Times New Roman"/>
                <w:sz w:val="20"/>
                <w:szCs w:val="20"/>
              </w:rPr>
            </w:pPr>
          </w:p>
        </w:tc>
      </w:tr>
      <w:tr w:rsidR="00000000" w14:paraId="0775EC2F" w14:textId="77777777">
        <w:trPr>
          <w:divId w:val="1480345816"/>
        </w:trPr>
        <w:tc>
          <w:tcPr>
            <w:tcW w:w="0" w:type="auto"/>
            <w:gridSpan w:val="3"/>
            <w:shd w:val="clear" w:color="auto" w:fill="FFFFFF"/>
            <w:tcMar>
              <w:top w:w="30" w:type="dxa"/>
              <w:left w:w="20" w:type="dxa"/>
              <w:bottom w:w="30" w:type="dxa"/>
              <w:right w:w="20" w:type="dxa"/>
            </w:tcMar>
            <w:vAlign w:val="bottom"/>
            <w:hideMark/>
          </w:tcPr>
          <w:p w14:paraId="03FDFAB4" w14:textId="77777777" w:rsidR="00000000" w:rsidRDefault="009B6C69">
            <w:pPr>
              <w:spacing w:after="100"/>
              <w:rPr>
                <w:rFonts w:eastAsia="Times New Roman"/>
              </w:rPr>
            </w:pPr>
            <w:r>
              <w:rPr>
                <w:rFonts w:eastAsia="Times New Roman"/>
                <w:color w:val="000000"/>
                <w:sz w:val="18"/>
                <w:szCs w:val="18"/>
              </w:rPr>
              <w:t>EBT</w:t>
            </w:r>
          </w:p>
        </w:tc>
        <w:tc>
          <w:tcPr>
            <w:tcW w:w="0" w:type="auto"/>
            <w:gridSpan w:val="2"/>
            <w:shd w:val="clear" w:color="auto" w:fill="FFFFFF"/>
            <w:tcMar>
              <w:top w:w="30" w:type="dxa"/>
              <w:left w:w="20" w:type="dxa"/>
              <w:bottom w:w="30" w:type="dxa"/>
              <w:right w:w="0" w:type="dxa"/>
            </w:tcMar>
            <w:vAlign w:val="bottom"/>
            <w:hideMark/>
          </w:tcPr>
          <w:p w14:paraId="41878157" w14:textId="77777777" w:rsidR="00000000" w:rsidRDefault="009B6C69">
            <w:pPr>
              <w:spacing w:after="100"/>
              <w:jc w:val="right"/>
              <w:rPr>
                <w:rFonts w:eastAsia="Times New Roman"/>
              </w:rPr>
            </w:pPr>
            <w:r>
              <w:rPr>
                <w:rFonts w:eastAsia="Times New Roman"/>
                <w:color w:val="000000"/>
                <w:sz w:val="18"/>
                <w:szCs w:val="18"/>
              </w:rPr>
              <w:t>(279)</w:t>
            </w:r>
          </w:p>
        </w:tc>
        <w:tc>
          <w:tcPr>
            <w:tcW w:w="0" w:type="auto"/>
            <w:shd w:val="clear" w:color="auto" w:fill="FFFFFF"/>
            <w:tcMar>
              <w:top w:w="30" w:type="dxa"/>
              <w:left w:w="0" w:type="dxa"/>
              <w:bottom w:w="30" w:type="dxa"/>
              <w:right w:w="20" w:type="dxa"/>
            </w:tcMar>
            <w:vAlign w:val="bottom"/>
            <w:hideMark/>
          </w:tcPr>
          <w:p w14:paraId="0679B80E"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96B593"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C07CA0" w14:textId="77777777" w:rsidR="00000000" w:rsidRDefault="009B6C69">
            <w:pPr>
              <w:spacing w:after="100"/>
              <w:jc w:val="right"/>
              <w:rPr>
                <w:rFonts w:eastAsia="Times New Roman"/>
              </w:rPr>
            </w:pPr>
            <w:r>
              <w:rPr>
                <w:rFonts w:eastAsia="Times New Roman"/>
                <w:color w:val="000000"/>
                <w:sz w:val="18"/>
                <w:szCs w:val="18"/>
              </w:rPr>
              <w:t>916 </w:t>
            </w:r>
          </w:p>
        </w:tc>
        <w:tc>
          <w:tcPr>
            <w:tcW w:w="0" w:type="auto"/>
            <w:shd w:val="clear" w:color="auto" w:fill="FFFFFF"/>
            <w:tcMar>
              <w:top w:w="30" w:type="dxa"/>
              <w:left w:w="0" w:type="dxa"/>
              <w:bottom w:w="30" w:type="dxa"/>
              <w:right w:w="20" w:type="dxa"/>
            </w:tcMar>
            <w:vAlign w:val="bottom"/>
            <w:hideMark/>
          </w:tcPr>
          <w:p w14:paraId="1979F71F"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0A1070" w14:textId="77777777" w:rsidR="00000000" w:rsidRDefault="009B6C69">
            <w:pPr>
              <w:spacing w:after="100"/>
              <w:jc w:val="right"/>
              <w:rPr>
                <w:rFonts w:eastAsia="Times New Roman"/>
                <w:sz w:val="20"/>
                <w:szCs w:val="20"/>
              </w:rPr>
            </w:pPr>
          </w:p>
        </w:tc>
        <w:tc>
          <w:tcPr>
            <w:tcW w:w="0" w:type="auto"/>
            <w:vAlign w:val="center"/>
            <w:hideMark/>
          </w:tcPr>
          <w:p w14:paraId="58259105" w14:textId="77777777" w:rsidR="00000000" w:rsidRDefault="009B6C69">
            <w:pPr>
              <w:spacing w:after="100"/>
              <w:rPr>
                <w:rFonts w:eastAsia="Times New Roman"/>
                <w:sz w:val="20"/>
                <w:szCs w:val="20"/>
              </w:rPr>
            </w:pPr>
          </w:p>
        </w:tc>
        <w:tc>
          <w:tcPr>
            <w:tcW w:w="0" w:type="auto"/>
            <w:vAlign w:val="center"/>
            <w:hideMark/>
          </w:tcPr>
          <w:p w14:paraId="3439623B"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7A3D1D" w14:textId="77777777" w:rsidR="00000000" w:rsidRDefault="009B6C69">
            <w:pPr>
              <w:spacing w:after="100"/>
              <w:jc w:val="right"/>
              <w:rPr>
                <w:rFonts w:eastAsia="Times New Roman"/>
              </w:rPr>
            </w:pPr>
            <w:r>
              <w:rPr>
                <w:rFonts w:eastAsia="Times New Roman"/>
                <w:color w:val="000000"/>
                <w:sz w:val="18"/>
                <w:szCs w:val="18"/>
              </w:rPr>
              <w:t>(1,195)</w:t>
            </w:r>
          </w:p>
        </w:tc>
        <w:tc>
          <w:tcPr>
            <w:tcW w:w="0" w:type="auto"/>
            <w:shd w:val="clear" w:color="auto" w:fill="FFFFFF"/>
            <w:tcMar>
              <w:top w:w="30" w:type="dxa"/>
              <w:left w:w="0" w:type="dxa"/>
              <w:bottom w:w="30" w:type="dxa"/>
              <w:right w:w="20" w:type="dxa"/>
            </w:tcMar>
            <w:vAlign w:val="bottom"/>
            <w:hideMark/>
          </w:tcPr>
          <w:p w14:paraId="2487468C" w14:textId="77777777" w:rsidR="00000000" w:rsidRDefault="009B6C69">
            <w:pPr>
              <w:spacing w:after="100"/>
              <w:jc w:val="right"/>
              <w:rPr>
                <w:rFonts w:eastAsia="Times New Roman"/>
              </w:rPr>
            </w:pPr>
          </w:p>
        </w:tc>
        <w:tc>
          <w:tcPr>
            <w:tcW w:w="0" w:type="auto"/>
            <w:vAlign w:val="center"/>
            <w:hideMark/>
          </w:tcPr>
          <w:p w14:paraId="74AA277F" w14:textId="77777777" w:rsidR="00000000" w:rsidRDefault="009B6C69">
            <w:pPr>
              <w:spacing w:after="100"/>
              <w:jc w:val="right"/>
              <w:rPr>
                <w:rFonts w:eastAsia="Times New Roman"/>
                <w:sz w:val="20"/>
                <w:szCs w:val="20"/>
              </w:rPr>
            </w:pPr>
          </w:p>
        </w:tc>
        <w:tc>
          <w:tcPr>
            <w:tcW w:w="0" w:type="auto"/>
            <w:vAlign w:val="center"/>
            <w:hideMark/>
          </w:tcPr>
          <w:p w14:paraId="3EBA2DA5" w14:textId="77777777" w:rsidR="00000000" w:rsidRDefault="009B6C69">
            <w:pPr>
              <w:spacing w:after="100"/>
              <w:rPr>
                <w:rFonts w:eastAsia="Times New Roman"/>
                <w:sz w:val="20"/>
                <w:szCs w:val="20"/>
              </w:rPr>
            </w:pPr>
          </w:p>
        </w:tc>
      </w:tr>
    </w:tbl>
    <w:p w14:paraId="51F2875D" w14:textId="77777777" w:rsidR="00000000" w:rsidRDefault="009B6C69">
      <w:pPr>
        <w:divId w:val="642924897"/>
        <w:rPr>
          <w:rFonts w:eastAsia="Times New Roman"/>
        </w:rPr>
      </w:pPr>
      <w:r>
        <w:rPr>
          <w:rFonts w:eastAsia="Times New Roman"/>
          <w:b/>
          <w:bCs/>
          <w:i/>
          <w:iCs/>
          <w:color w:val="000000"/>
          <w:sz w:val="20"/>
          <w:szCs w:val="20"/>
        </w:rPr>
        <w:t>2022 vs. 2021</w:t>
      </w:r>
    </w:p>
    <w:p w14:paraId="603FCEC7" w14:textId="77777777" w:rsidR="00000000" w:rsidRDefault="009B6C69">
      <w:pPr>
        <w:divId w:val="1069889890"/>
        <w:rPr>
          <w:rFonts w:eastAsia="Times New Roman"/>
        </w:rPr>
      </w:pPr>
      <w:r>
        <w:rPr>
          <w:rFonts w:eastAsia="Times New Roman"/>
          <w:color w:val="000000"/>
          <w:sz w:val="20"/>
          <w:szCs w:val="20"/>
        </w:rPr>
        <w:t>The decrease in QSI EBT in fiscal 2022 was primarily due to a $1.1 billion decrease resulting from net losses on investments in fiscal 2022 compared to net gains o</w:t>
      </w:r>
      <w:r>
        <w:rPr>
          <w:rFonts w:eastAsia="Times New Roman"/>
          <w:color w:val="000000"/>
          <w:sz w:val="20"/>
          <w:szCs w:val="20"/>
        </w:rPr>
        <w:t>n investments in fiscal 2021, which were primarily driven by the change in fair value of certain of our marketable equity investments in early or growth stage companies and lower realized gains resulting from the sale of certain of our non-marketable inves</w:t>
      </w:r>
      <w:r>
        <w:rPr>
          <w:rFonts w:eastAsia="Times New Roman"/>
          <w:color w:val="000000"/>
          <w:sz w:val="20"/>
          <w:szCs w:val="20"/>
        </w:rPr>
        <w:t xml:space="preserve">tments. </w:t>
      </w:r>
    </w:p>
    <w:p w14:paraId="0AEC99E3" w14:textId="77777777" w:rsidR="00000000" w:rsidRDefault="009B6C69">
      <w:pPr>
        <w:divId w:val="1888103360"/>
        <w:rPr>
          <w:rFonts w:eastAsia="Times New Roman"/>
        </w:rPr>
      </w:pPr>
      <w:r>
        <w:rPr>
          <w:rFonts w:eastAsia="Times New Roman"/>
          <w:b/>
          <w:bCs/>
          <w:color w:val="000000"/>
          <w:sz w:val="20"/>
          <w:szCs w:val="20"/>
        </w:rPr>
        <w:t>Looking Forward</w:t>
      </w:r>
    </w:p>
    <w:p w14:paraId="31D85B07" w14:textId="77777777" w:rsidR="00000000" w:rsidRDefault="009B6C69">
      <w:pPr>
        <w:ind w:firstLine="360"/>
        <w:divId w:val="2120752838"/>
        <w:rPr>
          <w:rFonts w:eastAsia="Times New Roman"/>
        </w:rPr>
      </w:pPr>
      <w:r>
        <w:rPr>
          <w:rFonts w:eastAsia="Times New Roman"/>
          <w:color w:val="000000"/>
          <w:sz w:val="20"/>
          <w:szCs w:val="20"/>
        </w:rPr>
        <w:t>In the coming years, we expect consumer demand for 3G/4G/5G multimode and 5G products and services to continue to ramp around the world as we continue to transition from 3G/4G multimode and 4G products and services. We believe that</w:t>
      </w:r>
      <w:r>
        <w:rPr>
          <w:rFonts w:eastAsia="Times New Roman"/>
          <w:color w:val="000000"/>
          <w:sz w:val="20"/>
          <w:szCs w:val="20"/>
        </w:rPr>
        <w:t xml:space="preserve"> 5G combined with high-performance, low-power processing and on-device intelligence will continue to drive adoption of certain technologies that are already commonly used in smartphones by industries and applications beyond mobile handsets, such as automot</w:t>
      </w:r>
      <w:r>
        <w:rPr>
          <w:rFonts w:eastAsia="Times New Roman"/>
          <w:color w:val="000000"/>
          <w:sz w:val="20"/>
          <w:szCs w:val="20"/>
        </w:rPr>
        <w:t>ive and IoT. We believe it is important that we remain a leader in 5G technology development, standardization, intellectual property creation and licensing, and a leading developer and supplier of 5G integrated circuit products in order to sustain and grow</w:t>
      </w:r>
      <w:r>
        <w:rPr>
          <w:rFonts w:eastAsia="Times New Roman"/>
          <w:color w:val="000000"/>
          <w:sz w:val="20"/>
          <w:szCs w:val="20"/>
        </w:rPr>
        <w:t xml:space="preserve"> our business long term.</w:t>
      </w:r>
    </w:p>
    <w:p w14:paraId="5428F2E9" w14:textId="77777777" w:rsidR="00000000" w:rsidRDefault="009B6C69">
      <w:pPr>
        <w:ind w:firstLine="360"/>
        <w:divId w:val="430467279"/>
        <w:rPr>
          <w:rFonts w:eastAsia="Times New Roman"/>
        </w:rPr>
      </w:pPr>
      <w:r>
        <w:rPr>
          <w:rFonts w:eastAsia="Times New Roman"/>
          <w:color w:val="000000"/>
          <w:sz w:val="20"/>
          <w:szCs w:val="20"/>
        </w:rPr>
        <w:t>As we look forward to the next several quarters:</w:t>
      </w:r>
    </w:p>
    <w:p w14:paraId="41FBA68B" w14:textId="77777777" w:rsidR="00000000" w:rsidRDefault="009B6C69">
      <w:pPr>
        <w:ind w:hanging="360"/>
        <w:divId w:val="2124809754"/>
        <w:rPr>
          <w:rFonts w:eastAsia="Times New Roman"/>
        </w:rPr>
      </w:pPr>
      <w:r>
        <w:rPr>
          <w:rFonts w:eastAsia="Times New Roman"/>
          <w:color w:val="000000"/>
          <w:sz w:val="20"/>
          <w:szCs w:val="20"/>
        </w:rPr>
        <w:t>•We expect continued weakness in the macroeconomic environment (which will continue to negatively impact consumer demand for smartphones and other devices that incorporate our produc</w:t>
      </w:r>
      <w:r>
        <w:rPr>
          <w:rFonts w:eastAsia="Times New Roman"/>
          <w:color w:val="000000"/>
          <w:sz w:val="20"/>
          <w:szCs w:val="20"/>
        </w:rPr>
        <w:t>ts and technologies) and our customers to draw down on their inventory (which is at elevated levels given the rapid deceleration in consumer demand and the easing of supply constraints, and which may take the next couple quarters to resolve), and that both</w:t>
      </w:r>
      <w:r>
        <w:rPr>
          <w:rFonts w:eastAsia="Times New Roman"/>
          <w:color w:val="000000"/>
          <w:sz w:val="20"/>
          <w:szCs w:val="20"/>
        </w:rPr>
        <w:t xml:space="preserve"> of these dynamics will have a negative impact on our revenues, results of operations and cash flows compared to the prior year.</w:t>
      </w:r>
    </w:p>
    <w:p w14:paraId="6E30EA6D" w14:textId="77777777" w:rsidR="00000000" w:rsidRDefault="009B6C69">
      <w:pPr>
        <w:ind w:hanging="360"/>
        <w:divId w:val="402214541"/>
        <w:rPr>
          <w:rFonts w:eastAsia="Times New Roman"/>
        </w:rPr>
      </w:pPr>
      <w:r>
        <w:rPr>
          <w:rFonts w:eastAsia="Times New Roman"/>
          <w:color w:val="000000"/>
          <w:sz w:val="20"/>
          <w:szCs w:val="20"/>
        </w:rPr>
        <w:t>•While capacity constraints have largely abated, we expect to continue to see price increases from certain of our key semicondu</w:t>
      </w:r>
      <w:r>
        <w:rPr>
          <w:rFonts w:eastAsia="Times New Roman"/>
          <w:color w:val="000000"/>
          <w:sz w:val="20"/>
          <w:szCs w:val="20"/>
        </w:rPr>
        <w:t>ctor wafer suppliers.</w:t>
      </w:r>
    </w:p>
    <w:p w14:paraId="659E3FD2" w14:textId="77777777" w:rsidR="00000000" w:rsidRDefault="009B6C69">
      <w:pPr>
        <w:ind w:hanging="360"/>
        <w:divId w:val="203635978"/>
        <w:rPr>
          <w:rFonts w:eastAsia="Times New Roman"/>
        </w:rPr>
      </w:pPr>
      <w:r>
        <w:rPr>
          <w:rFonts w:eastAsia="Times New Roman"/>
          <w:color w:val="000000"/>
          <w:sz w:val="20"/>
          <w:szCs w:val="20"/>
        </w:rPr>
        <w:t>•We expect commercial 5G network deployments and device launches will continue</w:t>
      </w:r>
      <w:r>
        <w:rPr>
          <w:rFonts w:eastAsia="Times New Roman"/>
          <w:color w:val="000000"/>
          <w:sz w:val="20"/>
          <w:szCs w:val="20"/>
          <w:shd w:val="clear" w:color="auto" w:fill="FFFFFF"/>
        </w:rPr>
        <w:t>.</w:t>
      </w:r>
    </w:p>
    <w:p w14:paraId="03034E9C" w14:textId="77777777" w:rsidR="00000000" w:rsidRDefault="009B6C69">
      <w:pPr>
        <w:ind w:hanging="360"/>
        <w:divId w:val="1183350733"/>
        <w:rPr>
          <w:rFonts w:eastAsia="Times New Roman"/>
        </w:rPr>
      </w:pPr>
      <w:r>
        <w:rPr>
          <w:rFonts w:eastAsia="Times New Roman"/>
          <w:color w:val="000000"/>
          <w:sz w:val="20"/>
          <w:szCs w:val="20"/>
        </w:rPr>
        <w:t>•We expect continued intense competition, particularly in China.</w:t>
      </w:r>
    </w:p>
    <w:p w14:paraId="30EB58B1" w14:textId="77777777" w:rsidR="00000000" w:rsidRDefault="009B6C69">
      <w:pPr>
        <w:ind w:hanging="360"/>
        <w:divId w:val="99689645"/>
        <w:rPr>
          <w:rFonts w:eastAsia="Times New Roman"/>
        </w:rPr>
      </w:pPr>
      <w:r>
        <w:rPr>
          <w:rFonts w:eastAsia="Times New Roman"/>
          <w:color w:val="000000"/>
          <w:sz w:val="20"/>
          <w:szCs w:val="20"/>
        </w:rPr>
        <w:t>•</w:t>
      </w:r>
      <w:r>
        <w:rPr>
          <w:rFonts w:eastAsia="Times New Roman"/>
          <w:color w:val="000000"/>
          <w:sz w:val="20"/>
          <w:szCs w:val="20"/>
        </w:rPr>
        <w:t>Current U.S./China trade relations and/or national security protection policies may negatively impact our business, growth prospects and results of operations. See “Risk Factors” in this Annual Report, including the Risk Factor titled “</w:t>
      </w:r>
      <w:r>
        <w:rPr>
          <w:rFonts w:eastAsia="Times New Roman"/>
          <w:i/>
          <w:iCs/>
          <w:color w:val="000000"/>
          <w:sz w:val="20"/>
          <w:szCs w:val="20"/>
        </w:rPr>
        <w:t>A significant portio</w:t>
      </w:r>
      <w:r>
        <w:rPr>
          <w:rFonts w:eastAsia="Times New Roman"/>
          <w:i/>
          <w:iCs/>
          <w:color w:val="000000"/>
          <w:sz w:val="20"/>
          <w:szCs w:val="20"/>
        </w:rPr>
        <w:t>n of our business is concentrated in China, and the risks of such concentration are exacerbated by U.S./China trade and national security tensions.”</w:t>
      </w:r>
    </w:p>
    <w:p w14:paraId="4FB6439C" w14:textId="77777777" w:rsidR="00000000" w:rsidRDefault="009B6C69">
      <w:pPr>
        <w:ind w:firstLine="360"/>
        <w:divId w:val="237402668"/>
        <w:rPr>
          <w:rFonts w:eastAsia="Times New Roman"/>
        </w:rPr>
      </w:pPr>
      <w:r>
        <w:rPr>
          <w:rFonts w:eastAsia="Times New Roman"/>
          <w:color w:val="000000"/>
          <w:sz w:val="20"/>
          <w:szCs w:val="20"/>
        </w:rPr>
        <w:t>The degree to which the COVID-19 pandemic impacts our business, financial condition and results of operatio</w:t>
      </w:r>
      <w:r>
        <w:rPr>
          <w:rFonts w:eastAsia="Times New Roman"/>
          <w:color w:val="000000"/>
          <w:sz w:val="20"/>
          <w:szCs w:val="20"/>
        </w:rPr>
        <w:t>ns will depend on future developments, which are highly uncertain. See “Risk Factors” in this Annual Report, specifically the Risk Factor titled “</w:t>
      </w:r>
      <w:r>
        <w:rPr>
          <w:rFonts w:eastAsia="Times New Roman"/>
          <w:i/>
          <w:iCs/>
          <w:color w:val="000000"/>
          <w:sz w:val="20"/>
          <w:szCs w:val="20"/>
        </w:rPr>
        <w:t>The COVID-19 pandemic, or a similar health crisis, may impact our business or results of operations in the fut</w:t>
      </w:r>
      <w:r>
        <w:rPr>
          <w:rFonts w:eastAsia="Times New Roman"/>
          <w:i/>
          <w:iCs/>
          <w:color w:val="000000"/>
          <w:sz w:val="20"/>
          <w:szCs w:val="20"/>
        </w:rPr>
        <w:t>ure.”</w:t>
      </w:r>
    </w:p>
    <w:p w14:paraId="1E4CA931" w14:textId="77777777" w:rsidR="00000000" w:rsidRDefault="009B6C69">
      <w:pPr>
        <w:ind w:firstLine="360"/>
        <w:divId w:val="690911419"/>
        <w:rPr>
          <w:rFonts w:eastAsia="Times New Roman"/>
        </w:rPr>
      </w:pPr>
      <w:r>
        <w:rPr>
          <w:rFonts w:eastAsia="Times New Roman"/>
          <w:color w:val="000000"/>
          <w:sz w:val="20"/>
          <w:szCs w:val="20"/>
        </w:rPr>
        <w:t>In addition to the foregoing business and market-based matters, we continue to devote resources to working with and educating participants in the wireless industry and governments as to the benefits of our licensing programs and our extensive technol</w:t>
      </w:r>
      <w:r>
        <w:rPr>
          <w:rFonts w:eastAsia="Times New Roman"/>
          <w:color w:val="000000"/>
          <w:sz w:val="20"/>
          <w:szCs w:val="20"/>
        </w:rPr>
        <w:t>ogy investments in promoting a highly competitive and innovative wireless industry. However, we expect that certain companies may be dissatisfied with the need to pay reasonable royalties for the use of our technologies and not welcome the success of our l</w:t>
      </w:r>
      <w:r>
        <w:rPr>
          <w:rFonts w:eastAsia="Times New Roman"/>
          <w:color w:val="000000"/>
          <w:sz w:val="20"/>
          <w:szCs w:val="20"/>
        </w:rPr>
        <w:t>icensing programs in enabling new, highly cost-effective competitors to their products. Accordingly, such companies, and/or governments or regulators, may continue to challenge our business model in various forums throughout the world.</w:t>
      </w:r>
    </w:p>
    <w:p w14:paraId="7E037764" w14:textId="77777777" w:rsidR="00000000" w:rsidRDefault="009B6C69">
      <w:pPr>
        <w:ind w:firstLine="360"/>
        <w:divId w:val="1409889790"/>
        <w:rPr>
          <w:rFonts w:eastAsia="Times New Roman"/>
        </w:rPr>
      </w:pPr>
      <w:r>
        <w:rPr>
          <w:rFonts w:eastAsia="Times New Roman"/>
          <w:color w:val="000000"/>
          <w:sz w:val="20"/>
          <w:szCs w:val="20"/>
        </w:rPr>
        <w:t>Further discussion o</w:t>
      </w:r>
      <w:r>
        <w:rPr>
          <w:rFonts w:eastAsia="Times New Roman"/>
          <w:color w:val="000000"/>
          <w:sz w:val="20"/>
          <w:szCs w:val="20"/>
        </w:rPr>
        <w:t xml:space="preserve">f risks related to our business is provided in “Part I, Item 1A. Risk Factors” included in this Annual Report. </w:t>
      </w:r>
    </w:p>
    <w:p w14:paraId="6608392D" w14:textId="77777777" w:rsidR="00000000" w:rsidRDefault="009B6C69">
      <w:pPr>
        <w:jc w:val="center"/>
        <w:divId w:val="1460957427"/>
        <w:rPr>
          <w:rFonts w:eastAsia="Times New Roman"/>
        </w:rPr>
      </w:pPr>
      <w:r>
        <w:rPr>
          <w:rFonts w:eastAsia="Times New Roman"/>
          <w:color w:val="000000"/>
          <w:sz w:val="20"/>
          <w:szCs w:val="20"/>
        </w:rPr>
        <w:t>44</w:t>
      </w:r>
    </w:p>
    <w:p w14:paraId="64866B4E" w14:textId="77777777" w:rsidR="00000000" w:rsidRDefault="009B6C69">
      <w:pPr>
        <w:rPr>
          <w:rFonts w:eastAsia="Times New Roman"/>
        </w:rPr>
      </w:pPr>
      <w:r>
        <w:rPr>
          <w:rFonts w:eastAsia="Times New Roman"/>
        </w:rPr>
        <w:pict w14:anchorId="7166BA09">
          <v:rect id="_x0000_i1068" style="width:0;height:1.5pt" o:hralign="center" o:hrstd="t" o:hr="t" fillcolor="#a0a0a0" stroked="f"/>
        </w:pict>
      </w:r>
    </w:p>
    <w:p w14:paraId="13CF8820" w14:textId="77777777" w:rsidR="00000000" w:rsidRDefault="009B6C69">
      <w:pPr>
        <w:divId w:val="10034868"/>
        <w:rPr>
          <w:rFonts w:eastAsia="Times New Roman"/>
        </w:rPr>
      </w:pPr>
    </w:p>
    <w:p w14:paraId="1BA5DF9C" w14:textId="77777777" w:rsidR="00000000" w:rsidRDefault="009B6C69">
      <w:pPr>
        <w:divId w:val="1794009421"/>
        <w:rPr>
          <w:rFonts w:eastAsia="Times New Roman"/>
        </w:rPr>
      </w:pPr>
      <w:r>
        <w:rPr>
          <w:rFonts w:eastAsia="Times New Roman"/>
          <w:b/>
          <w:bCs/>
          <w:color w:val="000000"/>
          <w:sz w:val="20"/>
          <w:szCs w:val="20"/>
        </w:rPr>
        <w:t>Liquidity and Capital Resources</w:t>
      </w:r>
    </w:p>
    <w:p w14:paraId="45802F0D" w14:textId="77777777" w:rsidR="00000000" w:rsidRDefault="009B6C69">
      <w:pPr>
        <w:ind w:firstLine="360"/>
        <w:divId w:val="1543206169"/>
        <w:rPr>
          <w:rFonts w:eastAsia="Times New Roman"/>
        </w:rPr>
      </w:pPr>
      <w:r>
        <w:rPr>
          <w:rFonts w:eastAsia="Times New Roman"/>
          <w:color w:val="000000"/>
          <w:sz w:val="20"/>
          <w:szCs w:val="20"/>
        </w:rPr>
        <w:t>Our principal sources of liquidity are our existing cash, cash equivalents and marketable securities, cash generated from operations and cash provided by our debt programs. The following table presents selected financial information related to our liquidit</w:t>
      </w:r>
      <w:r>
        <w:rPr>
          <w:rFonts w:eastAsia="Times New Roman"/>
          <w:color w:val="000000"/>
          <w:sz w:val="20"/>
          <w:szCs w:val="20"/>
        </w:rPr>
        <w:t>y as of and for the years ended September 25, 2022 and September 26, 2021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000"/>
        <w:gridCol w:w="36"/>
        <w:gridCol w:w="111"/>
        <w:gridCol w:w="858"/>
        <w:gridCol w:w="36"/>
        <w:gridCol w:w="36"/>
        <w:gridCol w:w="36"/>
        <w:gridCol w:w="36"/>
        <w:gridCol w:w="111"/>
        <w:gridCol w:w="823"/>
        <w:gridCol w:w="36"/>
        <w:gridCol w:w="36"/>
        <w:gridCol w:w="36"/>
        <w:gridCol w:w="36"/>
        <w:gridCol w:w="110"/>
        <w:gridCol w:w="823"/>
        <w:gridCol w:w="36"/>
        <w:gridCol w:w="36"/>
        <w:gridCol w:w="36"/>
      </w:tblGrid>
      <w:tr w:rsidR="00000000" w14:paraId="0AB733DA" w14:textId="77777777">
        <w:trPr>
          <w:divId w:val="2119254574"/>
        </w:trPr>
        <w:tc>
          <w:tcPr>
            <w:tcW w:w="50" w:type="pct"/>
            <w:vAlign w:val="center"/>
            <w:hideMark/>
          </w:tcPr>
          <w:p w14:paraId="6199D538" w14:textId="77777777" w:rsidR="00000000" w:rsidRDefault="009B6C69">
            <w:pPr>
              <w:ind w:firstLine="360"/>
              <w:rPr>
                <w:rFonts w:eastAsia="Times New Roman"/>
              </w:rPr>
            </w:pPr>
          </w:p>
        </w:tc>
        <w:tc>
          <w:tcPr>
            <w:tcW w:w="3062" w:type="pct"/>
            <w:vAlign w:val="center"/>
            <w:hideMark/>
          </w:tcPr>
          <w:p w14:paraId="6595BAD4" w14:textId="77777777" w:rsidR="00000000" w:rsidRDefault="009B6C69">
            <w:pPr>
              <w:spacing w:after="100"/>
              <w:rPr>
                <w:rFonts w:eastAsia="Times New Roman"/>
                <w:sz w:val="20"/>
                <w:szCs w:val="20"/>
              </w:rPr>
            </w:pPr>
          </w:p>
        </w:tc>
        <w:tc>
          <w:tcPr>
            <w:tcW w:w="5" w:type="pct"/>
            <w:vAlign w:val="center"/>
            <w:hideMark/>
          </w:tcPr>
          <w:p w14:paraId="3C2D5006" w14:textId="77777777" w:rsidR="00000000" w:rsidRDefault="009B6C69">
            <w:pPr>
              <w:spacing w:after="100"/>
              <w:rPr>
                <w:rFonts w:eastAsia="Times New Roman"/>
                <w:sz w:val="20"/>
                <w:szCs w:val="20"/>
              </w:rPr>
            </w:pPr>
          </w:p>
        </w:tc>
        <w:tc>
          <w:tcPr>
            <w:tcW w:w="50" w:type="pct"/>
            <w:vAlign w:val="center"/>
            <w:hideMark/>
          </w:tcPr>
          <w:p w14:paraId="3163DD6F" w14:textId="77777777" w:rsidR="00000000" w:rsidRDefault="009B6C69">
            <w:pPr>
              <w:spacing w:after="100"/>
              <w:rPr>
                <w:rFonts w:eastAsia="Times New Roman"/>
                <w:sz w:val="20"/>
                <w:szCs w:val="20"/>
              </w:rPr>
            </w:pPr>
          </w:p>
        </w:tc>
        <w:tc>
          <w:tcPr>
            <w:tcW w:w="547" w:type="pct"/>
            <w:vAlign w:val="center"/>
            <w:hideMark/>
          </w:tcPr>
          <w:p w14:paraId="5F32AA56" w14:textId="77777777" w:rsidR="00000000" w:rsidRDefault="009B6C69">
            <w:pPr>
              <w:spacing w:after="100"/>
              <w:rPr>
                <w:rFonts w:eastAsia="Times New Roman"/>
                <w:sz w:val="20"/>
                <w:szCs w:val="20"/>
              </w:rPr>
            </w:pPr>
          </w:p>
        </w:tc>
        <w:tc>
          <w:tcPr>
            <w:tcW w:w="5" w:type="pct"/>
            <w:vAlign w:val="center"/>
            <w:hideMark/>
          </w:tcPr>
          <w:p w14:paraId="35BD9C3B" w14:textId="77777777" w:rsidR="00000000" w:rsidRDefault="009B6C69">
            <w:pPr>
              <w:spacing w:after="100"/>
              <w:rPr>
                <w:rFonts w:eastAsia="Times New Roman"/>
                <w:sz w:val="20"/>
                <w:szCs w:val="20"/>
              </w:rPr>
            </w:pPr>
          </w:p>
        </w:tc>
        <w:tc>
          <w:tcPr>
            <w:tcW w:w="5" w:type="pct"/>
            <w:vAlign w:val="center"/>
            <w:hideMark/>
          </w:tcPr>
          <w:p w14:paraId="461F47FE" w14:textId="77777777" w:rsidR="00000000" w:rsidRDefault="009B6C69">
            <w:pPr>
              <w:spacing w:after="100"/>
              <w:rPr>
                <w:rFonts w:eastAsia="Times New Roman"/>
                <w:sz w:val="20"/>
                <w:szCs w:val="20"/>
              </w:rPr>
            </w:pPr>
          </w:p>
        </w:tc>
        <w:tc>
          <w:tcPr>
            <w:tcW w:w="27" w:type="pct"/>
            <w:vAlign w:val="center"/>
            <w:hideMark/>
          </w:tcPr>
          <w:p w14:paraId="3919BCD5" w14:textId="77777777" w:rsidR="00000000" w:rsidRDefault="009B6C69">
            <w:pPr>
              <w:spacing w:after="100"/>
              <w:rPr>
                <w:rFonts w:eastAsia="Times New Roman"/>
                <w:sz w:val="20"/>
                <w:szCs w:val="20"/>
              </w:rPr>
            </w:pPr>
          </w:p>
        </w:tc>
        <w:tc>
          <w:tcPr>
            <w:tcW w:w="5" w:type="pct"/>
            <w:vAlign w:val="center"/>
            <w:hideMark/>
          </w:tcPr>
          <w:p w14:paraId="2B6DFDE3" w14:textId="77777777" w:rsidR="00000000" w:rsidRDefault="009B6C69">
            <w:pPr>
              <w:spacing w:after="100"/>
              <w:rPr>
                <w:rFonts w:eastAsia="Times New Roman"/>
                <w:sz w:val="20"/>
                <w:szCs w:val="20"/>
              </w:rPr>
            </w:pPr>
          </w:p>
        </w:tc>
        <w:tc>
          <w:tcPr>
            <w:tcW w:w="50" w:type="pct"/>
            <w:vAlign w:val="center"/>
            <w:hideMark/>
          </w:tcPr>
          <w:p w14:paraId="35B1C462" w14:textId="77777777" w:rsidR="00000000" w:rsidRDefault="009B6C69">
            <w:pPr>
              <w:spacing w:after="100"/>
              <w:rPr>
                <w:rFonts w:eastAsia="Times New Roman"/>
                <w:sz w:val="20"/>
                <w:szCs w:val="20"/>
              </w:rPr>
            </w:pPr>
          </w:p>
        </w:tc>
        <w:tc>
          <w:tcPr>
            <w:tcW w:w="547" w:type="pct"/>
            <w:vAlign w:val="center"/>
            <w:hideMark/>
          </w:tcPr>
          <w:p w14:paraId="7FC7B20C" w14:textId="77777777" w:rsidR="00000000" w:rsidRDefault="009B6C69">
            <w:pPr>
              <w:spacing w:after="100"/>
              <w:rPr>
                <w:rFonts w:eastAsia="Times New Roman"/>
                <w:sz w:val="20"/>
                <w:szCs w:val="20"/>
              </w:rPr>
            </w:pPr>
          </w:p>
        </w:tc>
        <w:tc>
          <w:tcPr>
            <w:tcW w:w="5" w:type="pct"/>
            <w:vAlign w:val="center"/>
            <w:hideMark/>
          </w:tcPr>
          <w:p w14:paraId="2B067D62" w14:textId="77777777" w:rsidR="00000000" w:rsidRDefault="009B6C69">
            <w:pPr>
              <w:spacing w:after="100"/>
              <w:rPr>
                <w:rFonts w:eastAsia="Times New Roman"/>
                <w:sz w:val="20"/>
                <w:szCs w:val="20"/>
              </w:rPr>
            </w:pPr>
          </w:p>
        </w:tc>
        <w:tc>
          <w:tcPr>
            <w:tcW w:w="5" w:type="pct"/>
            <w:vAlign w:val="center"/>
            <w:hideMark/>
          </w:tcPr>
          <w:p w14:paraId="3304D85E" w14:textId="77777777" w:rsidR="00000000" w:rsidRDefault="009B6C69">
            <w:pPr>
              <w:spacing w:after="100"/>
              <w:rPr>
                <w:rFonts w:eastAsia="Times New Roman"/>
                <w:sz w:val="20"/>
                <w:szCs w:val="20"/>
              </w:rPr>
            </w:pPr>
          </w:p>
        </w:tc>
        <w:tc>
          <w:tcPr>
            <w:tcW w:w="27" w:type="pct"/>
            <w:vAlign w:val="center"/>
            <w:hideMark/>
          </w:tcPr>
          <w:p w14:paraId="5BED57BA" w14:textId="77777777" w:rsidR="00000000" w:rsidRDefault="009B6C69">
            <w:pPr>
              <w:spacing w:after="100"/>
              <w:rPr>
                <w:rFonts w:eastAsia="Times New Roman"/>
                <w:sz w:val="20"/>
                <w:szCs w:val="20"/>
              </w:rPr>
            </w:pPr>
          </w:p>
        </w:tc>
        <w:tc>
          <w:tcPr>
            <w:tcW w:w="5" w:type="pct"/>
            <w:vAlign w:val="center"/>
            <w:hideMark/>
          </w:tcPr>
          <w:p w14:paraId="3B4B62A5" w14:textId="77777777" w:rsidR="00000000" w:rsidRDefault="009B6C69">
            <w:pPr>
              <w:spacing w:after="100"/>
              <w:rPr>
                <w:rFonts w:eastAsia="Times New Roman"/>
                <w:sz w:val="20"/>
                <w:szCs w:val="20"/>
              </w:rPr>
            </w:pPr>
          </w:p>
        </w:tc>
        <w:tc>
          <w:tcPr>
            <w:tcW w:w="50" w:type="pct"/>
            <w:vAlign w:val="center"/>
            <w:hideMark/>
          </w:tcPr>
          <w:p w14:paraId="5614393E" w14:textId="77777777" w:rsidR="00000000" w:rsidRDefault="009B6C69">
            <w:pPr>
              <w:spacing w:after="100"/>
              <w:rPr>
                <w:rFonts w:eastAsia="Times New Roman"/>
                <w:sz w:val="20"/>
                <w:szCs w:val="20"/>
              </w:rPr>
            </w:pPr>
          </w:p>
        </w:tc>
        <w:tc>
          <w:tcPr>
            <w:tcW w:w="547" w:type="pct"/>
            <w:vAlign w:val="center"/>
            <w:hideMark/>
          </w:tcPr>
          <w:p w14:paraId="60E4EF8A" w14:textId="77777777" w:rsidR="00000000" w:rsidRDefault="009B6C69">
            <w:pPr>
              <w:spacing w:after="100"/>
              <w:rPr>
                <w:rFonts w:eastAsia="Times New Roman"/>
                <w:sz w:val="20"/>
                <w:szCs w:val="20"/>
              </w:rPr>
            </w:pPr>
          </w:p>
        </w:tc>
        <w:tc>
          <w:tcPr>
            <w:tcW w:w="5" w:type="pct"/>
            <w:vAlign w:val="center"/>
            <w:hideMark/>
          </w:tcPr>
          <w:p w14:paraId="49C6702D" w14:textId="77777777" w:rsidR="00000000" w:rsidRDefault="009B6C69">
            <w:pPr>
              <w:spacing w:after="100"/>
              <w:rPr>
                <w:rFonts w:eastAsia="Times New Roman"/>
                <w:sz w:val="20"/>
                <w:szCs w:val="20"/>
              </w:rPr>
            </w:pPr>
          </w:p>
        </w:tc>
        <w:tc>
          <w:tcPr>
            <w:tcW w:w="0" w:type="auto"/>
            <w:vAlign w:val="center"/>
            <w:hideMark/>
          </w:tcPr>
          <w:p w14:paraId="5CCA4F87" w14:textId="77777777" w:rsidR="00000000" w:rsidRDefault="009B6C69">
            <w:pPr>
              <w:spacing w:after="100"/>
              <w:rPr>
                <w:rFonts w:eastAsia="Times New Roman"/>
                <w:sz w:val="20"/>
                <w:szCs w:val="20"/>
              </w:rPr>
            </w:pPr>
          </w:p>
        </w:tc>
        <w:tc>
          <w:tcPr>
            <w:tcW w:w="0" w:type="auto"/>
            <w:vAlign w:val="center"/>
            <w:hideMark/>
          </w:tcPr>
          <w:p w14:paraId="5859DE6F" w14:textId="77777777" w:rsidR="00000000" w:rsidRDefault="009B6C69">
            <w:pPr>
              <w:spacing w:after="100"/>
              <w:rPr>
                <w:rFonts w:eastAsia="Times New Roman"/>
                <w:sz w:val="20"/>
                <w:szCs w:val="20"/>
              </w:rPr>
            </w:pPr>
          </w:p>
        </w:tc>
      </w:tr>
      <w:tr w:rsidR="00000000" w14:paraId="2C5A13CA" w14:textId="77777777">
        <w:trPr>
          <w:divId w:val="2119254574"/>
        </w:trPr>
        <w:tc>
          <w:tcPr>
            <w:tcW w:w="0" w:type="auto"/>
            <w:gridSpan w:val="3"/>
            <w:tcMar>
              <w:top w:w="0" w:type="dxa"/>
              <w:left w:w="20" w:type="dxa"/>
              <w:bottom w:w="0" w:type="dxa"/>
              <w:right w:w="20" w:type="dxa"/>
            </w:tcMar>
            <w:vAlign w:val="center"/>
            <w:hideMark/>
          </w:tcPr>
          <w:p w14:paraId="314CD869"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C17000B" w14:textId="77777777" w:rsidR="00000000" w:rsidRDefault="009B6C69">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14:paraId="4969A646"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51CA411" w14:textId="77777777" w:rsidR="00000000" w:rsidRDefault="009B6C69">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c>
          <w:tcPr>
            <w:tcW w:w="0" w:type="auto"/>
            <w:gridSpan w:val="3"/>
            <w:tcMar>
              <w:top w:w="0" w:type="dxa"/>
              <w:left w:w="20" w:type="dxa"/>
              <w:bottom w:w="0" w:type="dxa"/>
              <w:right w:w="20" w:type="dxa"/>
            </w:tcMar>
            <w:vAlign w:val="center"/>
            <w:hideMark/>
          </w:tcPr>
          <w:p w14:paraId="66CF1BCE"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26AA2F3" w14:textId="77777777" w:rsidR="00000000" w:rsidRDefault="009B6C69">
            <w:pPr>
              <w:spacing w:after="100"/>
              <w:jc w:val="center"/>
              <w:rPr>
                <w:rFonts w:eastAsia="Times New Roman"/>
              </w:rPr>
            </w:pPr>
            <w:r>
              <w:rPr>
                <w:rFonts w:eastAsia="Times New Roman"/>
                <w:b/>
                <w:bCs/>
                <w:color w:val="000000"/>
                <w:sz w:val="18"/>
                <w:szCs w:val="18"/>
              </w:rPr>
              <w:t>Change</w:t>
            </w:r>
          </w:p>
        </w:tc>
        <w:tc>
          <w:tcPr>
            <w:tcW w:w="0" w:type="auto"/>
            <w:vAlign w:val="center"/>
            <w:hideMark/>
          </w:tcPr>
          <w:p w14:paraId="3FFA1A72" w14:textId="77777777" w:rsidR="00000000" w:rsidRDefault="009B6C69">
            <w:pPr>
              <w:spacing w:after="100"/>
              <w:jc w:val="center"/>
              <w:rPr>
                <w:rFonts w:eastAsia="Times New Roman"/>
              </w:rPr>
            </w:pPr>
          </w:p>
        </w:tc>
        <w:tc>
          <w:tcPr>
            <w:tcW w:w="0" w:type="auto"/>
            <w:vAlign w:val="center"/>
            <w:hideMark/>
          </w:tcPr>
          <w:p w14:paraId="78D55CE7" w14:textId="77777777" w:rsidR="00000000" w:rsidRDefault="009B6C69">
            <w:pPr>
              <w:spacing w:after="100"/>
              <w:rPr>
                <w:rFonts w:eastAsia="Times New Roman"/>
                <w:sz w:val="20"/>
                <w:szCs w:val="20"/>
              </w:rPr>
            </w:pPr>
          </w:p>
        </w:tc>
      </w:tr>
      <w:tr w:rsidR="00000000" w14:paraId="7C34586A" w14:textId="77777777">
        <w:trPr>
          <w:divId w:val="2119254574"/>
        </w:trPr>
        <w:tc>
          <w:tcPr>
            <w:tcW w:w="0" w:type="auto"/>
            <w:gridSpan w:val="3"/>
            <w:shd w:val="clear" w:color="auto" w:fill="CCEEFF"/>
            <w:tcMar>
              <w:top w:w="30" w:type="dxa"/>
              <w:left w:w="20" w:type="dxa"/>
              <w:bottom w:w="30" w:type="dxa"/>
              <w:right w:w="20" w:type="dxa"/>
            </w:tcMar>
            <w:vAlign w:val="bottom"/>
            <w:hideMark/>
          </w:tcPr>
          <w:p w14:paraId="16B5E841" w14:textId="77777777" w:rsidR="00000000" w:rsidRDefault="009B6C69">
            <w:pPr>
              <w:spacing w:after="100"/>
              <w:rPr>
                <w:rFonts w:eastAsia="Times New Roman"/>
              </w:rPr>
            </w:pPr>
            <w:r>
              <w:rPr>
                <w:rFonts w:eastAsia="Times New Roman"/>
                <w:color w:val="000000"/>
                <w:sz w:val="18"/>
                <w:szCs w:val="18"/>
              </w:rPr>
              <w:t>Cash and cash equivalents (1)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9BBE1C"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D9105E" w14:textId="77777777" w:rsidR="00000000" w:rsidRDefault="009B6C69">
            <w:pPr>
              <w:spacing w:after="100"/>
              <w:jc w:val="right"/>
              <w:rPr>
                <w:rFonts w:eastAsia="Times New Roman"/>
              </w:rPr>
            </w:pPr>
            <w:r>
              <w:rPr>
                <w:rFonts w:eastAsia="Times New Roman"/>
                <w:color w:val="000000"/>
                <w:sz w:val="18"/>
                <w:szCs w:val="18"/>
              </w:rPr>
              <w:t>2,773 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55919C"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BFCEA3"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6714B4"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91F224" w14:textId="77777777" w:rsidR="00000000" w:rsidRDefault="009B6C69">
            <w:pPr>
              <w:spacing w:after="100"/>
              <w:jc w:val="right"/>
              <w:rPr>
                <w:rFonts w:eastAsia="Times New Roman"/>
              </w:rPr>
            </w:pPr>
            <w:r>
              <w:rPr>
                <w:rFonts w:eastAsia="Times New Roman"/>
                <w:color w:val="000000"/>
                <w:sz w:val="18"/>
                <w:szCs w:val="18"/>
              </w:rPr>
              <w:t>7,116 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03241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D9952"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3FB389"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D752F5" w14:textId="77777777" w:rsidR="00000000" w:rsidRDefault="009B6C69">
            <w:pPr>
              <w:spacing w:after="100"/>
              <w:jc w:val="right"/>
              <w:rPr>
                <w:rFonts w:eastAsia="Times New Roman"/>
              </w:rPr>
            </w:pPr>
            <w:r>
              <w:rPr>
                <w:rFonts w:eastAsia="Times New Roman"/>
                <w:color w:val="000000"/>
                <w:sz w:val="18"/>
                <w:szCs w:val="18"/>
              </w:rPr>
              <w:t>(4,343)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963FB8" w14:textId="77777777" w:rsidR="00000000" w:rsidRDefault="009B6C69">
            <w:pPr>
              <w:spacing w:after="100"/>
              <w:jc w:val="right"/>
              <w:rPr>
                <w:rFonts w:eastAsia="Times New Roman"/>
              </w:rPr>
            </w:pPr>
          </w:p>
        </w:tc>
        <w:tc>
          <w:tcPr>
            <w:tcW w:w="0" w:type="auto"/>
            <w:vAlign w:val="center"/>
            <w:hideMark/>
          </w:tcPr>
          <w:p w14:paraId="451750F5" w14:textId="77777777" w:rsidR="00000000" w:rsidRDefault="009B6C69">
            <w:pPr>
              <w:spacing w:after="100"/>
              <w:jc w:val="right"/>
              <w:rPr>
                <w:rFonts w:eastAsia="Times New Roman"/>
                <w:sz w:val="20"/>
                <w:szCs w:val="20"/>
              </w:rPr>
            </w:pPr>
          </w:p>
        </w:tc>
        <w:tc>
          <w:tcPr>
            <w:tcW w:w="0" w:type="auto"/>
            <w:vAlign w:val="center"/>
            <w:hideMark/>
          </w:tcPr>
          <w:p w14:paraId="2A899C0D" w14:textId="77777777" w:rsidR="00000000" w:rsidRDefault="009B6C69">
            <w:pPr>
              <w:spacing w:after="100"/>
              <w:rPr>
                <w:rFonts w:eastAsia="Times New Roman"/>
                <w:sz w:val="20"/>
                <w:szCs w:val="20"/>
              </w:rPr>
            </w:pPr>
          </w:p>
        </w:tc>
      </w:tr>
      <w:tr w:rsidR="00000000" w14:paraId="64024135" w14:textId="77777777">
        <w:trPr>
          <w:divId w:val="2119254574"/>
        </w:trPr>
        <w:tc>
          <w:tcPr>
            <w:tcW w:w="0" w:type="auto"/>
            <w:gridSpan w:val="3"/>
            <w:shd w:val="clear" w:color="auto" w:fill="FFFFFF"/>
            <w:tcMar>
              <w:top w:w="30" w:type="dxa"/>
              <w:left w:w="20" w:type="dxa"/>
              <w:bottom w:w="30" w:type="dxa"/>
              <w:right w:w="20" w:type="dxa"/>
            </w:tcMar>
            <w:vAlign w:val="bottom"/>
            <w:hideMark/>
          </w:tcPr>
          <w:p w14:paraId="7F30D576" w14:textId="77777777" w:rsidR="00000000" w:rsidRDefault="009B6C69">
            <w:pPr>
              <w:spacing w:after="100"/>
              <w:rPr>
                <w:rFonts w:eastAsia="Times New Roman"/>
              </w:rPr>
            </w:pPr>
            <w:r>
              <w:rPr>
                <w:rFonts w:eastAsia="Times New Roman"/>
                <w:color w:val="000000"/>
                <w:sz w:val="18"/>
                <w:szCs w:val="18"/>
              </w:rPr>
              <w:t>Marketable securities</w:t>
            </w:r>
          </w:p>
        </w:tc>
        <w:tc>
          <w:tcPr>
            <w:tcW w:w="0" w:type="auto"/>
            <w:gridSpan w:val="2"/>
            <w:shd w:val="clear" w:color="auto" w:fill="FFFFFF"/>
            <w:tcMar>
              <w:top w:w="30" w:type="dxa"/>
              <w:left w:w="20" w:type="dxa"/>
              <w:bottom w:w="30" w:type="dxa"/>
              <w:right w:w="0" w:type="dxa"/>
            </w:tcMar>
            <w:vAlign w:val="bottom"/>
            <w:hideMark/>
          </w:tcPr>
          <w:p w14:paraId="0F7A12EC" w14:textId="77777777" w:rsidR="00000000" w:rsidRDefault="009B6C69">
            <w:pPr>
              <w:spacing w:after="100"/>
              <w:jc w:val="right"/>
              <w:rPr>
                <w:rFonts w:eastAsia="Times New Roman"/>
              </w:rPr>
            </w:pPr>
            <w:r>
              <w:rPr>
                <w:rFonts w:eastAsia="Times New Roman"/>
                <w:color w:val="000000"/>
                <w:sz w:val="18"/>
                <w:szCs w:val="18"/>
              </w:rPr>
              <w:t>3,609 </w:t>
            </w:r>
          </w:p>
        </w:tc>
        <w:tc>
          <w:tcPr>
            <w:tcW w:w="0" w:type="auto"/>
            <w:shd w:val="clear" w:color="auto" w:fill="FFFFFF"/>
            <w:tcMar>
              <w:top w:w="30" w:type="dxa"/>
              <w:left w:w="0" w:type="dxa"/>
              <w:bottom w:w="30" w:type="dxa"/>
              <w:right w:w="20" w:type="dxa"/>
            </w:tcMar>
            <w:vAlign w:val="bottom"/>
            <w:hideMark/>
          </w:tcPr>
          <w:p w14:paraId="59348F5F"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6D0CB9"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8DED8D" w14:textId="77777777" w:rsidR="00000000" w:rsidRDefault="009B6C69">
            <w:pPr>
              <w:spacing w:after="100"/>
              <w:jc w:val="right"/>
              <w:rPr>
                <w:rFonts w:eastAsia="Times New Roman"/>
              </w:rPr>
            </w:pPr>
            <w:r>
              <w:rPr>
                <w:rFonts w:eastAsia="Times New Roman"/>
                <w:color w:val="000000"/>
                <w:sz w:val="18"/>
                <w:szCs w:val="18"/>
              </w:rPr>
              <w:t>5,298 </w:t>
            </w:r>
          </w:p>
        </w:tc>
        <w:tc>
          <w:tcPr>
            <w:tcW w:w="0" w:type="auto"/>
            <w:shd w:val="clear" w:color="auto" w:fill="FFFFFF"/>
            <w:tcMar>
              <w:top w:w="30" w:type="dxa"/>
              <w:left w:w="0" w:type="dxa"/>
              <w:bottom w:w="30" w:type="dxa"/>
              <w:right w:w="20" w:type="dxa"/>
            </w:tcMar>
            <w:vAlign w:val="bottom"/>
            <w:hideMark/>
          </w:tcPr>
          <w:p w14:paraId="19DEF39F"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34D37D"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A219C9" w14:textId="77777777" w:rsidR="00000000" w:rsidRDefault="009B6C69">
            <w:pPr>
              <w:spacing w:after="100"/>
              <w:jc w:val="right"/>
              <w:rPr>
                <w:rFonts w:eastAsia="Times New Roman"/>
              </w:rPr>
            </w:pPr>
            <w:r>
              <w:rPr>
                <w:rFonts w:eastAsia="Times New Roman"/>
                <w:color w:val="000000"/>
                <w:sz w:val="18"/>
                <w:szCs w:val="18"/>
              </w:rPr>
              <w:t>(1,689)</w:t>
            </w:r>
          </w:p>
        </w:tc>
        <w:tc>
          <w:tcPr>
            <w:tcW w:w="0" w:type="auto"/>
            <w:shd w:val="clear" w:color="auto" w:fill="FFFFFF"/>
            <w:tcMar>
              <w:top w:w="30" w:type="dxa"/>
              <w:left w:w="0" w:type="dxa"/>
              <w:bottom w:w="30" w:type="dxa"/>
              <w:right w:w="20" w:type="dxa"/>
            </w:tcMar>
            <w:vAlign w:val="bottom"/>
            <w:hideMark/>
          </w:tcPr>
          <w:p w14:paraId="57C3F069" w14:textId="77777777" w:rsidR="00000000" w:rsidRDefault="009B6C69">
            <w:pPr>
              <w:spacing w:after="100"/>
              <w:jc w:val="right"/>
              <w:rPr>
                <w:rFonts w:eastAsia="Times New Roman"/>
              </w:rPr>
            </w:pPr>
          </w:p>
        </w:tc>
        <w:tc>
          <w:tcPr>
            <w:tcW w:w="0" w:type="auto"/>
            <w:vAlign w:val="center"/>
            <w:hideMark/>
          </w:tcPr>
          <w:p w14:paraId="12EAD56C" w14:textId="77777777" w:rsidR="00000000" w:rsidRDefault="009B6C69">
            <w:pPr>
              <w:spacing w:after="100"/>
              <w:jc w:val="right"/>
              <w:rPr>
                <w:rFonts w:eastAsia="Times New Roman"/>
                <w:sz w:val="20"/>
                <w:szCs w:val="20"/>
              </w:rPr>
            </w:pPr>
          </w:p>
        </w:tc>
        <w:tc>
          <w:tcPr>
            <w:tcW w:w="0" w:type="auto"/>
            <w:vAlign w:val="center"/>
            <w:hideMark/>
          </w:tcPr>
          <w:p w14:paraId="560A4B94" w14:textId="77777777" w:rsidR="00000000" w:rsidRDefault="009B6C69">
            <w:pPr>
              <w:spacing w:after="100"/>
              <w:rPr>
                <w:rFonts w:eastAsia="Times New Roman"/>
                <w:sz w:val="20"/>
                <w:szCs w:val="20"/>
              </w:rPr>
            </w:pPr>
          </w:p>
        </w:tc>
      </w:tr>
      <w:tr w:rsidR="00000000" w14:paraId="626707CE" w14:textId="77777777">
        <w:trPr>
          <w:divId w:val="2119254574"/>
        </w:trPr>
        <w:tc>
          <w:tcPr>
            <w:tcW w:w="0" w:type="auto"/>
            <w:gridSpan w:val="3"/>
            <w:shd w:val="clear" w:color="auto" w:fill="CCEEFF"/>
            <w:tcMar>
              <w:top w:w="30" w:type="dxa"/>
              <w:left w:w="20" w:type="dxa"/>
              <w:bottom w:w="30" w:type="dxa"/>
              <w:right w:w="20" w:type="dxa"/>
            </w:tcMar>
            <w:vAlign w:val="bottom"/>
            <w:hideMark/>
          </w:tcPr>
          <w:p w14:paraId="458C834B" w14:textId="77777777" w:rsidR="00000000" w:rsidRDefault="009B6C69">
            <w:pPr>
              <w:spacing w:after="100"/>
              <w:rPr>
                <w:rFonts w:eastAsia="Times New Roman"/>
              </w:rPr>
            </w:pPr>
            <w:r>
              <w:rPr>
                <w:rFonts w:eastAsia="Times New Roman"/>
                <w:color w:val="000000"/>
                <w:sz w:val="18"/>
                <w:szCs w:val="18"/>
              </w:rPr>
              <w:t>       Cash, cash equivalents and marketable securities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A95A372"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9AC2608" w14:textId="77777777" w:rsidR="00000000" w:rsidRDefault="009B6C69">
            <w:pPr>
              <w:spacing w:after="100"/>
              <w:jc w:val="right"/>
              <w:rPr>
                <w:rFonts w:eastAsia="Times New Roman"/>
              </w:rPr>
            </w:pPr>
            <w:r>
              <w:rPr>
                <w:rFonts w:eastAsia="Times New Roman"/>
                <w:color w:val="000000"/>
                <w:sz w:val="18"/>
                <w:szCs w:val="18"/>
              </w:rPr>
              <w:t>6,382 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C3BBDAB"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E8553D"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1AD269"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606EA66" w14:textId="77777777" w:rsidR="00000000" w:rsidRDefault="009B6C69">
            <w:pPr>
              <w:spacing w:after="100"/>
              <w:jc w:val="right"/>
              <w:rPr>
                <w:rFonts w:eastAsia="Times New Roman"/>
              </w:rPr>
            </w:pPr>
            <w:r>
              <w:rPr>
                <w:rFonts w:eastAsia="Times New Roman"/>
                <w:color w:val="000000"/>
                <w:sz w:val="18"/>
                <w:szCs w:val="18"/>
              </w:rPr>
              <w:t>12,414 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5B263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D6F489"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A7007B5"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6E47FB9" w14:textId="77777777" w:rsidR="00000000" w:rsidRDefault="009B6C69">
            <w:pPr>
              <w:spacing w:after="100"/>
              <w:jc w:val="right"/>
              <w:rPr>
                <w:rFonts w:eastAsia="Times New Roman"/>
              </w:rPr>
            </w:pPr>
            <w:r>
              <w:rPr>
                <w:rFonts w:eastAsia="Times New Roman"/>
                <w:color w:val="000000"/>
                <w:sz w:val="18"/>
                <w:szCs w:val="18"/>
              </w:rPr>
              <w:t>(6,032)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04B54C" w14:textId="77777777" w:rsidR="00000000" w:rsidRDefault="009B6C69">
            <w:pPr>
              <w:spacing w:after="100"/>
              <w:jc w:val="right"/>
              <w:rPr>
                <w:rFonts w:eastAsia="Times New Roman"/>
              </w:rPr>
            </w:pPr>
          </w:p>
        </w:tc>
        <w:tc>
          <w:tcPr>
            <w:tcW w:w="0" w:type="auto"/>
            <w:vAlign w:val="center"/>
            <w:hideMark/>
          </w:tcPr>
          <w:p w14:paraId="1AABFD54" w14:textId="77777777" w:rsidR="00000000" w:rsidRDefault="009B6C69">
            <w:pPr>
              <w:spacing w:after="100"/>
              <w:jc w:val="right"/>
              <w:rPr>
                <w:rFonts w:eastAsia="Times New Roman"/>
                <w:sz w:val="20"/>
                <w:szCs w:val="20"/>
              </w:rPr>
            </w:pPr>
          </w:p>
        </w:tc>
        <w:tc>
          <w:tcPr>
            <w:tcW w:w="0" w:type="auto"/>
            <w:vAlign w:val="center"/>
            <w:hideMark/>
          </w:tcPr>
          <w:p w14:paraId="53223563" w14:textId="77777777" w:rsidR="00000000" w:rsidRDefault="009B6C69">
            <w:pPr>
              <w:spacing w:after="100"/>
              <w:rPr>
                <w:rFonts w:eastAsia="Times New Roman"/>
                <w:sz w:val="20"/>
                <w:szCs w:val="20"/>
              </w:rPr>
            </w:pPr>
          </w:p>
        </w:tc>
      </w:tr>
    </w:tbl>
    <w:p w14:paraId="25A358CF" w14:textId="77777777" w:rsidR="00000000" w:rsidRDefault="009B6C69">
      <w:pPr>
        <w:divId w:val="1835994830"/>
        <w:rPr>
          <w:rFonts w:eastAsia="Times New Roman"/>
        </w:rPr>
      </w:pPr>
      <w:r>
        <w:rPr>
          <w:rFonts w:eastAsia="Times New Roman"/>
          <w:color w:val="000000"/>
          <w:sz w:val="18"/>
          <w:szCs w:val="18"/>
        </w:rPr>
        <w:t>(1) Excludes $326 million of cash and cash equivalents classified as held for sale (included in other current assets) at September 25, 2022.</w:t>
      </w:r>
    </w:p>
    <w:tbl>
      <w:tblPr>
        <w:tblW w:w="5000" w:type="pct"/>
        <w:tblCellMar>
          <w:top w:w="15" w:type="dxa"/>
          <w:left w:w="15" w:type="dxa"/>
          <w:bottom w:w="15" w:type="dxa"/>
          <w:right w:w="15" w:type="dxa"/>
        </w:tblCellMar>
        <w:tblLook w:val="04A0" w:firstRow="1" w:lastRow="0" w:firstColumn="1" w:lastColumn="0" w:noHBand="0" w:noVBand="1"/>
      </w:tblPr>
      <w:tblGrid>
        <w:gridCol w:w="39"/>
        <w:gridCol w:w="5047"/>
        <w:gridCol w:w="36"/>
        <w:gridCol w:w="110"/>
        <w:gridCol w:w="866"/>
        <w:gridCol w:w="36"/>
        <w:gridCol w:w="36"/>
        <w:gridCol w:w="36"/>
        <w:gridCol w:w="36"/>
        <w:gridCol w:w="110"/>
        <w:gridCol w:w="832"/>
        <w:gridCol w:w="36"/>
        <w:gridCol w:w="36"/>
        <w:gridCol w:w="36"/>
        <w:gridCol w:w="36"/>
        <w:gridCol w:w="110"/>
        <w:gridCol w:w="832"/>
        <w:gridCol w:w="36"/>
      </w:tblGrid>
      <w:tr w:rsidR="00000000" w14:paraId="79C6D447" w14:textId="77777777">
        <w:trPr>
          <w:divId w:val="855730841"/>
        </w:trPr>
        <w:tc>
          <w:tcPr>
            <w:tcW w:w="50" w:type="pct"/>
            <w:vAlign w:val="center"/>
            <w:hideMark/>
          </w:tcPr>
          <w:p w14:paraId="0692B10E" w14:textId="77777777" w:rsidR="00000000" w:rsidRDefault="009B6C69">
            <w:pPr>
              <w:rPr>
                <w:rFonts w:eastAsia="Times New Roman"/>
              </w:rPr>
            </w:pPr>
          </w:p>
        </w:tc>
        <w:tc>
          <w:tcPr>
            <w:tcW w:w="3062" w:type="pct"/>
            <w:vAlign w:val="center"/>
            <w:hideMark/>
          </w:tcPr>
          <w:p w14:paraId="449F0DDF" w14:textId="77777777" w:rsidR="00000000" w:rsidRDefault="009B6C69">
            <w:pPr>
              <w:spacing w:after="100"/>
              <w:rPr>
                <w:rFonts w:eastAsia="Times New Roman"/>
                <w:sz w:val="20"/>
                <w:szCs w:val="20"/>
              </w:rPr>
            </w:pPr>
          </w:p>
        </w:tc>
        <w:tc>
          <w:tcPr>
            <w:tcW w:w="5" w:type="pct"/>
            <w:vAlign w:val="center"/>
            <w:hideMark/>
          </w:tcPr>
          <w:p w14:paraId="24E40F29" w14:textId="77777777" w:rsidR="00000000" w:rsidRDefault="009B6C69">
            <w:pPr>
              <w:spacing w:after="100"/>
              <w:rPr>
                <w:rFonts w:eastAsia="Times New Roman"/>
                <w:sz w:val="20"/>
                <w:szCs w:val="20"/>
              </w:rPr>
            </w:pPr>
          </w:p>
        </w:tc>
        <w:tc>
          <w:tcPr>
            <w:tcW w:w="50" w:type="pct"/>
            <w:vAlign w:val="center"/>
            <w:hideMark/>
          </w:tcPr>
          <w:p w14:paraId="5C2667FE" w14:textId="77777777" w:rsidR="00000000" w:rsidRDefault="009B6C69">
            <w:pPr>
              <w:spacing w:after="100"/>
              <w:rPr>
                <w:rFonts w:eastAsia="Times New Roman"/>
                <w:sz w:val="20"/>
                <w:szCs w:val="20"/>
              </w:rPr>
            </w:pPr>
          </w:p>
        </w:tc>
        <w:tc>
          <w:tcPr>
            <w:tcW w:w="547" w:type="pct"/>
            <w:vAlign w:val="center"/>
            <w:hideMark/>
          </w:tcPr>
          <w:p w14:paraId="48705BC8" w14:textId="77777777" w:rsidR="00000000" w:rsidRDefault="009B6C69">
            <w:pPr>
              <w:spacing w:after="100"/>
              <w:rPr>
                <w:rFonts w:eastAsia="Times New Roman"/>
                <w:sz w:val="20"/>
                <w:szCs w:val="20"/>
              </w:rPr>
            </w:pPr>
          </w:p>
        </w:tc>
        <w:tc>
          <w:tcPr>
            <w:tcW w:w="5" w:type="pct"/>
            <w:vAlign w:val="center"/>
            <w:hideMark/>
          </w:tcPr>
          <w:p w14:paraId="197DDFB3" w14:textId="77777777" w:rsidR="00000000" w:rsidRDefault="009B6C69">
            <w:pPr>
              <w:spacing w:after="100"/>
              <w:rPr>
                <w:rFonts w:eastAsia="Times New Roman"/>
                <w:sz w:val="20"/>
                <w:szCs w:val="20"/>
              </w:rPr>
            </w:pPr>
          </w:p>
        </w:tc>
        <w:tc>
          <w:tcPr>
            <w:tcW w:w="5" w:type="pct"/>
            <w:vAlign w:val="center"/>
            <w:hideMark/>
          </w:tcPr>
          <w:p w14:paraId="0CFB99EA" w14:textId="77777777" w:rsidR="00000000" w:rsidRDefault="009B6C69">
            <w:pPr>
              <w:spacing w:after="100"/>
              <w:rPr>
                <w:rFonts w:eastAsia="Times New Roman"/>
                <w:sz w:val="20"/>
                <w:szCs w:val="20"/>
              </w:rPr>
            </w:pPr>
          </w:p>
        </w:tc>
        <w:tc>
          <w:tcPr>
            <w:tcW w:w="27" w:type="pct"/>
            <w:vAlign w:val="center"/>
            <w:hideMark/>
          </w:tcPr>
          <w:p w14:paraId="2B4C6F37" w14:textId="77777777" w:rsidR="00000000" w:rsidRDefault="009B6C69">
            <w:pPr>
              <w:spacing w:after="100"/>
              <w:rPr>
                <w:rFonts w:eastAsia="Times New Roman"/>
                <w:sz w:val="20"/>
                <w:szCs w:val="20"/>
              </w:rPr>
            </w:pPr>
          </w:p>
        </w:tc>
        <w:tc>
          <w:tcPr>
            <w:tcW w:w="5" w:type="pct"/>
            <w:vAlign w:val="center"/>
            <w:hideMark/>
          </w:tcPr>
          <w:p w14:paraId="2E535637" w14:textId="77777777" w:rsidR="00000000" w:rsidRDefault="009B6C69">
            <w:pPr>
              <w:spacing w:after="100"/>
              <w:rPr>
                <w:rFonts w:eastAsia="Times New Roman"/>
                <w:sz w:val="20"/>
                <w:szCs w:val="20"/>
              </w:rPr>
            </w:pPr>
          </w:p>
        </w:tc>
        <w:tc>
          <w:tcPr>
            <w:tcW w:w="50" w:type="pct"/>
            <w:vAlign w:val="center"/>
            <w:hideMark/>
          </w:tcPr>
          <w:p w14:paraId="4E1F4F86" w14:textId="77777777" w:rsidR="00000000" w:rsidRDefault="009B6C69">
            <w:pPr>
              <w:spacing w:after="100"/>
              <w:rPr>
                <w:rFonts w:eastAsia="Times New Roman"/>
                <w:sz w:val="20"/>
                <w:szCs w:val="20"/>
              </w:rPr>
            </w:pPr>
          </w:p>
        </w:tc>
        <w:tc>
          <w:tcPr>
            <w:tcW w:w="547" w:type="pct"/>
            <w:vAlign w:val="center"/>
            <w:hideMark/>
          </w:tcPr>
          <w:p w14:paraId="223AB5D4" w14:textId="77777777" w:rsidR="00000000" w:rsidRDefault="009B6C69">
            <w:pPr>
              <w:spacing w:after="100"/>
              <w:rPr>
                <w:rFonts w:eastAsia="Times New Roman"/>
                <w:sz w:val="20"/>
                <w:szCs w:val="20"/>
              </w:rPr>
            </w:pPr>
          </w:p>
        </w:tc>
        <w:tc>
          <w:tcPr>
            <w:tcW w:w="5" w:type="pct"/>
            <w:vAlign w:val="center"/>
            <w:hideMark/>
          </w:tcPr>
          <w:p w14:paraId="415E39F1" w14:textId="77777777" w:rsidR="00000000" w:rsidRDefault="009B6C69">
            <w:pPr>
              <w:spacing w:after="100"/>
              <w:rPr>
                <w:rFonts w:eastAsia="Times New Roman"/>
                <w:sz w:val="20"/>
                <w:szCs w:val="20"/>
              </w:rPr>
            </w:pPr>
          </w:p>
        </w:tc>
        <w:tc>
          <w:tcPr>
            <w:tcW w:w="5" w:type="pct"/>
            <w:vAlign w:val="center"/>
            <w:hideMark/>
          </w:tcPr>
          <w:p w14:paraId="56E1A7AB" w14:textId="77777777" w:rsidR="00000000" w:rsidRDefault="009B6C69">
            <w:pPr>
              <w:spacing w:after="100"/>
              <w:rPr>
                <w:rFonts w:eastAsia="Times New Roman"/>
                <w:sz w:val="20"/>
                <w:szCs w:val="20"/>
              </w:rPr>
            </w:pPr>
          </w:p>
        </w:tc>
        <w:tc>
          <w:tcPr>
            <w:tcW w:w="27" w:type="pct"/>
            <w:vAlign w:val="center"/>
            <w:hideMark/>
          </w:tcPr>
          <w:p w14:paraId="29EA3226" w14:textId="77777777" w:rsidR="00000000" w:rsidRDefault="009B6C69">
            <w:pPr>
              <w:spacing w:after="100"/>
              <w:rPr>
                <w:rFonts w:eastAsia="Times New Roman"/>
                <w:sz w:val="20"/>
                <w:szCs w:val="20"/>
              </w:rPr>
            </w:pPr>
          </w:p>
        </w:tc>
        <w:tc>
          <w:tcPr>
            <w:tcW w:w="5" w:type="pct"/>
            <w:vAlign w:val="center"/>
            <w:hideMark/>
          </w:tcPr>
          <w:p w14:paraId="1892AC48" w14:textId="77777777" w:rsidR="00000000" w:rsidRDefault="009B6C69">
            <w:pPr>
              <w:spacing w:after="100"/>
              <w:rPr>
                <w:rFonts w:eastAsia="Times New Roman"/>
                <w:sz w:val="20"/>
                <w:szCs w:val="20"/>
              </w:rPr>
            </w:pPr>
          </w:p>
        </w:tc>
        <w:tc>
          <w:tcPr>
            <w:tcW w:w="50" w:type="pct"/>
            <w:vAlign w:val="center"/>
            <w:hideMark/>
          </w:tcPr>
          <w:p w14:paraId="4DE7FCC7" w14:textId="77777777" w:rsidR="00000000" w:rsidRDefault="009B6C69">
            <w:pPr>
              <w:spacing w:after="100"/>
              <w:rPr>
                <w:rFonts w:eastAsia="Times New Roman"/>
                <w:sz w:val="20"/>
                <w:szCs w:val="20"/>
              </w:rPr>
            </w:pPr>
          </w:p>
        </w:tc>
        <w:tc>
          <w:tcPr>
            <w:tcW w:w="547" w:type="pct"/>
            <w:vAlign w:val="center"/>
            <w:hideMark/>
          </w:tcPr>
          <w:p w14:paraId="57D94817" w14:textId="77777777" w:rsidR="00000000" w:rsidRDefault="009B6C69">
            <w:pPr>
              <w:spacing w:after="100"/>
              <w:rPr>
                <w:rFonts w:eastAsia="Times New Roman"/>
                <w:sz w:val="20"/>
                <w:szCs w:val="20"/>
              </w:rPr>
            </w:pPr>
          </w:p>
        </w:tc>
        <w:tc>
          <w:tcPr>
            <w:tcW w:w="5" w:type="pct"/>
            <w:vAlign w:val="center"/>
            <w:hideMark/>
          </w:tcPr>
          <w:p w14:paraId="45AF867A" w14:textId="77777777" w:rsidR="00000000" w:rsidRDefault="009B6C69">
            <w:pPr>
              <w:spacing w:after="100"/>
              <w:rPr>
                <w:rFonts w:eastAsia="Times New Roman"/>
                <w:sz w:val="20"/>
                <w:szCs w:val="20"/>
              </w:rPr>
            </w:pPr>
          </w:p>
        </w:tc>
      </w:tr>
      <w:tr w:rsidR="00000000" w14:paraId="3FC05172" w14:textId="77777777">
        <w:trPr>
          <w:divId w:val="855730841"/>
        </w:trPr>
        <w:tc>
          <w:tcPr>
            <w:tcW w:w="0" w:type="auto"/>
            <w:gridSpan w:val="3"/>
            <w:shd w:val="clear" w:color="auto" w:fill="FFFFFF"/>
            <w:tcMar>
              <w:top w:w="0" w:type="dxa"/>
              <w:left w:w="20" w:type="dxa"/>
              <w:bottom w:w="0" w:type="dxa"/>
              <w:right w:w="20" w:type="dxa"/>
            </w:tcMar>
            <w:vAlign w:val="center"/>
            <w:hideMark/>
          </w:tcPr>
          <w:p w14:paraId="5BCA9F74" w14:textId="77777777" w:rsidR="00000000" w:rsidRDefault="009B6C69">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7540221"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gridSpan w:val="3"/>
            <w:shd w:val="clear" w:color="auto" w:fill="FFFFFF"/>
            <w:tcMar>
              <w:top w:w="0" w:type="dxa"/>
              <w:left w:w="20" w:type="dxa"/>
              <w:bottom w:w="0" w:type="dxa"/>
              <w:right w:w="20" w:type="dxa"/>
            </w:tcMar>
            <w:vAlign w:val="center"/>
            <w:hideMark/>
          </w:tcPr>
          <w:p w14:paraId="3CE26F6D"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5D96E5B"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gridSpan w:val="3"/>
            <w:shd w:val="clear" w:color="auto" w:fill="FFFFFF"/>
            <w:tcMar>
              <w:top w:w="0" w:type="dxa"/>
              <w:left w:w="20" w:type="dxa"/>
              <w:bottom w:w="0" w:type="dxa"/>
              <w:right w:w="20" w:type="dxa"/>
            </w:tcMar>
            <w:vAlign w:val="center"/>
            <w:hideMark/>
          </w:tcPr>
          <w:p w14:paraId="116B7706"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2C1CC1D" w14:textId="77777777" w:rsidR="00000000" w:rsidRDefault="009B6C69">
            <w:pPr>
              <w:spacing w:after="100"/>
              <w:jc w:val="center"/>
              <w:rPr>
                <w:rFonts w:eastAsia="Times New Roman"/>
              </w:rPr>
            </w:pPr>
            <w:r>
              <w:rPr>
                <w:rFonts w:eastAsia="Times New Roman"/>
                <w:b/>
                <w:bCs/>
                <w:color w:val="000000"/>
                <w:sz w:val="18"/>
                <w:szCs w:val="18"/>
              </w:rPr>
              <w:t>Change</w:t>
            </w:r>
          </w:p>
        </w:tc>
      </w:tr>
      <w:tr w:rsidR="00000000" w14:paraId="0A99A8E9" w14:textId="77777777">
        <w:trPr>
          <w:divId w:val="855730841"/>
        </w:trPr>
        <w:tc>
          <w:tcPr>
            <w:tcW w:w="0" w:type="auto"/>
            <w:gridSpan w:val="3"/>
            <w:shd w:val="clear" w:color="auto" w:fill="CCEEFF"/>
            <w:tcMar>
              <w:top w:w="30" w:type="dxa"/>
              <w:left w:w="20" w:type="dxa"/>
              <w:bottom w:w="30" w:type="dxa"/>
              <w:right w:w="20" w:type="dxa"/>
            </w:tcMar>
            <w:vAlign w:val="bottom"/>
            <w:hideMark/>
          </w:tcPr>
          <w:p w14:paraId="5001653E" w14:textId="77777777" w:rsidR="00000000" w:rsidRDefault="009B6C69">
            <w:pPr>
              <w:spacing w:after="100"/>
              <w:rPr>
                <w:rFonts w:eastAsia="Times New Roman"/>
              </w:rPr>
            </w:pPr>
            <w:r>
              <w:rPr>
                <w:rFonts w:eastAsia="Times New Roman"/>
                <w:color w:val="000000"/>
                <w:sz w:val="18"/>
                <w:szCs w:val="18"/>
              </w:rPr>
              <w:t>Net cash provided by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95EBC4"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829BC9" w14:textId="77777777" w:rsidR="00000000" w:rsidRDefault="009B6C69">
            <w:pPr>
              <w:spacing w:after="100"/>
              <w:jc w:val="right"/>
              <w:rPr>
                <w:rFonts w:eastAsia="Times New Roman"/>
              </w:rPr>
            </w:pPr>
            <w:r>
              <w:rPr>
                <w:rFonts w:eastAsia="Times New Roman"/>
                <w:color w:val="000000"/>
                <w:sz w:val="18"/>
                <w:szCs w:val="18"/>
              </w:rPr>
              <w:t>9,096 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9F693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93BB0B"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7B75F5"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68ED22" w14:textId="77777777" w:rsidR="00000000" w:rsidRDefault="009B6C69">
            <w:pPr>
              <w:spacing w:after="100"/>
              <w:jc w:val="right"/>
              <w:rPr>
                <w:rFonts w:eastAsia="Times New Roman"/>
              </w:rPr>
            </w:pPr>
            <w:r>
              <w:rPr>
                <w:rFonts w:eastAsia="Times New Roman"/>
                <w:color w:val="000000"/>
                <w:sz w:val="18"/>
                <w:szCs w:val="18"/>
              </w:rPr>
              <w:t>10,536 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5DDC8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E1590C"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21E877"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E00589" w14:textId="77777777" w:rsidR="00000000" w:rsidRDefault="009B6C69">
            <w:pPr>
              <w:spacing w:after="100"/>
              <w:jc w:val="right"/>
              <w:rPr>
                <w:rFonts w:eastAsia="Times New Roman"/>
              </w:rPr>
            </w:pPr>
            <w:r>
              <w:rPr>
                <w:rFonts w:eastAsia="Times New Roman"/>
                <w:color w:val="000000"/>
                <w:sz w:val="18"/>
                <w:szCs w:val="18"/>
              </w:rPr>
              <w:t>(1,440)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410640" w14:textId="77777777" w:rsidR="00000000" w:rsidRDefault="009B6C69">
            <w:pPr>
              <w:spacing w:after="100"/>
              <w:jc w:val="right"/>
              <w:rPr>
                <w:rFonts w:eastAsia="Times New Roman"/>
              </w:rPr>
            </w:pPr>
          </w:p>
        </w:tc>
      </w:tr>
      <w:tr w:rsidR="00000000" w14:paraId="7CA9DBC6" w14:textId="77777777">
        <w:trPr>
          <w:divId w:val="855730841"/>
        </w:trPr>
        <w:tc>
          <w:tcPr>
            <w:tcW w:w="0" w:type="auto"/>
            <w:gridSpan w:val="3"/>
            <w:shd w:val="clear" w:color="auto" w:fill="FFFFFF"/>
            <w:tcMar>
              <w:top w:w="30" w:type="dxa"/>
              <w:left w:w="20" w:type="dxa"/>
              <w:bottom w:w="30" w:type="dxa"/>
              <w:right w:w="20" w:type="dxa"/>
            </w:tcMar>
            <w:vAlign w:val="bottom"/>
            <w:hideMark/>
          </w:tcPr>
          <w:p w14:paraId="43F19616" w14:textId="77777777" w:rsidR="00000000" w:rsidRDefault="009B6C69">
            <w:pPr>
              <w:spacing w:after="100"/>
              <w:rPr>
                <w:rFonts w:eastAsia="Times New Roman"/>
              </w:rPr>
            </w:pPr>
            <w:r>
              <w:rPr>
                <w:rFonts w:eastAsia="Times New Roman"/>
                <w:color w:val="000000"/>
                <w:sz w:val="18"/>
                <w:szCs w:val="18"/>
              </w:rPr>
              <w:t>Net cash used by investing activities</w:t>
            </w:r>
          </w:p>
        </w:tc>
        <w:tc>
          <w:tcPr>
            <w:tcW w:w="0" w:type="auto"/>
            <w:gridSpan w:val="2"/>
            <w:shd w:val="clear" w:color="auto" w:fill="FFFFFF"/>
            <w:tcMar>
              <w:top w:w="30" w:type="dxa"/>
              <w:left w:w="20" w:type="dxa"/>
              <w:bottom w:w="30" w:type="dxa"/>
              <w:right w:w="0" w:type="dxa"/>
            </w:tcMar>
            <w:vAlign w:val="bottom"/>
            <w:hideMark/>
          </w:tcPr>
          <w:p w14:paraId="2617A09C" w14:textId="77777777" w:rsidR="00000000" w:rsidRDefault="009B6C69">
            <w:pPr>
              <w:spacing w:after="100"/>
              <w:jc w:val="right"/>
              <w:rPr>
                <w:rFonts w:eastAsia="Times New Roman"/>
              </w:rPr>
            </w:pPr>
            <w:r>
              <w:rPr>
                <w:rFonts w:eastAsia="Times New Roman"/>
                <w:color w:val="000000"/>
                <w:sz w:val="18"/>
                <w:szCs w:val="18"/>
              </w:rPr>
              <w:t>(5,804)</w:t>
            </w:r>
          </w:p>
        </w:tc>
        <w:tc>
          <w:tcPr>
            <w:tcW w:w="0" w:type="auto"/>
            <w:shd w:val="clear" w:color="auto" w:fill="FFFFFF"/>
            <w:tcMar>
              <w:top w:w="30" w:type="dxa"/>
              <w:left w:w="0" w:type="dxa"/>
              <w:bottom w:w="30" w:type="dxa"/>
              <w:right w:w="20" w:type="dxa"/>
            </w:tcMar>
            <w:vAlign w:val="bottom"/>
            <w:hideMark/>
          </w:tcPr>
          <w:p w14:paraId="7379599C"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6FA6D1"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5F5E32" w14:textId="77777777" w:rsidR="00000000" w:rsidRDefault="009B6C69">
            <w:pPr>
              <w:spacing w:after="100"/>
              <w:jc w:val="right"/>
              <w:rPr>
                <w:rFonts w:eastAsia="Times New Roman"/>
              </w:rPr>
            </w:pPr>
            <w:r>
              <w:rPr>
                <w:rFonts w:eastAsia="Times New Roman"/>
                <w:color w:val="000000"/>
                <w:sz w:val="18"/>
                <w:szCs w:val="18"/>
              </w:rPr>
              <w:t>(3,356)</w:t>
            </w:r>
          </w:p>
        </w:tc>
        <w:tc>
          <w:tcPr>
            <w:tcW w:w="0" w:type="auto"/>
            <w:shd w:val="clear" w:color="auto" w:fill="FFFFFF"/>
            <w:tcMar>
              <w:top w:w="30" w:type="dxa"/>
              <w:left w:w="0" w:type="dxa"/>
              <w:bottom w:w="30" w:type="dxa"/>
              <w:right w:w="20" w:type="dxa"/>
            </w:tcMar>
            <w:vAlign w:val="bottom"/>
            <w:hideMark/>
          </w:tcPr>
          <w:p w14:paraId="7CAD5577"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B4A401"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0471E2" w14:textId="77777777" w:rsidR="00000000" w:rsidRDefault="009B6C69">
            <w:pPr>
              <w:spacing w:after="100"/>
              <w:jc w:val="right"/>
              <w:rPr>
                <w:rFonts w:eastAsia="Times New Roman"/>
              </w:rPr>
            </w:pPr>
            <w:r>
              <w:rPr>
                <w:rFonts w:eastAsia="Times New Roman"/>
                <w:color w:val="000000"/>
                <w:sz w:val="18"/>
                <w:szCs w:val="18"/>
              </w:rPr>
              <w:t>(2,448)</w:t>
            </w:r>
          </w:p>
        </w:tc>
        <w:tc>
          <w:tcPr>
            <w:tcW w:w="0" w:type="auto"/>
            <w:shd w:val="clear" w:color="auto" w:fill="FFFFFF"/>
            <w:tcMar>
              <w:top w:w="30" w:type="dxa"/>
              <w:left w:w="0" w:type="dxa"/>
              <w:bottom w:w="30" w:type="dxa"/>
              <w:right w:w="20" w:type="dxa"/>
            </w:tcMar>
            <w:vAlign w:val="bottom"/>
            <w:hideMark/>
          </w:tcPr>
          <w:p w14:paraId="3E91DBCB" w14:textId="77777777" w:rsidR="00000000" w:rsidRDefault="009B6C69">
            <w:pPr>
              <w:spacing w:after="100"/>
              <w:jc w:val="right"/>
              <w:rPr>
                <w:rFonts w:eastAsia="Times New Roman"/>
              </w:rPr>
            </w:pPr>
          </w:p>
        </w:tc>
      </w:tr>
      <w:tr w:rsidR="00000000" w14:paraId="3D37DBE2" w14:textId="77777777">
        <w:trPr>
          <w:divId w:val="855730841"/>
        </w:trPr>
        <w:tc>
          <w:tcPr>
            <w:tcW w:w="0" w:type="auto"/>
            <w:gridSpan w:val="3"/>
            <w:shd w:val="clear" w:color="auto" w:fill="CCEEFF"/>
            <w:tcMar>
              <w:top w:w="30" w:type="dxa"/>
              <w:left w:w="20" w:type="dxa"/>
              <w:bottom w:w="30" w:type="dxa"/>
              <w:right w:w="20" w:type="dxa"/>
            </w:tcMar>
            <w:vAlign w:val="bottom"/>
            <w:hideMark/>
          </w:tcPr>
          <w:p w14:paraId="1B6143C0" w14:textId="77777777" w:rsidR="00000000" w:rsidRDefault="009B6C69">
            <w:pPr>
              <w:spacing w:after="100"/>
              <w:rPr>
                <w:rFonts w:eastAsia="Times New Roman"/>
              </w:rPr>
            </w:pPr>
            <w:r>
              <w:rPr>
                <w:rFonts w:eastAsia="Times New Roman"/>
                <w:color w:val="000000"/>
                <w:sz w:val="18"/>
                <w:szCs w:val="18"/>
              </w:rPr>
              <w:t>Net cash used by financing activities</w:t>
            </w:r>
          </w:p>
        </w:tc>
        <w:tc>
          <w:tcPr>
            <w:tcW w:w="0" w:type="auto"/>
            <w:gridSpan w:val="2"/>
            <w:shd w:val="clear" w:color="auto" w:fill="CCEEFF"/>
            <w:tcMar>
              <w:top w:w="30" w:type="dxa"/>
              <w:left w:w="20" w:type="dxa"/>
              <w:bottom w:w="30" w:type="dxa"/>
              <w:right w:w="0" w:type="dxa"/>
            </w:tcMar>
            <w:vAlign w:val="bottom"/>
            <w:hideMark/>
          </w:tcPr>
          <w:p w14:paraId="7D70EA4C" w14:textId="77777777" w:rsidR="00000000" w:rsidRDefault="009B6C69">
            <w:pPr>
              <w:spacing w:after="100"/>
              <w:jc w:val="right"/>
              <w:rPr>
                <w:rFonts w:eastAsia="Times New Roman"/>
              </w:rPr>
            </w:pPr>
            <w:r>
              <w:rPr>
                <w:rFonts w:eastAsia="Times New Roman"/>
                <w:color w:val="000000"/>
                <w:sz w:val="18"/>
                <w:szCs w:val="18"/>
              </w:rPr>
              <w:t>(7,196)</w:t>
            </w:r>
          </w:p>
        </w:tc>
        <w:tc>
          <w:tcPr>
            <w:tcW w:w="0" w:type="auto"/>
            <w:shd w:val="clear" w:color="auto" w:fill="CCEEFF"/>
            <w:tcMar>
              <w:top w:w="30" w:type="dxa"/>
              <w:left w:w="0" w:type="dxa"/>
              <w:bottom w:w="30" w:type="dxa"/>
              <w:right w:w="20" w:type="dxa"/>
            </w:tcMar>
            <w:vAlign w:val="bottom"/>
            <w:hideMark/>
          </w:tcPr>
          <w:p w14:paraId="6FD965BC"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20CE85"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9F631D" w14:textId="77777777" w:rsidR="00000000" w:rsidRDefault="009B6C69">
            <w:pPr>
              <w:spacing w:after="100"/>
              <w:jc w:val="right"/>
              <w:rPr>
                <w:rFonts w:eastAsia="Times New Roman"/>
              </w:rPr>
            </w:pPr>
            <w:r>
              <w:rPr>
                <w:rFonts w:eastAsia="Times New Roman"/>
                <w:color w:val="000000"/>
                <w:sz w:val="18"/>
                <w:szCs w:val="18"/>
              </w:rPr>
              <w:t>(6,798)</w:t>
            </w:r>
          </w:p>
        </w:tc>
        <w:tc>
          <w:tcPr>
            <w:tcW w:w="0" w:type="auto"/>
            <w:shd w:val="clear" w:color="auto" w:fill="CCEEFF"/>
            <w:tcMar>
              <w:top w:w="30" w:type="dxa"/>
              <w:left w:w="0" w:type="dxa"/>
              <w:bottom w:w="30" w:type="dxa"/>
              <w:right w:w="20" w:type="dxa"/>
            </w:tcMar>
            <w:vAlign w:val="bottom"/>
            <w:hideMark/>
          </w:tcPr>
          <w:p w14:paraId="60AA1C1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056770"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5E2AE6" w14:textId="77777777" w:rsidR="00000000" w:rsidRDefault="009B6C69">
            <w:pPr>
              <w:spacing w:after="100"/>
              <w:jc w:val="right"/>
              <w:rPr>
                <w:rFonts w:eastAsia="Times New Roman"/>
              </w:rPr>
            </w:pPr>
            <w:r>
              <w:rPr>
                <w:rFonts w:eastAsia="Times New Roman"/>
                <w:color w:val="000000"/>
                <w:sz w:val="18"/>
                <w:szCs w:val="18"/>
              </w:rPr>
              <w:t>(398)</w:t>
            </w:r>
          </w:p>
        </w:tc>
        <w:tc>
          <w:tcPr>
            <w:tcW w:w="0" w:type="auto"/>
            <w:shd w:val="clear" w:color="auto" w:fill="CCEEFF"/>
            <w:tcMar>
              <w:top w:w="30" w:type="dxa"/>
              <w:left w:w="0" w:type="dxa"/>
              <w:bottom w:w="30" w:type="dxa"/>
              <w:right w:w="20" w:type="dxa"/>
            </w:tcMar>
            <w:vAlign w:val="bottom"/>
            <w:hideMark/>
          </w:tcPr>
          <w:p w14:paraId="3AA09318" w14:textId="77777777" w:rsidR="00000000" w:rsidRDefault="009B6C69">
            <w:pPr>
              <w:spacing w:after="100"/>
              <w:jc w:val="right"/>
              <w:rPr>
                <w:rFonts w:eastAsia="Times New Roman"/>
              </w:rPr>
            </w:pPr>
          </w:p>
        </w:tc>
      </w:tr>
    </w:tbl>
    <w:p w14:paraId="22FB309D" w14:textId="77777777" w:rsidR="00000000" w:rsidRDefault="009B6C69">
      <w:pPr>
        <w:ind w:firstLine="360"/>
        <w:divId w:val="599218278"/>
        <w:rPr>
          <w:rFonts w:eastAsia="Times New Roman"/>
        </w:rPr>
      </w:pPr>
      <w:r>
        <w:rPr>
          <w:rFonts w:eastAsia="Times New Roman"/>
          <w:b/>
          <w:bCs/>
          <w:i/>
          <w:iCs/>
          <w:color w:val="000000"/>
          <w:sz w:val="20"/>
          <w:szCs w:val="20"/>
        </w:rPr>
        <w:t xml:space="preserve">Cash, cash equivalents and marketable securities. </w:t>
      </w:r>
      <w:r>
        <w:rPr>
          <w:rFonts w:eastAsia="Times New Roman"/>
          <w:color w:val="000000"/>
          <w:sz w:val="20"/>
          <w:szCs w:val="20"/>
        </w:rPr>
        <w:t>The net decrease in cash, cash equivalents and marketable securities was primarily due to $4.9 billion in cash paid for acquisitions and other investments, net of cash acquired (primarily related to Veoneer), $3.2 billion in cash dividends paid, $3.1 billi</w:t>
      </w:r>
      <w:r>
        <w:rPr>
          <w:rFonts w:eastAsia="Times New Roman"/>
          <w:color w:val="000000"/>
          <w:sz w:val="20"/>
          <w:szCs w:val="20"/>
        </w:rPr>
        <w:t>on in payments to repurchase shares of our common stock, $2.3 billion in capital expenditures and $766 million in payments of tax withholdings related to vesting of share-based awards. This was partially offset by net cash provided by operating activities,</w:t>
      </w:r>
      <w:r>
        <w:rPr>
          <w:rFonts w:eastAsia="Times New Roman"/>
          <w:color w:val="000000"/>
          <w:sz w:val="20"/>
          <w:szCs w:val="20"/>
        </w:rPr>
        <w:t xml:space="preserve"> which was negatively impacted by advanced payments of $2.3 billion made to suppliers of our integrated circuit products under multi-year capacity commitments (which were included within other current assets and other assets), as well as $4.5 billion of ne</w:t>
      </w:r>
      <w:r>
        <w:rPr>
          <w:rFonts w:eastAsia="Times New Roman"/>
          <w:color w:val="000000"/>
          <w:sz w:val="20"/>
          <w:szCs w:val="20"/>
        </w:rPr>
        <w:t>t changes in other operating assets and liabilities (excluding the reversal of the 2018 EC fine), primarily consisting of increased working capital requirements, including higher inventory and related operating liabilities and an increase in accounts recei</w:t>
      </w:r>
      <w:r>
        <w:rPr>
          <w:rFonts w:eastAsia="Times New Roman"/>
          <w:color w:val="000000"/>
          <w:sz w:val="20"/>
          <w:szCs w:val="20"/>
        </w:rPr>
        <w:t>vable as a result of higher revenues combined with the timing of integrated circuit shipments during the period (net of an increase in amounts accrued for customer incentive arrangements recorded as a reduction to accounts receivable). We may continue to s</w:t>
      </w:r>
      <w:r>
        <w:rPr>
          <w:rFonts w:eastAsia="Times New Roman"/>
          <w:color w:val="000000"/>
          <w:sz w:val="20"/>
          <w:szCs w:val="20"/>
        </w:rPr>
        <w:t>ee elevated working capital requirements in the near term.</w:t>
      </w:r>
    </w:p>
    <w:p w14:paraId="1984C3C4" w14:textId="77777777" w:rsidR="00000000" w:rsidRDefault="009B6C69">
      <w:pPr>
        <w:ind w:firstLine="360"/>
        <w:divId w:val="1759598851"/>
        <w:rPr>
          <w:rFonts w:eastAsia="Times New Roman"/>
        </w:rPr>
      </w:pPr>
      <w:r>
        <w:rPr>
          <w:rFonts w:eastAsia="Times New Roman"/>
          <w:b/>
          <w:bCs/>
          <w:i/>
          <w:iCs/>
          <w:color w:val="000000"/>
          <w:sz w:val="20"/>
          <w:szCs w:val="20"/>
        </w:rPr>
        <w:t>Debt.</w:t>
      </w:r>
      <w:r>
        <w:rPr>
          <w:rFonts w:eastAsia="Times New Roman"/>
          <w:color w:val="000000"/>
          <w:sz w:val="20"/>
          <w:szCs w:val="20"/>
        </w:rPr>
        <w:t xml:space="preserve"> </w:t>
      </w:r>
      <w:r>
        <w:rPr>
          <w:rFonts w:eastAsia="Times New Roman"/>
          <w:color w:val="000000"/>
          <w:sz w:val="20"/>
          <w:szCs w:val="20"/>
        </w:rPr>
        <w:t xml:space="preserve">In May 2022, we issued an aggregate principal amount of $1.5 billion of unsecured fixed-rate notes with varying maturities. The net proceeds, together with cash on hand, were used to repay $1.5 billion of fixed-rate notes that matured in May 2022. </w:t>
      </w:r>
      <w:r>
        <w:rPr>
          <w:rFonts w:eastAsia="Times New Roman"/>
          <w:color w:val="212529"/>
          <w:sz w:val="20"/>
          <w:szCs w:val="20"/>
        </w:rPr>
        <w:t>At Septe</w:t>
      </w:r>
      <w:r>
        <w:rPr>
          <w:rFonts w:eastAsia="Times New Roman"/>
          <w:color w:val="212529"/>
          <w:sz w:val="20"/>
          <w:szCs w:val="20"/>
        </w:rPr>
        <w:t>mber 25, 2022</w:t>
      </w:r>
      <w:r>
        <w:rPr>
          <w:rFonts w:eastAsia="Times New Roman"/>
          <w:color w:val="000000"/>
          <w:sz w:val="20"/>
          <w:szCs w:val="20"/>
        </w:rPr>
        <w:t>, we had $15.4 billion of principal floating- and fixed-rate notes outstanding, $1.4 billion of which matures in January 2023. The remaining debt has maturity dates in 2024 through 2052.</w:t>
      </w:r>
    </w:p>
    <w:p w14:paraId="1556E9AF" w14:textId="77777777" w:rsidR="00000000" w:rsidRDefault="009B6C69">
      <w:pPr>
        <w:ind w:firstLine="360"/>
        <w:divId w:val="1701080835"/>
        <w:rPr>
          <w:rFonts w:eastAsia="Times New Roman"/>
        </w:rPr>
      </w:pPr>
      <w:r>
        <w:rPr>
          <w:rFonts w:eastAsia="Times New Roman"/>
          <w:color w:val="000000"/>
          <w:sz w:val="20"/>
          <w:szCs w:val="20"/>
        </w:rPr>
        <w:t>We have an unsecured commercial paper program, which pro</w:t>
      </w:r>
      <w:r>
        <w:rPr>
          <w:rFonts w:eastAsia="Times New Roman"/>
          <w:color w:val="000000"/>
          <w:sz w:val="20"/>
          <w:szCs w:val="20"/>
        </w:rPr>
        <w:t xml:space="preserve">vides for the issuance of up to $4.5 billion of commercial paper. Net proceeds from this program are used for general corporate purposes. At </w:t>
      </w:r>
      <w:r>
        <w:rPr>
          <w:rFonts w:eastAsia="Times New Roman"/>
          <w:color w:val="212529"/>
          <w:sz w:val="20"/>
          <w:szCs w:val="20"/>
        </w:rPr>
        <w:t>September 25, 2022</w:t>
      </w:r>
      <w:r>
        <w:rPr>
          <w:rFonts w:eastAsia="Times New Roman"/>
          <w:color w:val="000000"/>
          <w:sz w:val="20"/>
          <w:szCs w:val="20"/>
        </w:rPr>
        <w:t>, we had $499 million of commercial paper outstanding.</w:t>
      </w:r>
    </w:p>
    <w:p w14:paraId="424F89E2" w14:textId="77777777" w:rsidR="00000000" w:rsidRDefault="009B6C69">
      <w:pPr>
        <w:ind w:firstLine="360"/>
        <w:divId w:val="2081059037"/>
        <w:rPr>
          <w:rFonts w:eastAsia="Times New Roman"/>
        </w:rPr>
      </w:pPr>
      <w:r>
        <w:rPr>
          <w:rFonts w:eastAsia="Times New Roman"/>
          <w:color w:val="000000"/>
          <w:sz w:val="20"/>
          <w:szCs w:val="20"/>
        </w:rPr>
        <w:t xml:space="preserve">We also have a Revolving Credit Facility, </w:t>
      </w:r>
      <w:r>
        <w:rPr>
          <w:rFonts w:eastAsia="Times New Roman"/>
          <w:color w:val="000000"/>
          <w:sz w:val="20"/>
          <w:szCs w:val="20"/>
        </w:rPr>
        <w:t xml:space="preserve">which provides for unsecured revolving facility loans, swing line loans and letters of credit in an aggregate amount of up to $4.5 billion, which expires on December 8, 2025. At </w:t>
      </w:r>
      <w:r>
        <w:rPr>
          <w:rFonts w:eastAsia="Times New Roman"/>
          <w:color w:val="212529"/>
          <w:sz w:val="20"/>
          <w:szCs w:val="20"/>
        </w:rPr>
        <w:t>September 25, 2022</w:t>
      </w:r>
      <w:r>
        <w:rPr>
          <w:rFonts w:eastAsia="Times New Roman"/>
          <w:color w:val="000000"/>
          <w:sz w:val="20"/>
          <w:szCs w:val="20"/>
        </w:rPr>
        <w:t>, no amounts were outstanding under the Revolving Credit Fac</w:t>
      </w:r>
      <w:r>
        <w:rPr>
          <w:rFonts w:eastAsia="Times New Roman"/>
          <w:color w:val="000000"/>
          <w:sz w:val="20"/>
          <w:szCs w:val="20"/>
        </w:rPr>
        <w:t xml:space="preserve">ility. </w:t>
      </w:r>
    </w:p>
    <w:p w14:paraId="00697C7F" w14:textId="77777777" w:rsidR="00000000" w:rsidRDefault="009B6C69">
      <w:pPr>
        <w:ind w:firstLine="360"/>
        <w:divId w:val="148717511"/>
        <w:rPr>
          <w:rFonts w:eastAsia="Times New Roman"/>
        </w:rPr>
      </w:pPr>
      <w:r>
        <w:rPr>
          <w:rFonts w:eastAsia="Times New Roman"/>
          <w:color w:val="000000"/>
          <w:sz w:val="20"/>
          <w:szCs w:val="20"/>
        </w:rPr>
        <w:t>We expect to issue new debt in the future. The amount and timing of any such new debt will depend on a number of factors, including but not limited to maturities of our existing debt, acquisitions and strategic investments, favorable and/or accepta</w:t>
      </w:r>
      <w:r>
        <w:rPr>
          <w:rFonts w:eastAsia="Times New Roman"/>
          <w:color w:val="000000"/>
          <w:sz w:val="20"/>
          <w:szCs w:val="20"/>
        </w:rPr>
        <w:t xml:space="preserve">ble interest rates and changes in corporate income tax law. Additional information regarding our outstanding debt at </w:t>
      </w:r>
      <w:r>
        <w:rPr>
          <w:rFonts w:eastAsia="Times New Roman"/>
          <w:color w:val="212529"/>
          <w:sz w:val="20"/>
          <w:szCs w:val="20"/>
        </w:rPr>
        <w:t>September 25, 2022</w:t>
      </w:r>
      <w:r>
        <w:rPr>
          <w:rFonts w:eastAsia="Times New Roman"/>
          <w:color w:val="000000"/>
          <w:sz w:val="20"/>
          <w:szCs w:val="20"/>
        </w:rPr>
        <w:t xml:space="preserve"> is provided in this Annual Report in “Notes to Consolidated Financial Statements, Note 6. Debt.” </w:t>
      </w:r>
    </w:p>
    <w:p w14:paraId="69D9BBFF" w14:textId="77777777" w:rsidR="00000000" w:rsidRDefault="009B6C69">
      <w:pPr>
        <w:ind w:firstLine="360"/>
        <w:divId w:val="1660231579"/>
        <w:rPr>
          <w:rFonts w:eastAsia="Times New Roman"/>
        </w:rPr>
      </w:pPr>
      <w:r>
        <w:rPr>
          <w:rFonts w:eastAsia="Times New Roman"/>
          <w:b/>
          <w:bCs/>
          <w:i/>
          <w:iCs/>
          <w:color w:val="000000"/>
          <w:sz w:val="20"/>
          <w:szCs w:val="20"/>
        </w:rPr>
        <w:t>Income Taxes.</w:t>
      </w:r>
      <w:r>
        <w:rPr>
          <w:rFonts w:eastAsia="Times New Roman"/>
          <w:color w:val="000000"/>
          <w:sz w:val="20"/>
          <w:szCs w:val="20"/>
        </w:rPr>
        <w:t xml:space="preserve"> At </w:t>
      </w:r>
      <w:r>
        <w:rPr>
          <w:rFonts w:eastAsia="Times New Roman"/>
          <w:color w:val="212529"/>
          <w:sz w:val="20"/>
          <w:szCs w:val="20"/>
        </w:rPr>
        <w:t>Septe</w:t>
      </w:r>
      <w:r>
        <w:rPr>
          <w:rFonts w:eastAsia="Times New Roman"/>
          <w:color w:val="212529"/>
          <w:sz w:val="20"/>
          <w:szCs w:val="20"/>
        </w:rPr>
        <w:t>mber 25, 2022</w:t>
      </w:r>
      <w:r>
        <w:rPr>
          <w:rFonts w:eastAsia="Times New Roman"/>
          <w:color w:val="000000"/>
          <w:sz w:val="20"/>
          <w:szCs w:val="20"/>
        </w:rPr>
        <w:t xml:space="preserve">, we estimated remaining future payments of $1.7 billion for a one-time U.S. repatriation tax accrued in fiscal 2018, after application of certain tax credits, which is payable in installments over the next four years. At </w:t>
      </w:r>
      <w:r>
        <w:rPr>
          <w:rFonts w:eastAsia="Times New Roman"/>
          <w:color w:val="212529"/>
          <w:sz w:val="20"/>
          <w:szCs w:val="20"/>
        </w:rPr>
        <w:t>September 25, 2022</w:t>
      </w:r>
      <w:r>
        <w:rPr>
          <w:rFonts w:eastAsia="Times New Roman"/>
          <w:color w:val="000000"/>
          <w:sz w:val="20"/>
          <w:szCs w:val="20"/>
        </w:rPr>
        <w:t>, o</w:t>
      </w:r>
      <w:r>
        <w:rPr>
          <w:rFonts w:eastAsia="Times New Roman"/>
          <w:color w:val="000000"/>
          <w:sz w:val="20"/>
          <w:szCs w:val="20"/>
        </w:rPr>
        <w:t xml:space="preserve">ther current liabilities included $207 million for the next installment due in January 2023. Beginning in fiscal 2023, we are required to capitalize and amortize research and development expenditures for federal income tax purposes. If this requirement is </w:t>
      </w:r>
      <w:r>
        <w:rPr>
          <w:rFonts w:eastAsia="Times New Roman"/>
          <w:color w:val="000000"/>
          <w:sz w:val="20"/>
          <w:szCs w:val="20"/>
        </w:rPr>
        <w:t>not delayed or repealed, our cash flow generated from operations will be adversely affected due to significantly higher cash tax payments in the near term. Additional information regarding our income taxes is provided in this Annual Report in “Notes to Con</w:t>
      </w:r>
      <w:r>
        <w:rPr>
          <w:rFonts w:eastAsia="Times New Roman"/>
          <w:color w:val="000000"/>
          <w:sz w:val="20"/>
          <w:szCs w:val="20"/>
        </w:rPr>
        <w:t>solidated Financial Statements, Note 3. Income Taxes.”</w:t>
      </w:r>
    </w:p>
    <w:p w14:paraId="610E17C1" w14:textId="77777777" w:rsidR="00000000" w:rsidRDefault="009B6C69">
      <w:pPr>
        <w:jc w:val="center"/>
        <w:divId w:val="280503326"/>
        <w:rPr>
          <w:rFonts w:eastAsia="Times New Roman"/>
        </w:rPr>
      </w:pPr>
      <w:r>
        <w:rPr>
          <w:rFonts w:eastAsia="Times New Roman"/>
          <w:color w:val="000000"/>
          <w:sz w:val="20"/>
          <w:szCs w:val="20"/>
        </w:rPr>
        <w:t>45</w:t>
      </w:r>
    </w:p>
    <w:p w14:paraId="74B22179" w14:textId="77777777" w:rsidR="00000000" w:rsidRDefault="009B6C69">
      <w:pPr>
        <w:rPr>
          <w:rFonts w:eastAsia="Times New Roman"/>
        </w:rPr>
      </w:pPr>
      <w:r>
        <w:rPr>
          <w:rFonts w:eastAsia="Times New Roman"/>
        </w:rPr>
        <w:pict w14:anchorId="0CFBEF26">
          <v:rect id="_x0000_i1069" style="width:0;height:1.5pt" o:hralign="center" o:hrstd="t" o:hr="t" fillcolor="#a0a0a0" stroked="f"/>
        </w:pict>
      </w:r>
    </w:p>
    <w:p w14:paraId="70BB2168" w14:textId="77777777" w:rsidR="00000000" w:rsidRDefault="009B6C69">
      <w:pPr>
        <w:divId w:val="1868177395"/>
        <w:rPr>
          <w:rFonts w:eastAsia="Times New Roman"/>
        </w:rPr>
      </w:pPr>
    </w:p>
    <w:p w14:paraId="55FD75C3" w14:textId="77777777" w:rsidR="00000000" w:rsidRDefault="009B6C69">
      <w:pPr>
        <w:ind w:firstLine="360"/>
        <w:divId w:val="1266038980"/>
        <w:rPr>
          <w:rFonts w:eastAsia="Times New Roman"/>
        </w:rPr>
      </w:pPr>
      <w:r>
        <w:rPr>
          <w:rFonts w:eastAsia="Times New Roman"/>
          <w:b/>
          <w:bCs/>
          <w:i/>
          <w:iCs/>
          <w:color w:val="000000"/>
          <w:sz w:val="20"/>
          <w:szCs w:val="20"/>
        </w:rPr>
        <w:t xml:space="preserve">Capital Return Program. </w:t>
      </w:r>
      <w:r>
        <w:rPr>
          <w:rFonts w:eastAsia="Times New Roman"/>
          <w:color w:val="000000"/>
          <w:sz w:val="20"/>
          <w:szCs w:val="20"/>
        </w:rPr>
        <w:t>The following table summarizes stock repurchases, before commissions, and dividends paid during fiscal 2022 and 2021 (in millions, excep</w:t>
      </w:r>
      <w:r>
        <w:rPr>
          <w:rFonts w:eastAsia="Times New Roman"/>
          <w:color w:val="000000"/>
          <w:sz w:val="20"/>
          <w:szCs w:val="20"/>
        </w:rPr>
        <w:t>t per-share amounts):</w:t>
      </w:r>
    </w:p>
    <w:tbl>
      <w:tblPr>
        <w:tblW w:w="4970" w:type="pct"/>
        <w:tblCellMar>
          <w:top w:w="15" w:type="dxa"/>
          <w:left w:w="15" w:type="dxa"/>
          <w:bottom w:w="15" w:type="dxa"/>
          <w:right w:w="15" w:type="dxa"/>
        </w:tblCellMar>
        <w:tblLook w:val="04A0" w:firstRow="1" w:lastRow="0" w:firstColumn="1" w:lastColumn="0" w:noHBand="0" w:noVBand="1"/>
      </w:tblPr>
      <w:tblGrid>
        <w:gridCol w:w="38"/>
        <w:gridCol w:w="2090"/>
        <w:gridCol w:w="36"/>
        <w:gridCol w:w="36"/>
        <w:gridCol w:w="36"/>
        <w:gridCol w:w="36"/>
        <w:gridCol w:w="52"/>
        <w:gridCol w:w="716"/>
        <w:gridCol w:w="36"/>
        <w:gridCol w:w="36"/>
        <w:gridCol w:w="36"/>
        <w:gridCol w:w="36"/>
        <w:gridCol w:w="110"/>
        <w:gridCol w:w="979"/>
        <w:gridCol w:w="36"/>
        <w:gridCol w:w="36"/>
        <w:gridCol w:w="36"/>
        <w:gridCol w:w="36"/>
        <w:gridCol w:w="111"/>
        <w:gridCol w:w="731"/>
        <w:gridCol w:w="37"/>
        <w:gridCol w:w="36"/>
        <w:gridCol w:w="36"/>
        <w:gridCol w:w="36"/>
        <w:gridCol w:w="110"/>
        <w:gridCol w:w="732"/>
        <w:gridCol w:w="36"/>
        <w:gridCol w:w="36"/>
        <w:gridCol w:w="36"/>
        <w:gridCol w:w="36"/>
        <w:gridCol w:w="111"/>
        <w:gridCol w:w="732"/>
        <w:gridCol w:w="36"/>
        <w:gridCol w:w="36"/>
        <w:gridCol w:w="36"/>
        <w:gridCol w:w="36"/>
        <w:gridCol w:w="111"/>
        <w:gridCol w:w="732"/>
        <w:gridCol w:w="36"/>
      </w:tblGrid>
      <w:tr w:rsidR="00000000" w14:paraId="50A107D4" w14:textId="77777777">
        <w:trPr>
          <w:divId w:val="1266038980"/>
        </w:trPr>
        <w:tc>
          <w:tcPr>
            <w:tcW w:w="50" w:type="pct"/>
            <w:vAlign w:val="center"/>
            <w:hideMark/>
          </w:tcPr>
          <w:p w14:paraId="779B91BA" w14:textId="77777777" w:rsidR="00000000" w:rsidRDefault="009B6C69">
            <w:pPr>
              <w:ind w:firstLine="360"/>
              <w:rPr>
                <w:rFonts w:eastAsia="Times New Roman"/>
              </w:rPr>
            </w:pPr>
          </w:p>
        </w:tc>
        <w:tc>
          <w:tcPr>
            <w:tcW w:w="1292" w:type="pct"/>
            <w:vAlign w:val="center"/>
            <w:hideMark/>
          </w:tcPr>
          <w:p w14:paraId="26328F3F" w14:textId="77777777" w:rsidR="00000000" w:rsidRDefault="009B6C69">
            <w:pPr>
              <w:spacing w:after="100"/>
              <w:rPr>
                <w:rFonts w:eastAsia="Times New Roman"/>
                <w:sz w:val="20"/>
                <w:szCs w:val="20"/>
              </w:rPr>
            </w:pPr>
          </w:p>
        </w:tc>
        <w:tc>
          <w:tcPr>
            <w:tcW w:w="5" w:type="pct"/>
            <w:vAlign w:val="center"/>
            <w:hideMark/>
          </w:tcPr>
          <w:p w14:paraId="7CAE3555" w14:textId="77777777" w:rsidR="00000000" w:rsidRDefault="009B6C69">
            <w:pPr>
              <w:spacing w:after="100"/>
              <w:rPr>
                <w:rFonts w:eastAsia="Times New Roman"/>
                <w:sz w:val="20"/>
                <w:szCs w:val="20"/>
              </w:rPr>
            </w:pPr>
          </w:p>
        </w:tc>
        <w:tc>
          <w:tcPr>
            <w:tcW w:w="5" w:type="pct"/>
            <w:vAlign w:val="center"/>
            <w:hideMark/>
          </w:tcPr>
          <w:p w14:paraId="4240E8BA" w14:textId="77777777" w:rsidR="00000000" w:rsidRDefault="009B6C69">
            <w:pPr>
              <w:spacing w:after="100"/>
              <w:rPr>
                <w:rFonts w:eastAsia="Times New Roman"/>
                <w:sz w:val="20"/>
                <w:szCs w:val="20"/>
              </w:rPr>
            </w:pPr>
          </w:p>
        </w:tc>
        <w:tc>
          <w:tcPr>
            <w:tcW w:w="27" w:type="pct"/>
            <w:vAlign w:val="center"/>
            <w:hideMark/>
          </w:tcPr>
          <w:p w14:paraId="4F2D024F" w14:textId="77777777" w:rsidR="00000000" w:rsidRDefault="009B6C69">
            <w:pPr>
              <w:spacing w:after="100"/>
              <w:rPr>
                <w:rFonts w:eastAsia="Times New Roman"/>
                <w:sz w:val="20"/>
                <w:szCs w:val="20"/>
              </w:rPr>
            </w:pPr>
          </w:p>
        </w:tc>
        <w:tc>
          <w:tcPr>
            <w:tcW w:w="5" w:type="pct"/>
            <w:vAlign w:val="center"/>
            <w:hideMark/>
          </w:tcPr>
          <w:p w14:paraId="0CBE6945" w14:textId="77777777" w:rsidR="00000000" w:rsidRDefault="009B6C69">
            <w:pPr>
              <w:spacing w:after="100"/>
              <w:rPr>
                <w:rFonts w:eastAsia="Times New Roman"/>
                <w:sz w:val="20"/>
                <w:szCs w:val="20"/>
              </w:rPr>
            </w:pPr>
          </w:p>
        </w:tc>
        <w:tc>
          <w:tcPr>
            <w:tcW w:w="50" w:type="pct"/>
            <w:vAlign w:val="center"/>
            <w:hideMark/>
          </w:tcPr>
          <w:p w14:paraId="7FD92400" w14:textId="77777777" w:rsidR="00000000" w:rsidRDefault="009B6C69">
            <w:pPr>
              <w:spacing w:after="100"/>
              <w:rPr>
                <w:rFonts w:eastAsia="Times New Roman"/>
                <w:sz w:val="20"/>
                <w:szCs w:val="20"/>
              </w:rPr>
            </w:pPr>
          </w:p>
        </w:tc>
        <w:tc>
          <w:tcPr>
            <w:tcW w:w="491" w:type="pct"/>
            <w:vAlign w:val="center"/>
            <w:hideMark/>
          </w:tcPr>
          <w:p w14:paraId="48470D15" w14:textId="77777777" w:rsidR="00000000" w:rsidRDefault="009B6C69">
            <w:pPr>
              <w:spacing w:after="100"/>
              <w:rPr>
                <w:rFonts w:eastAsia="Times New Roman"/>
                <w:sz w:val="20"/>
                <w:szCs w:val="20"/>
              </w:rPr>
            </w:pPr>
          </w:p>
        </w:tc>
        <w:tc>
          <w:tcPr>
            <w:tcW w:w="5" w:type="pct"/>
            <w:vAlign w:val="center"/>
            <w:hideMark/>
          </w:tcPr>
          <w:p w14:paraId="68CDCCD9" w14:textId="77777777" w:rsidR="00000000" w:rsidRDefault="009B6C69">
            <w:pPr>
              <w:spacing w:after="100"/>
              <w:rPr>
                <w:rFonts w:eastAsia="Times New Roman"/>
                <w:sz w:val="20"/>
                <w:szCs w:val="20"/>
              </w:rPr>
            </w:pPr>
          </w:p>
        </w:tc>
        <w:tc>
          <w:tcPr>
            <w:tcW w:w="5" w:type="pct"/>
            <w:vAlign w:val="center"/>
            <w:hideMark/>
          </w:tcPr>
          <w:p w14:paraId="3A388217" w14:textId="77777777" w:rsidR="00000000" w:rsidRDefault="009B6C69">
            <w:pPr>
              <w:spacing w:after="100"/>
              <w:rPr>
                <w:rFonts w:eastAsia="Times New Roman"/>
                <w:sz w:val="20"/>
                <w:szCs w:val="20"/>
              </w:rPr>
            </w:pPr>
          </w:p>
        </w:tc>
        <w:tc>
          <w:tcPr>
            <w:tcW w:w="27" w:type="pct"/>
            <w:vAlign w:val="center"/>
            <w:hideMark/>
          </w:tcPr>
          <w:p w14:paraId="24E37D5B" w14:textId="77777777" w:rsidR="00000000" w:rsidRDefault="009B6C69">
            <w:pPr>
              <w:spacing w:after="100"/>
              <w:rPr>
                <w:rFonts w:eastAsia="Times New Roman"/>
                <w:sz w:val="20"/>
                <w:szCs w:val="20"/>
              </w:rPr>
            </w:pPr>
          </w:p>
        </w:tc>
        <w:tc>
          <w:tcPr>
            <w:tcW w:w="5" w:type="pct"/>
            <w:vAlign w:val="center"/>
            <w:hideMark/>
          </w:tcPr>
          <w:p w14:paraId="464CCD19" w14:textId="77777777" w:rsidR="00000000" w:rsidRDefault="009B6C69">
            <w:pPr>
              <w:spacing w:after="100"/>
              <w:rPr>
                <w:rFonts w:eastAsia="Times New Roman"/>
                <w:sz w:val="20"/>
                <w:szCs w:val="20"/>
              </w:rPr>
            </w:pPr>
          </w:p>
        </w:tc>
        <w:tc>
          <w:tcPr>
            <w:tcW w:w="50" w:type="pct"/>
            <w:vAlign w:val="center"/>
            <w:hideMark/>
          </w:tcPr>
          <w:p w14:paraId="0B650509" w14:textId="77777777" w:rsidR="00000000" w:rsidRDefault="009B6C69">
            <w:pPr>
              <w:spacing w:after="100"/>
              <w:rPr>
                <w:rFonts w:eastAsia="Times New Roman"/>
                <w:sz w:val="20"/>
                <w:szCs w:val="20"/>
              </w:rPr>
            </w:pPr>
          </w:p>
        </w:tc>
        <w:tc>
          <w:tcPr>
            <w:tcW w:w="641" w:type="pct"/>
            <w:vAlign w:val="center"/>
            <w:hideMark/>
          </w:tcPr>
          <w:p w14:paraId="3D7EF2A7" w14:textId="77777777" w:rsidR="00000000" w:rsidRDefault="009B6C69">
            <w:pPr>
              <w:spacing w:after="100"/>
              <w:rPr>
                <w:rFonts w:eastAsia="Times New Roman"/>
                <w:sz w:val="20"/>
                <w:szCs w:val="20"/>
              </w:rPr>
            </w:pPr>
          </w:p>
        </w:tc>
        <w:tc>
          <w:tcPr>
            <w:tcW w:w="5" w:type="pct"/>
            <w:vAlign w:val="center"/>
            <w:hideMark/>
          </w:tcPr>
          <w:p w14:paraId="4A2FB5FA" w14:textId="77777777" w:rsidR="00000000" w:rsidRDefault="009B6C69">
            <w:pPr>
              <w:spacing w:after="100"/>
              <w:rPr>
                <w:rFonts w:eastAsia="Times New Roman"/>
                <w:sz w:val="20"/>
                <w:szCs w:val="20"/>
              </w:rPr>
            </w:pPr>
          </w:p>
        </w:tc>
        <w:tc>
          <w:tcPr>
            <w:tcW w:w="5" w:type="pct"/>
            <w:vAlign w:val="center"/>
            <w:hideMark/>
          </w:tcPr>
          <w:p w14:paraId="23651256" w14:textId="77777777" w:rsidR="00000000" w:rsidRDefault="009B6C69">
            <w:pPr>
              <w:spacing w:after="100"/>
              <w:rPr>
                <w:rFonts w:eastAsia="Times New Roman"/>
                <w:sz w:val="20"/>
                <w:szCs w:val="20"/>
              </w:rPr>
            </w:pPr>
          </w:p>
        </w:tc>
        <w:tc>
          <w:tcPr>
            <w:tcW w:w="27" w:type="pct"/>
            <w:vAlign w:val="center"/>
            <w:hideMark/>
          </w:tcPr>
          <w:p w14:paraId="777D30E6" w14:textId="77777777" w:rsidR="00000000" w:rsidRDefault="009B6C69">
            <w:pPr>
              <w:spacing w:after="100"/>
              <w:rPr>
                <w:rFonts w:eastAsia="Times New Roman"/>
                <w:sz w:val="20"/>
                <w:szCs w:val="20"/>
              </w:rPr>
            </w:pPr>
          </w:p>
        </w:tc>
        <w:tc>
          <w:tcPr>
            <w:tcW w:w="5" w:type="pct"/>
            <w:vAlign w:val="center"/>
            <w:hideMark/>
          </w:tcPr>
          <w:p w14:paraId="18C9E895" w14:textId="77777777" w:rsidR="00000000" w:rsidRDefault="009B6C69">
            <w:pPr>
              <w:spacing w:after="100"/>
              <w:rPr>
                <w:rFonts w:eastAsia="Times New Roman"/>
                <w:sz w:val="20"/>
                <w:szCs w:val="20"/>
              </w:rPr>
            </w:pPr>
          </w:p>
        </w:tc>
        <w:tc>
          <w:tcPr>
            <w:tcW w:w="50" w:type="pct"/>
            <w:vAlign w:val="center"/>
            <w:hideMark/>
          </w:tcPr>
          <w:p w14:paraId="14EC6DE1" w14:textId="77777777" w:rsidR="00000000" w:rsidRDefault="009B6C69">
            <w:pPr>
              <w:spacing w:after="100"/>
              <w:rPr>
                <w:rFonts w:eastAsia="Times New Roman"/>
                <w:sz w:val="20"/>
                <w:szCs w:val="20"/>
              </w:rPr>
            </w:pPr>
          </w:p>
        </w:tc>
        <w:tc>
          <w:tcPr>
            <w:tcW w:w="491" w:type="pct"/>
            <w:vAlign w:val="center"/>
            <w:hideMark/>
          </w:tcPr>
          <w:p w14:paraId="4D400ABB" w14:textId="77777777" w:rsidR="00000000" w:rsidRDefault="009B6C69">
            <w:pPr>
              <w:spacing w:after="100"/>
              <w:rPr>
                <w:rFonts w:eastAsia="Times New Roman"/>
                <w:sz w:val="20"/>
                <w:szCs w:val="20"/>
              </w:rPr>
            </w:pPr>
          </w:p>
        </w:tc>
        <w:tc>
          <w:tcPr>
            <w:tcW w:w="5" w:type="pct"/>
            <w:vAlign w:val="center"/>
            <w:hideMark/>
          </w:tcPr>
          <w:p w14:paraId="2CE89867" w14:textId="77777777" w:rsidR="00000000" w:rsidRDefault="009B6C69">
            <w:pPr>
              <w:spacing w:after="100"/>
              <w:rPr>
                <w:rFonts w:eastAsia="Times New Roman"/>
                <w:sz w:val="20"/>
                <w:szCs w:val="20"/>
              </w:rPr>
            </w:pPr>
          </w:p>
        </w:tc>
        <w:tc>
          <w:tcPr>
            <w:tcW w:w="5" w:type="pct"/>
            <w:vAlign w:val="center"/>
            <w:hideMark/>
          </w:tcPr>
          <w:p w14:paraId="722B738B" w14:textId="77777777" w:rsidR="00000000" w:rsidRDefault="009B6C69">
            <w:pPr>
              <w:spacing w:after="100"/>
              <w:rPr>
                <w:rFonts w:eastAsia="Times New Roman"/>
                <w:sz w:val="20"/>
                <w:szCs w:val="20"/>
              </w:rPr>
            </w:pPr>
          </w:p>
        </w:tc>
        <w:tc>
          <w:tcPr>
            <w:tcW w:w="27" w:type="pct"/>
            <w:vAlign w:val="center"/>
            <w:hideMark/>
          </w:tcPr>
          <w:p w14:paraId="07FC8A52" w14:textId="77777777" w:rsidR="00000000" w:rsidRDefault="009B6C69">
            <w:pPr>
              <w:spacing w:after="100"/>
              <w:rPr>
                <w:rFonts w:eastAsia="Times New Roman"/>
                <w:sz w:val="20"/>
                <w:szCs w:val="20"/>
              </w:rPr>
            </w:pPr>
          </w:p>
        </w:tc>
        <w:tc>
          <w:tcPr>
            <w:tcW w:w="5" w:type="pct"/>
            <w:vAlign w:val="center"/>
            <w:hideMark/>
          </w:tcPr>
          <w:p w14:paraId="7E5311C6" w14:textId="77777777" w:rsidR="00000000" w:rsidRDefault="009B6C69">
            <w:pPr>
              <w:spacing w:after="100"/>
              <w:rPr>
                <w:rFonts w:eastAsia="Times New Roman"/>
                <w:sz w:val="20"/>
                <w:szCs w:val="20"/>
              </w:rPr>
            </w:pPr>
          </w:p>
        </w:tc>
        <w:tc>
          <w:tcPr>
            <w:tcW w:w="50" w:type="pct"/>
            <w:vAlign w:val="center"/>
            <w:hideMark/>
          </w:tcPr>
          <w:p w14:paraId="53DDDCA7" w14:textId="77777777" w:rsidR="00000000" w:rsidRDefault="009B6C69">
            <w:pPr>
              <w:spacing w:after="100"/>
              <w:rPr>
                <w:rFonts w:eastAsia="Times New Roman"/>
                <w:sz w:val="20"/>
                <w:szCs w:val="20"/>
              </w:rPr>
            </w:pPr>
          </w:p>
        </w:tc>
        <w:tc>
          <w:tcPr>
            <w:tcW w:w="491" w:type="pct"/>
            <w:vAlign w:val="center"/>
            <w:hideMark/>
          </w:tcPr>
          <w:p w14:paraId="0166D919" w14:textId="77777777" w:rsidR="00000000" w:rsidRDefault="009B6C69">
            <w:pPr>
              <w:spacing w:after="100"/>
              <w:rPr>
                <w:rFonts w:eastAsia="Times New Roman"/>
                <w:sz w:val="20"/>
                <w:szCs w:val="20"/>
              </w:rPr>
            </w:pPr>
          </w:p>
        </w:tc>
        <w:tc>
          <w:tcPr>
            <w:tcW w:w="5" w:type="pct"/>
            <w:vAlign w:val="center"/>
            <w:hideMark/>
          </w:tcPr>
          <w:p w14:paraId="61A3532C" w14:textId="77777777" w:rsidR="00000000" w:rsidRDefault="009B6C69">
            <w:pPr>
              <w:spacing w:after="100"/>
              <w:rPr>
                <w:rFonts w:eastAsia="Times New Roman"/>
                <w:sz w:val="20"/>
                <w:szCs w:val="20"/>
              </w:rPr>
            </w:pPr>
          </w:p>
        </w:tc>
        <w:tc>
          <w:tcPr>
            <w:tcW w:w="5" w:type="pct"/>
            <w:vAlign w:val="center"/>
            <w:hideMark/>
          </w:tcPr>
          <w:p w14:paraId="51BA9693" w14:textId="77777777" w:rsidR="00000000" w:rsidRDefault="009B6C69">
            <w:pPr>
              <w:spacing w:after="100"/>
              <w:rPr>
                <w:rFonts w:eastAsia="Times New Roman"/>
                <w:sz w:val="20"/>
                <w:szCs w:val="20"/>
              </w:rPr>
            </w:pPr>
          </w:p>
        </w:tc>
        <w:tc>
          <w:tcPr>
            <w:tcW w:w="27" w:type="pct"/>
            <w:vAlign w:val="center"/>
            <w:hideMark/>
          </w:tcPr>
          <w:p w14:paraId="7E2F77AA" w14:textId="77777777" w:rsidR="00000000" w:rsidRDefault="009B6C69">
            <w:pPr>
              <w:spacing w:after="100"/>
              <w:rPr>
                <w:rFonts w:eastAsia="Times New Roman"/>
                <w:sz w:val="20"/>
                <w:szCs w:val="20"/>
              </w:rPr>
            </w:pPr>
          </w:p>
        </w:tc>
        <w:tc>
          <w:tcPr>
            <w:tcW w:w="5" w:type="pct"/>
            <w:vAlign w:val="center"/>
            <w:hideMark/>
          </w:tcPr>
          <w:p w14:paraId="7E0EB508" w14:textId="77777777" w:rsidR="00000000" w:rsidRDefault="009B6C69">
            <w:pPr>
              <w:spacing w:after="100"/>
              <w:rPr>
                <w:rFonts w:eastAsia="Times New Roman"/>
                <w:sz w:val="20"/>
                <w:szCs w:val="20"/>
              </w:rPr>
            </w:pPr>
          </w:p>
        </w:tc>
        <w:tc>
          <w:tcPr>
            <w:tcW w:w="50" w:type="pct"/>
            <w:vAlign w:val="center"/>
            <w:hideMark/>
          </w:tcPr>
          <w:p w14:paraId="1543F2EA" w14:textId="77777777" w:rsidR="00000000" w:rsidRDefault="009B6C69">
            <w:pPr>
              <w:spacing w:after="100"/>
              <w:rPr>
                <w:rFonts w:eastAsia="Times New Roman"/>
                <w:sz w:val="20"/>
                <w:szCs w:val="20"/>
              </w:rPr>
            </w:pPr>
          </w:p>
        </w:tc>
        <w:tc>
          <w:tcPr>
            <w:tcW w:w="491" w:type="pct"/>
            <w:vAlign w:val="center"/>
            <w:hideMark/>
          </w:tcPr>
          <w:p w14:paraId="6ACAA9FC" w14:textId="77777777" w:rsidR="00000000" w:rsidRDefault="009B6C69">
            <w:pPr>
              <w:spacing w:after="100"/>
              <w:rPr>
                <w:rFonts w:eastAsia="Times New Roman"/>
                <w:sz w:val="20"/>
                <w:szCs w:val="20"/>
              </w:rPr>
            </w:pPr>
          </w:p>
        </w:tc>
        <w:tc>
          <w:tcPr>
            <w:tcW w:w="5" w:type="pct"/>
            <w:vAlign w:val="center"/>
            <w:hideMark/>
          </w:tcPr>
          <w:p w14:paraId="7BE8247A" w14:textId="77777777" w:rsidR="00000000" w:rsidRDefault="009B6C69">
            <w:pPr>
              <w:spacing w:after="100"/>
              <w:rPr>
                <w:rFonts w:eastAsia="Times New Roman"/>
                <w:sz w:val="20"/>
                <w:szCs w:val="20"/>
              </w:rPr>
            </w:pPr>
          </w:p>
        </w:tc>
        <w:tc>
          <w:tcPr>
            <w:tcW w:w="5" w:type="pct"/>
            <w:vAlign w:val="center"/>
            <w:hideMark/>
          </w:tcPr>
          <w:p w14:paraId="13CC46F2" w14:textId="77777777" w:rsidR="00000000" w:rsidRDefault="009B6C69">
            <w:pPr>
              <w:spacing w:after="100"/>
              <w:rPr>
                <w:rFonts w:eastAsia="Times New Roman"/>
                <w:sz w:val="20"/>
                <w:szCs w:val="20"/>
              </w:rPr>
            </w:pPr>
          </w:p>
        </w:tc>
        <w:tc>
          <w:tcPr>
            <w:tcW w:w="27" w:type="pct"/>
            <w:vAlign w:val="center"/>
            <w:hideMark/>
          </w:tcPr>
          <w:p w14:paraId="1ECA77AD" w14:textId="77777777" w:rsidR="00000000" w:rsidRDefault="009B6C69">
            <w:pPr>
              <w:spacing w:after="100"/>
              <w:rPr>
                <w:rFonts w:eastAsia="Times New Roman"/>
                <w:sz w:val="20"/>
                <w:szCs w:val="20"/>
              </w:rPr>
            </w:pPr>
          </w:p>
        </w:tc>
        <w:tc>
          <w:tcPr>
            <w:tcW w:w="5" w:type="pct"/>
            <w:vAlign w:val="center"/>
            <w:hideMark/>
          </w:tcPr>
          <w:p w14:paraId="585DDF71" w14:textId="77777777" w:rsidR="00000000" w:rsidRDefault="009B6C69">
            <w:pPr>
              <w:spacing w:after="100"/>
              <w:rPr>
                <w:rFonts w:eastAsia="Times New Roman"/>
                <w:sz w:val="20"/>
                <w:szCs w:val="20"/>
              </w:rPr>
            </w:pPr>
          </w:p>
        </w:tc>
        <w:tc>
          <w:tcPr>
            <w:tcW w:w="50" w:type="pct"/>
            <w:vAlign w:val="center"/>
            <w:hideMark/>
          </w:tcPr>
          <w:p w14:paraId="2451E9B7" w14:textId="77777777" w:rsidR="00000000" w:rsidRDefault="009B6C69">
            <w:pPr>
              <w:spacing w:after="100"/>
              <w:rPr>
                <w:rFonts w:eastAsia="Times New Roman"/>
                <w:sz w:val="20"/>
                <w:szCs w:val="20"/>
              </w:rPr>
            </w:pPr>
          </w:p>
        </w:tc>
        <w:tc>
          <w:tcPr>
            <w:tcW w:w="491" w:type="pct"/>
            <w:vAlign w:val="center"/>
            <w:hideMark/>
          </w:tcPr>
          <w:p w14:paraId="757FC806" w14:textId="77777777" w:rsidR="00000000" w:rsidRDefault="009B6C69">
            <w:pPr>
              <w:spacing w:after="100"/>
              <w:rPr>
                <w:rFonts w:eastAsia="Times New Roman"/>
                <w:sz w:val="20"/>
                <w:szCs w:val="20"/>
              </w:rPr>
            </w:pPr>
          </w:p>
        </w:tc>
        <w:tc>
          <w:tcPr>
            <w:tcW w:w="5" w:type="pct"/>
            <w:vAlign w:val="center"/>
            <w:hideMark/>
          </w:tcPr>
          <w:p w14:paraId="42299760" w14:textId="77777777" w:rsidR="00000000" w:rsidRDefault="009B6C69">
            <w:pPr>
              <w:spacing w:after="100"/>
              <w:rPr>
                <w:rFonts w:eastAsia="Times New Roman"/>
                <w:sz w:val="20"/>
                <w:szCs w:val="20"/>
              </w:rPr>
            </w:pPr>
          </w:p>
        </w:tc>
      </w:tr>
      <w:tr w:rsidR="00000000" w14:paraId="4A10A93F" w14:textId="77777777">
        <w:trPr>
          <w:divId w:val="1266038980"/>
        </w:trPr>
        <w:tc>
          <w:tcPr>
            <w:tcW w:w="0" w:type="auto"/>
            <w:gridSpan w:val="3"/>
            <w:tcMar>
              <w:top w:w="0" w:type="dxa"/>
              <w:left w:w="20" w:type="dxa"/>
              <w:bottom w:w="0" w:type="dxa"/>
              <w:right w:w="20" w:type="dxa"/>
            </w:tcMar>
            <w:vAlign w:val="center"/>
            <w:hideMark/>
          </w:tcPr>
          <w:p w14:paraId="4CB63492"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0B95BE" w14:textId="77777777" w:rsidR="00000000" w:rsidRDefault="009B6C69">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287C3F31" w14:textId="77777777" w:rsidR="00000000" w:rsidRDefault="009B6C69">
            <w:pPr>
              <w:spacing w:after="100"/>
              <w:jc w:val="center"/>
              <w:rPr>
                <w:rFonts w:eastAsia="Times New Roman"/>
              </w:rPr>
            </w:pPr>
            <w:r>
              <w:rPr>
                <w:rFonts w:eastAsia="Times New Roman"/>
                <w:b/>
                <w:bCs/>
                <w:color w:val="000000"/>
                <w:sz w:val="18"/>
                <w:szCs w:val="18"/>
              </w:rPr>
              <w:t>Stock Repurchase Program</w:t>
            </w:r>
          </w:p>
        </w:tc>
        <w:tc>
          <w:tcPr>
            <w:tcW w:w="0" w:type="auto"/>
            <w:gridSpan w:val="3"/>
            <w:tcMar>
              <w:top w:w="0" w:type="dxa"/>
              <w:left w:w="20" w:type="dxa"/>
              <w:bottom w:w="0" w:type="dxa"/>
              <w:right w:w="20" w:type="dxa"/>
            </w:tcMar>
            <w:vAlign w:val="center"/>
            <w:hideMark/>
          </w:tcPr>
          <w:p w14:paraId="4190F1E0" w14:textId="77777777" w:rsidR="00000000" w:rsidRDefault="009B6C6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09BE541" w14:textId="77777777" w:rsidR="00000000" w:rsidRDefault="009B6C69">
            <w:pPr>
              <w:spacing w:after="100"/>
              <w:jc w:val="center"/>
              <w:rPr>
                <w:rFonts w:eastAsia="Times New Roman"/>
              </w:rPr>
            </w:pPr>
            <w:r>
              <w:rPr>
                <w:rFonts w:eastAsia="Times New Roman"/>
                <w:b/>
                <w:bCs/>
                <w:color w:val="000000"/>
                <w:sz w:val="18"/>
                <w:szCs w:val="18"/>
              </w:rPr>
              <w:t>Dividends</w:t>
            </w:r>
          </w:p>
        </w:tc>
        <w:tc>
          <w:tcPr>
            <w:tcW w:w="0" w:type="auto"/>
            <w:gridSpan w:val="3"/>
            <w:tcMar>
              <w:top w:w="0" w:type="dxa"/>
              <w:left w:w="20" w:type="dxa"/>
              <w:bottom w:w="0" w:type="dxa"/>
              <w:right w:w="20" w:type="dxa"/>
            </w:tcMar>
            <w:vAlign w:val="center"/>
            <w:hideMark/>
          </w:tcPr>
          <w:p w14:paraId="27B6E860"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EFD64CC" w14:textId="77777777" w:rsidR="00000000" w:rsidRDefault="009B6C69">
            <w:pPr>
              <w:spacing w:after="100"/>
              <w:jc w:val="center"/>
              <w:rPr>
                <w:rFonts w:eastAsia="Times New Roman"/>
              </w:rPr>
            </w:pPr>
            <w:r>
              <w:rPr>
                <w:rFonts w:eastAsia="Times New Roman"/>
                <w:b/>
                <w:bCs/>
                <w:color w:val="000000"/>
                <w:sz w:val="18"/>
                <w:szCs w:val="18"/>
              </w:rPr>
              <w:t>Total</w:t>
            </w:r>
          </w:p>
        </w:tc>
      </w:tr>
      <w:tr w:rsidR="00000000" w14:paraId="6E7B18AC" w14:textId="77777777">
        <w:trPr>
          <w:divId w:val="1266038980"/>
        </w:trPr>
        <w:tc>
          <w:tcPr>
            <w:tcW w:w="0" w:type="auto"/>
            <w:gridSpan w:val="3"/>
            <w:tcMar>
              <w:top w:w="0" w:type="dxa"/>
              <w:left w:w="20" w:type="dxa"/>
              <w:bottom w:w="0" w:type="dxa"/>
              <w:right w:w="20" w:type="dxa"/>
            </w:tcMar>
            <w:vAlign w:val="center"/>
            <w:hideMark/>
          </w:tcPr>
          <w:p w14:paraId="7C39A622" w14:textId="77777777" w:rsidR="00000000" w:rsidRDefault="009B6C6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AA754CC" w14:textId="77777777" w:rsidR="00000000" w:rsidRDefault="009B6C6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06CE610" w14:textId="77777777" w:rsidR="00000000" w:rsidRDefault="009B6C69">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14:paraId="3CC2A005"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81C01A" w14:textId="77777777" w:rsidR="00000000" w:rsidRDefault="009B6C69">
            <w:pPr>
              <w:spacing w:after="100"/>
              <w:jc w:val="center"/>
              <w:rPr>
                <w:rFonts w:eastAsia="Times New Roman"/>
              </w:rPr>
            </w:pPr>
            <w:r>
              <w:rPr>
                <w:rFonts w:eastAsia="Times New Roman"/>
                <w:b/>
                <w:bCs/>
                <w:color w:val="000000"/>
                <w:sz w:val="18"/>
                <w:szCs w:val="18"/>
              </w:rPr>
              <w:t>Average Price Paid Per Share</w:t>
            </w:r>
          </w:p>
        </w:tc>
        <w:tc>
          <w:tcPr>
            <w:tcW w:w="0" w:type="auto"/>
            <w:gridSpan w:val="3"/>
            <w:tcBorders>
              <w:top w:val="single" w:sz="8" w:space="0" w:color="000000"/>
            </w:tcBorders>
            <w:tcMar>
              <w:top w:w="0" w:type="dxa"/>
              <w:left w:w="20" w:type="dxa"/>
              <w:bottom w:w="0" w:type="dxa"/>
              <w:right w:w="20" w:type="dxa"/>
            </w:tcMar>
            <w:vAlign w:val="center"/>
            <w:hideMark/>
          </w:tcPr>
          <w:p w14:paraId="39B36895"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BFEC61" w14:textId="77777777" w:rsidR="00000000" w:rsidRDefault="009B6C69">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14:paraId="07DC0D53"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FF7D297" w14:textId="77777777" w:rsidR="00000000" w:rsidRDefault="009B6C69">
            <w:pPr>
              <w:spacing w:after="100"/>
              <w:jc w:val="center"/>
              <w:rPr>
                <w:rFonts w:eastAsia="Times New Roman"/>
              </w:rPr>
            </w:pPr>
            <w:r>
              <w:rPr>
                <w:rFonts w:eastAsia="Times New Roman"/>
                <w:b/>
                <w:bCs/>
                <w:color w:val="000000"/>
                <w:sz w:val="18"/>
                <w:szCs w:val="18"/>
              </w:rPr>
              <w:t>Per Share</w:t>
            </w:r>
          </w:p>
        </w:tc>
        <w:tc>
          <w:tcPr>
            <w:tcW w:w="0" w:type="auto"/>
            <w:gridSpan w:val="3"/>
            <w:tcBorders>
              <w:top w:val="single" w:sz="8" w:space="0" w:color="000000"/>
            </w:tcBorders>
            <w:tcMar>
              <w:top w:w="0" w:type="dxa"/>
              <w:left w:w="20" w:type="dxa"/>
              <w:bottom w:w="0" w:type="dxa"/>
              <w:right w:w="20" w:type="dxa"/>
            </w:tcMar>
            <w:vAlign w:val="center"/>
            <w:hideMark/>
          </w:tcPr>
          <w:p w14:paraId="0156AF7E"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9736EF" w14:textId="77777777" w:rsidR="00000000" w:rsidRDefault="009B6C69">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14:paraId="45235793"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E3853B" w14:textId="77777777" w:rsidR="00000000" w:rsidRDefault="009B6C69">
            <w:pPr>
              <w:spacing w:after="100"/>
              <w:jc w:val="center"/>
              <w:rPr>
                <w:rFonts w:eastAsia="Times New Roman"/>
              </w:rPr>
            </w:pPr>
            <w:r>
              <w:rPr>
                <w:rFonts w:eastAsia="Times New Roman"/>
                <w:b/>
                <w:bCs/>
                <w:color w:val="000000"/>
                <w:sz w:val="18"/>
                <w:szCs w:val="18"/>
              </w:rPr>
              <w:t>Amount</w:t>
            </w:r>
          </w:p>
        </w:tc>
      </w:tr>
      <w:tr w:rsidR="00000000" w14:paraId="2C812F43" w14:textId="77777777">
        <w:trPr>
          <w:divId w:val="1266038980"/>
        </w:trPr>
        <w:tc>
          <w:tcPr>
            <w:tcW w:w="0" w:type="auto"/>
            <w:gridSpan w:val="3"/>
            <w:shd w:val="clear" w:color="auto" w:fill="CCEEFF"/>
            <w:tcMar>
              <w:top w:w="30" w:type="dxa"/>
              <w:left w:w="20" w:type="dxa"/>
              <w:bottom w:w="30" w:type="dxa"/>
              <w:right w:w="20" w:type="dxa"/>
            </w:tcMar>
            <w:vAlign w:val="bottom"/>
            <w:hideMark/>
          </w:tcPr>
          <w:p w14:paraId="036E8296" w14:textId="77777777" w:rsidR="00000000" w:rsidRDefault="009B6C69">
            <w:pPr>
              <w:spacing w:after="100"/>
              <w:rPr>
                <w:rFonts w:eastAsia="Times New Roman"/>
              </w:rPr>
            </w:pPr>
            <w:r>
              <w:rPr>
                <w:rFonts w:eastAsia="Times New Roman"/>
                <w:color w:val="000000"/>
                <w:sz w:val="18"/>
                <w:szCs w:val="18"/>
              </w:rPr>
              <w:t>2022</w:t>
            </w:r>
          </w:p>
        </w:tc>
        <w:tc>
          <w:tcPr>
            <w:tcW w:w="0" w:type="auto"/>
            <w:gridSpan w:val="3"/>
            <w:shd w:val="clear" w:color="auto" w:fill="CCEEFF"/>
            <w:tcMar>
              <w:top w:w="0" w:type="dxa"/>
              <w:left w:w="20" w:type="dxa"/>
              <w:bottom w:w="0" w:type="dxa"/>
              <w:right w:w="20" w:type="dxa"/>
            </w:tcMar>
            <w:vAlign w:val="center"/>
            <w:hideMark/>
          </w:tcPr>
          <w:p w14:paraId="419470F6" w14:textId="77777777" w:rsidR="00000000" w:rsidRDefault="009B6C6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BE573E" w14:textId="77777777" w:rsidR="00000000" w:rsidRDefault="009B6C69">
            <w:pPr>
              <w:spacing w:after="100"/>
              <w:jc w:val="right"/>
              <w:rPr>
                <w:rFonts w:eastAsia="Times New Roman"/>
              </w:rPr>
            </w:pPr>
            <w:r>
              <w:rPr>
                <w:rFonts w:eastAsia="Times New Roman"/>
                <w:color w:val="000000"/>
                <w:sz w:val="18"/>
                <w:szCs w:val="18"/>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25E97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7A9BD9"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B9CC64"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E2FC36" w14:textId="77777777" w:rsidR="00000000" w:rsidRDefault="009B6C69">
            <w:pPr>
              <w:spacing w:after="100"/>
              <w:jc w:val="right"/>
              <w:rPr>
                <w:rFonts w:eastAsia="Times New Roman"/>
              </w:rPr>
            </w:pPr>
            <w:r>
              <w:rPr>
                <w:rFonts w:eastAsia="Times New Roman"/>
                <w:color w:val="000000"/>
                <w:sz w:val="18"/>
                <w:szCs w:val="18"/>
              </w:rPr>
              <w:t>149.95 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F25BF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BEDCFC"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3089AF"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1EEC1F" w14:textId="77777777" w:rsidR="00000000" w:rsidRDefault="009B6C69">
            <w:pPr>
              <w:spacing w:after="100"/>
              <w:jc w:val="right"/>
              <w:rPr>
                <w:rFonts w:eastAsia="Times New Roman"/>
              </w:rPr>
            </w:pPr>
            <w:r>
              <w:rPr>
                <w:rFonts w:eastAsia="Times New Roman"/>
                <w:color w:val="000000"/>
                <w:sz w:val="18"/>
                <w:szCs w:val="18"/>
              </w:rPr>
              <w:t>3,129 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552A2C"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3F8358"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9EAB01"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12F0BE" w14:textId="77777777" w:rsidR="00000000" w:rsidRDefault="009B6C69">
            <w:pPr>
              <w:spacing w:after="100"/>
              <w:jc w:val="right"/>
              <w:rPr>
                <w:rFonts w:eastAsia="Times New Roman"/>
              </w:rPr>
            </w:pPr>
            <w:r>
              <w:rPr>
                <w:rFonts w:eastAsia="Times New Roman"/>
                <w:color w:val="000000"/>
                <w:sz w:val="18"/>
                <w:szCs w:val="18"/>
              </w:rPr>
              <w:t>2.86 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AAAFC0"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24FCA3"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FCF9A4"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01EF4F" w14:textId="77777777" w:rsidR="00000000" w:rsidRDefault="009B6C69">
            <w:pPr>
              <w:spacing w:after="100"/>
              <w:jc w:val="right"/>
              <w:rPr>
                <w:rFonts w:eastAsia="Times New Roman"/>
              </w:rPr>
            </w:pPr>
            <w:r>
              <w:rPr>
                <w:rFonts w:eastAsia="Times New Roman"/>
                <w:color w:val="000000"/>
                <w:sz w:val="18"/>
                <w:szCs w:val="18"/>
              </w:rPr>
              <w:t>3,212 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465E4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9C7714"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912291"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E7E885" w14:textId="77777777" w:rsidR="00000000" w:rsidRDefault="009B6C69">
            <w:pPr>
              <w:spacing w:after="100"/>
              <w:jc w:val="right"/>
              <w:rPr>
                <w:rFonts w:eastAsia="Times New Roman"/>
              </w:rPr>
            </w:pPr>
            <w:r>
              <w:rPr>
                <w:rFonts w:eastAsia="Times New Roman"/>
                <w:color w:val="000000"/>
                <w:sz w:val="18"/>
                <w:szCs w:val="18"/>
              </w:rPr>
              <w:t>6,341 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D019F8" w14:textId="77777777" w:rsidR="00000000" w:rsidRDefault="009B6C69">
            <w:pPr>
              <w:spacing w:after="100"/>
              <w:jc w:val="right"/>
              <w:rPr>
                <w:rFonts w:eastAsia="Times New Roman"/>
              </w:rPr>
            </w:pPr>
          </w:p>
        </w:tc>
      </w:tr>
      <w:tr w:rsidR="00000000" w14:paraId="758ED849" w14:textId="77777777">
        <w:trPr>
          <w:divId w:val="1266038980"/>
        </w:trPr>
        <w:tc>
          <w:tcPr>
            <w:tcW w:w="0" w:type="auto"/>
            <w:gridSpan w:val="3"/>
            <w:shd w:val="clear" w:color="auto" w:fill="FFFFFF"/>
            <w:tcMar>
              <w:top w:w="30" w:type="dxa"/>
              <w:left w:w="20" w:type="dxa"/>
              <w:bottom w:w="30" w:type="dxa"/>
              <w:right w:w="20" w:type="dxa"/>
            </w:tcMar>
            <w:vAlign w:val="bottom"/>
            <w:hideMark/>
          </w:tcPr>
          <w:p w14:paraId="72FEF3F4" w14:textId="77777777" w:rsidR="00000000" w:rsidRDefault="009B6C69">
            <w:pPr>
              <w:spacing w:after="100"/>
              <w:rPr>
                <w:rFonts w:eastAsia="Times New Roman"/>
              </w:rPr>
            </w:pPr>
            <w:r>
              <w:rPr>
                <w:rFonts w:eastAsia="Times New Roman"/>
                <w:color w:val="000000"/>
                <w:sz w:val="18"/>
                <w:szCs w:val="18"/>
              </w:rPr>
              <w:t>2021</w:t>
            </w:r>
          </w:p>
        </w:tc>
        <w:tc>
          <w:tcPr>
            <w:tcW w:w="0" w:type="auto"/>
            <w:gridSpan w:val="3"/>
            <w:shd w:val="clear" w:color="auto" w:fill="FFFFFF"/>
            <w:tcMar>
              <w:top w:w="0" w:type="dxa"/>
              <w:left w:w="20" w:type="dxa"/>
              <w:bottom w:w="0" w:type="dxa"/>
              <w:right w:w="20" w:type="dxa"/>
            </w:tcMar>
            <w:vAlign w:val="center"/>
            <w:hideMark/>
          </w:tcPr>
          <w:p w14:paraId="39E1D6F2" w14:textId="77777777" w:rsidR="00000000" w:rsidRDefault="009B6C6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FFCCC5" w14:textId="77777777" w:rsidR="00000000" w:rsidRDefault="009B6C69">
            <w:pPr>
              <w:spacing w:after="100"/>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bottom"/>
            <w:hideMark/>
          </w:tcPr>
          <w:p w14:paraId="1B5F66A7"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F1DA47"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4FA5D2" w14:textId="77777777" w:rsidR="00000000" w:rsidRDefault="009B6C69">
            <w:pPr>
              <w:spacing w:after="100"/>
              <w:jc w:val="right"/>
              <w:rPr>
                <w:rFonts w:eastAsia="Times New Roman"/>
              </w:rPr>
            </w:pPr>
            <w:r>
              <w:rPr>
                <w:rFonts w:eastAsia="Times New Roman"/>
                <w:color w:val="000000"/>
                <w:sz w:val="18"/>
                <w:szCs w:val="18"/>
              </w:rPr>
              <w:t>141.17 </w:t>
            </w:r>
          </w:p>
        </w:tc>
        <w:tc>
          <w:tcPr>
            <w:tcW w:w="0" w:type="auto"/>
            <w:shd w:val="clear" w:color="auto" w:fill="FFFFFF"/>
            <w:tcMar>
              <w:top w:w="30" w:type="dxa"/>
              <w:left w:w="0" w:type="dxa"/>
              <w:bottom w:w="30" w:type="dxa"/>
              <w:right w:w="20" w:type="dxa"/>
            </w:tcMar>
            <w:vAlign w:val="bottom"/>
            <w:hideMark/>
          </w:tcPr>
          <w:p w14:paraId="7C991C7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E5DD65"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6B2F5A" w14:textId="77777777" w:rsidR="00000000" w:rsidRDefault="009B6C69">
            <w:pPr>
              <w:spacing w:after="100"/>
              <w:jc w:val="right"/>
              <w:rPr>
                <w:rFonts w:eastAsia="Times New Roman"/>
              </w:rPr>
            </w:pPr>
            <w:r>
              <w:rPr>
                <w:rFonts w:eastAsia="Times New Roman"/>
                <w:color w:val="000000"/>
                <w:sz w:val="18"/>
                <w:szCs w:val="18"/>
              </w:rPr>
              <w:t>3,366 </w:t>
            </w:r>
          </w:p>
        </w:tc>
        <w:tc>
          <w:tcPr>
            <w:tcW w:w="0" w:type="auto"/>
            <w:shd w:val="clear" w:color="auto" w:fill="FFFFFF"/>
            <w:tcMar>
              <w:top w:w="30" w:type="dxa"/>
              <w:left w:w="0" w:type="dxa"/>
              <w:bottom w:w="30" w:type="dxa"/>
              <w:right w:w="20" w:type="dxa"/>
            </w:tcMar>
            <w:vAlign w:val="bottom"/>
            <w:hideMark/>
          </w:tcPr>
          <w:p w14:paraId="3C046A5C"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711D06"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731B3C" w14:textId="77777777" w:rsidR="00000000" w:rsidRDefault="009B6C69">
            <w:pPr>
              <w:spacing w:after="100"/>
              <w:jc w:val="right"/>
              <w:rPr>
                <w:rFonts w:eastAsia="Times New Roman"/>
              </w:rPr>
            </w:pPr>
            <w:r>
              <w:rPr>
                <w:rFonts w:eastAsia="Times New Roman"/>
                <w:color w:val="000000"/>
                <w:sz w:val="18"/>
                <w:szCs w:val="18"/>
              </w:rPr>
              <w:t>2.66 </w:t>
            </w:r>
          </w:p>
        </w:tc>
        <w:tc>
          <w:tcPr>
            <w:tcW w:w="0" w:type="auto"/>
            <w:shd w:val="clear" w:color="auto" w:fill="FFFFFF"/>
            <w:tcMar>
              <w:top w:w="30" w:type="dxa"/>
              <w:left w:w="0" w:type="dxa"/>
              <w:bottom w:w="30" w:type="dxa"/>
              <w:right w:w="20" w:type="dxa"/>
            </w:tcMar>
            <w:vAlign w:val="bottom"/>
            <w:hideMark/>
          </w:tcPr>
          <w:p w14:paraId="00E8C583"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EDD79A"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7524CF" w14:textId="77777777" w:rsidR="00000000" w:rsidRDefault="009B6C69">
            <w:pPr>
              <w:spacing w:after="100"/>
              <w:jc w:val="right"/>
              <w:rPr>
                <w:rFonts w:eastAsia="Times New Roman"/>
              </w:rPr>
            </w:pPr>
            <w:r>
              <w:rPr>
                <w:rFonts w:eastAsia="Times New Roman"/>
                <w:color w:val="000000"/>
                <w:sz w:val="18"/>
                <w:szCs w:val="18"/>
              </w:rPr>
              <w:t>3,008 </w:t>
            </w:r>
          </w:p>
        </w:tc>
        <w:tc>
          <w:tcPr>
            <w:tcW w:w="0" w:type="auto"/>
            <w:shd w:val="clear" w:color="auto" w:fill="FFFFFF"/>
            <w:tcMar>
              <w:top w:w="30" w:type="dxa"/>
              <w:left w:w="0" w:type="dxa"/>
              <w:bottom w:w="30" w:type="dxa"/>
              <w:right w:w="20" w:type="dxa"/>
            </w:tcMar>
            <w:vAlign w:val="bottom"/>
            <w:hideMark/>
          </w:tcPr>
          <w:p w14:paraId="6811F3EF"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C816C1"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1DB869" w14:textId="77777777" w:rsidR="00000000" w:rsidRDefault="009B6C69">
            <w:pPr>
              <w:spacing w:after="100"/>
              <w:jc w:val="right"/>
              <w:rPr>
                <w:rFonts w:eastAsia="Times New Roman"/>
              </w:rPr>
            </w:pPr>
            <w:r>
              <w:rPr>
                <w:rFonts w:eastAsia="Times New Roman"/>
                <w:color w:val="000000"/>
                <w:sz w:val="18"/>
                <w:szCs w:val="18"/>
              </w:rPr>
              <w:t>6,374 </w:t>
            </w:r>
          </w:p>
        </w:tc>
        <w:tc>
          <w:tcPr>
            <w:tcW w:w="0" w:type="auto"/>
            <w:shd w:val="clear" w:color="auto" w:fill="FFFFFF"/>
            <w:tcMar>
              <w:top w:w="30" w:type="dxa"/>
              <w:left w:w="0" w:type="dxa"/>
              <w:bottom w:w="30" w:type="dxa"/>
              <w:right w:w="20" w:type="dxa"/>
            </w:tcMar>
            <w:vAlign w:val="bottom"/>
            <w:hideMark/>
          </w:tcPr>
          <w:p w14:paraId="55388D3A" w14:textId="77777777" w:rsidR="00000000" w:rsidRDefault="009B6C69">
            <w:pPr>
              <w:spacing w:after="100"/>
              <w:jc w:val="right"/>
              <w:rPr>
                <w:rFonts w:eastAsia="Times New Roman"/>
              </w:rPr>
            </w:pPr>
          </w:p>
        </w:tc>
      </w:tr>
    </w:tbl>
    <w:p w14:paraId="040C7025" w14:textId="77777777" w:rsidR="00000000" w:rsidRDefault="009B6C69">
      <w:pPr>
        <w:ind w:firstLine="360"/>
        <w:divId w:val="1529297817"/>
        <w:rPr>
          <w:rFonts w:eastAsia="Times New Roman"/>
        </w:rPr>
      </w:pPr>
      <w:r>
        <w:rPr>
          <w:rFonts w:eastAsia="Times New Roman"/>
          <w:color w:val="000000"/>
          <w:sz w:val="20"/>
          <w:szCs w:val="20"/>
        </w:rPr>
        <w:t>On October 12, 2021, we announced a $10.0 billion stock r</w:t>
      </w:r>
      <w:r>
        <w:rPr>
          <w:rFonts w:eastAsia="Times New Roman"/>
          <w:color w:val="000000"/>
          <w:sz w:val="20"/>
          <w:szCs w:val="20"/>
        </w:rPr>
        <w:t>epurchase program. The stock repurchase program has no expiration date. At September 25, 2022, $8.1 billion remained authorized for repurchase under our stock repurchase program. Our stock repurchase programs are subject to periodic evaluations to determin</w:t>
      </w:r>
      <w:r>
        <w:rPr>
          <w:rFonts w:eastAsia="Times New Roman"/>
          <w:color w:val="000000"/>
          <w:sz w:val="20"/>
          <w:szCs w:val="20"/>
        </w:rPr>
        <w:t>e when and if repurchases are in the best interests of our stockholders, and we may accelerate, suspend, delay or discontinue repurchases at any time.</w:t>
      </w:r>
    </w:p>
    <w:p w14:paraId="6C36E639" w14:textId="77777777" w:rsidR="00000000" w:rsidRDefault="009B6C69">
      <w:pPr>
        <w:ind w:firstLine="360"/>
        <w:divId w:val="1903444880"/>
        <w:rPr>
          <w:rFonts w:eastAsia="Times New Roman"/>
        </w:rPr>
      </w:pPr>
      <w:r>
        <w:rPr>
          <w:rFonts w:eastAsia="Times New Roman"/>
          <w:color w:val="000000"/>
          <w:sz w:val="20"/>
          <w:szCs w:val="20"/>
        </w:rPr>
        <w:t>On October 14, 2022, we announced a cash dividend of $0.75 per share on our common stock, payable on Dece</w:t>
      </w:r>
      <w:r>
        <w:rPr>
          <w:rFonts w:eastAsia="Times New Roman"/>
          <w:color w:val="000000"/>
          <w:sz w:val="20"/>
          <w:szCs w:val="20"/>
        </w:rPr>
        <w:t>mber 15, 2022 to stockholders of record as of the close of business on December 1, 2022. We currently intend to continue to use cash dividends as a means of returning capital to stockholders, subject to capital availability and our view that cash dividends</w:t>
      </w:r>
      <w:r>
        <w:rPr>
          <w:rFonts w:eastAsia="Times New Roman"/>
          <w:color w:val="000000"/>
          <w:sz w:val="20"/>
          <w:szCs w:val="20"/>
        </w:rPr>
        <w:t xml:space="preserve"> are in the best interests of our stockholders, among other factors.</w:t>
      </w:r>
    </w:p>
    <w:p w14:paraId="112B0E0C" w14:textId="77777777" w:rsidR="00000000" w:rsidRDefault="009B6C69">
      <w:pPr>
        <w:ind w:firstLine="315"/>
        <w:divId w:val="62531144"/>
        <w:rPr>
          <w:rFonts w:eastAsia="Times New Roman"/>
        </w:rPr>
      </w:pPr>
      <w:r>
        <w:rPr>
          <w:rFonts w:eastAsia="Times New Roman"/>
          <w:b/>
          <w:bCs/>
          <w:i/>
          <w:iCs/>
          <w:color w:val="000000"/>
          <w:sz w:val="20"/>
          <w:szCs w:val="20"/>
        </w:rPr>
        <w:t>Additional Capital Requirements</w:t>
      </w:r>
      <w:r>
        <w:rPr>
          <w:rFonts w:eastAsia="Times New Roman"/>
          <w:b/>
          <w:bCs/>
          <w:color w:val="000000"/>
          <w:sz w:val="20"/>
          <w:szCs w:val="20"/>
        </w:rPr>
        <w:t>.</w:t>
      </w:r>
      <w:r>
        <w:rPr>
          <w:rFonts w:eastAsia="Times New Roman"/>
          <w:color w:val="000000"/>
          <w:sz w:val="20"/>
          <w:szCs w:val="20"/>
        </w:rPr>
        <w:t xml:space="preserve"> </w:t>
      </w:r>
      <w:r>
        <w:rPr>
          <w:rFonts w:eastAsia="Times New Roman"/>
          <w:color w:val="000000"/>
          <w:sz w:val="20"/>
          <w:szCs w:val="20"/>
        </w:rPr>
        <w:t>We believe our cash, cash equivalents and marketable securities, our expected cash flow generated from operations and our expected financing activities will satisfy our working and other capital requirements for at least the next 12 months based on our cur</w:t>
      </w:r>
      <w:r>
        <w:rPr>
          <w:rFonts w:eastAsia="Times New Roman"/>
          <w:color w:val="000000"/>
          <w:sz w:val="20"/>
          <w:szCs w:val="20"/>
        </w:rPr>
        <w:t>rent business plans. Recent and expected working and other capital requirements, in addition to the above matters, also include the items described below:</w:t>
      </w:r>
    </w:p>
    <w:p w14:paraId="3BC6A738" w14:textId="77777777" w:rsidR="00000000" w:rsidRDefault="009B6C69">
      <w:pPr>
        <w:ind w:hanging="360"/>
        <w:divId w:val="685447087"/>
        <w:rPr>
          <w:rFonts w:eastAsia="Times New Roman"/>
        </w:rPr>
      </w:pPr>
      <w:r>
        <w:rPr>
          <w:rFonts w:eastAsia="Times New Roman"/>
          <w:color w:val="000000"/>
          <w:sz w:val="20"/>
          <w:szCs w:val="20"/>
        </w:rPr>
        <w:t xml:space="preserve">•Our purchase obligations at </w:t>
      </w:r>
      <w:r>
        <w:rPr>
          <w:rFonts w:eastAsia="Times New Roman"/>
          <w:color w:val="212529"/>
          <w:sz w:val="20"/>
          <w:szCs w:val="20"/>
        </w:rPr>
        <w:t>September 25, 2022</w:t>
      </w:r>
      <w:r>
        <w:rPr>
          <w:rFonts w:eastAsia="Times New Roman"/>
          <w:color w:val="000000"/>
          <w:sz w:val="20"/>
          <w:szCs w:val="20"/>
        </w:rPr>
        <w:t xml:space="preserve">, which primarily relate to purchase commitments with </w:t>
      </w:r>
      <w:r>
        <w:rPr>
          <w:rFonts w:eastAsia="Times New Roman"/>
          <w:color w:val="000000"/>
          <w:sz w:val="20"/>
          <w:szCs w:val="20"/>
        </w:rPr>
        <w:t xml:space="preserve">certain suppliers of our integrated circuit products, including those under multi-year capacity commitments, and certain other expenses, some of which relate to research and development activities and capital expenditures, totaled $24.5 billion, of which, </w:t>
      </w:r>
      <w:r>
        <w:rPr>
          <w:rFonts w:eastAsia="Times New Roman"/>
          <w:color w:val="000000"/>
          <w:sz w:val="20"/>
          <w:szCs w:val="20"/>
        </w:rPr>
        <w:t>$13.3 billion is expected to be paid in the next 12 months. We expect a significant decrease in advance payments made under our multi-year capacity commitments as compared to fiscal 2022.</w:t>
      </w:r>
    </w:p>
    <w:p w14:paraId="4F09E669" w14:textId="77777777" w:rsidR="00000000" w:rsidRDefault="009B6C69">
      <w:pPr>
        <w:ind w:hanging="360"/>
        <w:divId w:val="588198341"/>
        <w:rPr>
          <w:rFonts w:eastAsia="Times New Roman"/>
        </w:rPr>
      </w:pPr>
      <w:r>
        <w:rPr>
          <w:rFonts w:eastAsia="Times New Roman"/>
          <w:color w:val="000000"/>
          <w:sz w:val="20"/>
          <w:szCs w:val="20"/>
        </w:rPr>
        <w:t>•Our research and development expenditures were $8.2 billion in fisc</w:t>
      </w:r>
      <w:r>
        <w:rPr>
          <w:rFonts w:eastAsia="Times New Roman"/>
          <w:color w:val="000000"/>
          <w:sz w:val="20"/>
          <w:szCs w:val="20"/>
        </w:rPr>
        <w:t xml:space="preserve">al 2022 and $7.2 billion in fiscal 2021. </w:t>
      </w:r>
    </w:p>
    <w:p w14:paraId="49D92688" w14:textId="77777777" w:rsidR="00000000" w:rsidRDefault="009B6C69">
      <w:pPr>
        <w:ind w:hanging="360"/>
        <w:divId w:val="1959985861"/>
        <w:rPr>
          <w:rFonts w:eastAsia="Times New Roman"/>
        </w:rPr>
      </w:pPr>
      <w:r>
        <w:rPr>
          <w:rFonts w:eastAsia="Times New Roman"/>
          <w:color w:val="000000"/>
          <w:sz w:val="20"/>
          <w:szCs w:val="20"/>
        </w:rPr>
        <w:t xml:space="preserve">•Cash outflows for capital expenditures were $2.3 billion in fiscal 2022 and $1.9 billion in fiscal 2021. </w:t>
      </w:r>
    </w:p>
    <w:p w14:paraId="2AA807D3" w14:textId="77777777" w:rsidR="00000000" w:rsidRDefault="009B6C69">
      <w:pPr>
        <w:ind w:hanging="360"/>
        <w:divId w:val="1349019221"/>
        <w:rPr>
          <w:rFonts w:eastAsia="Times New Roman"/>
        </w:rPr>
      </w:pPr>
      <w:r>
        <w:rPr>
          <w:rFonts w:eastAsia="Times New Roman"/>
          <w:color w:val="000000"/>
          <w:sz w:val="20"/>
          <w:szCs w:val="20"/>
        </w:rPr>
        <w:t>•Amounts related to future lease payments for operating lease obligations at September 25, 2022 totaled $86</w:t>
      </w:r>
      <w:r>
        <w:rPr>
          <w:rFonts w:eastAsia="Times New Roman"/>
          <w:color w:val="000000"/>
          <w:sz w:val="20"/>
          <w:szCs w:val="20"/>
        </w:rPr>
        <w:t>3 million, with $129 million expected to be paid within the next 12 months.</w:t>
      </w:r>
    </w:p>
    <w:p w14:paraId="0B40EA05" w14:textId="77777777" w:rsidR="00000000" w:rsidRDefault="009B6C69">
      <w:pPr>
        <w:ind w:hanging="360"/>
        <w:divId w:val="2146002486"/>
        <w:rPr>
          <w:rFonts w:eastAsia="Times New Roman"/>
        </w:rPr>
      </w:pPr>
      <w:r>
        <w:rPr>
          <w:rFonts w:eastAsia="Times New Roman"/>
          <w:color w:val="000000"/>
          <w:sz w:val="20"/>
          <w:szCs w:val="20"/>
        </w:rPr>
        <w:t>•We expect to continue making strategic investments and acquisitions, the amounts of which could vary significantly. For further information related to our most recent acquisitions</w:t>
      </w:r>
      <w:r>
        <w:rPr>
          <w:rFonts w:eastAsia="Times New Roman"/>
          <w:color w:val="000000"/>
          <w:sz w:val="20"/>
          <w:szCs w:val="20"/>
        </w:rPr>
        <w:t>, including details regarding the Non-Arriver businesses presented as held for sale, see “Notes to Consolidated Financial Statements, Note 9. Acquisitions” in this Annual Report.</w:t>
      </w:r>
    </w:p>
    <w:p w14:paraId="545E766A" w14:textId="77777777" w:rsidR="00000000" w:rsidRDefault="009B6C69">
      <w:pPr>
        <w:ind w:firstLine="360"/>
        <w:divId w:val="1487356511"/>
        <w:rPr>
          <w:rFonts w:eastAsia="Times New Roman"/>
        </w:rPr>
      </w:pPr>
      <w:r>
        <w:rPr>
          <w:rFonts w:eastAsia="Times New Roman"/>
          <w:color w:val="000000"/>
          <w:sz w:val="20"/>
          <w:szCs w:val="20"/>
        </w:rPr>
        <w:t>Further, regulatory authorities in certain jurisdictions have investigated ou</w:t>
      </w:r>
      <w:r>
        <w:rPr>
          <w:rFonts w:eastAsia="Times New Roman"/>
          <w:color w:val="000000"/>
          <w:sz w:val="20"/>
          <w:szCs w:val="20"/>
        </w:rPr>
        <w:t>r business practices and instituted proceedings against us and they or other regulatory authorities may do so in the future. Additionally, certain of our direct and indirect customers and licensees have pursued, and others may in the future pursue, litigat</w:t>
      </w:r>
      <w:r>
        <w:rPr>
          <w:rFonts w:eastAsia="Times New Roman"/>
          <w:color w:val="000000"/>
          <w:sz w:val="20"/>
          <w:szCs w:val="20"/>
        </w:rPr>
        <w:t>ion or arbitration against us related to our business. Unfavorable resolutions of one or more of these matters have had and could in the future have a material adverse effect on our business, revenues, results of operations, financial condition and cash fl</w:t>
      </w:r>
      <w:r>
        <w:rPr>
          <w:rFonts w:eastAsia="Times New Roman"/>
          <w:color w:val="000000"/>
          <w:sz w:val="20"/>
          <w:szCs w:val="20"/>
        </w:rPr>
        <w:t>ows. See “Notes to Consolidated Financial Statements, Note 7. Commitments and Contingencies” and “Part I, Item 1A. Risk Factors” in this Annual Report.</w:t>
      </w:r>
      <w:r>
        <w:rPr>
          <w:rFonts w:eastAsia="Times New Roman"/>
          <w:color w:val="000000"/>
          <w:sz w:val="18"/>
          <w:szCs w:val="18"/>
        </w:rPr>
        <w:t xml:space="preserve"> </w:t>
      </w:r>
    </w:p>
    <w:p w14:paraId="46F1ADFA" w14:textId="77777777" w:rsidR="00000000" w:rsidRDefault="009B6C69">
      <w:pPr>
        <w:divId w:val="1479422352"/>
        <w:rPr>
          <w:rFonts w:eastAsia="Times New Roman"/>
        </w:rPr>
      </w:pPr>
      <w:r>
        <w:rPr>
          <w:rFonts w:eastAsia="Times New Roman"/>
          <w:b/>
          <w:bCs/>
          <w:color w:val="000000"/>
          <w:sz w:val="20"/>
          <w:szCs w:val="20"/>
        </w:rPr>
        <w:t>Critical Accounting Estimates</w:t>
      </w:r>
    </w:p>
    <w:p w14:paraId="40AC381F" w14:textId="77777777" w:rsidR="00000000" w:rsidRDefault="009B6C69">
      <w:pPr>
        <w:ind w:firstLine="360"/>
        <w:divId w:val="2038967653"/>
        <w:rPr>
          <w:rFonts w:eastAsia="Times New Roman"/>
        </w:rPr>
      </w:pPr>
      <w:r>
        <w:rPr>
          <w:rFonts w:eastAsia="Times New Roman"/>
          <w:color w:val="000000"/>
          <w:sz w:val="20"/>
          <w:szCs w:val="20"/>
        </w:rPr>
        <w:t>The preparation of our consolidated financial statements in accordance wi</w:t>
      </w:r>
      <w:r>
        <w:rPr>
          <w:rFonts w:eastAsia="Times New Roman"/>
          <w:color w:val="000000"/>
          <w:sz w:val="20"/>
          <w:szCs w:val="20"/>
        </w:rPr>
        <w:t>th accounting principles generally accepted in the United States requires us to make estimates and judgments that affect the reported amounts of assets, liabilities, revenues and expenses, and disclosure of contingent assets and liabilities. We base our es</w:t>
      </w:r>
      <w:r>
        <w:rPr>
          <w:rFonts w:eastAsia="Times New Roman"/>
          <w:color w:val="000000"/>
          <w:sz w:val="20"/>
          <w:szCs w:val="20"/>
        </w:rPr>
        <w:t>timates on historical and anticipated results and trends and on various other assumptions that we believe are reasonable under the circumstances, including assumptions as to future events. By their nature, estimates are inherently subject to a degree of un</w:t>
      </w:r>
      <w:r>
        <w:rPr>
          <w:rFonts w:eastAsia="Times New Roman"/>
          <w:color w:val="000000"/>
          <w:sz w:val="20"/>
          <w:szCs w:val="20"/>
        </w:rPr>
        <w:t>certainty. Although we believe that our estimates and the assumptions supporting our assessments are reasonable, actual results could differ materially from our estimates and assumptions, and could be material to our consolidated financial statements.</w:t>
      </w:r>
      <w:r>
        <w:rPr>
          <w:rFonts w:eastAsia="Times New Roman"/>
          <w:color w:val="DBDBDB"/>
          <w:sz w:val="20"/>
          <w:szCs w:val="20"/>
        </w:rPr>
        <w:t xml:space="preserve"> </w:t>
      </w:r>
    </w:p>
    <w:p w14:paraId="29F1D11C" w14:textId="77777777" w:rsidR="00000000" w:rsidRDefault="009B6C69">
      <w:pPr>
        <w:ind w:firstLine="360"/>
        <w:divId w:val="228925501"/>
        <w:rPr>
          <w:rFonts w:eastAsia="Times New Roman"/>
        </w:rPr>
      </w:pPr>
      <w:r>
        <w:rPr>
          <w:rFonts w:eastAsia="Times New Roman"/>
          <w:color w:val="000000"/>
          <w:sz w:val="20"/>
          <w:szCs w:val="20"/>
        </w:rPr>
        <w:t xml:space="preserve">In </w:t>
      </w:r>
      <w:r>
        <w:rPr>
          <w:rFonts w:eastAsia="Times New Roman"/>
          <w:color w:val="000000"/>
          <w:sz w:val="20"/>
          <w:szCs w:val="20"/>
        </w:rPr>
        <w:t>addition to our critical accounting estimates and policies below, refer to “Note 1. Significant Accounting Policies” and “Note 2. Composition of Certain Financial Statement Items” included in this Annual Report in “Notes to Consolidated Financial Statement</w:t>
      </w:r>
      <w:r>
        <w:rPr>
          <w:rFonts w:eastAsia="Times New Roman"/>
          <w:color w:val="000000"/>
          <w:sz w:val="20"/>
          <w:szCs w:val="20"/>
        </w:rPr>
        <w:t>s” for further information. If the impact of changes in our critical accounting estimates are material or considered necessary to understand our results of operations for the periods presented, then such information is disclosed within this Annual Report i</w:t>
      </w:r>
      <w:r>
        <w:rPr>
          <w:rFonts w:eastAsia="Times New Roman"/>
          <w:color w:val="000000"/>
          <w:sz w:val="20"/>
          <w:szCs w:val="20"/>
        </w:rPr>
        <w:t>n “Item 7. Management’s Discussion and Analysis of Financial Condition and Results of Operations.”</w:t>
      </w:r>
    </w:p>
    <w:p w14:paraId="3CEFDC77" w14:textId="77777777" w:rsidR="00000000" w:rsidRDefault="009B6C69">
      <w:pPr>
        <w:ind w:firstLine="360"/>
        <w:divId w:val="1362508849"/>
        <w:rPr>
          <w:rFonts w:eastAsia="Times New Roman"/>
        </w:rPr>
      </w:pPr>
      <w:r>
        <w:rPr>
          <w:rFonts w:eastAsia="Times New Roman"/>
          <w:b/>
          <w:bCs/>
          <w:i/>
          <w:iCs/>
          <w:color w:val="000000"/>
          <w:sz w:val="20"/>
          <w:szCs w:val="20"/>
        </w:rPr>
        <w:t>Revenue Recognition.</w:t>
      </w:r>
      <w:r>
        <w:rPr>
          <w:rFonts w:eastAsia="Times New Roman"/>
          <w:color w:val="000000"/>
          <w:sz w:val="20"/>
          <w:szCs w:val="20"/>
        </w:rPr>
        <w:t xml:space="preserve"> We grant licenses or otherwise provide rights to use portions of our intellectual property portfolio, which, among other rights, include</w:t>
      </w:r>
      <w:r>
        <w:rPr>
          <w:rFonts w:eastAsia="Times New Roman"/>
          <w:color w:val="000000"/>
          <w:sz w:val="20"/>
          <w:szCs w:val="20"/>
        </w:rPr>
        <w:t>s certain patent rights essential to and/or useful in the manufacture, sale or use of certain wireless products. We estimate and recognize sales-based royalties on such licensed products in the period in which the licensees’ sales occur, which is based lar</w:t>
      </w:r>
      <w:r>
        <w:rPr>
          <w:rFonts w:eastAsia="Times New Roman"/>
          <w:color w:val="000000"/>
          <w:sz w:val="20"/>
          <w:szCs w:val="20"/>
        </w:rPr>
        <w:t xml:space="preserve">gely on preliminary royalty estimates provided by our licensees. For fiscal 2022 and </w:t>
      </w:r>
    </w:p>
    <w:p w14:paraId="58E98B09" w14:textId="77777777" w:rsidR="00000000" w:rsidRDefault="009B6C69">
      <w:pPr>
        <w:jc w:val="center"/>
        <w:divId w:val="1084567408"/>
        <w:rPr>
          <w:rFonts w:eastAsia="Times New Roman"/>
        </w:rPr>
      </w:pPr>
      <w:r>
        <w:rPr>
          <w:rFonts w:eastAsia="Times New Roman"/>
          <w:color w:val="000000"/>
          <w:sz w:val="20"/>
          <w:szCs w:val="20"/>
        </w:rPr>
        <w:t>46</w:t>
      </w:r>
    </w:p>
    <w:p w14:paraId="1287AEE4" w14:textId="77777777" w:rsidR="00000000" w:rsidRDefault="009B6C69">
      <w:pPr>
        <w:rPr>
          <w:rFonts w:eastAsia="Times New Roman"/>
        </w:rPr>
      </w:pPr>
      <w:r>
        <w:rPr>
          <w:rFonts w:eastAsia="Times New Roman"/>
        </w:rPr>
        <w:pict w14:anchorId="38122C4B">
          <v:rect id="_x0000_i1070" style="width:0;height:1.5pt" o:hralign="center" o:hrstd="t" o:hr="t" fillcolor="#a0a0a0" stroked="f"/>
        </w:pict>
      </w:r>
    </w:p>
    <w:p w14:paraId="7A4D1367" w14:textId="77777777" w:rsidR="00000000" w:rsidRDefault="009B6C69">
      <w:pPr>
        <w:divId w:val="2142572255"/>
        <w:rPr>
          <w:rFonts w:eastAsia="Times New Roman"/>
        </w:rPr>
      </w:pPr>
    </w:p>
    <w:p w14:paraId="79EE478E" w14:textId="77777777" w:rsidR="00000000" w:rsidRDefault="009B6C69">
      <w:pPr>
        <w:divId w:val="543372639"/>
        <w:rPr>
          <w:rFonts w:eastAsia="Times New Roman"/>
        </w:rPr>
      </w:pPr>
      <w:r>
        <w:rPr>
          <w:rFonts w:eastAsia="Times New Roman"/>
          <w:color w:val="000000"/>
          <w:sz w:val="20"/>
          <w:szCs w:val="20"/>
        </w:rPr>
        <w:t>2021, actual amounts for sales-based royalties have been materially consistent with such estimates, and no significant reversals</w:t>
      </w:r>
      <w:r>
        <w:rPr>
          <w:rFonts w:eastAsia="Times New Roman"/>
          <w:color w:val="000000"/>
          <w:sz w:val="20"/>
          <w:szCs w:val="20"/>
        </w:rPr>
        <w:t xml:space="preserve"> of revenues have been required as a result of adjustments to prior period royalty estimates.</w:t>
      </w:r>
    </w:p>
    <w:p w14:paraId="453C1D94" w14:textId="77777777" w:rsidR="00000000" w:rsidRDefault="009B6C69">
      <w:pPr>
        <w:ind w:firstLine="360"/>
        <w:divId w:val="210924164"/>
        <w:rPr>
          <w:rFonts w:eastAsia="Times New Roman"/>
        </w:rPr>
      </w:pPr>
      <w:r>
        <w:rPr>
          <w:rFonts w:eastAsia="Times New Roman"/>
          <w:b/>
          <w:bCs/>
          <w:i/>
          <w:iCs/>
          <w:color w:val="000000"/>
          <w:sz w:val="20"/>
          <w:szCs w:val="20"/>
        </w:rPr>
        <w:t>Impairment of Non-marketable Equity Investments.</w:t>
      </w:r>
      <w:r>
        <w:rPr>
          <w:rFonts w:eastAsia="Times New Roman"/>
          <w:color w:val="000000"/>
          <w:sz w:val="20"/>
          <w:szCs w:val="20"/>
        </w:rPr>
        <w:t xml:space="preserve"> We monitor our investments for events or circumstances that could indicate impairment, including those that resul</w:t>
      </w:r>
      <w:r>
        <w:rPr>
          <w:rFonts w:eastAsia="Times New Roman"/>
          <w:color w:val="000000"/>
          <w:sz w:val="20"/>
          <w:szCs w:val="20"/>
        </w:rPr>
        <w:t xml:space="preserve">t from observable price adjustments. In fiscal 2021, and to a lesser extent in fiscal 2022, significant evaluation and judgments were required in determining whether such investments were impaired due to the continuing effects of the COVID-19 pandemic (as </w:t>
      </w:r>
      <w:r>
        <w:rPr>
          <w:rFonts w:eastAsia="Times New Roman"/>
          <w:color w:val="000000"/>
          <w:sz w:val="20"/>
          <w:szCs w:val="20"/>
        </w:rPr>
        <w:t>well as the effects of other macroeconomic factors), and if so, the extent of such impairment. This included, among other items: (i) assessing the business impacts that COVID-19 had on our investees, including taking into consideration the investee’s indus</w:t>
      </w:r>
      <w:r>
        <w:rPr>
          <w:rFonts w:eastAsia="Times New Roman"/>
          <w:color w:val="000000"/>
          <w:sz w:val="20"/>
          <w:szCs w:val="20"/>
        </w:rPr>
        <w:t>try and geographic location and the impact to its customers, suppliers and employees, as applicable; (ii) evaluating the investees’ ability to respond to the impacts of COVID-19, including any significant deterioration in the investee’s financial condition</w:t>
      </w:r>
      <w:r>
        <w:rPr>
          <w:rFonts w:eastAsia="Times New Roman"/>
          <w:color w:val="000000"/>
          <w:sz w:val="20"/>
          <w:szCs w:val="20"/>
        </w:rPr>
        <w:t xml:space="preserve"> and cash flows, as well as assessing liquidity and/or going concern risks; and (iii) considering any appreciation in fair value that has not been recognized in the carrying values of such investments. In fiscal 2022 and 2021, there were no significant imp</w:t>
      </w:r>
      <w:r>
        <w:rPr>
          <w:rFonts w:eastAsia="Times New Roman"/>
          <w:color w:val="000000"/>
          <w:sz w:val="20"/>
          <w:szCs w:val="20"/>
        </w:rPr>
        <w:t>airment losses or adjustments to our previous judgments and estimates recorded.</w:t>
      </w:r>
    </w:p>
    <w:p w14:paraId="2E478E82" w14:textId="77777777" w:rsidR="00000000" w:rsidRDefault="009B6C69">
      <w:pPr>
        <w:ind w:firstLine="360"/>
        <w:divId w:val="1761366421"/>
        <w:rPr>
          <w:rFonts w:eastAsia="Times New Roman"/>
        </w:rPr>
      </w:pPr>
      <w:r>
        <w:rPr>
          <w:rFonts w:eastAsia="Times New Roman"/>
          <w:b/>
          <w:bCs/>
          <w:i/>
          <w:iCs/>
          <w:color w:val="000000"/>
          <w:sz w:val="20"/>
          <w:szCs w:val="20"/>
        </w:rPr>
        <w:t>Inventories.</w:t>
      </w:r>
      <w:r>
        <w:rPr>
          <w:rFonts w:eastAsia="Times New Roman"/>
          <w:color w:val="000000"/>
          <w:sz w:val="20"/>
          <w:szCs w:val="20"/>
        </w:rPr>
        <w:t xml:space="preserve"> We measure inventory at the lower of cost or net realizable value considering judgments and estimates related to future customer demand and other market conditions</w:t>
      </w:r>
      <w:r>
        <w:rPr>
          <w:rFonts w:eastAsia="Times New Roman"/>
          <w:color w:val="000000"/>
          <w:sz w:val="20"/>
          <w:szCs w:val="20"/>
        </w:rPr>
        <w:t>, such as the impact of certain capacity constraints experienced across the semiconductor industry through the third quarter of fiscal 2022 and in fiscal 2021, as well as the impact of the macroeconomic environment in fiscal 2022. Although we believe these</w:t>
      </w:r>
      <w:r>
        <w:rPr>
          <w:rFonts w:eastAsia="Times New Roman"/>
          <w:color w:val="000000"/>
          <w:sz w:val="20"/>
          <w:szCs w:val="20"/>
        </w:rPr>
        <w:t xml:space="preserve"> estimates are reasonable, any significant changes in customer demand that are less favorable than our previous estimates may require additional inventory write-downs and would be reflected in cost of sales resulting in a negative impact to our gross margi</w:t>
      </w:r>
      <w:r>
        <w:rPr>
          <w:rFonts w:eastAsia="Times New Roman"/>
          <w:color w:val="000000"/>
          <w:sz w:val="20"/>
          <w:szCs w:val="20"/>
        </w:rPr>
        <w:t xml:space="preserve">n in that period. For fiscal 2022 and 2021, the net effect from changes in this estimate and related reserves was less than 2% of cost of revenues during each period. </w:t>
      </w:r>
    </w:p>
    <w:p w14:paraId="0A32DF9B" w14:textId="77777777" w:rsidR="00000000" w:rsidRDefault="009B6C69">
      <w:pPr>
        <w:ind w:firstLine="360"/>
        <w:divId w:val="1948539666"/>
        <w:rPr>
          <w:rFonts w:eastAsia="Times New Roman"/>
        </w:rPr>
      </w:pPr>
      <w:r>
        <w:rPr>
          <w:rFonts w:eastAsia="Times New Roman"/>
          <w:b/>
          <w:bCs/>
          <w:i/>
          <w:iCs/>
          <w:color w:val="000000"/>
          <w:sz w:val="20"/>
          <w:szCs w:val="20"/>
        </w:rPr>
        <w:t>Impairment of Goodwill, Other Indefinite-Lived Assets and Long-Lived Assets</w:t>
      </w:r>
      <w:r>
        <w:rPr>
          <w:rFonts w:eastAsia="Times New Roman"/>
          <w:b/>
          <w:bCs/>
          <w:color w:val="000000"/>
          <w:sz w:val="20"/>
          <w:szCs w:val="20"/>
        </w:rPr>
        <w:t>.</w:t>
      </w:r>
      <w:r>
        <w:rPr>
          <w:rFonts w:eastAsia="Times New Roman"/>
          <w:color w:val="000000"/>
          <w:sz w:val="20"/>
          <w:szCs w:val="20"/>
        </w:rPr>
        <w:t xml:space="preserve"> We monitor </w:t>
      </w:r>
      <w:r>
        <w:rPr>
          <w:rFonts w:eastAsia="Times New Roman"/>
          <w:color w:val="000000"/>
          <w:sz w:val="20"/>
          <w:szCs w:val="20"/>
        </w:rPr>
        <w:t>our goodwill, other indefinite-lived assets and long-lived assets for the existence of impairment indicators and apply judgments in the valuation methods and underlying assumptions utilized in such assessments. During fiscal 2022 and fiscal 2021, impairmen</w:t>
      </w:r>
      <w:r>
        <w:rPr>
          <w:rFonts w:eastAsia="Times New Roman"/>
          <w:color w:val="000000"/>
          <w:sz w:val="20"/>
          <w:szCs w:val="20"/>
        </w:rPr>
        <w:t>t charges for long-lived assets were not material. Additionally, the estimated fair values of our QCT and QTL reporting units, based on our qualitative assessment, were substantially in excess of their respective carrying values at September 25, 2022.</w:t>
      </w:r>
    </w:p>
    <w:p w14:paraId="5CB8F0A2" w14:textId="77777777" w:rsidR="00000000" w:rsidRDefault="009B6C69">
      <w:pPr>
        <w:ind w:firstLine="360"/>
        <w:divId w:val="1721130646"/>
        <w:rPr>
          <w:rFonts w:eastAsia="Times New Roman"/>
        </w:rPr>
      </w:pPr>
      <w:r>
        <w:rPr>
          <w:rFonts w:eastAsia="Times New Roman"/>
          <w:b/>
          <w:bCs/>
          <w:i/>
          <w:iCs/>
          <w:color w:val="000000"/>
          <w:sz w:val="20"/>
          <w:szCs w:val="20"/>
        </w:rPr>
        <w:t>Lega</w:t>
      </w:r>
      <w:r>
        <w:rPr>
          <w:rFonts w:eastAsia="Times New Roman"/>
          <w:b/>
          <w:bCs/>
          <w:i/>
          <w:iCs/>
          <w:color w:val="000000"/>
          <w:sz w:val="20"/>
          <w:szCs w:val="20"/>
        </w:rPr>
        <w:t>l and Regulatory Proceedings.</w:t>
      </w:r>
      <w:r>
        <w:rPr>
          <w:rFonts w:eastAsia="Times New Roman"/>
          <w:color w:val="000000"/>
          <w:sz w:val="20"/>
          <w:szCs w:val="20"/>
        </w:rPr>
        <w:t xml:space="preserve"> We record our best estimate of a loss related to pending legal and regulatory proceedings when the loss is considered probable and the amount can be reasonably estimated. We face difficulties in evaluating or estimating likely</w:t>
      </w:r>
      <w:r>
        <w:rPr>
          <w:rFonts w:eastAsia="Times New Roman"/>
          <w:color w:val="000000"/>
          <w:sz w:val="20"/>
          <w:szCs w:val="20"/>
        </w:rPr>
        <w:t xml:space="preserve"> outcomes or the amount of possible loss in certain legal and regulatory proceedings. </w:t>
      </w:r>
    </w:p>
    <w:p w14:paraId="3DF460F3" w14:textId="77777777" w:rsidR="00000000" w:rsidRDefault="009B6C69">
      <w:pPr>
        <w:ind w:firstLine="360"/>
        <w:divId w:val="1085490325"/>
        <w:rPr>
          <w:rFonts w:eastAsia="Times New Roman"/>
        </w:rPr>
      </w:pPr>
      <w:r>
        <w:rPr>
          <w:rFonts w:eastAsia="Times New Roman"/>
          <w:b/>
          <w:bCs/>
          <w:i/>
          <w:iCs/>
          <w:color w:val="000000"/>
          <w:sz w:val="20"/>
          <w:szCs w:val="20"/>
        </w:rPr>
        <w:t>Income Taxes.</w:t>
      </w:r>
      <w:r>
        <w:rPr>
          <w:rFonts w:eastAsia="Times New Roman"/>
          <w:color w:val="000000"/>
          <w:sz w:val="20"/>
          <w:szCs w:val="20"/>
        </w:rPr>
        <w:t xml:space="preserve"> We make significant judgments and estimates in determining our provision for income taxes, including our assessment of our income tax positions given the u</w:t>
      </w:r>
      <w:r>
        <w:rPr>
          <w:rFonts w:eastAsia="Times New Roman"/>
          <w:color w:val="000000"/>
          <w:sz w:val="20"/>
          <w:szCs w:val="20"/>
        </w:rPr>
        <w:t>ncertainties involved in the interpretation and application of complex tax laws and regulations in various taxing jurisdictions.</w:t>
      </w:r>
    </w:p>
    <w:p w14:paraId="63382BE8" w14:textId="77777777" w:rsidR="00000000" w:rsidRDefault="009B6C69">
      <w:pPr>
        <w:divId w:val="613750028"/>
        <w:rPr>
          <w:rFonts w:eastAsia="Times New Roman"/>
        </w:rPr>
      </w:pPr>
      <w:r>
        <w:rPr>
          <w:rFonts w:eastAsia="Times New Roman"/>
          <w:b/>
          <w:bCs/>
          <w:color w:val="000000"/>
          <w:sz w:val="20"/>
          <w:szCs w:val="20"/>
        </w:rPr>
        <w:t>Item 7A. Quantitative and Qualitative Disclosures about Market Risk</w:t>
      </w:r>
    </w:p>
    <w:p w14:paraId="7CF9571E" w14:textId="77777777" w:rsidR="00000000" w:rsidRDefault="009B6C69">
      <w:pPr>
        <w:divId w:val="2080443017"/>
        <w:rPr>
          <w:rFonts w:eastAsia="Times New Roman"/>
        </w:rPr>
      </w:pPr>
      <w:r>
        <w:rPr>
          <w:rFonts w:eastAsia="Times New Roman"/>
          <w:b/>
          <w:bCs/>
          <w:color w:val="000000"/>
          <w:sz w:val="20"/>
          <w:szCs w:val="20"/>
        </w:rPr>
        <w:t>Marketable Securities</w:t>
      </w:r>
    </w:p>
    <w:p w14:paraId="04901310" w14:textId="77777777" w:rsidR="00000000" w:rsidRDefault="009B6C69">
      <w:pPr>
        <w:ind w:firstLine="360"/>
        <w:divId w:val="1073549437"/>
        <w:rPr>
          <w:rFonts w:eastAsia="Times New Roman"/>
        </w:rPr>
      </w:pPr>
      <w:r>
        <w:rPr>
          <w:rFonts w:eastAsia="Times New Roman"/>
          <w:color w:val="000000"/>
          <w:sz w:val="20"/>
          <w:szCs w:val="20"/>
        </w:rPr>
        <w:t>We have made investments in marketable securities of companies of varying size, style, industry and geography and changes in investment allocations may affect the price volatility of our investments.</w:t>
      </w:r>
    </w:p>
    <w:p w14:paraId="2637F55A" w14:textId="77777777" w:rsidR="00000000" w:rsidRDefault="009B6C69">
      <w:pPr>
        <w:ind w:firstLine="360"/>
        <w:divId w:val="545987369"/>
        <w:rPr>
          <w:rFonts w:eastAsia="Times New Roman"/>
        </w:rPr>
      </w:pPr>
      <w:r>
        <w:rPr>
          <w:rFonts w:eastAsia="Times New Roman"/>
          <w:b/>
          <w:bCs/>
          <w:i/>
          <w:iCs/>
          <w:color w:val="000000"/>
          <w:sz w:val="20"/>
          <w:szCs w:val="20"/>
        </w:rPr>
        <w:t>Equity Price Risk.</w:t>
      </w:r>
      <w:r>
        <w:rPr>
          <w:rFonts w:eastAsia="Times New Roman"/>
          <w:color w:val="000000"/>
          <w:sz w:val="20"/>
          <w:szCs w:val="20"/>
        </w:rPr>
        <w:t xml:space="preserve"> At September 25, 2022, the recorded v</w:t>
      </w:r>
      <w:r>
        <w:rPr>
          <w:rFonts w:eastAsia="Times New Roman"/>
          <w:color w:val="000000"/>
          <w:sz w:val="20"/>
          <w:szCs w:val="20"/>
        </w:rPr>
        <w:t xml:space="preserve">alue of our marketable equity securities was $164 million. A 10% decrease in the market price of our marketable equity securities at September 25, 2022 would have caused a decrease in the carrying amounts of these securities of $16 million. A 10% decrease </w:t>
      </w:r>
      <w:r>
        <w:rPr>
          <w:rFonts w:eastAsia="Times New Roman"/>
          <w:color w:val="000000"/>
          <w:sz w:val="20"/>
          <w:szCs w:val="20"/>
        </w:rPr>
        <w:t xml:space="preserve">in the market price of our marketable equity securities at September 26, 2021 would have caused a decrease in the carrying amounts of these securities of $68 million. Certain of our marketable equity investments are in early or growth stage companies, and </w:t>
      </w:r>
      <w:r>
        <w:rPr>
          <w:rFonts w:eastAsia="Times New Roman"/>
          <w:color w:val="000000"/>
          <w:sz w:val="20"/>
          <w:szCs w:val="20"/>
        </w:rPr>
        <w:t>the fair values of these investments have been and may continue to be subject to increased volatility.</w:t>
      </w:r>
    </w:p>
    <w:p w14:paraId="4BCC3B70" w14:textId="77777777" w:rsidR="00000000" w:rsidRDefault="009B6C69">
      <w:pPr>
        <w:ind w:firstLine="360"/>
        <w:divId w:val="72699660"/>
        <w:rPr>
          <w:rFonts w:eastAsia="Times New Roman"/>
        </w:rPr>
      </w:pPr>
      <w:r>
        <w:rPr>
          <w:rFonts w:eastAsia="Times New Roman"/>
          <w:b/>
          <w:bCs/>
          <w:i/>
          <w:iCs/>
          <w:color w:val="000000"/>
          <w:sz w:val="20"/>
          <w:szCs w:val="20"/>
        </w:rPr>
        <w:t xml:space="preserve">Interest Rate Risk. </w:t>
      </w:r>
      <w:r>
        <w:rPr>
          <w:rFonts w:eastAsia="Times New Roman"/>
          <w:color w:val="000000"/>
          <w:sz w:val="20"/>
          <w:szCs w:val="20"/>
        </w:rPr>
        <w:t>We invest a portion of our cash in a number of diversified fixed- and floating-rate securities consisting of cash equivalents, market</w:t>
      </w:r>
      <w:r>
        <w:rPr>
          <w:rFonts w:eastAsia="Times New Roman"/>
          <w:color w:val="000000"/>
          <w:sz w:val="20"/>
          <w:szCs w:val="20"/>
        </w:rPr>
        <w:t>able debt securities and time and demand deposits that are subject to interest rate risk. At September 25, 2022 and September 26, 2021, a hypothetical increase in interest rates of 100 basis points across the entire yield curve on our holdings would have r</w:t>
      </w:r>
      <w:r>
        <w:rPr>
          <w:rFonts w:eastAsia="Times New Roman"/>
          <w:color w:val="000000"/>
          <w:sz w:val="20"/>
          <w:szCs w:val="20"/>
        </w:rPr>
        <w:t>esulted in a decrease of $36 million and $50 million, respectively, in the fair value of our holdings.</w:t>
      </w:r>
    </w:p>
    <w:p w14:paraId="751104F0" w14:textId="77777777" w:rsidR="00000000" w:rsidRDefault="009B6C69">
      <w:pPr>
        <w:divId w:val="766073774"/>
        <w:rPr>
          <w:rFonts w:eastAsia="Times New Roman"/>
        </w:rPr>
      </w:pPr>
      <w:r>
        <w:rPr>
          <w:rFonts w:eastAsia="Times New Roman"/>
          <w:b/>
          <w:bCs/>
          <w:color w:val="000000"/>
          <w:sz w:val="20"/>
          <w:szCs w:val="20"/>
        </w:rPr>
        <w:t>Other Investments</w:t>
      </w:r>
    </w:p>
    <w:p w14:paraId="28F74F71" w14:textId="77777777" w:rsidR="00000000" w:rsidRDefault="009B6C69">
      <w:pPr>
        <w:ind w:firstLine="360"/>
        <w:divId w:val="1187064591"/>
        <w:rPr>
          <w:rFonts w:eastAsia="Times New Roman"/>
        </w:rPr>
      </w:pPr>
      <w:r>
        <w:rPr>
          <w:rFonts w:eastAsia="Times New Roman"/>
          <w:b/>
          <w:bCs/>
          <w:i/>
          <w:iCs/>
          <w:color w:val="000000"/>
          <w:sz w:val="20"/>
          <w:szCs w:val="20"/>
        </w:rPr>
        <w:t xml:space="preserve">Equity Price Risk. </w:t>
      </w:r>
      <w:r>
        <w:rPr>
          <w:rFonts w:eastAsia="Times New Roman"/>
          <w:color w:val="000000"/>
          <w:sz w:val="20"/>
          <w:szCs w:val="20"/>
        </w:rPr>
        <w:t xml:space="preserve">We hold investments in non-marketable equity instruments in privately held companies that may be impacted by equity </w:t>
      </w:r>
      <w:r>
        <w:rPr>
          <w:rFonts w:eastAsia="Times New Roman"/>
          <w:color w:val="000000"/>
          <w:sz w:val="20"/>
          <w:szCs w:val="20"/>
        </w:rPr>
        <w:t>price risks. Volatility in the equity markets and the current macroeconomic environment could negatively affect our investees’ ability to raise additional capital as well as our ability to realize value from our investments through initial public offerings</w:t>
      </w:r>
      <w:r>
        <w:rPr>
          <w:rFonts w:eastAsia="Times New Roman"/>
          <w:color w:val="000000"/>
          <w:sz w:val="20"/>
          <w:szCs w:val="20"/>
        </w:rPr>
        <w:t>, mergers or private sales. Consequently, we could incur impairment losses or realized losses on all or part of the values of our non-marketable equity investments. At September 25, 2022, the aggregate carrying value of our non-marketable equity investment</w:t>
      </w:r>
      <w:r>
        <w:rPr>
          <w:rFonts w:eastAsia="Times New Roman"/>
          <w:color w:val="000000"/>
          <w:sz w:val="20"/>
          <w:szCs w:val="20"/>
        </w:rPr>
        <w:t>s (including those accounted for under the equity method) was included in other assets and was $1.3 billion.</w:t>
      </w:r>
    </w:p>
    <w:p w14:paraId="32AF7D64" w14:textId="77777777" w:rsidR="00000000" w:rsidRDefault="009B6C69">
      <w:pPr>
        <w:jc w:val="center"/>
        <w:divId w:val="2050913984"/>
        <w:rPr>
          <w:rFonts w:eastAsia="Times New Roman"/>
        </w:rPr>
      </w:pPr>
      <w:r>
        <w:rPr>
          <w:rFonts w:eastAsia="Times New Roman"/>
          <w:color w:val="000000"/>
          <w:sz w:val="20"/>
          <w:szCs w:val="20"/>
        </w:rPr>
        <w:t>47</w:t>
      </w:r>
    </w:p>
    <w:p w14:paraId="116A28EB" w14:textId="77777777" w:rsidR="00000000" w:rsidRDefault="009B6C69">
      <w:pPr>
        <w:rPr>
          <w:rFonts w:eastAsia="Times New Roman"/>
        </w:rPr>
      </w:pPr>
      <w:r>
        <w:rPr>
          <w:rFonts w:eastAsia="Times New Roman"/>
        </w:rPr>
        <w:pict w14:anchorId="2C3A0886">
          <v:rect id="_x0000_i1071" style="width:0;height:1.5pt" o:hralign="center" o:hrstd="t" o:hr="t" fillcolor="#a0a0a0" stroked="f"/>
        </w:pict>
      </w:r>
    </w:p>
    <w:p w14:paraId="30B06CB4" w14:textId="77777777" w:rsidR="00000000" w:rsidRDefault="009B6C69">
      <w:pPr>
        <w:divId w:val="712123189"/>
        <w:rPr>
          <w:rFonts w:eastAsia="Times New Roman"/>
        </w:rPr>
      </w:pPr>
    </w:p>
    <w:p w14:paraId="7B470B1B" w14:textId="77777777" w:rsidR="00000000" w:rsidRDefault="009B6C69">
      <w:pPr>
        <w:divId w:val="462503518"/>
        <w:rPr>
          <w:rFonts w:eastAsia="Times New Roman"/>
        </w:rPr>
      </w:pPr>
      <w:r>
        <w:rPr>
          <w:rFonts w:eastAsia="Times New Roman"/>
          <w:b/>
          <w:bCs/>
          <w:color w:val="000000"/>
          <w:sz w:val="20"/>
          <w:szCs w:val="20"/>
        </w:rPr>
        <w:t>Debt and Interest Rate Swap Agreements</w:t>
      </w:r>
    </w:p>
    <w:p w14:paraId="6F820337" w14:textId="77777777" w:rsidR="00000000" w:rsidRDefault="009B6C69">
      <w:pPr>
        <w:ind w:firstLine="360"/>
        <w:divId w:val="878905118"/>
        <w:rPr>
          <w:rFonts w:eastAsia="Times New Roman"/>
        </w:rPr>
      </w:pPr>
      <w:r>
        <w:rPr>
          <w:rFonts w:eastAsia="Times New Roman"/>
          <w:b/>
          <w:bCs/>
          <w:i/>
          <w:iCs/>
          <w:color w:val="000000"/>
          <w:sz w:val="20"/>
          <w:szCs w:val="20"/>
        </w:rPr>
        <w:t>Interest Rate Risk.</w:t>
      </w:r>
      <w:r>
        <w:rPr>
          <w:rFonts w:eastAsia="Times New Roman"/>
          <w:color w:val="000000"/>
          <w:sz w:val="20"/>
          <w:szCs w:val="20"/>
        </w:rPr>
        <w:t xml:space="preserve"> As substantially all of our debt is comprised of unsecured fixed-rate notes, we are not subject to significant interest rate risk. At September 25, 2022, we ha</w:t>
      </w:r>
      <w:r>
        <w:rPr>
          <w:rFonts w:eastAsia="Times New Roman"/>
          <w:color w:val="000000"/>
          <w:sz w:val="20"/>
          <w:szCs w:val="20"/>
        </w:rPr>
        <w:t>d an aggregate principal amount of $500 million in unsecured floating-rate notes due January 30, 2023. The interest rates on our floating-rate notes are based on LIBOR. At September 25, 2022 and September 26, 2021, a hypothetical increase in LIBOR-based in</w:t>
      </w:r>
      <w:r>
        <w:rPr>
          <w:rFonts w:eastAsia="Times New Roman"/>
          <w:color w:val="000000"/>
          <w:sz w:val="20"/>
          <w:szCs w:val="20"/>
        </w:rPr>
        <w:t xml:space="preserve">terest rates of 100 basis points would cause a negligible increase to interest expense on an annualized basis as it relates to our floating-rate notes. At September 25, 2022, we also had $499 million in commercial paper outstanding, for which our exposure </w:t>
      </w:r>
      <w:r>
        <w:rPr>
          <w:rFonts w:eastAsia="Times New Roman"/>
          <w:color w:val="000000"/>
          <w:sz w:val="20"/>
          <w:szCs w:val="20"/>
        </w:rPr>
        <w:t xml:space="preserve">to interest rate risk was negligible based on the original maturities of approximately three months or less. </w:t>
      </w:r>
    </w:p>
    <w:p w14:paraId="69C25149" w14:textId="77777777" w:rsidR="00000000" w:rsidRDefault="009B6C69">
      <w:pPr>
        <w:ind w:firstLine="360"/>
        <w:divId w:val="427115182"/>
        <w:rPr>
          <w:rFonts w:eastAsia="Times New Roman"/>
        </w:rPr>
      </w:pPr>
      <w:r>
        <w:rPr>
          <w:rFonts w:eastAsia="Times New Roman"/>
          <w:color w:val="000000"/>
          <w:sz w:val="20"/>
          <w:szCs w:val="20"/>
        </w:rPr>
        <w:t>From time to time, we manage our exposure to certain interest rate risks related to our long-term debt through the use of interest rate swaps. Dur</w:t>
      </w:r>
      <w:r>
        <w:rPr>
          <w:rFonts w:eastAsia="Times New Roman"/>
          <w:color w:val="000000"/>
          <w:sz w:val="20"/>
          <w:szCs w:val="20"/>
        </w:rPr>
        <w:t>ing fiscal 2022, we entered into interest rate swaps that are designated as fair value hedges with an aggregate notional amount of $2.1 billion to effectively convert certain fixed-rate interest payments into floating-rate payments on our outstanding debt.</w:t>
      </w:r>
      <w:r>
        <w:rPr>
          <w:rFonts w:eastAsia="Times New Roman"/>
          <w:color w:val="000000"/>
          <w:sz w:val="20"/>
          <w:szCs w:val="20"/>
        </w:rPr>
        <w:t xml:space="preserve"> We entered into these agreements, in part, to manage interest rate risk associated with our cash equivalents and marketable securities, in addition to changes in the fair value of our outstanding debt. At September 25, 2022, a hypothetical incr</w:t>
      </w:r>
      <w:r>
        <w:rPr>
          <w:rFonts w:eastAsia="Times New Roman"/>
          <w:color w:val="000000"/>
          <w:sz w:val="20"/>
          <w:szCs w:val="20"/>
          <w:shd w:val="clear" w:color="auto" w:fill="FFFFFF"/>
        </w:rPr>
        <w:t>ease in int</w:t>
      </w:r>
      <w:r>
        <w:rPr>
          <w:rFonts w:eastAsia="Times New Roman"/>
          <w:color w:val="000000"/>
          <w:sz w:val="20"/>
          <w:szCs w:val="20"/>
          <w:shd w:val="clear" w:color="auto" w:fill="FFFFFF"/>
        </w:rPr>
        <w:t>erest rates of 100 basis points would not cause a loss as an increase in interest expense related to these interest rate swaps agreements would be offset by an increase in interest income from our cash equivalents and marketable securities portfolio.</w:t>
      </w:r>
    </w:p>
    <w:p w14:paraId="5EB5448B" w14:textId="77777777" w:rsidR="00000000" w:rsidRDefault="009B6C69">
      <w:pPr>
        <w:ind w:firstLine="360"/>
        <w:divId w:val="939677628"/>
        <w:rPr>
          <w:rFonts w:eastAsia="Times New Roman"/>
        </w:rPr>
      </w:pPr>
      <w:r>
        <w:rPr>
          <w:rFonts w:eastAsia="Times New Roman"/>
          <w:color w:val="000000"/>
          <w:sz w:val="20"/>
          <w:szCs w:val="20"/>
          <w:shd w:val="clear" w:color="auto" w:fill="FFFFFF"/>
        </w:rPr>
        <w:t xml:space="preserve">At </w:t>
      </w:r>
      <w:r>
        <w:rPr>
          <w:rFonts w:eastAsia="Times New Roman"/>
          <w:color w:val="000000"/>
          <w:sz w:val="20"/>
          <w:szCs w:val="20"/>
        </w:rPr>
        <w:t>Se</w:t>
      </w:r>
      <w:r>
        <w:rPr>
          <w:rFonts w:eastAsia="Times New Roman"/>
          <w:color w:val="000000"/>
          <w:sz w:val="20"/>
          <w:szCs w:val="20"/>
        </w:rPr>
        <w:t>ptember 25, 2022</w:t>
      </w:r>
      <w:r>
        <w:rPr>
          <w:rFonts w:eastAsia="Times New Roman"/>
          <w:color w:val="000000"/>
          <w:sz w:val="20"/>
          <w:szCs w:val="20"/>
          <w:shd w:val="clear" w:color="auto" w:fill="FFFFFF"/>
        </w:rPr>
        <w:t xml:space="preserve"> and </w:t>
      </w:r>
      <w:r>
        <w:rPr>
          <w:rFonts w:eastAsia="Times New Roman"/>
          <w:color w:val="000000"/>
          <w:sz w:val="20"/>
          <w:szCs w:val="20"/>
        </w:rPr>
        <w:t>September 26, 2021</w:t>
      </w:r>
      <w:r>
        <w:rPr>
          <w:rFonts w:eastAsia="Times New Roman"/>
          <w:color w:val="000000"/>
          <w:sz w:val="20"/>
          <w:szCs w:val="20"/>
          <w:shd w:val="clear" w:color="auto" w:fill="FFFFFF"/>
        </w:rPr>
        <w:t xml:space="preserve">, we had outstanding forward-starting interest rate swaps with an aggregate notional amount of </w:t>
      </w:r>
      <w:r>
        <w:rPr>
          <w:rFonts w:eastAsia="Times New Roman"/>
          <w:color w:val="000000"/>
          <w:sz w:val="20"/>
          <w:szCs w:val="20"/>
        </w:rPr>
        <w:t>$1.6 billion</w:t>
      </w:r>
      <w:r>
        <w:rPr>
          <w:rFonts w:eastAsia="Times New Roman"/>
          <w:color w:val="000000"/>
          <w:sz w:val="20"/>
          <w:szCs w:val="20"/>
          <w:shd w:val="clear" w:color="auto" w:fill="FFFFFF"/>
        </w:rPr>
        <w:t xml:space="preserve"> and </w:t>
      </w:r>
      <w:r>
        <w:rPr>
          <w:rFonts w:eastAsia="Times New Roman"/>
          <w:color w:val="000000"/>
          <w:sz w:val="20"/>
          <w:szCs w:val="20"/>
        </w:rPr>
        <w:t>$2.6 billion</w:t>
      </w:r>
      <w:r>
        <w:rPr>
          <w:rFonts w:eastAsia="Times New Roman"/>
          <w:color w:val="000000"/>
          <w:sz w:val="20"/>
          <w:szCs w:val="20"/>
          <w:shd w:val="clear" w:color="auto" w:fill="FFFFFF"/>
        </w:rPr>
        <w:t xml:space="preserve">, respectively, to hedge the variability of forecasted interest payments on anticipated debt </w:t>
      </w:r>
      <w:r>
        <w:rPr>
          <w:rFonts w:eastAsia="Times New Roman"/>
          <w:color w:val="000000"/>
          <w:sz w:val="20"/>
          <w:szCs w:val="20"/>
          <w:shd w:val="clear" w:color="auto" w:fill="FFFFFF"/>
        </w:rPr>
        <w:t xml:space="preserve">issuances. The interest rates on our interest rate swaps are based on LIBOR. At </w:t>
      </w:r>
      <w:r>
        <w:rPr>
          <w:rFonts w:eastAsia="Times New Roman"/>
          <w:color w:val="000000"/>
          <w:sz w:val="20"/>
          <w:szCs w:val="20"/>
        </w:rPr>
        <w:t>September 25, 2022</w:t>
      </w:r>
      <w:r>
        <w:rPr>
          <w:rFonts w:eastAsia="Times New Roman"/>
          <w:color w:val="000000"/>
          <w:sz w:val="20"/>
          <w:szCs w:val="20"/>
          <w:shd w:val="clear" w:color="auto" w:fill="FFFFFF"/>
        </w:rPr>
        <w:t xml:space="preserve"> and </w:t>
      </w:r>
      <w:r>
        <w:rPr>
          <w:rFonts w:eastAsia="Times New Roman"/>
          <w:color w:val="000000"/>
          <w:sz w:val="20"/>
          <w:szCs w:val="20"/>
        </w:rPr>
        <w:t>September 26, 2021</w:t>
      </w:r>
      <w:r>
        <w:rPr>
          <w:rFonts w:eastAsia="Times New Roman"/>
          <w:color w:val="000000"/>
          <w:sz w:val="20"/>
          <w:szCs w:val="20"/>
          <w:shd w:val="clear" w:color="auto" w:fill="FFFFFF"/>
        </w:rPr>
        <w:t>, a hypothetical decrease in interest rates of 100 basis points would cause a negligible</w:t>
      </w:r>
      <w:r>
        <w:rPr>
          <w:rFonts w:eastAsia="Times New Roman"/>
          <w:color w:val="000000"/>
          <w:sz w:val="20"/>
          <w:szCs w:val="20"/>
        </w:rPr>
        <w:t xml:space="preserve"> </w:t>
      </w:r>
      <w:r>
        <w:rPr>
          <w:rFonts w:eastAsia="Times New Roman"/>
          <w:color w:val="000000"/>
          <w:sz w:val="20"/>
          <w:szCs w:val="20"/>
          <w:shd w:val="clear" w:color="auto" w:fill="FFFFFF"/>
        </w:rPr>
        <w:t>and $23 million increase, respectively, to int</w:t>
      </w:r>
      <w:r>
        <w:rPr>
          <w:rFonts w:eastAsia="Times New Roman"/>
          <w:color w:val="000000"/>
          <w:sz w:val="20"/>
          <w:szCs w:val="20"/>
          <w:shd w:val="clear" w:color="auto" w:fill="FFFFFF"/>
        </w:rPr>
        <w:t>erest expense on an annualized basis resulting from the changes in fair values of the interest rate swaps related to our anticipated debt issuances.</w:t>
      </w:r>
    </w:p>
    <w:p w14:paraId="6B137F54" w14:textId="77777777" w:rsidR="00000000" w:rsidRDefault="009B6C69">
      <w:pPr>
        <w:divId w:val="1761214870"/>
        <w:rPr>
          <w:rFonts w:eastAsia="Times New Roman"/>
        </w:rPr>
      </w:pPr>
      <w:r>
        <w:rPr>
          <w:rFonts w:eastAsia="Times New Roman"/>
          <w:b/>
          <w:bCs/>
          <w:color w:val="000000"/>
          <w:sz w:val="20"/>
          <w:szCs w:val="20"/>
        </w:rPr>
        <w:t>Foreign Exchange Risk</w:t>
      </w:r>
      <w:r>
        <w:rPr>
          <w:rFonts w:eastAsia="Times New Roman"/>
          <w:color w:val="000000"/>
          <w:sz w:val="20"/>
          <w:szCs w:val="20"/>
        </w:rPr>
        <w:t xml:space="preserve"> </w:t>
      </w:r>
    </w:p>
    <w:p w14:paraId="6608BCDD" w14:textId="77777777" w:rsidR="00000000" w:rsidRDefault="009B6C69">
      <w:pPr>
        <w:ind w:firstLine="360"/>
        <w:divId w:val="1720276376"/>
        <w:rPr>
          <w:rFonts w:eastAsia="Times New Roman"/>
        </w:rPr>
      </w:pPr>
      <w:r>
        <w:rPr>
          <w:rFonts w:eastAsia="Times New Roman"/>
          <w:color w:val="000000"/>
          <w:sz w:val="20"/>
          <w:szCs w:val="20"/>
        </w:rPr>
        <w:t>We manage our exposure to foreign exchange market risks, when deemed appropriate, th</w:t>
      </w:r>
      <w:r>
        <w:rPr>
          <w:rFonts w:eastAsia="Times New Roman"/>
          <w:color w:val="000000"/>
          <w:sz w:val="20"/>
          <w:szCs w:val="20"/>
        </w:rPr>
        <w:t>rough the use of derivative and non-derivative financial instruments, including foreign currency forward and option contracts with financial counterparties and net investment hedges. We utilize such derivative financial instruments for hedging or risk mana</w:t>
      </w:r>
      <w:r>
        <w:rPr>
          <w:rFonts w:eastAsia="Times New Roman"/>
          <w:color w:val="000000"/>
          <w:sz w:val="20"/>
          <w:szCs w:val="20"/>
        </w:rPr>
        <w:t>gement purposes rather than for speculative purposes. Counterparties to these derivative contracts are all major banking institutions. In the event of the financial insolvency or distress of a counterparty to our derivative financial instruments, we may be</w:t>
      </w:r>
      <w:r>
        <w:rPr>
          <w:rFonts w:eastAsia="Times New Roman"/>
          <w:color w:val="000000"/>
          <w:sz w:val="20"/>
          <w:szCs w:val="20"/>
        </w:rPr>
        <w:t xml:space="preserve"> unable to settle transactions if the counterparty does not provide us with sufficient collateral to secure its net settlement obligations to us, which could have a negative impact on our results.</w:t>
      </w:r>
    </w:p>
    <w:p w14:paraId="78425428" w14:textId="77777777" w:rsidR="00000000" w:rsidRDefault="009B6C69">
      <w:pPr>
        <w:ind w:firstLine="360"/>
        <w:divId w:val="1317108463"/>
        <w:rPr>
          <w:rFonts w:eastAsia="Times New Roman"/>
        </w:rPr>
      </w:pPr>
      <w:r>
        <w:rPr>
          <w:rFonts w:eastAsia="Times New Roman"/>
          <w:b/>
          <w:bCs/>
          <w:i/>
          <w:iCs/>
          <w:color w:val="000000"/>
          <w:sz w:val="20"/>
          <w:szCs w:val="20"/>
        </w:rPr>
        <w:t>Foreign Currency Options.</w:t>
      </w:r>
      <w:r>
        <w:rPr>
          <w:rFonts w:eastAsia="Times New Roman"/>
          <w:color w:val="000000"/>
          <w:sz w:val="20"/>
          <w:szCs w:val="20"/>
        </w:rPr>
        <w:t xml:space="preserve"> At September 25, 2022, our net as</w:t>
      </w:r>
      <w:r>
        <w:rPr>
          <w:rFonts w:eastAsia="Times New Roman"/>
          <w:color w:val="000000"/>
          <w:sz w:val="20"/>
          <w:szCs w:val="20"/>
        </w:rPr>
        <w:t>set related to foreign currency options designated as hedges of foreign currency risk on royalties earned from certain licensees was $19 million. At September 25, 2022 and September 26, 2021, if our forecasted royalty revenues for currencies in which we he</w:t>
      </w:r>
      <w:r>
        <w:rPr>
          <w:rFonts w:eastAsia="Times New Roman"/>
          <w:color w:val="000000"/>
          <w:sz w:val="20"/>
          <w:szCs w:val="20"/>
        </w:rPr>
        <w:t xml:space="preserve">dge were to decline by 10% and foreign exchange rates were to change unfavorably by 10% in our hedged foreign currency, we would not incur a loss as our hedge positions would continue to be fully effective. </w:t>
      </w:r>
    </w:p>
    <w:p w14:paraId="23A375A0" w14:textId="77777777" w:rsidR="00000000" w:rsidRDefault="009B6C69">
      <w:pPr>
        <w:ind w:firstLine="360"/>
        <w:divId w:val="1369447342"/>
        <w:rPr>
          <w:rFonts w:eastAsia="Times New Roman"/>
        </w:rPr>
      </w:pPr>
      <w:r>
        <w:rPr>
          <w:rFonts w:eastAsia="Times New Roman"/>
          <w:b/>
          <w:bCs/>
          <w:i/>
          <w:iCs/>
          <w:color w:val="000000"/>
          <w:sz w:val="20"/>
          <w:szCs w:val="20"/>
        </w:rPr>
        <w:t xml:space="preserve">Foreign Currency Forwards. </w:t>
      </w:r>
      <w:r>
        <w:rPr>
          <w:rFonts w:eastAsia="Times New Roman"/>
          <w:color w:val="000000"/>
          <w:sz w:val="20"/>
          <w:szCs w:val="20"/>
        </w:rPr>
        <w:t>At September 25, 2022</w:t>
      </w:r>
      <w:r>
        <w:rPr>
          <w:rFonts w:eastAsia="Times New Roman"/>
          <w:color w:val="000000"/>
          <w:sz w:val="20"/>
          <w:szCs w:val="20"/>
        </w:rPr>
        <w:t>, our net liability related to foreign currency forward contracts designated as hedges of foreign currency risk on certain operating expenditure transactions was $133 million. If our forecasted operating expenditures for currencies in which we hedge were t</w:t>
      </w:r>
      <w:r>
        <w:rPr>
          <w:rFonts w:eastAsia="Times New Roman"/>
          <w:color w:val="000000"/>
          <w:sz w:val="20"/>
          <w:szCs w:val="20"/>
        </w:rPr>
        <w:t>o decline by 10% and foreign exchange rates were to change unfavorably by 10% in our hedged foreign currency, we would incur a negligible loss. Based on forecasts at September 26, 2021, assuming the same hypothetical market conditions, we would have incurr</w:t>
      </w:r>
      <w:r>
        <w:rPr>
          <w:rFonts w:eastAsia="Times New Roman"/>
          <w:color w:val="000000"/>
          <w:sz w:val="20"/>
          <w:szCs w:val="20"/>
        </w:rPr>
        <w:t>ed a negligible loss.</w:t>
      </w:r>
    </w:p>
    <w:p w14:paraId="50E42E9A" w14:textId="77777777" w:rsidR="00000000" w:rsidRDefault="009B6C69">
      <w:pPr>
        <w:ind w:firstLine="360"/>
        <w:divId w:val="1994289797"/>
        <w:rPr>
          <w:rFonts w:eastAsia="Times New Roman"/>
        </w:rPr>
      </w:pPr>
      <w:r>
        <w:rPr>
          <w:rFonts w:eastAsia="Times New Roman"/>
          <w:color w:val="000000"/>
          <w:sz w:val="20"/>
          <w:szCs w:val="20"/>
        </w:rPr>
        <w:t>At September 25, 2022, our net liability related to foreign currency forward contracts not designated as hedging instruments used to manage foreign currency risk on certain receivables and payables was negligible. At September 25, 202</w:t>
      </w:r>
      <w:r>
        <w:rPr>
          <w:rFonts w:eastAsia="Times New Roman"/>
          <w:color w:val="000000"/>
          <w:sz w:val="20"/>
          <w:szCs w:val="20"/>
        </w:rPr>
        <w:t>2 and September 26, 2021, if the foreign exchange rates were to change unfavorably by 10% in our hedged foreign currency, we would not incur a loss as the change in the fair value of the foreign currency forward contracts would be offset by the change in f</w:t>
      </w:r>
      <w:r>
        <w:rPr>
          <w:rFonts w:eastAsia="Times New Roman"/>
          <w:color w:val="000000"/>
          <w:sz w:val="20"/>
          <w:szCs w:val="20"/>
        </w:rPr>
        <w:t xml:space="preserve">air value of the related receivables and/or payables being economically hedged. </w:t>
      </w:r>
    </w:p>
    <w:p w14:paraId="5CDC9B9E" w14:textId="77777777" w:rsidR="00000000" w:rsidRDefault="009B6C69">
      <w:pPr>
        <w:ind w:firstLine="360"/>
        <w:divId w:val="313026318"/>
        <w:rPr>
          <w:rFonts w:eastAsia="Times New Roman"/>
        </w:rPr>
      </w:pPr>
      <w:r>
        <w:rPr>
          <w:rFonts w:eastAsia="Times New Roman"/>
          <w:b/>
          <w:bCs/>
          <w:i/>
          <w:iCs/>
          <w:color w:val="000000"/>
          <w:sz w:val="20"/>
          <w:szCs w:val="20"/>
        </w:rPr>
        <w:t>Net Investment Hedges</w:t>
      </w:r>
      <w:r>
        <w:rPr>
          <w:rFonts w:eastAsia="Times New Roman"/>
          <w:b/>
          <w:bCs/>
          <w:color w:val="000000"/>
          <w:sz w:val="20"/>
          <w:szCs w:val="20"/>
        </w:rPr>
        <w:t>.</w:t>
      </w:r>
      <w:r>
        <w:rPr>
          <w:rFonts w:eastAsia="Times New Roman"/>
          <w:color w:val="000000"/>
          <w:sz w:val="20"/>
          <w:szCs w:val="20"/>
        </w:rPr>
        <w:t xml:space="preserve"> In the third quarter of fiscal 2022, as a result of the reversal of the 2018 EC fine, we discontinued the associated net investment hedge</w:t>
      </w:r>
      <w:r>
        <w:rPr>
          <w:rFonts w:eastAsia="Times New Roman"/>
          <w:color w:val="0000FF"/>
          <w:sz w:val="20"/>
          <w:szCs w:val="20"/>
        </w:rPr>
        <w:t xml:space="preserve">. </w:t>
      </w:r>
      <w:r>
        <w:rPr>
          <w:rFonts w:eastAsia="Times New Roman"/>
          <w:color w:val="000000"/>
          <w:sz w:val="20"/>
          <w:szCs w:val="20"/>
        </w:rPr>
        <w:t>At September </w:t>
      </w:r>
      <w:r>
        <w:rPr>
          <w:rFonts w:eastAsia="Times New Roman"/>
          <w:color w:val="000000"/>
          <w:sz w:val="20"/>
          <w:szCs w:val="20"/>
        </w:rPr>
        <w:t>25, 2022, we have designated $235 million of a certain foreign currency-denominated liability, excluding accrued interest, as a hedge of our net investment in a foreign subsidiary. At September 25, 2022 and September 26, 2021, if foreign exchange rates wer</w:t>
      </w:r>
      <w:r>
        <w:rPr>
          <w:rFonts w:eastAsia="Times New Roman"/>
          <w:color w:val="000000"/>
          <w:sz w:val="20"/>
          <w:szCs w:val="20"/>
        </w:rPr>
        <w:t>e to change unfavorably by 10% in our hedged foreign currency, there would be an increase of $23 million and $145 million, respectively, in the accumulated other comprehensive loss attributable to the cumulative foreign currency translation adjustment rela</w:t>
      </w:r>
      <w:r>
        <w:rPr>
          <w:rFonts w:eastAsia="Times New Roman"/>
          <w:color w:val="000000"/>
          <w:sz w:val="20"/>
          <w:szCs w:val="20"/>
        </w:rPr>
        <w:t>ted to our net investment hedge. The change in value recorded in cumulative foreign currency translation adjustment would be expected to offset a corresponding foreign currency translation gain or loss from our investment in the foreign subsidiary.</w:t>
      </w:r>
    </w:p>
    <w:p w14:paraId="164AD5CA" w14:textId="77777777" w:rsidR="00000000" w:rsidRDefault="009B6C69">
      <w:pPr>
        <w:ind w:firstLine="360"/>
        <w:divId w:val="649211597"/>
        <w:rPr>
          <w:rFonts w:eastAsia="Times New Roman"/>
        </w:rPr>
      </w:pPr>
      <w:r>
        <w:rPr>
          <w:rFonts w:eastAsia="Times New Roman"/>
          <w:b/>
          <w:bCs/>
          <w:i/>
          <w:iCs/>
          <w:color w:val="000000"/>
          <w:sz w:val="20"/>
          <w:szCs w:val="20"/>
        </w:rPr>
        <w:t>Functio</w:t>
      </w:r>
      <w:r>
        <w:rPr>
          <w:rFonts w:eastAsia="Times New Roman"/>
          <w:b/>
          <w:bCs/>
          <w:i/>
          <w:iCs/>
          <w:color w:val="000000"/>
          <w:sz w:val="20"/>
          <w:szCs w:val="20"/>
        </w:rPr>
        <w:t xml:space="preserve">nal Currency. </w:t>
      </w:r>
      <w:r>
        <w:rPr>
          <w:rFonts w:eastAsia="Times New Roman"/>
          <w:color w:val="000000"/>
          <w:sz w:val="20"/>
          <w:szCs w:val="20"/>
        </w:rPr>
        <w:t>Financial assets and liabilities held by consolidated subsidiaries that are not denominated in the functional currency of those entities are subject to the effects of currency fluctuations and may affect reported earnings. As a global company</w:t>
      </w:r>
      <w:r>
        <w:rPr>
          <w:rFonts w:eastAsia="Times New Roman"/>
          <w:color w:val="000000"/>
          <w:sz w:val="20"/>
          <w:szCs w:val="20"/>
        </w:rPr>
        <w:t xml:space="preserve">, we face exposure to adverse movements in foreign currency exchange rates. We may hedge currency exposures associated with certain assets and liabilities denominated in nonfunctional currencies and certain anticipated nonfunctional currency transactions. </w:t>
      </w:r>
      <w:r>
        <w:rPr>
          <w:rFonts w:eastAsia="Times New Roman"/>
          <w:color w:val="000000"/>
          <w:sz w:val="20"/>
          <w:szCs w:val="20"/>
        </w:rPr>
        <w:t xml:space="preserve">As a result, we could experience unanticipated gains or losses on anticipated foreign currency cash flows, as well as economic loss with respect to the recoverability of investments. While we may hedge certain </w:t>
      </w:r>
    </w:p>
    <w:p w14:paraId="4FF8749B" w14:textId="77777777" w:rsidR="00000000" w:rsidRDefault="009B6C69">
      <w:pPr>
        <w:jc w:val="center"/>
        <w:divId w:val="2022967412"/>
        <w:rPr>
          <w:rFonts w:eastAsia="Times New Roman"/>
        </w:rPr>
      </w:pPr>
      <w:r>
        <w:rPr>
          <w:rFonts w:eastAsia="Times New Roman"/>
          <w:color w:val="000000"/>
          <w:sz w:val="20"/>
          <w:szCs w:val="20"/>
        </w:rPr>
        <w:t>48</w:t>
      </w:r>
    </w:p>
    <w:p w14:paraId="099E506E" w14:textId="77777777" w:rsidR="00000000" w:rsidRDefault="009B6C69">
      <w:pPr>
        <w:rPr>
          <w:rFonts w:eastAsia="Times New Roman"/>
        </w:rPr>
      </w:pPr>
      <w:r>
        <w:rPr>
          <w:rFonts w:eastAsia="Times New Roman"/>
        </w:rPr>
        <w:pict w14:anchorId="4965B6E6">
          <v:rect id="_x0000_i1072" style="width:0;height:1.5pt" o:hralign="center" o:hrstd="t" o:hr="t" fillcolor="#a0a0a0" stroked="f"/>
        </w:pict>
      </w:r>
    </w:p>
    <w:p w14:paraId="19803194" w14:textId="77777777" w:rsidR="00000000" w:rsidRDefault="009B6C69">
      <w:pPr>
        <w:divId w:val="227229772"/>
        <w:rPr>
          <w:rFonts w:eastAsia="Times New Roman"/>
        </w:rPr>
      </w:pPr>
    </w:p>
    <w:p w14:paraId="65FAB548" w14:textId="77777777" w:rsidR="00000000" w:rsidRDefault="009B6C69">
      <w:pPr>
        <w:divId w:val="903025568"/>
        <w:rPr>
          <w:rFonts w:eastAsia="Times New Roman"/>
        </w:rPr>
      </w:pPr>
      <w:r>
        <w:rPr>
          <w:rFonts w:eastAsia="Times New Roman"/>
          <w:color w:val="000000"/>
          <w:sz w:val="20"/>
          <w:szCs w:val="20"/>
        </w:rPr>
        <w:t>tran</w:t>
      </w:r>
      <w:r>
        <w:rPr>
          <w:rFonts w:eastAsia="Times New Roman"/>
          <w:color w:val="000000"/>
          <w:sz w:val="20"/>
          <w:szCs w:val="20"/>
        </w:rPr>
        <w:t>sactions with non-U.S. customers, declines in currency values in certain regions may, if not reversed, adversely affect future product sales because our products may become more expensive to purchase in the countries of the affected currencies.</w:t>
      </w:r>
    </w:p>
    <w:p w14:paraId="5E09860A" w14:textId="77777777" w:rsidR="00000000" w:rsidRDefault="009B6C69">
      <w:pPr>
        <w:ind w:firstLine="360"/>
        <w:divId w:val="1913616386"/>
        <w:rPr>
          <w:rFonts w:eastAsia="Times New Roman"/>
        </w:rPr>
      </w:pPr>
      <w:r>
        <w:rPr>
          <w:rFonts w:eastAsia="Times New Roman"/>
          <w:color w:val="000000"/>
          <w:sz w:val="20"/>
          <w:szCs w:val="20"/>
        </w:rPr>
        <w:t>Our analysi</w:t>
      </w:r>
      <w:r>
        <w:rPr>
          <w:rFonts w:eastAsia="Times New Roman"/>
          <w:color w:val="000000"/>
          <w:sz w:val="20"/>
          <w:szCs w:val="20"/>
        </w:rPr>
        <w:t>s methods used to assess and mitigate the risks discussed above should not be considered projections of future risks. Additional information regarding the financial instruments mentioned above is provided in this Annual Report in “Notes to Consolidated Fin</w:t>
      </w:r>
      <w:r>
        <w:rPr>
          <w:rFonts w:eastAsia="Times New Roman"/>
          <w:color w:val="000000"/>
          <w:sz w:val="20"/>
          <w:szCs w:val="20"/>
        </w:rPr>
        <w:t>ancial Statements, Note 1. Significant Accounting Policies,” “Notes to Consolidated Financial Statements, Note 2. Composition of Certain Financial Statement Items,” “Notes to Consolidated Financial Statements, Note 6. Debt,” “Notes to Consolidated Financia</w:t>
      </w:r>
      <w:r>
        <w:rPr>
          <w:rFonts w:eastAsia="Times New Roman"/>
          <w:color w:val="000000"/>
          <w:sz w:val="20"/>
          <w:szCs w:val="20"/>
        </w:rPr>
        <w:t>l Statements, Note 10. Fair Value Measurements” and “Notes to Consolidated Financial Statements, Note 11. Marketable Securities.”</w:t>
      </w:r>
    </w:p>
    <w:p w14:paraId="2E680347" w14:textId="77777777" w:rsidR="00000000" w:rsidRDefault="009B6C69">
      <w:pPr>
        <w:divId w:val="558251031"/>
        <w:rPr>
          <w:rFonts w:eastAsia="Times New Roman"/>
        </w:rPr>
      </w:pPr>
      <w:r>
        <w:rPr>
          <w:rFonts w:eastAsia="Times New Roman"/>
          <w:b/>
          <w:bCs/>
          <w:color w:val="000000"/>
          <w:sz w:val="20"/>
          <w:szCs w:val="20"/>
        </w:rPr>
        <w:t>Item 8. Financial Statements and Supplementary Data</w:t>
      </w:r>
    </w:p>
    <w:p w14:paraId="675285DE" w14:textId="77777777" w:rsidR="00000000" w:rsidRDefault="009B6C69">
      <w:pPr>
        <w:ind w:firstLine="360"/>
        <w:divId w:val="1799956178"/>
        <w:rPr>
          <w:rFonts w:eastAsia="Times New Roman"/>
        </w:rPr>
      </w:pPr>
      <w:r>
        <w:rPr>
          <w:rFonts w:eastAsia="Times New Roman"/>
          <w:color w:val="000000"/>
          <w:sz w:val="20"/>
          <w:szCs w:val="20"/>
        </w:rPr>
        <w:t>The information required by this item is included in this Annual Report on</w:t>
      </w:r>
      <w:r>
        <w:rPr>
          <w:rFonts w:eastAsia="Times New Roman"/>
          <w:color w:val="000000"/>
          <w:sz w:val="20"/>
          <w:szCs w:val="20"/>
        </w:rPr>
        <w:t xml:space="preserve"> pages F-1 through F-31.</w:t>
      </w:r>
    </w:p>
    <w:p w14:paraId="63E69600" w14:textId="77777777" w:rsidR="00000000" w:rsidRDefault="009B6C69">
      <w:pPr>
        <w:divId w:val="1727407961"/>
        <w:rPr>
          <w:rFonts w:eastAsia="Times New Roman"/>
        </w:rPr>
      </w:pPr>
      <w:r>
        <w:rPr>
          <w:rFonts w:eastAsia="Times New Roman"/>
          <w:b/>
          <w:bCs/>
          <w:color w:val="000000"/>
          <w:sz w:val="20"/>
          <w:szCs w:val="20"/>
        </w:rPr>
        <w:t>Item 9. Changes in and Disagreements with Accountants on Accounting and Financial Disclosure</w:t>
      </w:r>
    </w:p>
    <w:p w14:paraId="20155D9C" w14:textId="77777777" w:rsidR="00000000" w:rsidRDefault="009B6C69">
      <w:pPr>
        <w:ind w:firstLine="360"/>
        <w:divId w:val="588195452"/>
        <w:rPr>
          <w:rFonts w:eastAsia="Times New Roman"/>
        </w:rPr>
      </w:pPr>
      <w:r>
        <w:rPr>
          <w:rFonts w:eastAsia="Times New Roman"/>
          <w:color w:val="000000"/>
          <w:sz w:val="20"/>
          <w:szCs w:val="20"/>
        </w:rPr>
        <w:t>None.</w:t>
      </w:r>
    </w:p>
    <w:p w14:paraId="6EB4FAD1" w14:textId="77777777" w:rsidR="00000000" w:rsidRDefault="009B6C69">
      <w:pPr>
        <w:divId w:val="1756902731"/>
        <w:rPr>
          <w:rFonts w:eastAsia="Times New Roman"/>
        </w:rPr>
      </w:pPr>
      <w:r>
        <w:rPr>
          <w:rFonts w:eastAsia="Times New Roman"/>
          <w:b/>
          <w:bCs/>
          <w:color w:val="000000"/>
          <w:sz w:val="20"/>
          <w:szCs w:val="20"/>
        </w:rPr>
        <w:t>Item 9A. Controls and Procedures</w:t>
      </w:r>
    </w:p>
    <w:p w14:paraId="30071944" w14:textId="77777777" w:rsidR="00000000" w:rsidRDefault="009B6C69">
      <w:pPr>
        <w:divId w:val="670762662"/>
        <w:rPr>
          <w:rFonts w:eastAsia="Times New Roman"/>
        </w:rPr>
      </w:pPr>
      <w:r>
        <w:rPr>
          <w:rFonts w:eastAsia="Times New Roman"/>
          <w:b/>
          <w:bCs/>
          <w:color w:val="000000"/>
          <w:sz w:val="20"/>
          <w:szCs w:val="20"/>
        </w:rPr>
        <w:t>Conclusion Regarding the Effectiveness of Disclosure Controls and Procedures</w:t>
      </w:r>
    </w:p>
    <w:p w14:paraId="1B610A91" w14:textId="77777777" w:rsidR="00000000" w:rsidRDefault="009B6C69">
      <w:pPr>
        <w:ind w:firstLine="360"/>
        <w:divId w:val="695883299"/>
        <w:rPr>
          <w:rFonts w:eastAsia="Times New Roman"/>
        </w:rPr>
      </w:pPr>
      <w:r>
        <w:rPr>
          <w:rFonts w:eastAsia="Times New Roman"/>
          <w:color w:val="000000"/>
          <w:sz w:val="20"/>
          <w:szCs w:val="20"/>
        </w:rPr>
        <w:t>Under the supervision and with the participation of our management, including our principal executive officer and our principal financial officer, we conducted an evaluation of ou</w:t>
      </w:r>
      <w:r>
        <w:rPr>
          <w:rFonts w:eastAsia="Times New Roman"/>
          <w:color w:val="000000"/>
          <w:sz w:val="20"/>
          <w:szCs w:val="20"/>
        </w:rPr>
        <w:t>r disclosure controls and procedures, as such terms are defined under Rule 13a-15(e) promulgated under the Securities Exchange Act of 1934, as amended (the Exchange Act). Based on this evaluation, our principal executive officer and our principal financial</w:t>
      </w:r>
      <w:r>
        <w:rPr>
          <w:rFonts w:eastAsia="Times New Roman"/>
          <w:color w:val="000000"/>
          <w:sz w:val="20"/>
          <w:szCs w:val="20"/>
        </w:rPr>
        <w:t xml:space="preserve"> officer concluded that our disclosure controls and procedures were effective as of the end of the period covered by this Annual Report.</w:t>
      </w:r>
    </w:p>
    <w:p w14:paraId="74DF0D60" w14:textId="77777777" w:rsidR="00000000" w:rsidRDefault="009B6C69">
      <w:pPr>
        <w:divId w:val="551624623"/>
        <w:rPr>
          <w:rFonts w:eastAsia="Times New Roman"/>
        </w:rPr>
      </w:pPr>
      <w:r>
        <w:rPr>
          <w:rFonts w:eastAsia="Times New Roman"/>
          <w:b/>
          <w:bCs/>
          <w:color w:val="000000"/>
          <w:sz w:val="20"/>
          <w:szCs w:val="20"/>
        </w:rPr>
        <w:t>Management’s Report on Internal Control over Financial Reporting</w:t>
      </w:r>
    </w:p>
    <w:p w14:paraId="2C111EA0" w14:textId="77777777" w:rsidR="00000000" w:rsidRDefault="009B6C69">
      <w:pPr>
        <w:ind w:firstLine="360"/>
        <w:divId w:val="2122911559"/>
        <w:rPr>
          <w:rFonts w:eastAsia="Times New Roman"/>
        </w:rPr>
      </w:pPr>
      <w:r>
        <w:rPr>
          <w:rFonts w:eastAsia="Times New Roman"/>
          <w:color w:val="000000"/>
          <w:sz w:val="20"/>
          <w:szCs w:val="20"/>
        </w:rPr>
        <w:t>Our management is responsible for establishing and mai</w:t>
      </w:r>
      <w:r>
        <w:rPr>
          <w:rFonts w:eastAsia="Times New Roman"/>
          <w:color w:val="000000"/>
          <w:sz w:val="20"/>
          <w:szCs w:val="20"/>
        </w:rPr>
        <w:t>ntaining adequate internal control over financial reporting, as such term is defined in Exchange Act Rule 13a-15(f). Under the supervision and with the participation of our management, including our principal executive officer and our principal financial o</w:t>
      </w:r>
      <w:r>
        <w:rPr>
          <w:rFonts w:eastAsia="Times New Roman"/>
          <w:color w:val="000000"/>
          <w:sz w:val="20"/>
          <w:szCs w:val="20"/>
        </w:rPr>
        <w:t xml:space="preserve">fficer, we conducted an evaluation of the effectiveness of our internal control over financial reporting based on the framework in </w:t>
      </w:r>
      <w:r>
        <w:rPr>
          <w:rFonts w:eastAsia="Times New Roman"/>
          <w:i/>
          <w:iCs/>
          <w:color w:val="000000"/>
          <w:sz w:val="20"/>
          <w:szCs w:val="20"/>
        </w:rPr>
        <w:t>Internal Control — Integrated Framework (2013)</w:t>
      </w:r>
      <w:r>
        <w:rPr>
          <w:rFonts w:eastAsia="Times New Roman"/>
          <w:color w:val="000000"/>
          <w:sz w:val="20"/>
          <w:szCs w:val="20"/>
        </w:rPr>
        <w:t xml:space="preserve"> issued by the Committee of Sponsoring Organizations of the Treadway Commission</w:t>
      </w:r>
      <w:r>
        <w:rPr>
          <w:rFonts w:eastAsia="Times New Roman"/>
          <w:color w:val="000000"/>
          <w:sz w:val="20"/>
          <w:szCs w:val="20"/>
        </w:rPr>
        <w:t>. Based on our evaluation under this framework, our management concluded that our internal control over financial reporting was effective as of September 25, 2022.</w:t>
      </w:r>
    </w:p>
    <w:p w14:paraId="27D0B89E" w14:textId="77777777" w:rsidR="00000000" w:rsidRDefault="009B6C69">
      <w:pPr>
        <w:ind w:firstLine="360"/>
        <w:divId w:val="321812422"/>
        <w:rPr>
          <w:rFonts w:eastAsia="Times New Roman"/>
        </w:rPr>
      </w:pPr>
      <w:r>
        <w:rPr>
          <w:rFonts w:eastAsia="Times New Roman"/>
          <w:color w:val="000000"/>
          <w:sz w:val="20"/>
          <w:szCs w:val="20"/>
        </w:rPr>
        <w:t>PricewaterhouseCoopers LLP, the independent registered public accounting firm that audited o</w:t>
      </w:r>
      <w:r>
        <w:rPr>
          <w:rFonts w:eastAsia="Times New Roman"/>
          <w:color w:val="000000"/>
          <w:sz w:val="20"/>
          <w:szCs w:val="20"/>
        </w:rPr>
        <w:t>ur consolidated financial statements included in this Annual Report, has also audited the effectiveness of our internal control over financial reporting as of September 25, 2022, as stated in its report which appears on pages F-1 through F-2 in this Annual</w:t>
      </w:r>
      <w:r>
        <w:rPr>
          <w:rFonts w:eastAsia="Times New Roman"/>
          <w:color w:val="000000"/>
          <w:sz w:val="20"/>
          <w:szCs w:val="20"/>
        </w:rPr>
        <w:t xml:space="preserve"> Report.</w:t>
      </w:r>
    </w:p>
    <w:p w14:paraId="0D474CBC" w14:textId="77777777" w:rsidR="00000000" w:rsidRDefault="009B6C69">
      <w:pPr>
        <w:divId w:val="619265637"/>
        <w:rPr>
          <w:rFonts w:eastAsia="Times New Roman"/>
        </w:rPr>
      </w:pPr>
      <w:r>
        <w:rPr>
          <w:rFonts w:eastAsia="Times New Roman"/>
          <w:b/>
          <w:bCs/>
          <w:color w:val="000000"/>
          <w:sz w:val="20"/>
          <w:szCs w:val="20"/>
        </w:rPr>
        <w:t>Inherent Limitations over Internal Controls</w:t>
      </w:r>
    </w:p>
    <w:p w14:paraId="035778C8" w14:textId="77777777" w:rsidR="00000000" w:rsidRDefault="009B6C69">
      <w:pPr>
        <w:ind w:firstLine="360"/>
        <w:divId w:val="1047610587"/>
        <w:rPr>
          <w:rFonts w:eastAsia="Times New Roman"/>
        </w:rPr>
      </w:pPr>
      <w:r>
        <w:rPr>
          <w:rFonts w:eastAsia="Times New Roman"/>
          <w:color w:val="000000"/>
          <w:sz w:val="20"/>
          <w:szCs w:val="20"/>
        </w:rPr>
        <w:t>Our internal control over financial reporting is designed to provide reasonable assurance regarding the reliability of financial reporting and the preparation of consolidated financial statements for ext</w:t>
      </w:r>
      <w:r>
        <w:rPr>
          <w:rFonts w:eastAsia="Times New Roman"/>
          <w:color w:val="000000"/>
          <w:sz w:val="20"/>
          <w:szCs w:val="20"/>
        </w:rPr>
        <w:t>ernal purposes in accordance with generally accepted accounting principles. Our internal control over financial reporting includes those policies and procedures that:</w:t>
      </w:r>
    </w:p>
    <w:p w14:paraId="4DC131C6" w14:textId="77777777" w:rsidR="00000000" w:rsidRDefault="009B6C69">
      <w:pPr>
        <w:ind w:hanging="360"/>
        <w:divId w:val="733772614"/>
        <w:rPr>
          <w:rFonts w:eastAsia="Times New Roman"/>
        </w:rPr>
      </w:pPr>
      <w:r>
        <w:rPr>
          <w:rFonts w:eastAsia="Times New Roman"/>
          <w:color w:val="000000"/>
          <w:sz w:val="20"/>
          <w:szCs w:val="20"/>
        </w:rPr>
        <w:t>i.pertain to the maintenance of records that, in reasonable detail, accurately and fairly</w:t>
      </w:r>
      <w:r>
        <w:rPr>
          <w:rFonts w:eastAsia="Times New Roman"/>
          <w:color w:val="000000"/>
          <w:sz w:val="20"/>
          <w:szCs w:val="20"/>
        </w:rPr>
        <w:t xml:space="preserve"> reflect the transactions and dispositions of our assets;</w:t>
      </w:r>
    </w:p>
    <w:p w14:paraId="079F5DB6" w14:textId="77777777" w:rsidR="00000000" w:rsidRDefault="009B6C69">
      <w:pPr>
        <w:ind w:hanging="360"/>
        <w:divId w:val="1625037771"/>
        <w:rPr>
          <w:rFonts w:eastAsia="Times New Roman"/>
        </w:rPr>
      </w:pPr>
      <w:r>
        <w:rPr>
          <w:rFonts w:eastAsia="Times New Roman"/>
          <w:color w:val="000000"/>
          <w:sz w:val="20"/>
          <w:szCs w:val="20"/>
        </w:rPr>
        <w:t>ii.provide reasonable assurance that transactions are recorded as necessary to permit preparation of consolidated financial statements in accordance with generally accepted accounting principles, an</w:t>
      </w:r>
      <w:r>
        <w:rPr>
          <w:rFonts w:eastAsia="Times New Roman"/>
          <w:color w:val="000000"/>
          <w:sz w:val="20"/>
          <w:szCs w:val="20"/>
        </w:rPr>
        <w:t>d that our receipts and expenditures are being made only in accordance with authorizations of our management and directors; and</w:t>
      </w:r>
    </w:p>
    <w:p w14:paraId="07DACE5C" w14:textId="77777777" w:rsidR="00000000" w:rsidRDefault="009B6C69">
      <w:pPr>
        <w:ind w:hanging="360"/>
        <w:divId w:val="1027440115"/>
        <w:rPr>
          <w:rFonts w:eastAsia="Times New Roman"/>
        </w:rPr>
      </w:pPr>
      <w:r>
        <w:rPr>
          <w:rFonts w:eastAsia="Times New Roman"/>
          <w:color w:val="000000"/>
          <w:sz w:val="20"/>
          <w:szCs w:val="20"/>
        </w:rPr>
        <w:t>iii.provide reasonable assurance regarding prevention or timely detection of unauthorized acquisition, use or disposition of our</w:t>
      </w:r>
      <w:r>
        <w:rPr>
          <w:rFonts w:eastAsia="Times New Roman"/>
          <w:color w:val="000000"/>
          <w:sz w:val="20"/>
          <w:szCs w:val="20"/>
        </w:rPr>
        <w:t xml:space="preserve"> assets that could have a material effect on the consolidated financial statements.</w:t>
      </w:r>
    </w:p>
    <w:p w14:paraId="702B5E95" w14:textId="77777777" w:rsidR="00000000" w:rsidRDefault="009B6C69">
      <w:pPr>
        <w:ind w:firstLine="360"/>
        <w:divId w:val="1910384578"/>
        <w:rPr>
          <w:rFonts w:eastAsia="Times New Roman"/>
        </w:rPr>
      </w:pPr>
      <w:r>
        <w:rPr>
          <w:rFonts w:eastAsia="Times New Roman"/>
          <w:color w:val="000000"/>
          <w:sz w:val="20"/>
          <w:szCs w:val="20"/>
        </w:rPr>
        <w:t>Internal control over financial reporting cannot provide absolute assurance of achieving financial reporting objectives because of its inherent limitations, including the p</w:t>
      </w:r>
      <w:r>
        <w:rPr>
          <w:rFonts w:eastAsia="Times New Roman"/>
          <w:color w:val="000000"/>
          <w:sz w:val="20"/>
          <w:szCs w:val="20"/>
        </w:rPr>
        <w:t>ossibility of human error and circumvention by collusion or overriding of controls. Accordingly, even an effective internal control system may not prevent or detect material misstatements on a timely basis. Also, projections of any evaluation of effectiven</w:t>
      </w:r>
      <w:r>
        <w:rPr>
          <w:rFonts w:eastAsia="Times New Roman"/>
          <w:color w:val="000000"/>
          <w:sz w:val="20"/>
          <w:szCs w:val="20"/>
        </w:rPr>
        <w:t>ess to future periods are subject to the risk that controls may become inadequate because of changes in conditions or that the degree of compliance with the policies or procedures may deteriorate.</w:t>
      </w:r>
    </w:p>
    <w:p w14:paraId="4AD87F0D" w14:textId="77777777" w:rsidR="00000000" w:rsidRDefault="009B6C69">
      <w:pPr>
        <w:divId w:val="1536040421"/>
        <w:rPr>
          <w:rFonts w:eastAsia="Times New Roman"/>
        </w:rPr>
      </w:pPr>
      <w:r>
        <w:rPr>
          <w:rFonts w:eastAsia="Times New Roman"/>
          <w:b/>
          <w:bCs/>
          <w:color w:val="000000"/>
          <w:sz w:val="20"/>
          <w:szCs w:val="20"/>
        </w:rPr>
        <w:t>Changes in Internal Control over Financial Reporting</w:t>
      </w:r>
    </w:p>
    <w:p w14:paraId="6E8EF88D" w14:textId="77777777" w:rsidR="00000000" w:rsidRDefault="009B6C69">
      <w:pPr>
        <w:ind w:firstLine="360"/>
        <w:divId w:val="1629313898"/>
        <w:rPr>
          <w:rFonts w:eastAsia="Times New Roman"/>
        </w:rPr>
      </w:pPr>
      <w:r>
        <w:rPr>
          <w:rFonts w:eastAsia="Times New Roman"/>
          <w:color w:val="000000"/>
          <w:sz w:val="20"/>
          <w:szCs w:val="20"/>
        </w:rPr>
        <w:t xml:space="preserve">There </w:t>
      </w:r>
      <w:r>
        <w:rPr>
          <w:rFonts w:eastAsia="Times New Roman"/>
          <w:color w:val="000000"/>
          <w:sz w:val="20"/>
          <w:szCs w:val="20"/>
        </w:rPr>
        <w:t>were no changes in our internal control over financial reporting during the fourth quarter of fiscal 2022 that have materially affected, or are reasonably likely to materially affect, our internal control over financial reporting.</w:t>
      </w:r>
    </w:p>
    <w:p w14:paraId="7DE22976" w14:textId="77777777" w:rsidR="00000000" w:rsidRDefault="009B6C69">
      <w:pPr>
        <w:jc w:val="center"/>
        <w:divId w:val="204145471"/>
        <w:rPr>
          <w:rFonts w:eastAsia="Times New Roman"/>
        </w:rPr>
      </w:pPr>
      <w:r>
        <w:rPr>
          <w:rFonts w:eastAsia="Times New Roman"/>
          <w:color w:val="000000"/>
          <w:sz w:val="20"/>
          <w:szCs w:val="20"/>
        </w:rPr>
        <w:t>49</w:t>
      </w:r>
    </w:p>
    <w:p w14:paraId="685D97F7" w14:textId="77777777" w:rsidR="00000000" w:rsidRDefault="009B6C69">
      <w:pPr>
        <w:rPr>
          <w:rFonts w:eastAsia="Times New Roman"/>
        </w:rPr>
      </w:pPr>
      <w:r>
        <w:rPr>
          <w:rFonts w:eastAsia="Times New Roman"/>
        </w:rPr>
        <w:pict w14:anchorId="5E267490">
          <v:rect id="_x0000_i1073" style="width:0;height:1.5pt" o:hralign="center" o:hrstd="t" o:hr="t" fillcolor="#a0a0a0" stroked="f"/>
        </w:pict>
      </w:r>
    </w:p>
    <w:p w14:paraId="699BC18F" w14:textId="77777777" w:rsidR="00000000" w:rsidRDefault="009B6C69">
      <w:pPr>
        <w:divId w:val="1940024843"/>
        <w:rPr>
          <w:rFonts w:eastAsia="Times New Roman"/>
        </w:rPr>
      </w:pPr>
    </w:p>
    <w:p w14:paraId="175D7B32" w14:textId="77777777" w:rsidR="00000000" w:rsidRDefault="009B6C69">
      <w:pPr>
        <w:divId w:val="1194075587"/>
        <w:rPr>
          <w:rFonts w:eastAsia="Times New Roman"/>
        </w:rPr>
      </w:pPr>
      <w:r>
        <w:rPr>
          <w:rFonts w:eastAsia="Times New Roman"/>
          <w:b/>
          <w:bCs/>
          <w:color w:val="000000"/>
          <w:sz w:val="20"/>
          <w:szCs w:val="20"/>
        </w:rPr>
        <w:t>Item 9B. Other Information</w:t>
      </w:r>
    </w:p>
    <w:p w14:paraId="784BE462" w14:textId="77777777" w:rsidR="00000000" w:rsidRDefault="009B6C69">
      <w:pPr>
        <w:ind w:firstLine="360"/>
        <w:divId w:val="943460330"/>
        <w:rPr>
          <w:rFonts w:eastAsia="Times New Roman"/>
        </w:rPr>
      </w:pPr>
      <w:r>
        <w:rPr>
          <w:rFonts w:eastAsia="Times New Roman"/>
          <w:color w:val="000000"/>
          <w:sz w:val="20"/>
          <w:szCs w:val="20"/>
        </w:rPr>
        <w:t>None.</w:t>
      </w:r>
    </w:p>
    <w:p w14:paraId="12857EC9" w14:textId="77777777" w:rsidR="00000000" w:rsidRDefault="009B6C69">
      <w:pPr>
        <w:divId w:val="562907392"/>
        <w:rPr>
          <w:rFonts w:eastAsia="Times New Roman"/>
        </w:rPr>
      </w:pPr>
      <w:r>
        <w:rPr>
          <w:rFonts w:eastAsia="Times New Roman"/>
          <w:b/>
          <w:bCs/>
          <w:color w:val="000000"/>
          <w:sz w:val="20"/>
          <w:szCs w:val="20"/>
        </w:rPr>
        <w:t>Item 9C. Disclosure Regarding Foreign Jurisdictions that Prevent Inspections</w:t>
      </w:r>
    </w:p>
    <w:p w14:paraId="265DB02D" w14:textId="77777777" w:rsidR="00000000" w:rsidRDefault="009B6C69">
      <w:pPr>
        <w:ind w:firstLine="360"/>
        <w:divId w:val="599029070"/>
        <w:rPr>
          <w:rFonts w:eastAsia="Times New Roman"/>
        </w:rPr>
      </w:pPr>
      <w:r>
        <w:rPr>
          <w:rFonts w:eastAsia="Times New Roman"/>
          <w:color w:val="000000"/>
          <w:sz w:val="20"/>
          <w:szCs w:val="20"/>
        </w:rPr>
        <w:t>Not applicable.</w:t>
      </w:r>
    </w:p>
    <w:p w14:paraId="733C68F0" w14:textId="77777777" w:rsidR="00000000" w:rsidRDefault="009B6C69">
      <w:pPr>
        <w:jc w:val="center"/>
        <w:divId w:val="1312907272"/>
        <w:rPr>
          <w:rFonts w:eastAsia="Times New Roman"/>
        </w:rPr>
      </w:pPr>
      <w:r>
        <w:rPr>
          <w:rFonts w:eastAsia="Times New Roman"/>
          <w:color w:val="000000"/>
          <w:sz w:val="20"/>
          <w:szCs w:val="20"/>
        </w:rPr>
        <w:t>50</w:t>
      </w:r>
    </w:p>
    <w:p w14:paraId="6F92C109" w14:textId="77777777" w:rsidR="00000000" w:rsidRDefault="009B6C69">
      <w:pPr>
        <w:rPr>
          <w:rFonts w:eastAsia="Times New Roman"/>
        </w:rPr>
      </w:pPr>
      <w:r>
        <w:rPr>
          <w:rFonts w:eastAsia="Times New Roman"/>
        </w:rPr>
        <w:pict w14:anchorId="04529E72">
          <v:rect id="_x0000_i1074" style="width:0;height:1.5pt" o:hralign="center" o:hrstd="t" o:hr="t" fillcolor="#a0a0a0" stroked="f"/>
        </w:pict>
      </w:r>
    </w:p>
    <w:p w14:paraId="6C046E3A" w14:textId="77777777" w:rsidR="00000000" w:rsidRDefault="009B6C69">
      <w:pPr>
        <w:divId w:val="1303926077"/>
        <w:rPr>
          <w:rFonts w:eastAsia="Times New Roman"/>
        </w:rPr>
      </w:pPr>
    </w:p>
    <w:p w14:paraId="01059FEF" w14:textId="77777777" w:rsidR="00000000" w:rsidRDefault="009B6C69">
      <w:pPr>
        <w:jc w:val="center"/>
        <w:divId w:val="1802335966"/>
        <w:rPr>
          <w:rFonts w:eastAsia="Times New Roman"/>
        </w:rPr>
      </w:pPr>
      <w:r>
        <w:rPr>
          <w:rFonts w:eastAsia="Times New Roman"/>
          <w:b/>
          <w:bCs/>
          <w:color w:val="000000"/>
          <w:sz w:val="20"/>
          <w:szCs w:val="20"/>
        </w:rPr>
        <w:t>PART III</w:t>
      </w:r>
    </w:p>
    <w:p w14:paraId="4FD546DA" w14:textId="77777777" w:rsidR="00000000" w:rsidRDefault="009B6C69">
      <w:pPr>
        <w:divId w:val="1187138058"/>
        <w:rPr>
          <w:rFonts w:eastAsia="Times New Roman"/>
        </w:rPr>
      </w:pPr>
      <w:r>
        <w:rPr>
          <w:rFonts w:eastAsia="Times New Roman"/>
          <w:b/>
          <w:bCs/>
          <w:color w:val="000000"/>
          <w:sz w:val="20"/>
          <w:szCs w:val="20"/>
        </w:rPr>
        <w:t>Item 10. Directors, Executive Officers and Corporate Governance</w:t>
      </w:r>
    </w:p>
    <w:p w14:paraId="440BE76C" w14:textId="77777777" w:rsidR="00000000" w:rsidRDefault="009B6C69">
      <w:pPr>
        <w:ind w:firstLine="360"/>
        <w:divId w:val="225842044"/>
        <w:rPr>
          <w:rFonts w:eastAsia="Times New Roman"/>
        </w:rPr>
      </w:pPr>
      <w:r>
        <w:rPr>
          <w:rFonts w:eastAsia="Times New Roman"/>
          <w:color w:val="000000"/>
          <w:sz w:val="20"/>
          <w:szCs w:val="20"/>
        </w:rPr>
        <w:t>The information required by this item regarding directors is incorporated by reference to our 2023 Proxy Statement to be filed with the SEC in connection with our 2023 Annual Meeting of Stockholders (2023 Proxy Statement) in “Proposal 1: Election of Direc</w:t>
      </w:r>
      <w:r>
        <w:rPr>
          <w:rFonts w:eastAsia="Times New Roman"/>
          <w:color w:val="000000"/>
          <w:sz w:val="20"/>
          <w:szCs w:val="20"/>
        </w:rPr>
        <w:t>tors” under the heading “Nominees for Election.” Certain information required by this item regarding executive officers is set forth in Item 1 of Part I of this Annual Report under the heading “Information about our Executive Officers.” The information req</w:t>
      </w:r>
      <w:r>
        <w:rPr>
          <w:rFonts w:eastAsia="Times New Roman"/>
          <w:color w:val="000000"/>
          <w:sz w:val="20"/>
          <w:szCs w:val="20"/>
        </w:rPr>
        <w:t>uired by this item regarding corporate governance is incorporated by reference to our 2023 Proxy Statement in the section titled “Corporate Governance” under the headings “Code of Ethics and Corporate Governance Principles and Practices” and “Board Meeting</w:t>
      </w:r>
      <w:r>
        <w:rPr>
          <w:rFonts w:eastAsia="Times New Roman"/>
          <w:color w:val="000000"/>
          <w:sz w:val="20"/>
          <w:szCs w:val="20"/>
        </w:rPr>
        <w:t>s, Committees and Attendance.”</w:t>
      </w:r>
    </w:p>
    <w:p w14:paraId="17B9F174" w14:textId="77777777" w:rsidR="00000000" w:rsidRDefault="009B6C69">
      <w:pPr>
        <w:divId w:val="2111928139"/>
        <w:rPr>
          <w:rFonts w:eastAsia="Times New Roman"/>
        </w:rPr>
      </w:pPr>
      <w:r>
        <w:rPr>
          <w:rFonts w:eastAsia="Times New Roman"/>
          <w:b/>
          <w:bCs/>
          <w:color w:val="000000"/>
          <w:sz w:val="20"/>
          <w:szCs w:val="20"/>
        </w:rPr>
        <w:t>Item 11. Executive Compensation</w:t>
      </w:r>
    </w:p>
    <w:p w14:paraId="5370B31A" w14:textId="77777777" w:rsidR="00000000" w:rsidRDefault="009B6C69">
      <w:pPr>
        <w:ind w:firstLine="360"/>
        <w:divId w:val="540284683"/>
        <w:rPr>
          <w:rFonts w:eastAsia="Times New Roman"/>
        </w:rPr>
      </w:pPr>
      <w:r>
        <w:rPr>
          <w:rFonts w:eastAsia="Times New Roman"/>
          <w:color w:val="000000"/>
          <w:sz w:val="20"/>
          <w:szCs w:val="20"/>
        </w:rPr>
        <w:t xml:space="preserve">The information required by this item is incorporated by reference to our 2023 Proxy Statement in the section titled “Executive Compensation and Related Information” under the headings “Compensation Discussion and Analysis,” “HR and Compensation Committee </w:t>
      </w:r>
      <w:r>
        <w:rPr>
          <w:rFonts w:eastAsia="Times New Roman"/>
          <w:color w:val="000000"/>
          <w:sz w:val="20"/>
          <w:szCs w:val="20"/>
        </w:rPr>
        <w:t>Report” and “Compensation Tables and Narrative Disclosures,” in the section titled “Director Compensation” and in the section titled “Stock Ownership of Certain Beneficial Owners and Management” under the heading “Compensation Committee Interlocks and Insi</w:t>
      </w:r>
      <w:r>
        <w:rPr>
          <w:rFonts w:eastAsia="Times New Roman"/>
          <w:color w:val="000000"/>
          <w:sz w:val="20"/>
          <w:szCs w:val="20"/>
        </w:rPr>
        <w:t xml:space="preserve">der Participation.” </w:t>
      </w:r>
    </w:p>
    <w:p w14:paraId="2593BC9F" w14:textId="77777777" w:rsidR="00000000" w:rsidRDefault="009B6C69">
      <w:pPr>
        <w:divId w:val="570426838"/>
        <w:rPr>
          <w:rFonts w:eastAsia="Times New Roman"/>
        </w:rPr>
      </w:pPr>
      <w:r>
        <w:rPr>
          <w:rFonts w:eastAsia="Times New Roman"/>
          <w:b/>
          <w:bCs/>
          <w:color w:val="000000"/>
          <w:sz w:val="20"/>
          <w:szCs w:val="20"/>
        </w:rPr>
        <w:t>Item 12. Security Ownership of Certain Beneficial Owners and Management and Related Stockholder Matters</w:t>
      </w:r>
    </w:p>
    <w:p w14:paraId="2FB7E0E0" w14:textId="77777777" w:rsidR="00000000" w:rsidRDefault="009B6C69">
      <w:pPr>
        <w:ind w:firstLine="360"/>
        <w:divId w:val="1831016838"/>
        <w:rPr>
          <w:rFonts w:eastAsia="Times New Roman"/>
        </w:rPr>
      </w:pPr>
      <w:r>
        <w:rPr>
          <w:rFonts w:eastAsia="Times New Roman"/>
          <w:color w:val="000000"/>
          <w:sz w:val="20"/>
          <w:szCs w:val="20"/>
        </w:rPr>
        <w:t>The information required by this item is incorporated by reference to our 2023 Proxy Statement in the section titled “Stock Ownersh</w:t>
      </w:r>
      <w:r>
        <w:rPr>
          <w:rFonts w:eastAsia="Times New Roman"/>
          <w:color w:val="000000"/>
          <w:sz w:val="20"/>
          <w:szCs w:val="20"/>
        </w:rPr>
        <w:t>ip of Certain Beneficial Owners and Management” and in “Proposal 3” under the heading “Equity Compensation Plan Information.”</w:t>
      </w:r>
    </w:p>
    <w:p w14:paraId="3C3AC54C" w14:textId="77777777" w:rsidR="00000000" w:rsidRDefault="009B6C69">
      <w:pPr>
        <w:divId w:val="759303058"/>
        <w:rPr>
          <w:rFonts w:eastAsia="Times New Roman"/>
        </w:rPr>
      </w:pPr>
      <w:r>
        <w:rPr>
          <w:rFonts w:eastAsia="Times New Roman"/>
          <w:b/>
          <w:bCs/>
          <w:color w:val="000000"/>
          <w:sz w:val="20"/>
          <w:szCs w:val="20"/>
        </w:rPr>
        <w:t>Item 13. Certain Relationships and Related Transactions, and Director Independence</w:t>
      </w:r>
    </w:p>
    <w:p w14:paraId="35AFB8DF" w14:textId="77777777" w:rsidR="00000000" w:rsidRDefault="009B6C69">
      <w:pPr>
        <w:ind w:firstLine="360"/>
        <w:divId w:val="1614439242"/>
        <w:rPr>
          <w:rFonts w:eastAsia="Times New Roman"/>
        </w:rPr>
      </w:pPr>
      <w:r>
        <w:rPr>
          <w:rFonts w:eastAsia="Times New Roman"/>
          <w:color w:val="000000"/>
          <w:sz w:val="20"/>
          <w:szCs w:val="20"/>
        </w:rPr>
        <w:t>The information required by this item is incorp</w:t>
      </w:r>
      <w:r>
        <w:rPr>
          <w:rFonts w:eastAsia="Times New Roman"/>
          <w:color w:val="000000"/>
          <w:sz w:val="20"/>
          <w:szCs w:val="20"/>
        </w:rPr>
        <w:t>orated by reference to our 2023 Proxy Statement in the section titled “Certain Relationships and Related-Person Transactions” and in the section titled “Corporate Governance” under the headings “Director Independence” and “Board Meetings, Committees and At</w:t>
      </w:r>
      <w:r>
        <w:rPr>
          <w:rFonts w:eastAsia="Times New Roman"/>
          <w:color w:val="000000"/>
          <w:sz w:val="20"/>
          <w:szCs w:val="20"/>
        </w:rPr>
        <w:t>tendance.”</w:t>
      </w:r>
    </w:p>
    <w:p w14:paraId="315408B2" w14:textId="77777777" w:rsidR="00000000" w:rsidRDefault="009B6C69">
      <w:pPr>
        <w:divId w:val="719287525"/>
        <w:rPr>
          <w:rFonts w:eastAsia="Times New Roman"/>
        </w:rPr>
      </w:pPr>
      <w:r>
        <w:rPr>
          <w:rFonts w:eastAsia="Times New Roman"/>
          <w:b/>
          <w:bCs/>
          <w:color w:val="000000"/>
          <w:sz w:val="20"/>
          <w:szCs w:val="20"/>
        </w:rPr>
        <w:t>Item 14. Principal Accounting Fees and Services</w:t>
      </w:r>
    </w:p>
    <w:p w14:paraId="7FDE6BA7" w14:textId="77777777" w:rsidR="00000000" w:rsidRDefault="009B6C69">
      <w:pPr>
        <w:ind w:firstLine="360"/>
        <w:divId w:val="595602338"/>
        <w:rPr>
          <w:rFonts w:eastAsia="Times New Roman"/>
        </w:rPr>
      </w:pPr>
      <w:r>
        <w:rPr>
          <w:rFonts w:eastAsia="Times New Roman"/>
          <w:color w:val="000000"/>
          <w:sz w:val="20"/>
          <w:szCs w:val="20"/>
        </w:rPr>
        <w:t>The information required by this item is incorporated by reference to our 2023 Proxy Statement in “Proposal 2: Ratification of Selection of Independent Public Accountants.”</w:t>
      </w:r>
    </w:p>
    <w:p w14:paraId="12D4E174" w14:textId="77777777" w:rsidR="00000000" w:rsidRDefault="009B6C69">
      <w:pPr>
        <w:jc w:val="center"/>
        <w:divId w:val="187567625"/>
        <w:rPr>
          <w:rFonts w:eastAsia="Times New Roman"/>
        </w:rPr>
      </w:pPr>
      <w:r>
        <w:rPr>
          <w:rFonts w:eastAsia="Times New Roman"/>
          <w:b/>
          <w:bCs/>
          <w:color w:val="000000"/>
          <w:sz w:val="20"/>
          <w:szCs w:val="20"/>
        </w:rPr>
        <w:t>PART IV</w:t>
      </w:r>
    </w:p>
    <w:p w14:paraId="0BD9D551" w14:textId="77777777" w:rsidR="00000000" w:rsidRDefault="009B6C69">
      <w:pPr>
        <w:divId w:val="2132047352"/>
        <w:rPr>
          <w:rFonts w:eastAsia="Times New Roman"/>
        </w:rPr>
      </w:pPr>
      <w:r>
        <w:rPr>
          <w:rFonts w:eastAsia="Times New Roman"/>
          <w:b/>
          <w:bCs/>
          <w:color w:val="000000"/>
          <w:sz w:val="20"/>
          <w:szCs w:val="20"/>
        </w:rPr>
        <w:t>Item 15. Exhibit</w:t>
      </w:r>
      <w:r>
        <w:rPr>
          <w:rFonts w:eastAsia="Times New Roman"/>
          <w:b/>
          <w:bCs/>
          <w:color w:val="000000"/>
          <w:sz w:val="20"/>
          <w:szCs w:val="20"/>
        </w:rPr>
        <w:t>s and Financial Statement Schedules</w:t>
      </w:r>
    </w:p>
    <w:p w14:paraId="3ED9446A" w14:textId="77777777" w:rsidR="00000000" w:rsidRDefault="009B6C69">
      <w:pPr>
        <w:ind w:firstLine="360"/>
        <w:divId w:val="1243446989"/>
        <w:rPr>
          <w:rFonts w:eastAsia="Times New Roman"/>
        </w:rPr>
      </w:pPr>
      <w:r>
        <w:rPr>
          <w:rFonts w:eastAsia="Times New Roman"/>
          <w:color w:val="000000"/>
          <w:sz w:val="20"/>
          <w:szCs w:val="20"/>
        </w:rPr>
        <w:t>The following documents are filed as part of this report:</w:t>
      </w:r>
    </w:p>
    <w:p w14:paraId="302274FE" w14:textId="77777777" w:rsidR="00000000" w:rsidRDefault="009B6C69">
      <w:pPr>
        <w:divId w:val="410930958"/>
        <w:rPr>
          <w:rFonts w:eastAsia="Times New Roman"/>
        </w:rPr>
      </w:pPr>
      <w:r>
        <w:rPr>
          <w:rFonts w:eastAsia="Times New Roman"/>
          <w:color w:val="000000"/>
          <w:sz w:val="20"/>
          <w:szCs w:val="20"/>
        </w:rPr>
        <w:t>(a)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58"/>
        <w:gridCol w:w="6538"/>
        <w:gridCol w:w="39"/>
        <w:gridCol w:w="58"/>
        <w:gridCol w:w="463"/>
        <w:gridCol w:w="36"/>
        <w:gridCol w:w="38"/>
        <w:gridCol w:w="209"/>
        <w:gridCol w:w="38"/>
        <w:gridCol w:w="76"/>
        <w:gridCol w:w="444"/>
        <w:gridCol w:w="36"/>
        <w:gridCol w:w="36"/>
        <w:gridCol w:w="201"/>
        <w:gridCol w:w="36"/>
      </w:tblGrid>
      <w:tr w:rsidR="00000000" w14:paraId="02A3F4A5" w14:textId="77777777">
        <w:trPr>
          <w:divId w:val="410930958"/>
        </w:trPr>
        <w:tc>
          <w:tcPr>
            <w:tcW w:w="50" w:type="pct"/>
            <w:vAlign w:val="center"/>
            <w:hideMark/>
          </w:tcPr>
          <w:p w14:paraId="34EF0FFD" w14:textId="77777777" w:rsidR="00000000" w:rsidRDefault="009B6C69">
            <w:pPr>
              <w:rPr>
                <w:rFonts w:eastAsia="Times New Roman"/>
              </w:rPr>
            </w:pPr>
          </w:p>
        </w:tc>
        <w:tc>
          <w:tcPr>
            <w:tcW w:w="3949" w:type="pct"/>
            <w:vAlign w:val="center"/>
            <w:hideMark/>
          </w:tcPr>
          <w:p w14:paraId="52451CF9" w14:textId="77777777" w:rsidR="00000000" w:rsidRDefault="009B6C69">
            <w:pPr>
              <w:spacing w:after="100"/>
              <w:rPr>
                <w:rFonts w:eastAsia="Times New Roman"/>
                <w:sz w:val="20"/>
                <w:szCs w:val="20"/>
              </w:rPr>
            </w:pPr>
          </w:p>
        </w:tc>
        <w:tc>
          <w:tcPr>
            <w:tcW w:w="5" w:type="pct"/>
            <w:vAlign w:val="center"/>
            <w:hideMark/>
          </w:tcPr>
          <w:p w14:paraId="407561E9" w14:textId="77777777" w:rsidR="00000000" w:rsidRDefault="009B6C69">
            <w:pPr>
              <w:spacing w:after="100"/>
              <w:rPr>
                <w:rFonts w:eastAsia="Times New Roman"/>
                <w:sz w:val="20"/>
                <w:szCs w:val="20"/>
              </w:rPr>
            </w:pPr>
          </w:p>
        </w:tc>
        <w:tc>
          <w:tcPr>
            <w:tcW w:w="50" w:type="pct"/>
            <w:vAlign w:val="center"/>
            <w:hideMark/>
          </w:tcPr>
          <w:p w14:paraId="7239FF3C" w14:textId="77777777" w:rsidR="00000000" w:rsidRDefault="009B6C69">
            <w:pPr>
              <w:spacing w:after="100"/>
              <w:rPr>
                <w:rFonts w:eastAsia="Times New Roman"/>
                <w:sz w:val="20"/>
                <w:szCs w:val="20"/>
              </w:rPr>
            </w:pPr>
          </w:p>
        </w:tc>
        <w:tc>
          <w:tcPr>
            <w:tcW w:w="294" w:type="pct"/>
            <w:vAlign w:val="center"/>
            <w:hideMark/>
          </w:tcPr>
          <w:p w14:paraId="36018799" w14:textId="77777777" w:rsidR="00000000" w:rsidRDefault="009B6C69">
            <w:pPr>
              <w:spacing w:after="100"/>
              <w:rPr>
                <w:rFonts w:eastAsia="Times New Roman"/>
                <w:sz w:val="20"/>
                <w:szCs w:val="20"/>
              </w:rPr>
            </w:pPr>
          </w:p>
        </w:tc>
        <w:tc>
          <w:tcPr>
            <w:tcW w:w="5" w:type="pct"/>
            <w:vAlign w:val="center"/>
            <w:hideMark/>
          </w:tcPr>
          <w:p w14:paraId="73BBDA83" w14:textId="77777777" w:rsidR="00000000" w:rsidRDefault="009B6C69">
            <w:pPr>
              <w:spacing w:after="100"/>
              <w:rPr>
                <w:rFonts w:eastAsia="Times New Roman"/>
                <w:sz w:val="20"/>
                <w:szCs w:val="20"/>
              </w:rPr>
            </w:pPr>
          </w:p>
        </w:tc>
        <w:tc>
          <w:tcPr>
            <w:tcW w:w="5" w:type="pct"/>
            <w:vAlign w:val="center"/>
            <w:hideMark/>
          </w:tcPr>
          <w:p w14:paraId="08BABCF1" w14:textId="77777777" w:rsidR="00000000" w:rsidRDefault="009B6C69">
            <w:pPr>
              <w:spacing w:after="100"/>
              <w:rPr>
                <w:rFonts w:eastAsia="Times New Roman"/>
                <w:sz w:val="20"/>
                <w:szCs w:val="20"/>
              </w:rPr>
            </w:pPr>
          </w:p>
        </w:tc>
        <w:tc>
          <w:tcPr>
            <w:tcW w:w="138" w:type="pct"/>
            <w:vAlign w:val="center"/>
            <w:hideMark/>
          </w:tcPr>
          <w:p w14:paraId="7EEF2C02" w14:textId="77777777" w:rsidR="00000000" w:rsidRDefault="009B6C69">
            <w:pPr>
              <w:spacing w:after="100"/>
              <w:rPr>
                <w:rFonts w:eastAsia="Times New Roman"/>
                <w:sz w:val="20"/>
                <w:szCs w:val="20"/>
              </w:rPr>
            </w:pPr>
          </w:p>
        </w:tc>
        <w:tc>
          <w:tcPr>
            <w:tcW w:w="5" w:type="pct"/>
            <w:vAlign w:val="center"/>
            <w:hideMark/>
          </w:tcPr>
          <w:p w14:paraId="38784D5A" w14:textId="77777777" w:rsidR="00000000" w:rsidRDefault="009B6C69">
            <w:pPr>
              <w:spacing w:after="100"/>
              <w:rPr>
                <w:rFonts w:eastAsia="Times New Roman"/>
                <w:sz w:val="20"/>
                <w:szCs w:val="20"/>
              </w:rPr>
            </w:pPr>
          </w:p>
        </w:tc>
        <w:tc>
          <w:tcPr>
            <w:tcW w:w="50" w:type="pct"/>
            <w:vAlign w:val="center"/>
            <w:hideMark/>
          </w:tcPr>
          <w:p w14:paraId="7A3C3CA6" w14:textId="77777777" w:rsidR="00000000" w:rsidRDefault="009B6C69">
            <w:pPr>
              <w:spacing w:after="100"/>
              <w:rPr>
                <w:rFonts w:eastAsia="Times New Roman"/>
                <w:sz w:val="20"/>
                <w:szCs w:val="20"/>
              </w:rPr>
            </w:pPr>
          </w:p>
        </w:tc>
        <w:tc>
          <w:tcPr>
            <w:tcW w:w="294" w:type="pct"/>
            <w:vAlign w:val="center"/>
            <w:hideMark/>
          </w:tcPr>
          <w:p w14:paraId="73EFAD07" w14:textId="77777777" w:rsidR="00000000" w:rsidRDefault="009B6C69">
            <w:pPr>
              <w:spacing w:after="100"/>
              <w:rPr>
                <w:rFonts w:eastAsia="Times New Roman"/>
                <w:sz w:val="20"/>
                <w:szCs w:val="20"/>
              </w:rPr>
            </w:pPr>
          </w:p>
        </w:tc>
        <w:tc>
          <w:tcPr>
            <w:tcW w:w="5" w:type="pct"/>
            <w:vAlign w:val="center"/>
            <w:hideMark/>
          </w:tcPr>
          <w:p w14:paraId="4CCDE824" w14:textId="77777777" w:rsidR="00000000" w:rsidRDefault="009B6C69">
            <w:pPr>
              <w:spacing w:after="100"/>
              <w:rPr>
                <w:rFonts w:eastAsia="Times New Roman"/>
                <w:sz w:val="20"/>
                <w:szCs w:val="20"/>
              </w:rPr>
            </w:pPr>
          </w:p>
        </w:tc>
        <w:tc>
          <w:tcPr>
            <w:tcW w:w="5" w:type="pct"/>
            <w:vAlign w:val="center"/>
            <w:hideMark/>
          </w:tcPr>
          <w:p w14:paraId="124F9E00" w14:textId="77777777" w:rsidR="00000000" w:rsidRDefault="009B6C69">
            <w:pPr>
              <w:spacing w:after="100"/>
              <w:rPr>
                <w:rFonts w:eastAsia="Times New Roman"/>
                <w:sz w:val="20"/>
                <w:szCs w:val="20"/>
              </w:rPr>
            </w:pPr>
          </w:p>
        </w:tc>
        <w:tc>
          <w:tcPr>
            <w:tcW w:w="138" w:type="pct"/>
            <w:vAlign w:val="center"/>
            <w:hideMark/>
          </w:tcPr>
          <w:p w14:paraId="136D0F37" w14:textId="77777777" w:rsidR="00000000" w:rsidRDefault="009B6C69">
            <w:pPr>
              <w:spacing w:after="100"/>
              <w:rPr>
                <w:rFonts w:eastAsia="Times New Roman"/>
                <w:sz w:val="20"/>
                <w:szCs w:val="20"/>
              </w:rPr>
            </w:pPr>
          </w:p>
        </w:tc>
        <w:tc>
          <w:tcPr>
            <w:tcW w:w="5" w:type="pct"/>
            <w:vAlign w:val="center"/>
            <w:hideMark/>
          </w:tcPr>
          <w:p w14:paraId="59ED60B5" w14:textId="77777777" w:rsidR="00000000" w:rsidRDefault="009B6C69">
            <w:pPr>
              <w:spacing w:after="100"/>
              <w:rPr>
                <w:rFonts w:eastAsia="Times New Roman"/>
                <w:sz w:val="20"/>
                <w:szCs w:val="20"/>
              </w:rPr>
            </w:pPr>
          </w:p>
        </w:tc>
      </w:tr>
      <w:tr w:rsidR="00000000" w14:paraId="76CD5C61" w14:textId="77777777">
        <w:trPr>
          <w:divId w:val="410930958"/>
        </w:trPr>
        <w:tc>
          <w:tcPr>
            <w:tcW w:w="0" w:type="auto"/>
            <w:gridSpan w:val="3"/>
            <w:tcMar>
              <w:top w:w="0" w:type="dxa"/>
              <w:left w:w="20" w:type="dxa"/>
              <w:bottom w:w="0" w:type="dxa"/>
              <w:right w:w="20" w:type="dxa"/>
            </w:tcMar>
            <w:vAlign w:val="center"/>
            <w:hideMark/>
          </w:tcPr>
          <w:p w14:paraId="66ED1F34"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1D2EFC0" w14:textId="77777777" w:rsidR="00000000" w:rsidRDefault="009B6C69">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14:paraId="04446BC6" w14:textId="77777777" w:rsidR="00000000" w:rsidRDefault="009B6C69">
            <w:pPr>
              <w:spacing w:after="100"/>
              <w:jc w:val="center"/>
              <w:rPr>
                <w:rFonts w:eastAsia="Times New Roman"/>
              </w:rPr>
            </w:pPr>
            <w:r>
              <w:rPr>
                <w:rFonts w:eastAsia="Times New Roman"/>
                <w:b/>
                <w:bCs/>
                <w:color w:val="000000"/>
                <w:sz w:val="20"/>
                <w:szCs w:val="20"/>
              </w:rPr>
              <w:t>Page</w:t>
            </w:r>
          </w:p>
        </w:tc>
        <w:tc>
          <w:tcPr>
            <w:tcW w:w="0" w:type="auto"/>
            <w:gridSpan w:val="3"/>
            <w:tcMar>
              <w:top w:w="30" w:type="dxa"/>
              <w:left w:w="20" w:type="dxa"/>
              <w:bottom w:w="30" w:type="dxa"/>
              <w:right w:w="20" w:type="dxa"/>
            </w:tcMar>
            <w:vAlign w:val="bottom"/>
            <w:hideMark/>
          </w:tcPr>
          <w:p w14:paraId="4FE7484C" w14:textId="77777777" w:rsidR="00000000" w:rsidRDefault="009B6C69">
            <w:pPr>
              <w:spacing w:after="100"/>
              <w:rPr>
                <w:rFonts w:eastAsia="Times New Roman"/>
              </w:rPr>
            </w:pPr>
            <w:r>
              <w:rPr>
                <w:rFonts w:eastAsia="Times New Roman"/>
                <w:color w:val="000000"/>
                <w:sz w:val="20"/>
                <w:szCs w:val="20"/>
              </w:rPr>
              <w:t> </w:t>
            </w:r>
          </w:p>
        </w:tc>
      </w:tr>
      <w:tr w:rsidR="00000000" w14:paraId="222404FF" w14:textId="77777777">
        <w:trPr>
          <w:divId w:val="410930958"/>
        </w:trPr>
        <w:tc>
          <w:tcPr>
            <w:tcW w:w="0" w:type="auto"/>
            <w:gridSpan w:val="3"/>
            <w:tcMar>
              <w:top w:w="0" w:type="dxa"/>
              <w:left w:w="20" w:type="dxa"/>
              <w:bottom w:w="0" w:type="dxa"/>
              <w:right w:w="20" w:type="dxa"/>
            </w:tcMar>
            <w:vAlign w:val="center"/>
            <w:hideMark/>
          </w:tcPr>
          <w:p w14:paraId="3F5DEE19" w14:textId="77777777" w:rsidR="00000000" w:rsidRDefault="009B6C69">
            <w:pPr>
              <w:spacing w:after="100"/>
              <w:rPr>
                <w:rFonts w:eastAsia="Times New Roman"/>
              </w:rPr>
            </w:pPr>
          </w:p>
        </w:tc>
        <w:tc>
          <w:tcPr>
            <w:tcW w:w="0" w:type="auto"/>
            <w:gridSpan w:val="3"/>
            <w:tcMar>
              <w:top w:w="30" w:type="dxa"/>
              <w:left w:w="20" w:type="dxa"/>
              <w:bottom w:w="30" w:type="dxa"/>
              <w:right w:w="20" w:type="dxa"/>
            </w:tcMar>
            <w:vAlign w:val="bottom"/>
            <w:hideMark/>
          </w:tcPr>
          <w:p w14:paraId="11840E7A" w14:textId="77777777" w:rsidR="00000000" w:rsidRDefault="009B6C69">
            <w:pPr>
              <w:spacing w:after="100"/>
              <w:rPr>
                <w:rFonts w:eastAsia="Times New Roman"/>
              </w:rPr>
            </w:pPr>
            <w:r>
              <w:rPr>
                <w:rFonts w:eastAsia="Times New Roman"/>
                <w:color w:val="000000"/>
                <w:sz w:val="20"/>
                <w:szCs w:val="20"/>
              </w:rPr>
              <w:t> </w:t>
            </w:r>
          </w:p>
        </w:tc>
        <w:tc>
          <w:tcPr>
            <w:tcW w:w="0" w:type="auto"/>
            <w:gridSpan w:val="6"/>
            <w:tcBorders>
              <w:bottom w:val="single" w:sz="8" w:space="0" w:color="000000"/>
            </w:tcBorders>
            <w:tcMar>
              <w:top w:w="30" w:type="dxa"/>
              <w:left w:w="20" w:type="dxa"/>
              <w:bottom w:w="30" w:type="dxa"/>
              <w:right w:w="20" w:type="dxa"/>
            </w:tcMar>
            <w:vAlign w:val="bottom"/>
            <w:hideMark/>
          </w:tcPr>
          <w:p w14:paraId="122C062F" w14:textId="77777777" w:rsidR="00000000" w:rsidRDefault="009B6C69">
            <w:pPr>
              <w:spacing w:after="100"/>
              <w:jc w:val="center"/>
              <w:rPr>
                <w:rFonts w:eastAsia="Times New Roman"/>
              </w:rPr>
            </w:pPr>
            <w:r>
              <w:rPr>
                <w:rFonts w:eastAsia="Times New Roman"/>
                <w:b/>
                <w:bCs/>
                <w:color w:val="000000"/>
                <w:sz w:val="20"/>
                <w:szCs w:val="20"/>
              </w:rPr>
              <w:t>Number</w:t>
            </w:r>
          </w:p>
        </w:tc>
        <w:tc>
          <w:tcPr>
            <w:tcW w:w="0" w:type="auto"/>
            <w:gridSpan w:val="3"/>
            <w:tcMar>
              <w:top w:w="30" w:type="dxa"/>
              <w:left w:w="20" w:type="dxa"/>
              <w:bottom w:w="30" w:type="dxa"/>
              <w:right w:w="20" w:type="dxa"/>
            </w:tcMar>
            <w:vAlign w:val="bottom"/>
            <w:hideMark/>
          </w:tcPr>
          <w:p w14:paraId="3DF604D4" w14:textId="77777777" w:rsidR="00000000" w:rsidRDefault="009B6C69">
            <w:pPr>
              <w:spacing w:after="100"/>
              <w:rPr>
                <w:rFonts w:eastAsia="Times New Roman"/>
              </w:rPr>
            </w:pPr>
            <w:r>
              <w:rPr>
                <w:rFonts w:eastAsia="Times New Roman"/>
                <w:color w:val="000000"/>
                <w:sz w:val="20"/>
                <w:szCs w:val="20"/>
              </w:rPr>
              <w:t> </w:t>
            </w:r>
          </w:p>
        </w:tc>
      </w:tr>
      <w:tr w:rsidR="00000000" w14:paraId="1090C3EF" w14:textId="77777777">
        <w:trPr>
          <w:divId w:val="410930958"/>
        </w:trPr>
        <w:tc>
          <w:tcPr>
            <w:tcW w:w="0" w:type="auto"/>
            <w:gridSpan w:val="3"/>
            <w:tcMar>
              <w:top w:w="30" w:type="dxa"/>
              <w:left w:w="20" w:type="dxa"/>
              <w:bottom w:w="30" w:type="dxa"/>
              <w:right w:w="20" w:type="dxa"/>
            </w:tcMar>
            <w:vAlign w:val="bottom"/>
            <w:hideMark/>
          </w:tcPr>
          <w:p w14:paraId="5AE06528" w14:textId="77777777" w:rsidR="00000000" w:rsidRDefault="009B6C69">
            <w:pPr>
              <w:spacing w:after="100"/>
              <w:divId w:val="684091862"/>
              <w:rPr>
                <w:rFonts w:eastAsia="Times New Roman"/>
              </w:rPr>
            </w:pPr>
            <w:r>
              <w:rPr>
                <w:rFonts w:eastAsia="Times New Roman"/>
                <w:color w:val="000000"/>
                <w:sz w:val="20"/>
                <w:szCs w:val="20"/>
              </w:rPr>
              <w:t>(1) Report of Independent Registered Public Accounting Firm (PCAOB ID: 238)</w:t>
            </w:r>
          </w:p>
        </w:tc>
        <w:tc>
          <w:tcPr>
            <w:tcW w:w="0" w:type="auto"/>
            <w:gridSpan w:val="3"/>
            <w:tcMar>
              <w:top w:w="30" w:type="dxa"/>
              <w:left w:w="20" w:type="dxa"/>
              <w:bottom w:w="30" w:type="dxa"/>
              <w:right w:w="20" w:type="dxa"/>
            </w:tcMar>
            <w:vAlign w:val="bottom"/>
            <w:hideMark/>
          </w:tcPr>
          <w:p w14:paraId="6D95840C" w14:textId="77777777" w:rsidR="00000000" w:rsidRDefault="009B6C69">
            <w:pPr>
              <w:spacing w:after="100"/>
              <w:rPr>
                <w:rFonts w:eastAsia="Times New Roman"/>
              </w:rPr>
            </w:pPr>
            <w:r>
              <w:rPr>
                <w:rFonts w:eastAsia="Times New Roman"/>
                <w:color w:val="000000"/>
                <w:sz w:val="20"/>
                <w:szCs w:val="20"/>
              </w:rPr>
              <w:t> </w:t>
            </w:r>
          </w:p>
        </w:tc>
        <w:tc>
          <w:tcPr>
            <w:tcW w:w="0" w:type="auto"/>
            <w:gridSpan w:val="6"/>
            <w:tcBorders>
              <w:top w:val="single" w:sz="8" w:space="0" w:color="000000"/>
            </w:tcBorders>
            <w:tcMar>
              <w:top w:w="30" w:type="dxa"/>
              <w:left w:w="20" w:type="dxa"/>
              <w:bottom w:w="30" w:type="dxa"/>
              <w:right w:w="20" w:type="dxa"/>
            </w:tcMar>
            <w:hideMark/>
          </w:tcPr>
          <w:p w14:paraId="1BF7BC5E" w14:textId="77777777" w:rsidR="00000000" w:rsidRDefault="009B6C69">
            <w:pPr>
              <w:spacing w:after="100"/>
              <w:jc w:val="center"/>
              <w:rPr>
                <w:rFonts w:eastAsia="Times New Roman"/>
              </w:rPr>
            </w:pPr>
            <w:hyperlink w:anchor="i9ad6dd4fe99344baa66ed135956810b0_178" w:history="1">
              <w:r>
                <w:rPr>
                  <w:rStyle w:val="a3"/>
                  <w:rFonts w:eastAsia="Times New Roman"/>
                  <w:sz w:val="20"/>
                  <w:szCs w:val="20"/>
                </w:rPr>
                <w:t>F-1</w:t>
              </w:r>
            </w:hyperlink>
          </w:p>
        </w:tc>
        <w:tc>
          <w:tcPr>
            <w:tcW w:w="0" w:type="auto"/>
            <w:gridSpan w:val="3"/>
            <w:tcMar>
              <w:top w:w="30" w:type="dxa"/>
              <w:left w:w="20" w:type="dxa"/>
              <w:bottom w:w="30" w:type="dxa"/>
              <w:right w:w="20" w:type="dxa"/>
            </w:tcMar>
            <w:vAlign w:val="bottom"/>
            <w:hideMark/>
          </w:tcPr>
          <w:p w14:paraId="0A022D4E" w14:textId="77777777" w:rsidR="00000000" w:rsidRDefault="009B6C69">
            <w:pPr>
              <w:spacing w:after="100"/>
              <w:rPr>
                <w:rFonts w:eastAsia="Times New Roman"/>
              </w:rPr>
            </w:pPr>
            <w:r>
              <w:rPr>
                <w:rFonts w:eastAsia="Times New Roman"/>
                <w:color w:val="000000"/>
                <w:sz w:val="20"/>
                <w:szCs w:val="20"/>
              </w:rPr>
              <w:t> </w:t>
            </w:r>
          </w:p>
        </w:tc>
      </w:tr>
      <w:tr w:rsidR="00000000" w14:paraId="015655AF" w14:textId="77777777">
        <w:trPr>
          <w:divId w:val="410930958"/>
        </w:trPr>
        <w:tc>
          <w:tcPr>
            <w:tcW w:w="0" w:type="auto"/>
            <w:gridSpan w:val="3"/>
            <w:tcMar>
              <w:top w:w="30" w:type="dxa"/>
              <w:left w:w="20" w:type="dxa"/>
              <w:bottom w:w="30" w:type="dxa"/>
              <w:right w:w="20" w:type="dxa"/>
            </w:tcMar>
            <w:vAlign w:val="bottom"/>
            <w:hideMark/>
          </w:tcPr>
          <w:p w14:paraId="1CB95CF3" w14:textId="77777777" w:rsidR="00000000" w:rsidRDefault="009B6C69">
            <w:pPr>
              <w:spacing w:after="100"/>
              <w:divId w:val="1690059610"/>
              <w:rPr>
                <w:rFonts w:eastAsia="Times New Roman"/>
              </w:rPr>
            </w:pPr>
            <w:r>
              <w:rPr>
                <w:rFonts w:eastAsia="Times New Roman"/>
                <w:color w:val="000000"/>
                <w:sz w:val="20"/>
                <w:szCs w:val="20"/>
              </w:rPr>
              <w:t>Consolidated Balance Sheets at September 25, 2022 and September 26, 2021</w:t>
            </w:r>
          </w:p>
        </w:tc>
        <w:tc>
          <w:tcPr>
            <w:tcW w:w="0" w:type="auto"/>
            <w:gridSpan w:val="3"/>
            <w:tcMar>
              <w:top w:w="30" w:type="dxa"/>
              <w:left w:w="20" w:type="dxa"/>
              <w:bottom w:w="30" w:type="dxa"/>
              <w:right w:w="20" w:type="dxa"/>
            </w:tcMar>
            <w:vAlign w:val="bottom"/>
            <w:hideMark/>
          </w:tcPr>
          <w:p w14:paraId="0E2FA7CD" w14:textId="77777777" w:rsidR="00000000" w:rsidRDefault="009B6C69">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14:paraId="55452EED" w14:textId="77777777" w:rsidR="00000000" w:rsidRDefault="009B6C69">
            <w:pPr>
              <w:spacing w:after="100"/>
              <w:jc w:val="center"/>
              <w:rPr>
                <w:rFonts w:eastAsia="Times New Roman"/>
              </w:rPr>
            </w:pPr>
            <w:hyperlink w:anchor="i9ad6dd4fe99344baa66ed135956810b0_181" w:history="1">
              <w:r>
                <w:rPr>
                  <w:rStyle w:val="a3"/>
                  <w:rFonts w:eastAsia="Times New Roman"/>
                  <w:color w:val="0E32E1"/>
                  <w:sz w:val="20"/>
                  <w:szCs w:val="20"/>
                </w:rPr>
                <w:t>F-</w:t>
              </w:r>
            </w:hyperlink>
            <w:r>
              <w:rPr>
                <w:rFonts w:eastAsia="Times New Roman"/>
                <w:color w:val="0E32E1"/>
                <w:sz w:val="20"/>
                <w:szCs w:val="20"/>
                <w:u w:val="single"/>
              </w:rPr>
              <w:t>3</w:t>
            </w:r>
          </w:p>
        </w:tc>
        <w:tc>
          <w:tcPr>
            <w:tcW w:w="0" w:type="auto"/>
            <w:gridSpan w:val="3"/>
            <w:tcMar>
              <w:top w:w="30" w:type="dxa"/>
              <w:left w:w="20" w:type="dxa"/>
              <w:bottom w:w="30" w:type="dxa"/>
              <w:right w:w="20" w:type="dxa"/>
            </w:tcMar>
            <w:vAlign w:val="bottom"/>
            <w:hideMark/>
          </w:tcPr>
          <w:p w14:paraId="5A261090" w14:textId="77777777" w:rsidR="00000000" w:rsidRDefault="009B6C69">
            <w:pPr>
              <w:spacing w:after="100"/>
              <w:rPr>
                <w:rFonts w:eastAsia="Times New Roman"/>
              </w:rPr>
            </w:pPr>
            <w:r>
              <w:rPr>
                <w:rFonts w:eastAsia="Times New Roman"/>
                <w:color w:val="000000"/>
                <w:sz w:val="20"/>
                <w:szCs w:val="20"/>
              </w:rPr>
              <w:t> </w:t>
            </w:r>
          </w:p>
        </w:tc>
      </w:tr>
      <w:tr w:rsidR="00000000" w14:paraId="4AE05CE0" w14:textId="77777777">
        <w:trPr>
          <w:divId w:val="410930958"/>
        </w:trPr>
        <w:tc>
          <w:tcPr>
            <w:tcW w:w="0" w:type="auto"/>
            <w:gridSpan w:val="3"/>
            <w:tcMar>
              <w:top w:w="30" w:type="dxa"/>
              <w:left w:w="20" w:type="dxa"/>
              <w:bottom w:w="30" w:type="dxa"/>
              <w:right w:w="20" w:type="dxa"/>
            </w:tcMar>
            <w:vAlign w:val="bottom"/>
            <w:hideMark/>
          </w:tcPr>
          <w:p w14:paraId="6821C73B" w14:textId="77777777" w:rsidR="00000000" w:rsidRDefault="009B6C69">
            <w:pPr>
              <w:spacing w:after="100"/>
              <w:divId w:val="1592011644"/>
              <w:rPr>
                <w:rFonts w:eastAsia="Times New Roman"/>
              </w:rPr>
            </w:pPr>
            <w:r>
              <w:rPr>
                <w:rFonts w:eastAsia="Times New Roman"/>
                <w:color w:val="000000"/>
                <w:sz w:val="20"/>
                <w:szCs w:val="20"/>
              </w:rPr>
              <w:t>Consolidated Statements of Operations for Fiscal 2022, 2021 and 2020</w:t>
            </w:r>
          </w:p>
        </w:tc>
        <w:tc>
          <w:tcPr>
            <w:tcW w:w="0" w:type="auto"/>
            <w:gridSpan w:val="3"/>
            <w:tcMar>
              <w:top w:w="30" w:type="dxa"/>
              <w:left w:w="20" w:type="dxa"/>
              <w:bottom w:w="30" w:type="dxa"/>
              <w:right w:w="20" w:type="dxa"/>
            </w:tcMar>
            <w:vAlign w:val="bottom"/>
            <w:hideMark/>
          </w:tcPr>
          <w:p w14:paraId="72E50629" w14:textId="77777777" w:rsidR="00000000" w:rsidRDefault="009B6C69">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14:paraId="572A557E" w14:textId="77777777" w:rsidR="00000000" w:rsidRDefault="009B6C69">
            <w:pPr>
              <w:spacing w:after="100"/>
              <w:jc w:val="center"/>
              <w:rPr>
                <w:rFonts w:eastAsia="Times New Roman"/>
              </w:rPr>
            </w:pPr>
            <w:hyperlink w:anchor="i9ad6dd4fe99344baa66ed135956810b0_184" w:history="1">
              <w:r>
                <w:rPr>
                  <w:rStyle w:val="a3"/>
                  <w:rFonts w:eastAsia="Times New Roman"/>
                  <w:color w:val="0E32E1"/>
                  <w:sz w:val="20"/>
                  <w:szCs w:val="20"/>
                </w:rPr>
                <w:t>F-</w:t>
              </w:r>
            </w:hyperlink>
            <w:r>
              <w:rPr>
                <w:rFonts w:eastAsia="Times New Roman"/>
                <w:color w:val="0E32E1"/>
                <w:sz w:val="20"/>
                <w:szCs w:val="20"/>
                <w:u w:val="single"/>
              </w:rPr>
              <w:t>4</w:t>
            </w:r>
          </w:p>
        </w:tc>
        <w:tc>
          <w:tcPr>
            <w:tcW w:w="0" w:type="auto"/>
            <w:gridSpan w:val="3"/>
            <w:tcMar>
              <w:top w:w="30" w:type="dxa"/>
              <w:left w:w="20" w:type="dxa"/>
              <w:bottom w:w="30" w:type="dxa"/>
              <w:right w:w="20" w:type="dxa"/>
            </w:tcMar>
            <w:vAlign w:val="bottom"/>
            <w:hideMark/>
          </w:tcPr>
          <w:p w14:paraId="0E1EB3B2" w14:textId="77777777" w:rsidR="00000000" w:rsidRDefault="009B6C69">
            <w:pPr>
              <w:spacing w:after="100"/>
              <w:rPr>
                <w:rFonts w:eastAsia="Times New Roman"/>
              </w:rPr>
            </w:pPr>
            <w:r>
              <w:rPr>
                <w:rFonts w:eastAsia="Times New Roman"/>
                <w:color w:val="000000"/>
                <w:sz w:val="20"/>
                <w:szCs w:val="20"/>
              </w:rPr>
              <w:t> </w:t>
            </w:r>
          </w:p>
        </w:tc>
      </w:tr>
      <w:tr w:rsidR="00000000" w14:paraId="7A9AF305" w14:textId="77777777">
        <w:trPr>
          <w:divId w:val="410930958"/>
        </w:trPr>
        <w:tc>
          <w:tcPr>
            <w:tcW w:w="0" w:type="auto"/>
            <w:gridSpan w:val="3"/>
            <w:tcMar>
              <w:top w:w="30" w:type="dxa"/>
              <w:left w:w="20" w:type="dxa"/>
              <w:bottom w:w="30" w:type="dxa"/>
              <w:right w:w="20" w:type="dxa"/>
            </w:tcMar>
            <w:vAlign w:val="bottom"/>
            <w:hideMark/>
          </w:tcPr>
          <w:p w14:paraId="1C57D378" w14:textId="77777777" w:rsidR="00000000" w:rsidRDefault="009B6C69">
            <w:pPr>
              <w:spacing w:after="100"/>
              <w:divId w:val="967397710"/>
              <w:rPr>
                <w:rFonts w:eastAsia="Times New Roman"/>
              </w:rPr>
            </w:pPr>
            <w:r>
              <w:rPr>
                <w:rFonts w:eastAsia="Times New Roman"/>
                <w:color w:val="000000"/>
                <w:sz w:val="20"/>
                <w:szCs w:val="20"/>
              </w:rPr>
              <w:t>Consolidated Statements of Comprehensive Income for Fiscal 2022, 2021 and 2020</w:t>
            </w:r>
          </w:p>
        </w:tc>
        <w:tc>
          <w:tcPr>
            <w:tcW w:w="0" w:type="auto"/>
            <w:gridSpan w:val="3"/>
            <w:tcMar>
              <w:top w:w="30" w:type="dxa"/>
              <w:left w:w="20" w:type="dxa"/>
              <w:bottom w:w="30" w:type="dxa"/>
              <w:right w:w="20" w:type="dxa"/>
            </w:tcMar>
            <w:vAlign w:val="bottom"/>
            <w:hideMark/>
          </w:tcPr>
          <w:p w14:paraId="7058711E" w14:textId="77777777" w:rsidR="00000000" w:rsidRDefault="009B6C69">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14:paraId="0BF87387" w14:textId="77777777" w:rsidR="00000000" w:rsidRDefault="009B6C69">
            <w:pPr>
              <w:spacing w:after="100"/>
              <w:jc w:val="center"/>
              <w:rPr>
                <w:rFonts w:eastAsia="Times New Roman"/>
              </w:rPr>
            </w:pPr>
            <w:hyperlink w:anchor="i9ad6dd4fe99344baa66ed135956810b0_187" w:history="1">
              <w:r>
                <w:rPr>
                  <w:rStyle w:val="a3"/>
                  <w:rFonts w:eastAsia="Times New Roman"/>
                  <w:color w:val="0E32E1"/>
                  <w:sz w:val="20"/>
                  <w:szCs w:val="20"/>
                </w:rPr>
                <w:t>F-</w:t>
              </w:r>
            </w:hyperlink>
            <w:r>
              <w:rPr>
                <w:rFonts w:eastAsia="Times New Roman"/>
                <w:color w:val="0E32E1"/>
                <w:sz w:val="20"/>
                <w:szCs w:val="20"/>
                <w:u w:val="single"/>
              </w:rPr>
              <w:t>5</w:t>
            </w:r>
          </w:p>
        </w:tc>
        <w:tc>
          <w:tcPr>
            <w:tcW w:w="0" w:type="auto"/>
            <w:gridSpan w:val="3"/>
            <w:tcMar>
              <w:top w:w="30" w:type="dxa"/>
              <w:left w:w="20" w:type="dxa"/>
              <w:bottom w:w="30" w:type="dxa"/>
              <w:right w:w="20" w:type="dxa"/>
            </w:tcMar>
            <w:vAlign w:val="bottom"/>
            <w:hideMark/>
          </w:tcPr>
          <w:p w14:paraId="5574BD9C" w14:textId="77777777" w:rsidR="00000000" w:rsidRDefault="009B6C69">
            <w:pPr>
              <w:spacing w:after="100"/>
              <w:rPr>
                <w:rFonts w:eastAsia="Times New Roman"/>
              </w:rPr>
            </w:pPr>
            <w:r>
              <w:rPr>
                <w:rFonts w:eastAsia="Times New Roman"/>
                <w:color w:val="000000"/>
                <w:sz w:val="20"/>
                <w:szCs w:val="20"/>
              </w:rPr>
              <w:t> </w:t>
            </w:r>
          </w:p>
        </w:tc>
      </w:tr>
      <w:tr w:rsidR="00000000" w14:paraId="11DB331F" w14:textId="77777777">
        <w:trPr>
          <w:divId w:val="410930958"/>
        </w:trPr>
        <w:tc>
          <w:tcPr>
            <w:tcW w:w="0" w:type="auto"/>
            <w:gridSpan w:val="3"/>
            <w:tcMar>
              <w:top w:w="30" w:type="dxa"/>
              <w:left w:w="20" w:type="dxa"/>
              <w:bottom w:w="30" w:type="dxa"/>
              <w:right w:w="20" w:type="dxa"/>
            </w:tcMar>
            <w:vAlign w:val="bottom"/>
            <w:hideMark/>
          </w:tcPr>
          <w:p w14:paraId="2569EF7E" w14:textId="77777777" w:rsidR="00000000" w:rsidRDefault="009B6C69">
            <w:pPr>
              <w:spacing w:after="100"/>
              <w:divId w:val="1227111361"/>
              <w:rPr>
                <w:rFonts w:eastAsia="Times New Roman"/>
              </w:rPr>
            </w:pPr>
            <w:r>
              <w:rPr>
                <w:rFonts w:eastAsia="Times New Roman"/>
                <w:color w:val="000000"/>
                <w:sz w:val="20"/>
                <w:szCs w:val="20"/>
              </w:rPr>
              <w:t>Consolidated Statements of Cash Flows for Fiscal 2022, 2021 and 2020</w:t>
            </w:r>
          </w:p>
        </w:tc>
        <w:tc>
          <w:tcPr>
            <w:tcW w:w="0" w:type="auto"/>
            <w:gridSpan w:val="3"/>
            <w:tcMar>
              <w:top w:w="30" w:type="dxa"/>
              <w:left w:w="20" w:type="dxa"/>
              <w:bottom w:w="30" w:type="dxa"/>
              <w:right w:w="20" w:type="dxa"/>
            </w:tcMar>
            <w:vAlign w:val="bottom"/>
            <w:hideMark/>
          </w:tcPr>
          <w:p w14:paraId="6C15852B" w14:textId="77777777" w:rsidR="00000000" w:rsidRDefault="009B6C69">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14:paraId="10A2BF01" w14:textId="77777777" w:rsidR="00000000" w:rsidRDefault="009B6C69">
            <w:pPr>
              <w:spacing w:after="100"/>
              <w:jc w:val="center"/>
              <w:rPr>
                <w:rFonts w:eastAsia="Times New Roman"/>
              </w:rPr>
            </w:pPr>
            <w:hyperlink w:anchor="i9ad6dd4fe99344baa66ed135956810b0_190" w:history="1">
              <w:r>
                <w:rPr>
                  <w:rStyle w:val="a3"/>
                  <w:rFonts w:eastAsia="Times New Roman"/>
                  <w:color w:val="0E32E1"/>
                  <w:sz w:val="20"/>
                  <w:szCs w:val="20"/>
                </w:rPr>
                <w:t>F-</w:t>
              </w:r>
            </w:hyperlink>
            <w:r>
              <w:rPr>
                <w:rFonts w:eastAsia="Times New Roman"/>
                <w:color w:val="0E32E1"/>
                <w:sz w:val="20"/>
                <w:szCs w:val="20"/>
                <w:u w:val="single"/>
              </w:rPr>
              <w:t>6</w:t>
            </w:r>
          </w:p>
        </w:tc>
        <w:tc>
          <w:tcPr>
            <w:tcW w:w="0" w:type="auto"/>
            <w:gridSpan w:val="3"/>
            <w:tcMar>
              <w:top w:w="30" w:type="dxa"/>
              <w:left w:w="20" w:type="dxa"/>
              <w:bottom w:w="30" w:type="dxa"/>
              <w:right w:w="20" w:type="dxa"/>
            </w:tcMar>
            <w:vAlign w:val="bottom"/>
            <w:hideMark/>
          </w:tcPr>
          <w:p w14:paraId="4E8650EB" w14:textId="77777777" w:rsidR="00000000" w:rsidRDefault="009B6C69">
            <w:pPr>
              <w:spacing w:after="100"/>
              <w:rPr>
                <w:rFonts w:eastAsia="Times New Roman"/>
              </w:rPr>
            </w:pPr>
            <w:r>
              <w:rPr>
                <w:rFonts w:eastAsia="Times New Roman"/>
                <w:color w:val="000000"/>
                <w:sz w:val="20"/>
                <w:szCs w:val="20"/>
              </w:rPr>
              <w:t> </w:t>
            </w:r>
          </w:p>
        </w:tc>
      </w:tr>
      <w:tr w:rsidR="00000000" w14:paraId="31CCB282" w14:textId="77777777">
        <w:trPr>
          <w:divId w:val="410930958"/>
        </w:trPr>
        <w:tc>
          <w:tcPr>
            <w:tcW w:w="0" w:type="auto"/>
            <w:gridSpan w:val="3"/>
            <w:tcMar>
              <w:top w:w="30" w:type="dxa"/>
              <w:left w:w="20" w:type="dxa"/>
              <w:bottom w:w="30" w:type="dxa"/>
              <w:right w:w="20" w:type="dxa"/>
            </w:tcMar>
            <w:vAlign w:val="bottom"/>
            <w:hideMark/>
          </w:tcPr>
          <w:p w14:paraId="2144E762" w14:textId="77777777" w:rsidR="00000000" w:rsidRDefault="009B6C69">
            <w:pPr>
              <w:spacing w:after="100"/>
              <w:divId w:val="1812747095"/>
              <w:rPr>
                <w:rFonts w:eastAsia="Times New Roman"/>
              </w:rPr>
            </w:pPr>
            <w:r>
              <w:rPr>
                <w:rFonts w:eastAsia="Times New Roman"/>
                <w:color w:val="000000"/>
                <w:sz w:val="20"/>
                <w:szCs w:val="20"/>
              </w:rPr>
              <w:t>Consolidated Statements of Stockholders’ Equity for Fiscal 2022, 2021 and 2020</w:t>
            </w:r>
          </w:p>
        </w:tc>
        <w:tc>
          <w:tcPr>
            <w:tcW w:w="0" w:type="auto"/>
            <w:gridSpan w:val="3"/>
            <w:tcMar>
              <w:top w:w="30" w:type="dxa"/>
              <w:left w:w="20" w:type="dxa"/>
              <w:bottom w:w="30" w:type="dxa"/>
              <w:right w:w="20" w:type="dxa"/>
            </w:tcMar>
            <w:vAlign w:val="bottom"/>
            <w:hideMark/>
          </w:tcPr>
          <w:p w14:paraId="6B6D5A23" w14:textId="77777777" w:rsidR="00000000" w:rsidRDefault="009B6C69">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14:paraId="5D27F21D" w14:textId="77777777" w:rsidR="00000000" w:rsidRDefault="009B6C69">
            <w:pPr>
              <w:spacing w:after="100"/>
              <w:jc w:val="center"/>
              <w:rPr>
                <w:rFonts w:eastAsia="Times New Roman"/>
              </w:rPr>
            </w:pPr>
            <w:hyperlink w:anchor="i9ad6dd4fe99344baa66ed135956810b0_196" w:history="1">
              <w:r>
                <w:rPr>
                  <w:rStyle w:val="a3"/>
                  <w:rFonts w:eastAsia="Times New Roman"/>
                  <w:color w:val="0E32E1"/>
                  <w:sz w:val="20"/>
                  <w:szCs w:val="20"/>
                </w:rPr>
                <w:t>F-</w:t>
              </w:r>
            </w:hyperlink>
            <w:r>
              <w:rPr>
                <w:rFonts w:eastAsia="Times New Roman"/>
                <w:color w:val="0E32E1"/>
                <w:sz w:val="20"/>
                <w:szCs w:val="20"/>
                <w:u w:val="single"/>
              </w:rPr>
              <w:t>7</w:t>
            </w:r>
          </w:p>
        </w:tc>
        <w:tc>
          <w:tcPr>
            <w:tcW w:w="0" w:type="auto"/>
            <w:gridSpan w:val="3"/>
            <w:tcMar>
              <w:top w:w="30" w:type="dxa"/>
              <w:left w:w="20" w:type="dxa"/>
              <w:bottom w:w="30" w:type="dxa"/>
              <w:right w:w="20" w:type="dxa"/>
            </w:tcMar>
            <w:vAlign w:val="bottom"/>
            <w:hideMark/>
          </w:tcPr>
          <w:p w14:paraId="6080370C" w14:textId="77777777" w:rsidR="00000000" w:rsidRDefault="009B6C69">
            <w:pPr>
              <w:spacing w:after="100"/>
              <w:rPr>
                <w:rFonts w:eastAsia="Times New Roman"/>
              </w:rPr>
            </w:pPr>
            <w:r>
              <w:rPr>
                <w:rFonts w:eastAsia="Times New Roman"/>
                <w:color w:val="000000"/>
                <w:sz w:val="20"/>
                <w:szCs w:val="20"/>
              </w:rPr>
              <w:t> </w:t>
            </w:r>
          </w:p>
        </w:tc>
      </w:tr>
      <w:tr w:rsidR="00000000" w14:paraId="161F049C" w14:textId="77777777">
        <w:trPr>
          <w:divId w:val="410930958"/>
        </w:trPr>
        <w:tc>
          <w:tcPr>
            <w:tcW w:w="0" w:type="auto"/>
            <w:gridSpan w:val="3"/>
            <w:tcMar>
              <w:top w:w="30" w:type="dxa"/>
              <w:left w:w="515" w:type="dxa"/>
              <w:bottom w:w="30" w:type="dxa"/>
              <w:right w:w="20" w:type="dxa"/>
            </w:tcMar>
            <w:vAlign w:val="bottom"/>
            <w:hideMark/>
          </w:tcPr>
          <w:p w14:paraId="14E8F554" w14:textId="77777777" w:rsidR="00000000" w:rsidRDefault="009B6C69">
            <w:pPr>
              <w:spacing w:after="100"/>
              <w:rPr>
                <w:rFonts w:eastAsia="Times New Roman"/>
              </w:rPr>
            </w:pPr>
            <w:r>
              <w:rPr>
                <w:rFonts w:eastAsia="Times New Roman"/>
                <w:color w:val="000000"/>
                <w:sz w:val="20"/>
                <w:szCs w:val="20"/>
              </w:rPr>
              <w:t>Notes to Consolidated Financial Statements</w:t>
            </w:r>
          </w:p>
        </w:tc>
        <w:tc>
          <w:tcPr>
            <w:tcW w:w="0" w:type="auto"/>
            <w:gridSpan w:val="3"/>
            <w:tcMar>
              <w:top w:w="30" w:type="dxa"/>
              <w:left w:w="20" w:type="dxa"/>
              <w:bottom w:w="30" w:type="dxa"/>
              <w:right w:w="20" w:type="dxa"/>
            </w:tcMar>
            <w:vAlign w:val="bottom"/>
            <w:hideMark/>
          </w:tcPr>
          <w:p w14:paraId="481851A9" w14:textId="77777777" w:rsidR="00000000" w:rsidRDefault="009B6C69">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14:paraId="6801986F" w14:textId="77777777" w:rsidR="00000000" w:rsidRDefault="009B6C69">
            <w:pPr>
              <w:spacing w:after="100"/>
              <w:jc w:val="center"/>
              <w:rPr>
                <w:rFonts w:eastAsia="Times New Roman"/>
              </w:rPr>
            </w:pPr>
            <w:hyperlink w:anchor="i9ad6dd4fe99344baa66ed135956810b0_199" w:history="1">
              <w:r>
                <w:rPr>
                  <w:rStyle w:val="a3"/>
                  <w:rFonts w:eastAsia="Times New Roman"/>
                  <w:color w:val="0E32E1"/>
                  <w:sz w:val="20"/>
                  <w:szCs w:val="20"/>
                </w:rPr>
                <w:t>F-</w:t>
              </w:r>
            </w:hyperlink>
            <w:r>
              <w:rPr>
                <w:rFonts w:eastAsia="Times New Roman"/>
                <w:color w:val="0E32E1"/>
                <w:sz w:val="20"/>
                <w:szCs w:val="20"/>
                <w:u w:val="single"/>
              </w:rPr>
              <w:t>8</w:t>
            </w:r>
          </w:p>
        </w:tc>
        <w:tc>
          <w:tcPr>
            <w:tcW w:w="0" w:type="auto"/>
            <w:gridSpan w:val="3"/>
            <w:tcMar>
              <w:top w:w="30" w:type="dxa"/>
              <w:left w:w="20" w:type="dxa"/>
              <w:bottom w:w="30" w:type="dxa"/>
              <w:right w:w="20" w:type="dxa"/>
            </w:tcMar>
            <w:vAlign w:val="bottom"/>
            <w:hideMark/>
          </w:tcPr>
          <w:p w14:paraId="2041C493" w14:textId="77777777" w:rsidR="00000000" w:rsidRDefault="009B6C69">
            <w:pPr>
              <w:spacing w:after="100"/>
              <w:rPr>
                <w:rFonts w:eastAsia="Times New Roman"/>
              </w:rPr>
            </w:pPr>
            <w:r>
              <w:rPr>
                <w:rFonts w:eastAsia="Times New Roman"/>
                <w:color w:val="000000"/>
                <w:sz w:val="20"/>
                <w:szCs w:val="20"/>
              </w:rPr>
              <w:t> </w:t>
            </w:r>
          </w:p>
        </w:tc>
      </w:tr>
      <w:tr w:rsidR="00000000" w14:paraId="1132222D" w14:textId="77777777">
        <w:trPr>
          <w:divId w:val="410930958"/>
        </w:trPr>
        <w:tc>
          <w:tcPr>
            <w:tcW w:w="0" w:type="auto"/>
            <w:gridSpan w:val="3"/>
            <w:tcMar>
              <w:top w:w="30" w:type="dxa"/>
              <w:left w:w="20" w:type="dxa"/>
              <w:bottom w:w="30" w:type="dxa"/>
              <w:right w:w="20" w:type="dxa"/>
            </w:tcMar>
            <w:vAlign w:val="bottom"/>
            <w:hideMark/>
          </w:tcPr>
          <w:p w14:paraId="3F0099E8" w14:textId="77777777" w:rsidR="00000000" w:rsidRDefault="009B6C69">
            <w:pPr>
              <w:spacing w:after="100"/>
              <w:divId w:val="1210919412"/>
              <w:rPr>
                <w:rFonts w:eastAsia="Times New Roman"/>
              </w:rPr>
            </w:pPr>
            <w:r>
              <w:rPr>
                <w:rFonts w:eastAsia="Times New Roman"/>
                <w:color w:val="000000"/>
                <w:sz w:val="20"/>
                <w:szCs w:val="20"/>
              </w:rPr>
              <w:t>(2) Schedule </w:t>
            </w:r>
            <w:r>
              <w:rPr>
                <w:rFonts w:eastAsia="Times New Roman"/>
                <w:color w:val="000000"/>
                <w:sz w:val="20"/>
                <w:szCs w:val="20"/>
              </w:rPr>
              <w:t>II - Valuation and Qualifying Accounts for Fiscal 2022, 2021 and 2020</w:t>
            </w:r>
          </w:p>
        </w:tc>
        <w:tc>
          <w:tcPr>
            <w:tcW w:w="0" w:type="auto"/>
            <w:gridSpan w:val="3"/>
            <w:tcMar>
              <w:top w:w="30" w:type="dxa"/>
              <w:left w:w="20" w:type="dxa"/>
              <w:bottom w:w="30" w:type="dxa"/>
              <w:right w:w="20" w:type="dxa"/>
            </w:tcMar>
            <w:vAlign w:val="bottom"/>
            <w:hideMark/>
          </w:tcPr>
          <w:p w14:paraId="151D2CD4" w14:textId="77777777" w:rsidR="00000000" w:rsidRDefault="009B6C69">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14:paraId="1B4D88CD" w14:textId="77777777" w:rsidR="00000000" w:rsidRDefault="009B6C69">
            <w:pPr>
              <w:spacing w:after="100"/>
              <w:jc w:val="center"/>
              <w:rPr>
                <w:rFonts w:eastAsia="Times New Roman"/>
              </w:rPr>
            </w:pPr>
            <w:hyperlink w:anchor="i9ad6dd4fe99344baa66ed135956810b0_250" w:history="1">
              <w:r>
                <w:rPr>
                  <w:rStyle w:val="a3"/>
                  <w:rFonts w:eastAsia="Times New Roman"/>
                  <w:sz w:val="20"/>
                  <w:szCs w:val="20"/>
                </w:rPr>
                <w:t>S-1</w:t>
              </w:r>
            </w:hyperlink>
          </w:p>
        </w:tc>
        <w:tc>
          <w:tcPr>
            <w:tcW w:w="0" w:type="auto"/>
            <w:gridSpan w:val="3"/>
            <w:tcMar>
              <w:top w:w="30" w:type="dxa"/>
              <w:left w:w="20" w:type="dxa"/>
              <w:bottom w:w="30" w:type="dxa"/>
              <w:right w:w="20" w:type="dxa"/>
            </w:tcMar>
            <w:vAlign w:val="bottom"/>
            <w:hideMark/>
          </w:tcPr>
          <w:p w14:paraId="0885D467" w14:textId="77777777" w:rsidR="00000000" w:rsidRDefault="009B6C69">
            <w:pPr>
              <w:spacing w:after="100"/>
              <w:rPr>
                <w:rFonts w:eastAsia="Times New Roman"/>
              </w:rPr>
            </w:pPr>
            <w:r>
              <w:rPr>
                <w:rFonts w:eastAsia="Times New Roman"/>
                <w:color w:val="000000"/>
                <w:sz w:val="20"/>
                <w:szCs w:val="20"/>
              </w:rPr>
              <w:t> </w:t>
            </w:r>
          </w:p>
        </w:tc>
      </w:tr>
    </w:tbl>
    <w:p w14:paraId="4B55D903" w14:textId="77777777" w:rsidR="00000000" w:rsidRDefault="009B6C69">
      <w:pPr>
        <w:ind w:firstLine="360"/>
        <w:divId w:val="2049641633"/>
        <w:rPr>
          <w:rFonts w:eastAsia="Times New Roman"/>
        </w:rPr>
      </w:pPr>
      <w:r>
        <w:rPr>
          <w:rFonts w:eastAsia="Times New Roman"/>
          <w:color w:val="000000"/>
          <w:sz w:val="20"/>
          <w:szCs w:val="20"/>
        </w:rPr>
        <w:t>Financial statement schedules other than those listed above have been omitted because they are either not required, not applicable or the information is otherwise included in the notes to the consolidated financial statements.</w:t>
      </w:r>
    </w:p>
    <w:p w14:paraId="37731890" w14:textId="77777777" w:rsidR="00000000" w:rsidRDefault="009B6C69">
      <w:pPr>
        <w:jc w:val="center"/>
        <w:divId w:val="151063912"/>
        <w:rPr>
          <w:rFonts w:eastAsia="Times New Roman"/>
        </w:rPr>
      </w:pPr>
      <w:r>
        <w:rPr>
          <w:rFonts w:eastAsia="Times New Roman"/>
          <w:color w:val="000000"/>
          <w:sz w:val="20"/>
          <w:szCs w:val="20"/>
        </w:rPr>
        <w:t>51</w:t>
      </w:r>
    </w:p>
    <w:p w14:paraId="5582294C" w14:textId="77777777" w:rsidR="00000000" w:rsidRDefault="009B6C69">
      <w:pPr>
        <w:rPr>
          <w:rFonts w:eastAsia="Times New Roman"/>
        </w:rPr>
      </w:pPr>
      <w:r>
        <w:rPr>
          <w:rFonts w:eastAsia="Times New Roman"/>
        </w:rPr>
        <w:pict w14:anchorId="70951EA1">
          <v:rect id="_x0000_i1075" style="width:0;height:1.5pt" o:hralign="center" o:hrstd="t" o:hr="t" fillcolor="#a0a0a0" stroked="f"/>
        </w:pict>
      </w:r>
    </w:p>
    <w:p w14:paraId="7D773268" w14:textId="77777777" w:rsidR="00000000" w:rsidRDefault="009B6C69">
      <w:pPr>
        <w:divId w:val="1240674454"/>
        <w:rPr>
          <w:rFonts w:eastAsia="Times New Roman"/>
        </w:rPr>
      </w:pPr>
    </w:p>
    <w:p w14:paraId="60D5ABE7" w14:textId="77777777" w:rsidR="00000000" w:rsidRDefault="009B6C69">
      <w:pPr>
        <w:divId w:val="1571504862"/>
        <w:rPr>
          <w:rFonts w:eastAsia="Times New Roman"/>
        </w:rPr>
      </w:pPr>
      <w:r>
        <w:rPr>
          <w:rFonts w:eastAsia="Times New Roman"/>
          <w:color w:val="000000"/>
          <w:sz w:val="20"/>
          <w:szCs w:val="20"/>
        </w:rPr>
        <w:t>(b) Exhibits</w:t>
      </w:r>
    </w:p>
    <w:tbl>
      <w:tblPr>
        <w:tblW w:w="5000" w:type="pct"/>
        <w:tblCellMar>
          <w:top w:w="15" w:type="dxa"/>
          <w:left w:w="15" w:type="dxa"/>
          <w:bottom w:w="15" w:type="dxa"/>
          <w:right w:w="15" w:type="dxa"/>
        </w:tblCellMar>
        <w:tblLook w:val="04A0" w:firstRow="1" w:lastRow="0" w:firstColumn="1" w:lastColumn="0" w:noHBand="0" w:noVBand="1"/>
      </w:tblPr>
      <w:tblGrid>
        <w:gridCol w:w="87"/>
        <w:gridCol w:w="585"/>
        <w:gridCol w:w="36"/>
        <w:gridCol w:w="36"/>
        <w:gridCol w:w="36"/>
        <w:gridCol w:w="36"/>
        <w:gridCol w:w="39"/>
        <w:gridCol w:w="4184"/>
        <w:gridCol w:w="38"/>
        <w:gridCol w:w="36"/>
        <w:gridCol w:w="36"/>
        <w:gridCol w:w="36"/>
        <w:gridCol w:w="80"/>
        <w:gridCol w:w="383"/>
        <w:gridCol w:w="36"/>
        <w:gridCol w:w="36"/>
        <w:gridCol w:w="36"/>
        <w:gridCol w:w="36"/>
        <w:gridCol w:w="76"/>
        <w:gridCol w:w="689"/>
        <w:gridCol w:w="37"/>
        <w:gridCol w:w="36"/>
        <w:gridCol w:w="36"/>
        <w:gridCol w:w="36"/>
        <w:gridCol w:w="82"/>
        <w:gridCol w:w="590"/>
        <w:gridCol w:w="36"/>
        <w:gridCol w:w="36"/>
        <w:gridCol w:w="36"/>
        <w:gridCol w:w="36"/>
        <w:gridCol w:w="87"/>
        <w:gridCol w:w="665"/>
        <w:gridCol w:w="36"/>
      </w:tblGrid>
      <w:tr w:rsidR="00000000" w14:paraId="621BDF3A" w14:textId="77777777">
        <w:trPr>
          <w:divId w:val="790319245"/>
        </w:trPr>
        <w:tc>
          <w:tcPr>
            <w:tcW w:w="50" w:type="pct"/>
            <w:vAlign w:val="center"/>
            <w:hideMark/>
          </w:tcPr>
          <w:p w14:paraId="00309AF5" w14:textId="77777777" w:rsidR="00000000" w:rsidRDefault="009B6C69">
            <w:pPr>
              <w:rPr>
                <w:rFonts w:eastAsia="Times New Roman"/>
              </w:rPr>
            </w:pPr>
          </w:p>
        </w:tc>
        <w:tc>
          <w:tcPr>
            <w:tcW w:w="339" w:type="pct"/>
            <w:vAlign w:val="center"/>
            <w:hideMark/>
          </w:tcPr>
          <w:p w14:paraId="63B55AE8" w14:textId="77777777" w:rsidR="00000000" w:rsidRDefault="009B6C69">
            <w:pPr>
              <w:spacing w:after="100"/>
              <w:rPr>
                <w:rFonts w:eastAsia="Times New Roman"/>
                <w:sz w:val="20"/>
                <w:szCs w:val="20"/>
              </w:rPr>
            </w:pPr>
          </w:p>
        </w:tc>
        <w:tc>
          <w:tcPr>
            <w:tcW w:w="5" w:type="pct"/>
            <w:vAlign w:val="center"/>
            <w:hideMark/>
          </w:tcPr>
          <w:p w14:paraId="3F6D4F13" w14:textId="77777777" w:rsidR="00000000" w:rsidRDefault="009B6C69">
            <w:pPr>
              <w:spacing w:after="100"/>
              <w:rPr>
                <w:rFonts w:eastAsia="Times New Roman"/>
                <w:sz w:val="20"/>
                <w:szCs w:val="20"/>
              </w:rPr>
            </w:pPr>
          </w:p>
        </w:tc>
        <w:tc>
          <w:tcPr>
            <w:tcW w:w="5" w:type="pct"/>
            <w:vAlign w:val="center"/>
            <w:hideMark/>
          </w:tcPr>
          <w:p w14:paraId="5F7F5721" w14:textId="77777777" w:rsidR="00000000" w:rsidRDefault="009B6C69">
            <w:pPr>
              <w:spacing w:after="100"/>
              <w:rPr>
                <w:rFonts w:eastAsia="Times New Roman"/>
                <w:sz w:val="20"/>
                <w:szCs w:val="20"/>
              </w:rPr>
            </w:pPr>
          </w:p>
        </w:tc>
        <w:tc>
          <w:tcPr>
            <w:tcW w:w="27" w:type="pct"/>
            <w:vAlign w:val="center"/>
            <w:hideMark/>
          </w:tcPr>
          <w:p w14:paraId="333E74EA" w14:textId="77777777" w:rsidR="00000000" w:rsidRDefault="009B6C69">
            <w:pPr>
              <w:spacing w:after="100"/>
              <w:rPr>
                <w:rFonts w:eastAsia="Times New Roman"/>
                <w:sz w:val="20"/>
                <w:szCs w:val="20"/>
              </w:rPr>
            </w:pPr>
          </w:p>
        </w:tc>
        <w:tc>
          <w:tcPr>
            <w:tcW w:w="5" w:type="pct"/>
            <w:vAlign w:val="center"/>
            <w:hideMark/>
          </w:tcPr>
          <w:p w14:paraId="7E180C5F" w14:textId="77777777" w:rsidR="00000000" w:rsidRDefault="009B6C69">
            <w:pPr>
              <w:spacing w:after="100"/>
              <w:rPr>
                <w:rFonts w:eastAsia="Times New Roman"/>
                <w:sz w:val="20"/>
                <w:szCs w:val="20"/>
              </w:rPr>
            </w:pPr>
          </w:p>
        </w:tc>
        <w:tc>
          <w:tcPr>
            <w:tcW w:w="50" w:type="pct"/>
            <w:vAlign w:val="center"/>
            <w:hideMark/>
          </w:tcPr>
          <w:p w14:paraId="7B9F90C5" w14:textId="77777777" w:rsidR="00000000" w:rsidRDefault="009B6C69">
            <w:pPr>
              <w:spacing w:after="100"/>
              <w:rPr>
                <w:rFonts w:eastAsia="Times New Roman"/>
                <w:sz w:val="20"/>
                <w:szCs w:val="20"/>
              </w:rPr>
            </w:pPr>
          </w:p>
        </w:tc>
        <w:tc>
          <w:tcPr>
            <w:tcW w:w="2697" w:type="pct"/>
            <w:vAlign w:val="center"/>
            <w:hideMark/>
          </w:tcPr>
          <w:p w14:paraId="3381C3F0" w14:textId="77777777" w:rsidR="00000000" w:rsidRDefault="009B6C69">
            <w:pPr>
              <w:spacing w:after="100"/>
              <w:rPr>
                <w:rFonts w:eastAsia="Times New Roman"/>
                <w:sz w:val="20"/>
                <w:szCs w:val="20"/>
              </w:rPr>
            </w:pPr>
          </w:p>
        </w:tc>
        <w:tc>
          <w:tcPr>
            <w:tcW w:w="5" w:type="pct"/>
            <w:vAlign w:val="center"/>
            <w:hideMark/>
          </w:tcPr>
          <w:p w14:paraId="14469719" w14:textId="77777777" w:rsidR="00000000" w:rsidRDefault="009B6C69">
            <w:pPr>
              <w:spacing w:after="100"/>
              <w:rPr>
                <w:rFonts w:eastAsia="Times New Roman"/>
                <w:sz w:val="20"/>
                <w:szCs w:val="20"/>
              </w:rPr>
            </w:pPr>
          </w:p>
        </w:tc>
        <w:tc>
          <w:tcPr>
            <w:tcW w:w="5" w:type="pct"/>
            <w:vAlign w:val="center"/>
            <w:hideMark/>
          </w:tcPr>
          <w:p w14:paraId="731F4371" w14:textId="77777777" w:rsidR="00000000" w:rsidRDefault="009B6C69">
            <w:pPr>
              <w:spacing w:after="100"/>
              <w:rPr>
                <w:rFonts w:eastAsia="Times New Roman"/>
                <w:sz w:val="20"/>
                <w:szCs w:val="20"/>
              </w:rPr>
            </w:pPr>
          </w:p>
        </w:tc>
        <w:tc>
          <w:tcPr>
            <w:tcW w:w="27" w:type="pct"/>
            <w:vAlign w:val="center"/>
            <w:hideMark/>
          </w:tcPr>
          <w:p w14:paraId="116B2A15" w14:textId="77777777" w:rsidR="00000000" w:rsidRDefault="009B6C69">
            <w:pPr>
              <w:spacing w:after="100"/>
              <w:rPr>
                <w:rFonts w:eastAsia="Times New Roman"/>
                <w:sz w:val="20"/>
                <w:szCs w:val="20"/>
              </w:rPr>
            </w:pPr>
          </w:p>
        </w:tc>
        <w:tc>
          <w:tcPr>
            <w:tcW w:w="5" w:type="pct"/>
            <w:vAlign w:val="center"/>
            <w:hideMark/>
          </w:tcPr>
          <w:p w14:paraId="573A2DFC" w14:textId="77777777" w:rsidR="00000000" w:rsidRDefault="009B6C69">
            <w:pPr>
              <w:spacing w:after="100"/>
              <w:rPr>
                <w:rFonts w:eastAsia="Times New Roman"/>
                <w:sz w:val="20"/>
                <w:szCs w:val="20"/>
              </w:rPr>
            </w:pPr>
          </w:p>
        </w:tc>
        <w:tc>
          <w:tcPr>
            <w:tcW w:w="50" w:type="pct"/>
            <w:vAlign w:val="center"/>
            <w:hideMark/>
          </w:tcPr>
          <w:p w14:paraId="6E030BE3" w14:textId="77777777" w:rsidR="00000000" w:rsidRDefault="009B6C69">
            <w:pPr>
              <w:spacing w:after="100"/>
              <w:rPr>
                <w:rFonts w:eastAsia="Times New Roman"/>
                <w:sz w:val="20"/>
                <w:szCs w:val="20"/>
              </w:rPr>
            </w:pPr>
          </w:p>
        </w:tc>
        <w:tc>
          <w:tcPr>
            <w:tcW w:w="242" w:type="pct"/>
            <w:vAlign w:val="center"/>
            <w:hideMark/>
          </w:tcPr>
          <w:p w14:paraId="05EC0086" w14:textId="77777777" w:rsidR="00000000" w:rsidRDefault="009B6C69">
            <w:pPr>
              <w:spacing w:after="100"/>
              <w:rPr>
                <w:rFonts w:eastAsia="Times New Roman"/>
                <w:sz w:val="20"/>
                <w:szCs w:val="20"/>
              </w:rPr>
            </w:pPr>
          </w:p>
        </w:tc>
        <w:tc>
          <w:tcPr>
            <w:tcW w:w="5" w:type="pct"/>
            <w:vAlign w:val="center"/>
            <w:hideMark/>
          </w:tcPr>
          <w:p w14:paraId="49DCCE4D" w14:textId="77777777" w:rsidR="00000000" w:rsidRDefault="009B6C69">
            <w:pPr>
              <w:spacing w:after="100"/>
              <w:rPr>
                <w:rFonts w:eastAsia="Times New Roman"/>
                <w:sz w:val="20"/>
                <w:szCs w:val="20"/>
              </w:rPr>
            </w:pPr>
          </w:p>
        </w:tc>
        <w:tc>
          <w:tcPr>
            <w:tcW w:w="5" w:type="pct"/>
            <w:vAlign w:val="center"/>
            <w:hideMark/>
          </w:tcPr>
          <w:p w14:paraId="36E32D99" w14:textId="77777777" w:rsidR="00000000" w:rsidRDefault="009B6C69">
            <w:pPr>
              <w:spacing w:after="100"/>
              <w:rPr>
                <w:rFonts w:eastAsia="Times New Roman"/>
                <w:sz w:val="20"/>
                <w:szCs w:val="20"/>
              </w:rPr>
            </w:pPr>
          </w:p>
        </w:tc>
        <w:tc>
          <w:tcPr>
            <w:tcW w:w="27" w:type="pct"/>
            <w:vAlign w:val="center"/>
            <w:hideMark/>
          </w:tcPr>
          <w:p w14:paraId="44592751" w14:textId="77777777" w:rsidR="00000000" w:rsidRDefault="009B6C69">
            <w:pPr>
              <w:spacing w:after="100"/>
              <w:rPr>
                <w:rFonts w:eastAsia="Times New Roman"/>
                <w:sz w:val="20"/>
                <w:szCs w:val="20"/>
              </w:rPr>
            </w:pPr>
          </w:p>
        </w:tc>
        <w:tc>
          <w:tcPr>
            <w:tcW w:w="5" w:type="pct"/>
            <w:vAlign w:val="center"/>
            <w:hideMark/>
          </w:tcPr>
          <w:p w14:paraId="2B461503" w14:textId="77777777" w:rsidR="00000000" w:rsidRDefault="009B6C69">
            <w:pPr>
              <w:spacing w:after="100"/>
              <w:rPr>
                <w:rFonts w:eastAsia="Times New Roman"/>
                <w:sz w:val="20"/>
                <w:szCs w:val="20"/>
              </w:rPr>
            </w:pPr>
          </w:p>
        </w:tc>
        <w:tc>
          <w:tcPr>
            <w:tcW w:w="50" w:type="pct"/>
            <w:vAlign w:val="center"/>
            <w:hideMark/>
          </w:tcPr>
          <w:p w14:paraId="3AA0CB9D" w14:textId="77777777" w:rsidR="00000000" w:rsidRDefault="009B6C69">
            <w:pPr>
              <w:spacing w:after="100"/>
              <w:rPr>
                <w:rFonts w:eastAsia="Times New Roman"/>
                <w:sz w:val="20"/>
                <w:szCs w:val="20"/>
              </w:rPr>
            </w:pPr>
          </w:p>
        </w:tc>
        <w:tc>
          <w:tcPr>
            <w:tcW w:w="458" w:type="pct"/>
            <w:vAlign w:val="center"/>
            <w:hideMark/>
          </w:tcPr>
          <w:p w14:paraId="45B0105D" w14:textId="77777777" w:rsidR="00000000" w:rsidRDefault="009B6C69">
            <w:pPr>
              <w:spacing w:after="100"/>
              <w:rPr>
                <w:rFonts w:eastAsia="Times New Roman"/>
                <w:sz w:val="20"/>
                <w:szCs w:val="20"/>
              </w:rPr>
            </w:pPr>
          </w:p>
        </w:tc>
        <w:tc>
          <w:tcPr>
            <w:tcW w:w="5" w:type="pct"/>
            <w:vAlign w:val="center"/>
            <w:hideMark/>
          </w:tcPr>
          <w:p w14:paraId="0E70A0D2" w14:textId="77777777" w:rsidR="00000000" w:rsidRDefault="009B6C69">
            <w:pPr>
              <w:spacing w:after="100"/>
              <w:rPr>
                <w:rFonts w:eastAsia="Times New Roman"/>
                <w:sz w:val="20"/>
                <w:szCs w:val="20"/>
              </w:rPr>
            </w:pPr>
          </w:p>
        </w:tc>
        <w:tc>
          <w:tcPr>
            <w:tcW w:w="5" w:type="pct"/>
            <w:vAlign w:val="center"/>
            <w:hideMark/>
          </w:tcPr>
          <w:p w14:paraId="11D65462" w14:textId="77777777" w:rsidR="00000000" w:rsidRDefault="009B6C69">
            <w:pPr>
              <w:spacing w:after="100"/>
              <w:rPr>
                <w:rFonts w:eastAsia="Times New Roman"/>
                <w:sz w:val="20"/>
                <w:szCs w:val="20"/>
              </w:rPr>
            </w:pPr>
          </w:p>
        </w:tc>
        <w:tc>
          <w:tcPr>
            <w:tcW w:w="27" w:type="pct"/>
            <w:vAlign w:val="center"/>
            <w:hideMark/>
          </w:tcPr>
          <w:p w14:paraId="66700100" w14:textId="77777777" w:rsidR="00000000" w:rsidRDefault="009B6C69">
            <w:pPr>
              <w:spacing w:after="100"/>
              <w:rPr>
                <w:rFonts w:eastAsia="Times New Roman"/>
                <w:sz w:val="20"/>
                <w:szCs w:val="20"/>
              </w:rPr>
            </w:pPr>
          </w:p>
        </w:tc>
        <w:tc>
          <w:tcPr>
            <w:tcW w:w="5" w:type="pct"/>
            <w:vAlign w:val="center"/>
            <w:hideMark/>
          </w:tcPr>
          <w:p w14:paraId="71E34F30" w14:textId="77777777" w:rsidR="00000000" w:rsidRDefault="009B6C69">
            <w:pPr>
              <w:spacing w:after="100"/>
              <w:rPr>
                <w:rFonts w:eastAsia="Times New Roman"/>
                <w:sz w:val="20"/>
                <w:szCs w:val="20"/>
              </w:rPr>
            </w:pPr>
          </w:p>
        </w:tc>
        <w:tc>
          <w:tcPr>
            <w:tcW w:w="50" w:type="pct"/>
            <w:vAlign w:val="center"/>
            <w:hideMark/>
          </w:tcPr>
          <w:p w14:paraId="3861DDBF" w14:textId="77777777" w:rsidR="00000000" w:rsidRDefault="009B6C69">
            <w:pPr>
              <w:spacing w:after="100"/>
              <w:rPr>
                <w:rFonts w:eastAsia="Times New Roman"/>
                <w:sz w:val="20"/>
                <w:szCs w:val="20"/>
              </w:rPr>
            </w:pPr>
          </w:p>
        </w:tc>
        <w:tc>
          <w:tcPr>
            <w:tcW w:w="361" w:type="pct"/>
            <w:vAlign w:val="center"/>
            <w:hideMark/>
          </w:tcPr>
          <w:p w14:paraId="1D84C53A" w14:textId="77777777" w:rsidR="00000000" w:rsidRDefault="009B6C69">
            <w:pPr>
              <w:spacing w:after="100"/>
              <w:rPr>
                <w:rFonts w:eastAsia="Times New Roman"/>
                <w:sz w:val="20"/>
                <w:szCs w:val="20"/>
              </w:rPr>
            </w:pPr>
          </w:p>
        </w:tc>
        <w:tc>
          <w:tcPr>
            <w:tcW w:w="5" w:type="pct"/>
            <w:vAlign w:val="center"/>
            <w:hideMark/>
          </w:tcPr>
          <w:p w14:paraId="098EF793" w14:textId="77777777" w:rsidR="00000000" w:rsidRDefault="009B6C69">
            <w:pPr>
              <w:spacing w:after="100"/>
              <w:rPr>
                <w:rFonts w:eastAsia="Times New Roman"/>
                <w:sz w:val="20"/>
                <w:szCs w:val="20"/>
              </w:rPr>
            </w:pPr>
          </w:p>
        </w:tc>
        <w:tc>
          <w:tcPr>
            <w:tcW w:w="5" w:type="pct"/>
            <w:vAlign w:val="center"/>
            <w:hideMark/>
          </w:tcPr>
          <w:p w14:paraId="4CBC6A0A" w14:textId="77777777" w:rsidR="00000000" w:rsidRDefault="009B6C69">
            <w:pPr>
              <w:spacing w:after="100"/>
              <w:rPr>
                <w:rFonts w:eastAsia="Times New Roman"/>
                <w:sz w:val="20"/>
                <w:szCs w:val="20"/>
              </w:rPr>
            </w:pPr>
          </w:p>
        </w:tc>
        <w:tc>
          <w:tcPr>
            <w:tcW w:w="27" w:type="pct"/>
            <w:vAlign w:val="center"/>
            <w:hideMark/>
          </w:tcPr>
          <w:p w14:paraId="733CDED7" w14:textId="77777777" w:rsidR="00000000" w:rsidRDefault="009B6C69">
            <w:pPr>
              <w:spacing w:after="100"/>
              <w:rPr>
                <w:rFonts w:eastAsia="Times New Roman"/>
                <w:sz w:val="20"/>
                <w:szCs w:val="20"/>
              </w:rPr>
            </w:pPr>
          </w:p>
        </w:tc>
        <w:tc>
          <w:tcPr>
            <w:tcW w:w="5" w:type="pct"/>
            <w:vAlign w:val="center"/>
            <w:hideMark/>
          </w:tcPr>
          <w:p w14:paraId="013DDCD0" w14:textId="77777777" w:rsidR="00000000" w:rsidRDefault="009B6C69">
            <w:pPr>
              <w:spacing w:after="100"/>
              <w:rPr>
                <w:rFonts w:eastAsia="Times New Roman"/>
                <w:sz w:val="20"/>
                <w:szCs w:val="20"/>
              </w:rPr>
            </w:pPr>
          </w:p>
        </w:tc>
        <w:tc>
          <w:tcPr>
            <w:tcW w:w="50" w:type="pct"/>
            <w:vAlign w:val="center"/>
            <w:hideMark/>
          </w:tcPr>
          <w:p w14:paraId="3D4CD108" w14:textId="77777777" w:rsidR="00000000" w:rsidRDefault="009B6C69">
            <w:pPr>
              <w:spacing w:after="100"/>
              <w:rPr>
                <w:rFonts w:eastAsia="Times New Roman"/>
                <w:sz w:val="20"/>
                <w:szCs w:val="20"/>
              </w:rPr>
            </w:pPr>
          </w:p>
        </w:tc>
        <w:tc>
          <w:tcPr>
            <w:tcW w:w="384" w:type="pct"/>
            <w:vAlign w:val="center"/>
            <w:hideMark/>
          </w:tcPr>
          <w:p w14:paraId="46FC05F6" w14:textId="77777777" w:rsidR="00000000" w:rsidRDefault="009B6C69">
            <w:pPr>
              <w:spacing w:after="100"/>
              <w:rPr>
                <w:rFonts w:eastAsia="Times New Roman"/>
                <w:sz w:val="20"/>
                <w:szCs w:val="20"/>
              </w:rPr>
            </w:pPr>
          </w:p>
        </w:tc>
        <w:tc>
          <w:tcPr>
            <w:tcW w:w="5" w:type="pct"/>
            <w:vAlign w:val="center"/>
            <w:hideMark/>
          </w:tcPr>
          <w:p w14:paraId="4D7D7C71" w14:textId="77777777" w:rsidR="00000000" w:rsidRDefault="009B6C69">
            <w:pPr>
              <w:spacing w:after="100"/>
              <w:rPr>
                <w:rFonts w:eastAsia="Times New Roman"/>
                <w:sz w:val="20"/>
                <w:szCs w:val="20"/>
              </w:rPr>
            </w:pPr>
          </w:p>
        </w:tc>
      </w:tr>
      <w:tr w:rsidR="00000000" w14:paraId="6A9F7CC5" w14:textId="77777777">
        <w:trPr>
          <w:divId w:val="790319245"/>
        </w:trPr>
        <w:tc>
          <w:tcPr>
            <w:tcW w:w="0" w:type="auto"/>
            <w:gridSpan w:val="3"/>
            <w:tcBorders>
              <w:bottom w:val="single" w:sz="8" w:space="0" w:color="000000"/>
            </w:tcBorders>
            <w:tcMar>
              <w:top w:w="30" w:type="dxa"/>
              <w:left w:w="20" w:type="dxa"/>
              <w:bottom w:w="30" w:type="dxa"/>
              <w:right w:w="20" w:type="dxa"/>
            </w:tcMar>
            <w:hideMark/>
          </w:tcPr>
          <w:p w14:paraId="624FAEA7" w14:textId="77777777" w:rsidR="00000000" w:rsidRDefault="009B6C69">
            <w:pPr>
              <w:spacing w:after="100"/>
              <w:jc w:val="center"/>
              <w:rPr>
                <w:rFonts w:eastAsia="Times New Roman"/>
              </w:rPr>
            </w:pPr>
            <w:r>
              <w:rPr>
                <w:rFonts w:eastAsia="Times New Roman"/>
                <w:b/>
                <w:bCs/>
                <w:color w:val="000000"/>
                <w:sz w:val="18"/>
                <w:szCs w:val="18"/>
              </w:rPr>
              <w:t xml:space="preserve">Exhibit </w:t>
            </w:r>
            <w:r>
              <w:rPr>
                <w:rFonts w:eastAsia="Times New Roman"/>
                <w:b/>
                <w:bCs/>
                <w:color w:val="000000"/>
                <w:sz w:val="18"/>
                <w:szCs w:val="18"/>
              </w:rPr>
              <w:br/>
              <w:t>Number</w:t>
            </w:r>
          </w:p>
        </w:tc>
        <w:tc>
          <w:tcPr>
            <w:tcW w:w="0" w:type="auto"/>
            <w:gridSpan w:val="3"/>
            <w:tcMar>
              <w:top w:w="30" w:type="dxa"/>
              <w:left w:w="20" w:type="dxa"/>
              <w:bottom w:w="30" w:type="dxa"/>
              <w:right w:w="20" w:type="dxa"/>
            </w:tcMar>
            <w:hideMark/>
          </w:tcPr>
          <w:p w14:paraId="25EC1CCE" w14:textId="77777777" w:rsidR="00000000" w:rsidRDefault="009B6C69">
            <w:pPr>
              <w:spacing w:after="100"/>
              <w:rPr>
                <w:rFonts w:eastAsia="Times New Roman"/>
              </w:rPr>
            </w:pPr>
            <w:r>
              <w:rPr>
                <w:rFonts w:eastAsia="Times New Roman"/>
                <w:color w:val="000000"/>
                <w:sz w:val="18"/>
                <w:szCs w:val="18"/>
              </w:rPr>
              <w:t> </w:t>
            </w:r>
          </w:p>
        </w:tc>
        <w:tc>
          <w:tcPr>
            <w:tcW w:w="0" w:type="auto"/>
            <w:gridSpan w:val="3"/>
            <w:tcBorders>
              <w:bottom w:val="single" w:sz="8" w:space="0" w:color="000000"/>
            </w:tcBorders>
            <w:tcMar>
              <w:top w:w="30" w:type="dxa"/>
              <w:left w:w="20" w:type="dxa"/>
              <w:bottom w:w="30" w:type="dxa"/>
              <w:right w:w="20" w:type="dxa"/>
            </w:tcMar>
            <w:vAlign w:val="bottom"/>
            <w:hideMark/>
          </w:tcPr>
          <w:p w14:paraId="6E19C008" w14:textId="77777777" w:rsidR="00000000" w:rsidRDefault="009B6C69">
            <w:pPr>
              <w:spacing w:after="100"/>
              <w:jc w:val="center"/>
              <w:rPr>
                <w:rFonts w:eastAsia="Times New Roman"/>
              </w:rPr>
            </w:pPr>
            <w:r>
              <w:rPr>
                <w:rFonts w:eastAsia="Times New Roman"/>
                <w:b/>
                <w:bCs/>
                <w:color w:val="000000"/>
                <w:sz w:val="18"/>
                <w:szCs w:val="18"/>
              </w:rPr>
              <w:t>Exhibit Description</w:t>
            </w:r>
          </w:p>
        </w:tc>
        <w:tc>
          <w:tcPr>
            <w:tcW w:w="0" w:type="auto"/>
            <w:gridSpan w:val="3"/>
            <w:tcMar>
              <w:top w:w="0" w:type="dxa"/>
              <w:left w:w="20" w:type="dxa"/>
              <w:bottom w:w="0" w:type="dxa"/>
              <w:right w:w="20" w:type="dxa"/>
            </w:tcMar>
            <w:vAlign w:val="center"/>
            <w:hideMark/>
          </w:tcPr>
          <w:p w14:paraId="6CE8F1C2" w14:textId="77777777" w:rsidR="00000000" w:rsidRDefault="009B6C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F8F8D3F" w14:textId="77777777" w:rsidR="00000000" w:rsidRDefault="009B6C69">
            <w:pPr>
              <w:spacing w:after="100"/>
              <w:jc w:val="center"/>
              <w:rPr>
                <w:rFonts w:eastAsia="Times New Roman"/>
              </w:rPr>
            </w:pPr>
            <w:r>
              <w:rPr>
                <w:rFonts w:eastAsia="Times New Roman"/>
                <w:b/>
                <w:bCs/>
                <w:color w:val="000000"/>
                <w:sz w:val="18"/>
                <w:szCs w:val="18"/>
              </w:rPr>
              <w:t>Form</w:t>
            </w:r>
          </w:p>
        </w:tc>
        <w:tc>
          <w:tcPr>
            <w:tcW w:w="0" w:type="auto"/>
            <w:gridSpan w:val="3"/>
            <w:tcMar>
              <w:top w:w="0" w:type="dxa"/>
              <w:left w:w="20" w:type="dxa"/>
              <w:bottom w:w="0" w:type="dxa"/>
              <w:right w:w="20" w:type="dxa"/>
            </w:tcMar>
            <w:vAlign w:val="center"/>
            <w:hideMark/>
          </w:tcPr>
          <w:p w14:paraId="012A87C7" w14:textId="77777777" w:rsidR="00000000" w:rsidRDefault="009B6C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57A78142" w14:textId="77777777" w:rsidR="00000000" w:rsidRDefault="009B6C69">
            <w:pPr>
              <w:spacing w:after="100"/>
              <w:jc w:val="center"/>
              <w:rPr>
                <w:rFonts w:eastAsia="Times New Roman"/>
              </w:rPr>
            </w:pPr>
            <w:r>
              <w:rPr>
                <w:rFonts w:eastAsia="Times New Roman"/>
                <w:b/>
                <w:bCs/>
                <w:color w:val="000000"/>
                <w:sz w:val="18"/>
                <w:szCs w:val="18"/>
              </w:rPr>
              <w:t>Date of First Filing</w:t>
            </w:r>
          </w:p>
        </w:tc>
        <w:tc>
          <w:tcPr>
            <w:tcW w:w="0" w:type="auto"/>
            <w:gridSpan w:val="3"/>
            <w:tcMar>
              <w:top w:w="0" w:type="dxa"/>
              <w:left w:w="20" w:type="dxa"/>
              <w:bottom w:w="0" w:type="dxa"/>
              <w:right w:w="20" w:type="dxa"/>
            </w:tcMar>
            <w:vAlign w:val="center"/>
            <w:hideMark/>
          </w:tcPr>
          <w:p w14:paraId="5016A202" w14:textId="77777777" w:rsidR="00000000" w:rsidRDefault="009B6C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F5214A6" w14:textId="77777777" w:rsidR="00000000" w:rsidRDefault="009B6C69">
            <w:pPr>
              <w:spacing w:after="100"/>
              <w:jc w:val="center"/>
              <w:rPr>
                <w:rFonts w:eastAsia="Times New Roman"/>
              </w:rPr>
            </w:pPr>
            <w:r>
              <w:rPr>
                <w:rFonts w:eastAsia="Times New Roman"/>
                <w:b/>
                <w:bCs/>
                <w:color w:val="000000"/>
                <w:sz w:val="18"/>
                <w:szCs w:val="18"/>
              </w:rPr>
              <w:t>Exhibit Number</w:t>
            </w:r>
          </w:p>
        </w:tc>
        <w:tc>
          <w:tcPr>
            <w:tcW w:w="0" w:type="auto"/>
            <w:gridSpan w:val="3"/>
            <w:tcMar>
              <w:top w:w="0" w:type="dxa"/>
              <w:left w:w="20" w:type="dxa"/>
              <w:bottom w:w="0" w:type="dxa"/>
              <w:right w:w="20" w:type="dxa"/>
            </w:tcMar>
            <w:vAlign w:val="center"/>
            <w:hideMark/>
          </w:tcPr>
          <w:p w14:paraId="5AEEE9B0" w14:textId="77777777" w:rsidR="00000000" w:rsidRDefault="009B6C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1A87E66C" w14:textId="77777777" w:rsidR="00000000" w:rsidRDefault="009B6C69">
            <w:pPr>
              <w:spacing w:after="100"/>
              <w:jc w:val="center"/>
              <w:rPr>
                <w:rFonts w:eastAsia="Times New Roman"/>
              </w:rPr>
            </w:pPr>
            <w:r>
              <w:rPr>
                <w:rFonts w:eastAsia="Times New Roman"/>
                <w:b/>
                <w:bCs/>
                <w:color w:val="000000"/>
                <w:sz w:val="18"/>
                <w:szCs w:val="18"/>
              </w:rPr>
              <w:t>Filed Herewith</w:t>
            </w:r>
          </w:p>
        </w:tc>
      </w:tr>
      <w:tr w:rsidR="00000000" w14:paraId="57AE6F61" w14:textId="77777777">
        <w:trPr>
          <w:divId w:val="790319245"/>
        </w:trPr>
        <w:tc>
          <w:tcPr>
            <w:tcW w:w="0" w:type="auto"/>
            <w:gridSpan w:val="3"/>
            <w:tcBorders>
              <w:top w:val="single" w:sz="8" w:space="0" w:color="000000"/>
            </w:tcBorders>
            <w:shd w:val="clear" w:color="auto" w:fill="CCEEFF"/>
            <w:tcMar>
              <w:top w:w="30" w:type="dxa"/>
              <w:left w:w="20" w:type="dxa"/>
              <w:bottom w:w="30" w:type="dxa"/>
              <w:right w:w="20" w:type="dxa"/>
            </w:tcMar>
            <w:hideMark/>
          </w:tcPr>
          <w:p w14:paraId="038292F9" w14:textId="77777777" w:rsidR="00000000" w:rsidRDefault="009B6C69">
            <w:pPr>
              <w:spacing w:after="100"/>
              <w:jc w:val="center"/>
              <w:rPr>
                <w:rFonts w:eastAsia="Times New Roman"/>
              </w:rPr>
            </w:pPr>
            <w:r>
              <w:rPr>
                <w:rFonts w:eastAsia="Times New Roman"/>
                <w:color w:val="000000"/>
                <w:sz w:val="18"/>
                <w:szCs w:val="18"/>
              </w:rPr>
              <w:t>2.1</w:t>
            </w:r>
          </w:p>
        </w:tc>
        <w:tc>
          <w:tcPr>
            <w:tcW w:w="0" w:type="auto"/>
            <w:gridSpan w:val="3"/>
            <w:shd w:val="clear" w:color="auto" w:fill="CCEEFF"/>
            <w:tcMar>
              <w:top w:w="0" w:type="dxa"/>
              <w:left w:w="20" w:type="dxa"/>
              <w:bottom w:w="0" w:type="dxa"/>
              <w:right w:w="20" w:type="dxa"/>
            </w:tcMar>
            <w:vAlign w:val="center"/>
            <w:hideMark/>
          </w:tcPr>
          <w:p w14:paraId="434D022B" w14:textId="77777777" w:rsidR="00000000" w:rsidRDefault="009B6C69">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7C590FCC" w14:textId="77777777" w:rsidR="00000000" w:rsidRDefault="009B6C69">
            <w:pPr>
              <w:spacing w:after="100"/>
              <w:divId w:val="1279948993"/>
              <w:rPr>
                <w:rFonts w:eastAsia="Times New Roman"/>
              </w:rPr>
            </w:pPr>
            <w:hyperlink r:id="rId5" w:history="1">
              <w:r>
                <w:rPr>
                  <w:rStyle w:val="a3"/>
                  <w:rFonts w:eastAsia="Times New Roman"/>
                  <w:sz w:val="18"/>
                  <w:szCs w:val="18"/>
                </w:rPr>
                <w:t>Agreement and Plan of Merger, dated as of January 12, 2021, among Qualcomm Technologies, Inc., Nile Acquisition Corporation and NuVia, Inc. (1)</w:t>
              </w:r>
            </w:hyperlink>
          </w:p>
        </w:tc>
        <w:tc>
          <w:tcPr>
            <w:tcW w:w="0" w:type="auto"/>
            <w:gridSpan w:val="3"/>
            <w:shd w:val="clear" w:color="auto" w:fill="CCEEFF"/>
            <w:tcMar>
              <w:top w:w="0" w:type="dxa"/>
              <w:left w:w="20" w:type="dxa"/>
              <w:bottom w:w="0" w:type="dxa"/>
              <w:right w:w="20" w:type="dxa"/>
            </w:tcMar>
            <w:vAlign w:val="center"/>
            <w:hideMark/>
          </w:tcPr>
          <w:p w14:paraId="7FBFFFB0" w14:textId="77777777" w:rsidR="00000000" w:rsidRDefault="009B6C6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03C10970"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14:paraId="1F93C2F7" w14:textId="77777777" w:rsidR="00000000" w:rsidRDefault="009B6C69">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02AB36D4" w14:textId="77777777" w:rsidR="00000000" w:rsidRDefault="009B6C69">
            <w:pPr>
              <w:spacing w:after="100"/>
              <w:jc w:val="center"/>
              <w:rPr>
                <w:rFonts w:eastAsia="Times New Roman"/>
              </w:rPr>
            </w:pPr>
            <w:r>
              <w:rPr>
                <w:rFonts w:eastAsia="Times New Roman"/>
                <w:color w:val="000000"/>
                <w:sz w:val="18"/>
                <w:szCs w:val="18"/>
              </w:rPr>
              <w:t>1/13/2021</w:t>
            </w:r>
          </w:p>
        </w:tc>
        <w:tc>
          <w:tcPr>
            <w:tcW w:w="0" w:type="auto"/>
            <w:gridSpan w:val="3"/>
            <w:shd w:val="clear" w:color="auto" w:fill="CCEEFF"/>
            <w:tcMar>
              <w:top w:w="0" w:type="dxa"/>
              <w:left w:w="20" w:type="dxa"/>
              <w:bottom w:w="0" w:type="dxa"/>
              <w:right w:w="20" w:type="dxa"/>
            </w:tcMar>
            <w:vAlign w:val="center"/>
            <w:hideMark/>
          </w:tcPr>
          <w:p w14:paraId="7D632639" w14:textId="77777777" w:rsidR="00000000" w:rsidRDefault="009B6C69">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5FBE564A" w14:textId="77777777" w:rsidR="00000000" w:rsidRDefault="009B6C69">
            <w:pPr>
              <w:spacing w:after="100"/>
              <w:jc w:val="center"/>
              <w:rPr>
                <w:rFonts w:eastAsia="Times New Roman"/>
              </w:rPr>
            </w:pPr>
            <w:r>
              <w:rPr>
                <w:rFonts w:eastAsia="Times New Roman"/>
                <w:color w:val="000000"/>
                <w:sz w:val="18"/>
                <w:szCs w:val="18"/>
              </w:rPr>
              <w:t>2.1</w:t>
            </w:r>
          </w:p>
        </w:tc>
        <w:tc>
          <w:tcPr>
            <w:tcW w:w="0" w:type="auto"/>
            <w:gridSpan w:val="3"/>
            <w:shd w:val="clear" w:color="auto" w:fill="CCEEFF"/>
            <w:tcMar>
              <w:top w:w="0" w:type="dxa"/>
              <w:left w:w="20" w:type="dxa"/>
              <w:bottom w:w="0" w:type="dxa"/>
              <w:right w:w="20" w:type="dxa"/>
            </w:tcMar>
            <w:vAlign w:val="center"/>
            <w:hideMark/>
          </w:tcPr>
          <w:p w14:paraId="24012FEC" w14:textId="77777777" w:rsidR="00000000" w:rsidRDefault="009B6C69">
            <w:pPr>
              <w:spacing w:after="100"/>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983ECF" w14:textId="77777777" w:rsidR="00000000" w:rsidRDefault="009B6C69">
            <w:pPr>
              <w:spacing w:after="100"/>
              <w:rPr>
                <w:rFonts w:eastAsia="Times New Roman"/>
                <w:sz w:val="20"/>
                <w:szCs w:val="20"/>
              </w:rPr>
            </w:pPr>
          </w:p>
        </w:tc>
      </w:tr>
      <w:tr w:rsidR="00000000" w14:paraId="6BDAE93E" w14:textId="77777777">
        <w:trPr>
          <w:divId w:val="790319245"/>
        </w:trPr>
        <w:tc>
          <w:tcPr>
            <w:tcW w:w="0" w:type="auto"/>
            <w:gridSpan w:val="3"/>
            <w:shd w:val="clear" w:color="auto" w:fill="FFFFFF"/>
            <w:tcMar>
              <w:top w:w="30" w:type="dxa"/>
              <w:left w:w="20" w:type="dxa"/>
              <w:bottom w:w="30" w:type="dxa"/>
              <w:right w:w="20" w:type="dxa"/>
            </w:tcMar>
            <w:hideMark/>
          </w:tcPr>
          <w:p w14:paraId="59F3B075" w14:textId="77777777" w:rsidR="00000000" w:rsidRDefault="009B6C69">
            <w:pPr>
              <w:spacing w:after="100"/>
              <w:jc w:val="center"/>
              <w:rPr>
                <w:rFonts w:eastAsia="Times New Roman"/>
              </w:rPr>
            </w:pPr>
            <w:r>
              <w:rPr>
                <w:rFonts w:eastAsia="Times New Roman"/>
                <w:color w:val="000000"/>
                <w:sz w:val="18"/>
                <w:szCs w:val="18"/>
              </w:rPr>
              <w:t>2.2</w:t>
            </w:r>
          </w:p>
        </w:tc>
        <w:tc>
          <w:tcPr>
            <w:tcW w:w="0" w:type="auto"/>
            <w:gridSpan w:val="3"/>
            <w:shd w:val="clear" w:color="auto" w:fill="FFFFFF"/>
            <w:tcMar>
              <w:top w:w="0" w:type="dxa"/>
              <w:left w:w="20" w:type="dxa"/>
              <w:bottom w:w="0" w:type="dxa"/>
              <w:right w:w="20" w:type="dxa"/>
            </w:tcMar>
            <w:vAlign w:val="center"/>
            <w:hideMark/>
          </w:tcPr>
          <w:p w14:paraId="74C558A2"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1E640C7" w14:textId="77777777" w:rsidR="00000000" w:rsidRDefault="009B6C69">
            <w:pPr>
              <w:spacing w:after="100"/>
              <w:divId w:val="701901469"/>
              <w:rPr>
                <w:rFonts w:eastAsia="Times New Roman"/>
              </w:rPr>
            </w:pPr>
            <w:hyperlink r:id="rId6" w:history="1">
              <w:r>
                <w:rPr>
                  <w:rStyle w:val="a3"/>
                  <w:rFonts w:eastAsia="Times New Roman"/>
                  <w:sz w:val="18"/>
                  <w:szCs w:val="18"/>
                </w:rPr>
                <w:t>Agreement and Plan of Merger, dated as of October 4, 2021, by and among QUALCOMM Incorporated, SSW HoldCo LP, SSW Merger Sub Corp and Veoneer, Inc. (1)</w:t>
              </w:r>
            </w:hyperlink>
          </w:p>
        </w:tc>
        <w:tc>
          <w:tcPr>
            <w:tcW w:w="0" w:type="auto"/>
            <w:gridSpan w:val="3"/>
            <w:shd w:val="clear" w:color="auto" w:fill="FFFFFF"/>
            <w:tcMar>
              <w:top w:w="0" w:type="dxa"/>
              <w:left w:w="20" w:type="dxa"/>
              <w:bottom w:w="0" w:type="dxa"/>
              <w:right w:w="20" w:type="dxa"/>
            </w:tcMar>
            <w:vAlign w:val="center"/>
            <w:hideMark/>
          </w:tcPr>
          <w:p w14:paraId="094FEAF0"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9F4A817"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14:paraId="19E16F52"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78786504" w14:textId="77777777" w:rsidR="00000000" w:rsidRDefault="009B6C69">
            <w:pPr>
              <w:spacing w:after="100"/>
              <w:jc w:val="center"/>
              <w:rPr>
                <w:rFonts w:eastAsia="Times New Roman"/>
              </w:rPr>
            </w:pPr>
            <w:r>
              <w:rPr>
                <w:rFonts w:eastAsia="Times New Roman"/>
                <w:color w:val="000000"/>
                <w:sz w:val="18"/>
                <w:szCs w:val="18"/>
              </w:rPr>
              <w:t>10/4/2021</w:t>
            </w:r>
          </w:p>
        </w:tc>
        <w:tc>
          <w:tcPr>
            <w:tcW w:w="0" w:type="auto"/>
            <w:gridSpan w:val="3"/>
            <w:shd w:val="clear" w:color="auto" w:fill="FFFFFF"/>
            <w:tcMar>
              <w:top w:w="0" w:type="dxa"/>
              <w:left w:w="20" w:type="dxa"/>
              <w:bottom w:w="0" w:type="dxa"/>
              <w:right w:w="20" w:type="dxa"/>
            </w:tcMar>
            <w:vAlign w:val="center"/>
            <w:hideMark/>
          </w:tcPr>
          <w:p w14:paraId="3DC84E8D"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87A5A0E" w14:textId="77777777" w:rsidR="00000000" w:rsidRDefault="009B6C69">
            <w:pPr>
              <w:spacing w:after="100"/>
              <w:jc w:val="center"/>
              <w:rPr>
                <w:rFonts w:eastAsia="Times New Roman"/>
              </w:rPr>
            </w:pPr>
            <w:r>
              <w:rPr>
                <w:rFonts w:eastAsia="Times New Roman"/>
                <w:color w:val="000000"/>
                <w:sz w:val="18"/>
                <w:szCs w:val="18"/>
              </w:rPr>
              <w:t>2.1</w:t>
            </w:r>
          </w:p>
        </w:tc>
        <w:tc>
          <w:tcPr>
            <w:tcW w:w="0" w:type="auto"/>
            <w:gridSpan w:val="3"/>
            <w:shd w:val="clear" w:color="auto" w:fill="FFFFFF"/>
            <w:tcMar>
              <w:top w:w="0" w:type="dxa"/>
              <w:left w:w="20" w:type="dxa"/>
              <w:bottom w:w="0" w:type="dxa"/>
              <w:right w:w="20" w:type="dxa"/>
            </w:tcMar>
            <w:vAlign w:val="center"/>
            <w:hideMark/>
          </w:tcPr>
          <w:p w14:paraId="18DD94F8"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8A552" w14:textId="77777777" w:rsidR="00000000" w:rsidRDefault="009B6C69">
            <w:pPr>
              <w:spacing w:after="100"/>
              <w:rPr>
                <w:rFonts w:eastAsia="Times New Roman"/>
                <w:sz w:val="20"/>
                <w:szCs w:val="20"/>
              </w:rPr>
            </w:pPr>
          </w:p>
        </w:tc>
      </w:tr>
      <w:tr w:rsidR="00000000" w14:paraId="63D70E42" w14:textId="77777777">
        <w:trPr>
          <w:divId w:val="790319245"/>
        </w:trPr>
        <w:tc>
          <w:tcPr>
            <w:tcW w:w="0" w:type="auto"/>
            <w:gridSpan w:val="3"/>
            <w:shd w:val="clear" w:color="auto" w:fill="CCEEFF"/>
            <w:tcMar>
              <w:top w:w="30" w:type="dxa"/>
              <w:left w:w="20" w:type="dxa"/>
              <w:bottom w:w="30" w:type="dxa"/>
              <w:right w:w="20" w:type="dxa"/>
            </w:tcMar>
            <w:hideMark/>
          </w:tcPr>
          <w:p w14:paraId="4832E10A" w14:textId="77777777" w:rsidR="00000000" w:rsidRDefault="009B6C69">
            <w:pPr>
              <w:spacing w:after="100"/>
              <w:jc w:val="center"/>
              <w:rPr>
                <w:rFonts w:eastAsia="Times New Roman"/>
              </w:rPr>
            </w:pPr>
            <w:r>
              <w:rPr>
                <w:rFonts w:eastAsia="Times New Roman"/>
                <w:color w:val="000000"/>
                <w:sz w:val="18"/>
                <w:szCs w:val="18"/>
              </w:rPr>
              <w:t>3.1</w:t>
            </w:r>
          </w:p>
        </w:tc>
        <w:tc>
          <w:tcPr>
            <w:tcW w:w="0" w:type="auto"/>
            <w:gridSpan w:val="3"/>
            <w:shd w:val="clear" w:color="auto" w:fill="CCEEFF"/>
            <w:tcMar>
              <w:top w:w="30" w:type="dxa"/>
              <w:left w:w="20" w:type="dxa"/>
              <w:bottom w:w="30" w:type="dxa"/>
              <w:right w:w="20" w:type="dxa"/>
            </w:tcMar>
            <w:hideMark/>
          </w:tcPr>
          <w:p w14:paraId="62F01DAA"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14:paraId="30AEE537" w14:textId="77777777" w:rsidR="00000000" w:rsidRDefault="009B6C69">
            <w:pPr>
              <w:spacing w:after="100"/>
              <w:divId w:val="1728870649"/>
              <w:rPr>
                <w:rFonts w:eastAsia="Times New Roman"/>
              </w:rPr>
            </w:pPr>
            <w:hyperlink r:id="rId7" w:history="1">
              <w:r>
                <w:rPr>
                  <w:rStyle w:val="a3"/>
                  <w:rFonts w:eastAsia="Times New Roman"/>
                  <w:sz w:val="18"/>
                  <w:szCs w:val="18"/>
                </w:rPr>
                <w:t>Amended and Restated Certificate of Incorporation</w:t>
              </w:r>
            </w:hyperlink>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09C3C62"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44C5476E"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14:paraId="5F5219E8"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BB8B60A" w14:textId="77777777" w:rsidR="00000000" w:rsidRDefault="009B6C69">
            <w:pPr>
              <w:spacing w:after="100"/>
              <w:jc w:val="center"/>
              <w:rPr>
                <w:rFonts w:eastAsia="Times New Roman"/>
              </w:rPr>
            </w:pPr>
            <w:r>
              <w:rPr>
                <w:rFonts w:eastAsia="Times New Roman"/>
                <w:color w:val="000000"/>
                <w:sz w:val="18"/>
                <w:szCs w:val="18"/>
              </w:rPr>
              <w:t>4/20/2018</w:t>
            </w:r>
          </w:p>
        </w:tc>
        <w:tc>
          <w:tcPr>
            <w:tcW w:w="0" w:type="auto"/>
            <w:gridSpan w:val="3"/>
            <w:shd w:val="clear" w:color="auto" w:fill="CCEEFF"/>
            <w:tcMar>
              <w:top w:w="0" w:type="dxa"/>
              <w:left w:w="20" w:type="dxa"/>
              <w:bottom w:w="0" w:type="dxa"/>
              <w:right w:w="20" w:type="dxa"/>
            </w:tcMar>
            <w:vAlign w:val="center"/>
            <w:hideMark/>
          </w:tcPr>
          <w:p w14:paraId="282C98E4"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1F23506" w14:textId="77777777" w:rsidR="00000000" w:rsidRDefault="009B6C69">
            <w:pPr>
              <w:spacing w:after="100"/>
              <w:jc w:val="center"/>
              <w:rPr>
                <w:rFonts w:eastAsia="Times New Roman"/>
              </w:rPr>
            </w:pPr>
            <w:r>
              <w:rPr>
                <w:rFonts w:eastAsia="Times New Roman"/>
                <w:color w:val="000000"/>
                <w:sz w:val="18"/>
                <w:szCs w:val="18"/>
              </w:rPr>
              <w:t>3.1</w:t>
            </w:r>
          </w:p>
        </w:tc>
        <w:tc>
          <w:tcPr>
            <w:tcW w:w="0" w:type="auto"/>
            <w:gridSpan w:val="3"/>
            <w:shd w:val="clear" w:color="auto" w:fill="CCEEFF"/>
            <w:tcMar>
              <w:top w:w="0" w:type="dxa"/>
              <w:left w:w="20" w:type="dxa"/>
              <w:bottom w:w="0" w:type="dxa"/>
              <w:right w:w="20" w:type="dxa"/>
            </w:tcMar>
            <w:vAlign w:val="center"/>
            <w:hideMark/>
          </w:tcPr>
          <w:p w14:paraId="53E90AFC"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573D4A" w14:textId="77777777" w:rsidR="00000000" w:rsidRDefault="009B6C69">
            <w:pPr>
              <w:spacing w:after="100"/>
              <w:rPr>
                <w:rFonts w:eastAsia="Times New Roman"/>
                <w:sz w:val="20"/>
                <w:szCs w:val="20"/>
              </w:rPr>
            </w:pPr>
          </w:p>
        </w:tc>
      </w:tr>
      <w:tr w:rsidR="00000000" w14:paraId="1B20E9A1" w14:textId="77777777">
        <w:trPr>
          <w:divId w:val="790319245"/>
        </w:trPr>
        <w:tc>
          <w:tcPr>
            <w:tcW w:w="0" w:type="auto"/>
            <w:gridSpan w:val="3"/>
            <w:shd w:val="clear" w:color="auto" w:fill="FFFFFF"/>
            <w:tcMar>
              <w:top w:w="30" w:type="dxa"/>
              <w:left w:w="20" w:type="dxa"/>
              <w:bottom w:w="30" w:type="dxa"/>
              <w:right w:w="20" w:type="dxa"/>
            </w:tcMar>
            <w:hideMark/>
          </w:tcPr>
          <w:p w14:paraId="4C4AD3AA" w14:textId="77777777" w:rsidR="00000000" w:rsidRDefault="009B6C69">
            <w:pPr>
              <w:spacing w:after="100"/>
              <w:jc w:val="center"/>
              <w:rPr>
                <w:rFonts w:eastAsia="Times New Roman"/>
              </w:rPr>
            </w:pPr>
            <w:r>
              <w:rPr>
                <w:rFonts w:eastAsia="Times New Roman"/>
                <w:color w:val="000000"/>
                <w:sz w:val="18"/>
                <w:szCs w:val="18"/>
              </w:rPr>
              <w:t>3.2</w:t>
            </w:r>
          </w:p>
        </w:tc>
        <w:tc>
          <w:tcPr>
            <w:tcW w:w="0" w:type="auto"/>
            <w:gridSpan w:val="3"/>
            <w:shd w:val="clear" w:color="auto" w:fill="FFFFFF"/>
            <w:tcMar>
              <w:top w:w="30" w:type="dxa"/>
              <w:left w:w="20" w:type="dxa"/>
              <w:bottom w:w="30" w:type="dxa"/>
              <w:right w:w="20" w:type="dxa"/>
            </w:tcMar>
            <w:hideMark/>
          </w:tcPr>
          <w:p w14:paraId="6DA70ADB"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hideMark/>
          </w:tcPr>
          <w:p w14:paraId="3C585531" w14:textId="77777777" w:rsidR="00000000" w:rsidRDefault="009B6C69">
            <w:pPr>
              <w:spacing w:after="100"/>
              <w:divId w:val="508329189"/>
              <w:rPr>
                <w:rFonts w:eastAsia="Times New Roman"/>
              </w:rPr>
            </w:pPr>
            <w:hyperlink r:id="rId8" w:history="1">
              <w:r>
                <w:rPr>
                  <w:rStyle w:val="a3"/>
                  <w:rFonts w:eastAsia="Times New Roman"/>
                  <w:sz w:val="18"/>
                  <w:szCs w:val="18"/>
                </w:rPr>
                <w:t>Amended and Restated Bylaws</w:t>
              </w:r>
            </w:hyperlink>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3C9065B"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2058475"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14:paraId="58B76D92"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FF357A1" w14:textId="77777777" w:rsidR="00000000" w:rsidRDefault="009B6C69">
            <w:pPr>
              <w:spacing w:after="100"/>
              <w:jc w:val="center"/>
              <w:rPr>
                <w:rFonts w:eastAsia="Times New Roman"/>
              </w:rPr>
            </w:pPr>
            <w:r>
              <w:rPr>
                <w:rFonts w:eastAsia="Times New Roman"/>
                <w:color w:val="000000"/>
                <w:sz w:val="18"/>
                <w:szCs w:val="18"/>
              </w:rPr>
              <w:t>7/23/2021</w:t>
            </w:r>
          </w:p>
        </w:tc>
        <w:tc>
          <w:tcPr>
            <w:tcW w:w="0" w:type="auto"/>
            <w:gridSpan w:val="3"/>
            <w:shd w:val="clear" w:color="auto" w:fill="FFFFFF"/>
            <w:tcMar>
              <w:top w:w="0" w:type="dxa"/>
              <w:left w:w="20" w:type="dxa"/>
              <w:bottom w:w="0" w:type="dxa"/>
              <w:right w:w="20" w:type="dxa"/>
            </w:tcMar>
            <w:vAlign w:val="center"/>
            <w:hideMark/>
          </w:tcPr>
          <w:p w14:paraId="057569F3"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46E3412" w14:textId="77777777" w:rsidR="00000000" w:rsidRDefault="009B6C69">
            <w:pPr>
              <w:spacing w:after="100"/>
              <w:jc w:val="center"/>
              <w:rPr>
                <w:rFonts w:eastAsia="Times New Roman"/>
              </w:rPr>
            </w:pPr>
            <w:r>
              <w:rPr>
                <w:rFonts w:eastAsia="Times New Roman"/>
                <w:color w:val="000000"/>
                <w:sz w:val="18"/>
                <w:szCs w:val="18"/>
              </w:rPr>
              <w:t>3.2</w:t>
            </w:r>
          </w:p>
        </w:tc>
        <w:tc>
          <w:tcPr>
            <w:tcW w:w="0" w:type="auto"/>
            <w:gridSpan w:val="3"/>
            <w:shd w:val="clear" w:color="auto" w:fill="FFFFFF"/>
            <w:tcMar>
              <w:top w:w="0" w:type="dxa"/>
              <w:left w:w="20" w:type="dxa"/>
              <w:bottom w:w="0" w:type="dxa"/>
              <w:right w:w="20" w:type="dxa"/>
            </w:tcMar>
            <w:vAlign w:val="center"/>
            <w:hideMark/>
          </w:tcPr>
          <w:p w14:paraId="12D05123"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C560D6" w14:textId="77777777" w:rsidR="00000000" w:rsidRDefault="009B6C69">
            <w:pPr>
              <w:spacing w:after="100"/>
              <w:rPr>
                <w:rFonts w:eastAsia="Times New Roman"/>
                <w:sz w:val="20"/>
                <w:szCs w:val="20"/>
              </w:rPr>
            </w:pPr>
          </w:p>
        </w:tc>
      </w:tr>
      <w:tr w:rsidR="00000000" w14:paraId="79F5D993" w14:textId="77777777">
        <w:trPr>
          <w:divId w:val="790319245"/>
        </w:trPr>
        <w:tc>
          <w:tcPr>
            <w:tcW w:w="0" w:type="auto"/>
            <w:gridSpan w:val="3"/>
            <w:shd w:val="clear" w:color="auto" w:fill="CCEEFF"/>
            <w:tcMar>
              <w:top w:w="30" w:type="dxa"/>
              <w:left w:w="20" w:type="dxa"/>
              <w:bottom w:w="30" w:type="dxa"/>
              <w:right w:w="20" w:type="dxa"/>
            </w:tcMar>
            <w:hideMark/>
          </w:tcPr>
          <w:p w14:paraId="58AF90F1" w14:textId="77777777" w:rsidR="00000000" w:rsidRDefault="009B6C69">
            <w:pPr>
              <w:spacing w:after="100"/>
              <w:jc w:val="center"/>
              <w:rPr>
                <w:rFonts w:eastAsia="Times New Roman"/>
              </w:rPr>
            </w:pPr>
            <w:r>
              <w:rPr>
                <w:rFonts w:eastAsia="Times New Roman"/>
                <w:color w:val="000000"/>
                <w:sz w:val="18"/>
                <w:szCs w:val="18"/>
              </w:rPr>
              <w:t>4.1</w:t>
            </w:r>
          </w:p>
        </w:tc>
        <w:tc>
          <w:tcPr>
            <w:tcW w:w="0" w:type="auto"/>
            <w:gridSpan w:val="3"/>
            <w:shd w:val="clear" w:color="auto" w:fill="CCEEFF"/>
            <w:tcMar>
              <w:top w:w="0" w:type="dxa"/>
              <w:left w:w="20" w:type="dxa"/>
              <w:bottom w:w="0" w:type="dxa"/>
              <w:right w:w="20" w:type="dxa"/>
            </w:tcMar>
            <w:vAlign w:val="center"/>
            <w:hideMark/>
          </w:tcPr>
          <w:p w14:paraId="62584404"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F363ED1" w14:textId="77777777" w:rsidR="00000000" w:rsidRDefault="009B6C69">
            <w:pPr>
              <w:spacing w:after="100"/>
              <w:divId w:val="205530820"/>
              <w:rPr>
                <w:rFonts w:eastAsia="Times New Roman"/>
              </w:rPr>
            </w:pPr>
            <w:hyperlink r:id="rId9" w:history="1">
              <w:r>
                <w:rPr>
                  <w:rStyle w:val="a3"/>
                  <w:rFonts w:eastAsia="Times New Roman"/>
                  <w:sz w:val="18"/>
                  <w:szCs w:val="18"/>
                </w:rPr>
                <w:t>Indenture, dated May 20, 2015, between the Company and U.S. Bank Trust Company,</w:t>
              </w:r>
            </w:hyperlink>
            <w:hyperlink r:id="rId10" w:history="1">
              <w:r>
                <w:rPr>
                  <w:rStyle w:val="a3"/>
                  <w:rFonts w:eastAsia="Times New Roman"/>
                  <w:sz w:val="18"/>
                  <w:szCs w:val="18"/>
                </w:rPr>
                <w:t xml:space="preserve"> National Association (as successor in interest to U.S. Bank, National Association), as trustee. </w:t>
              </w:r>
            </w:hyperlink>
          </w:p>
        </w:tc>
        <w:tc>
          <w:tcPr>
            <w:tcW w:w="0" w:type="auto"/>
            <w:gridSpan w:val="3"/>
            <w:shd w:val="clear" w:color="auto" w:fill="CCEEFF"/>
            <w:tcMar>
              <w:top w:w="0" w:type="dxa"/>
              <w:left w:w="20" w:type="dxa"/>
              <w:bottom w:w="0" w:type="dxa"/>
              <w:right w:w="20" w:type="dxa"/>
            </w:tcMar>
            <w:vAlign w:val="center"/>
            <w:hideMark/>
          </w:tcPr>
          <w:p w14:paraId="0F14D150"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2CAEA76E"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14:paraId="4359F7BC"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D81B9CA" w14:textId="77777777" w:rsidR="00000000" w:rsidRDefault="009B6C69">
            <w:pPr>
              <w:spacing w:after="100"/>
              <w:jc w:val="center"/>
              <w:rPr>
                <w:rFonts w:eastAsia="Times New Roman"/>
              </w:rPr>
            </w:pPr>
            <w:r>
              <w:rPr>
                <w:rFonts w:eastAsia="Times New Roman"/>
                <w:color w:val="000000"/>
                <w:sz w:val="18"/>
                <w:szCs w:val="18"/>
              </w:rPr>
              <w:t>5/21/2015</w:t>
            </w:r>
          </w:p>
        </w:tc>
        <w:tc>
          <w:tcPr>
            <w:tcW w:w="0" w:type="auto"/>
            <w:gridSpan w:val="3"/>
            <w:shd w:val="clear" w:color="auto" w:fill="CCEEFF"/>
            <w:tcMar>
              <w:top w:w="0" w:type="dxa"/>
              <w:left w:w="20" w:type="dxa"/>
              <w:bottom w:w="0" w:type="dxa"/>
              <w:right w:w="20" w:type="dxa"/>
            </w:tcMar>
            <w:vAlign w:val="center"/>
            <w:hideMark/>
          </w:tcPr>
          <w:p w14:paraId="24C17A10"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D747F12" w14:textId="77777777" w:rsidR="00000000" w:rsidRDefault="009B6C69">
            <w:pPr>
              <w:spacing w:after="100"/>
              <w:jc w:val="center"/>
              <w:rPr>
                <w:rFonts w:eastAsia="Times New Roman"/>
              </w:rPr>
            </w:pPr>
            <w:r>
              <w:rPr>
                <w:rFonts w:eastAsia="Times New Roman"/>
                <w:color w:val="000000"/>
                <w:sz w:val="18"/>
                <w:szCs w:val="18"/>
              </w:rPr>
              <w:t>4.1</w:t>
            </w:r>
          </w:p>
        </w:tc>
        <w:tc>
          <w:tcPr>
            <w:tcW w:w="0" w:type="auto"/>
            <w:gridSpan w:val="3"/>
            <w:shd w:val="clear" w:color="auto" w:fill="CCEEFF"/>
            <w:tcMar>
              <w:top w:w="0" w:type="dxa"/>
              <w:left w:w="20" w:type="dxa"/>
              <w:bottom w:w="0" w:type="dxa"/>
              <w:right w:w="20" w:type="dxa"/>
            </w:tcMar>
            <w:vAlign w:val="center"/>
            <w:hideMark/>
          </w:tcPr>
          <w:p w14:paraId="693BA569"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459F1D" w14:textId="77777777" w:rsidR="00000000" w:rsidRDefault="009B6C69">
            <w:pPr>
              <w:spacing w:after="100"/>
              <w:rPr>
                <w:rFonts w:eastAsia="Times New Roman"/>
                <w:sz w:val="20"/>
                <w:szCs w:val="20"/>
              </w:rPr>
            </w:pPr>
          </w:p>
        </w:tc>
      </w:tr>
      <w:tr w:rsidR="00000000" w14:paraId="07DF0A32" w14:textId="77777777">
        <w:trPr>
          <w:divId w:val="790319245"/>
        </w:trPr>
        <w:tc>
          <w:tcPr>
            <w:tcW w:w="0" w:type="auto"/>
            <w:gridSpan w:val="3"/>
            <w:shd w:val="clear" w:color="auto" w:fill="FFFFFF"/>
            <w:tcMar>
              <w:top w:w="30" w:type="dxa"/>
              <w:left w:w="20" w:type="dxa"/>
              <w:bottom w:w="30" w:type="dxa"/>
              <w:right w:w="20" w:type="dxa"/>
            </w:tcMar>
            <w:hideMark/>
          </w:tcPr>
          <w:p w14:paraId="67A8C586" w14:textId="77777777" w:rsidR="00000000" w:rsidRDefault="009B6C69">
            <w:pPr>
              <w:spacing w:after="100"/>
              <w:jc w:val="center"/>
              <w:rPr>
                <w:rFonts w:eastAsia="Times New Roman"/>
              </w:rPr>
            </w:pPr>
            <w:r>
              <w:rPr>
                <w:rFonts w:eastAsia="Times New Roman"/>
                <w:color w:val="000000"/>
                <w:sz w:val="18"/>
                <w:szCs w:val="18"/>
              </w:rPr>
              <w:t>4.2</w:t>
            </w:r>
          </w:p>
        </w:tc>
        <w:tc>
          <w:tcPr>
            <w:tcW w:w="0" w:type="auto"/>
            <w:gridSpan w:val="3"/>
            <w:shd w:val="clear" w:color="auto" w:fill="FFFFFF"/>
            <w:tcMar>
              <w:top w:w="0" w:type="dxa"/>
              <w:left w:w="20" w:type="dxa"/>
              <w:bottom w:w="0" w:type="dxa"/>
              <w:right w:w="20" w:type="dxa"/>
            </w:tcMar>
            <w:vAlign w:val="center"/>
            <w:hideMark/>
          </w:tcPr>
          <w:p w14:paraId="50AE9FE3"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638AB1E" w14:textId="77777777" w:rsidR="00000000" w:rsidRDefault="009B6C69">
            <w:pPr>
              <w:spacing w:after="100"/>
              <w:divId w:val="948198911"/>
              <w:rPr>
                <w:rFonts w:eastAsia="Times New Roman"/>
              </w:rPr>
            </w:pPr>
            <w:hyperlink r:id="rId11" w:history="1">
              <w:r>
                <w:rPr>
                  <w:rStyle w:val="a3"/>
                  <w:rFonts w:eastAsia="Times New Roman"/>
                  <w:sz w:val="18"/>
                  <w:szCs w:val="18"/>
                </w:rPr>
                <w:t>Officers’ Certificate, dated May 20, 2015, for the Floating Rate Notes due 2018, the Floating Rate Notes due 2020, the 1.400% Notes due 2018, the 2.250% Notes</w:t>
              </w:r>
              <w:r>
                <w:rPr>
                  <w:rStyle w:val="a3"/>
                  <w:rFonts w:eastAsia="Times New Roman"/>
                  <w:sz w:val="18"/>
                  <w:szCs w:val="18"/>
                </w:rPr>
                <w:t xml:space="preserve"> due 2020, the 3.000% Notes due 2022, the 3.450% Notes due 2025, the 4.650% Notes due 2035 and the 4.800% Notes due 2045. </w:t>
              </w:r>
            </w:hyperlink>
          </w:p>
        </w:tc>
        <w:tc>
          <w:tcPr>
            <w:tcW w:w="0" w:type="auto"/>
            <w:gridSpan w:val="3"/>
            <w:shd w:val="clear" w:color="auto" w:fill="FFFFFF"/>
            <w:tcMar>
              <w:top w:w="0" w:type="dxa"/>
              <w:left w:w="20" w:type="dxa"/>
              <w:bottom w:w="0" w:type="dxa"/>
              <w:right w:w="20" w:type="dxa"/>
            </w:tcMar>
            <w:vAlign w:val="center"/>
            <w:hideMark/>
          </w:tcPr>
          <w:p w14:paraId="57098E11"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49BF8CB"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14:paraId="0EA45CB0"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28496B7" w14:textId="77777777" w:rsidR="00000000" w:rsidRDefault="009B6C69">
            <w:pPr>
              <w:spacing w:after="100"/>
              <w:jc w:val="center"/>
              <w:rPr>
                <w:rFonts w:eastAsia="Times New Roman"/>
              </w:rPr>
            </w:pPr>
            <w:r>
              <w:rPr>
                <w:rFonts w:eastAsia="Times New Roman"/>
                <w:color w:val="000000"/>
                <w:sz w:val="18"/>
                <w:szCs w:val="18"/>
              </w:rPr>
              <w:t>5/21/2015</w:t>
            </w:r>
          </w:p>
        </w:tc>
        <w:tc>
          <w:tcPr>
            <w:tcW w:w="0" w:type="auto"/>
            <w:gridSpan w:val="3"/>
            <w:shd w:val="clear" w:color="auto" w:fill="FFFFFF"/>
            <w:tcMar>
              <w:top w:w="0" w:type="dxa"/>
              <w:left w:w="20" w:type="dxa"/>
              <w:bottom w:w="0" w:type="dxa"/>
              <w:right w:w="20" w:type="dxa"/>
            </w:tcMar>
            <w:vAlign w:val="center"/>
            <w:hideMark/>
          </w:tcPr>
          <w:p w14:paraId="4396CEF6"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B8E7D1A" w14:textId="77777777" w:rsidR="00000000" w:rsidRDefault="009B6C69">
            <w:pPr>
              <w:spacing w:after="100"/>
              <w:jc w:val="center"/>
              <w:rPr>
                <w:rFonts w:eastAsia="Times New Roman"/>
              </w:rPr>
            </w:pPr>
            <w:r>
              <w:rPr>
                <w:rFonts w:eastAsia="Times New Roman"/>
                <w:color w:val="000000"/>
                <w:sz w:val="18"/>
                <w:szCs w:val="18"/>
              </w:rPr>
              <w:t>4.2</w:t>
            </w:r>
          </w:p>
        </w:tc>
        <w:tc>
          <w:tcPr>
            <w:tcW w:w="0" w:type="auto"/>
            <w:gridSpan w:val="3"/>
            <w:shd w:val="clear" w:color="auto" w:fill="FFFFFF"/>
            <w:tcMar>
              <w:top w:w="0" w:type="dxa"/>
              <w:left w:w="20" w:type="dxa"/>
              <w:bottom w:w="0" w:type="dxa"/>
              <w:right w:w="20" w:type="dxa"/>
            </w:tcMar>
            <w:vAlign w:val="center"/>
            <w:hideMark/>
          </w:tcPr>
          <w:p w14:paraId="7461F7BA"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699DFE" w14:textId="77777777" w:rsidR="00000000" w:rsidRDefault="009B6C69">
            <w:pPr>
              <w:spacing w:after="100"/>
              <w:rPr>
                <w:rFonts w:eastAsia="Times New Roman"/>
                <w:sz w:val="20"/>
                <w:szCs w:val="20"/>
              </w:rPr>
            </w:pPr>
          </w:p>
        </w:tc>
      </w:tr>
      <w:tr w:rsidR="00000000" w14:paraId="1E1522E8" w14:textId="77777777">
        <w:trPr>
          <w:divId w:val="790319245"/>
        </w:trPr>
        <w:tc>
          <w:tcPr>
            <w:tcW w:w="0" w:type="auto"/>
            <w:gridSpan w:val="3"/>
            <w:shd w:val="clear" w:color="auto" w:fill="CCEEFF"/>
            <w:tcMar>
              <w:top w:w="30" w:type="dxa"/>
              <w:left w:w="20" w:type="dxa"/>
              <w:bottom w:w="30" w:type="dxa"/>
              <w:right w:w="20" w:type="dxa"/>
            </w:tcMar>
            <w:hideMark/>
          </w:tcPr>
          <w:p w14:paraId="1296C974" w14:textId="77777777" w:rsidR="00000000" w:rsidRDefault="009B6C69">
            <w:pPr>
              <w:spacing w:after="100"/>
              <w:jc w:val="center"/>
              <w:rPr>
                <w:rFonts w:eastAsia="Times New Roman"/>
              </w:rPr>
            </w:pPr>
            <w:r>
              <w:rPr>
                <w:rFonts w:eastAsia="Times New Roman"/>
                <w:color w:val="000000"/>
                <w:sz w:val="18"/>
                <w:szCs w:val="18"/>
              </w:rPr>
              <w:t>4.3</w:t>
            </w:r>
          </w:p>
        </w:tc>
        <w:tc>
          <w:tcPr>
            <w:tcW w:w="0" w:type="auto"/>
            <w:gridSpan w:val="3"/>
            <w:shd w:val="clear" w:color="auto" w:fill="CCEEFF"/>
            <w:tcMar>
              <w:top w:w="0" w:type="dxa"/>
              <w:left w:w="20" w:type="dxa"/>
              <w:bottom w:w="0" w:type="dxa"/>
              <w:right w:w="20" w:type="dxa"/>
            </w:tcMar>
            <w:vAlign w:val="center"/>
            <w:hideMark/>
          </w:tcPr>
          <w:p w14:paraId="3DBB1DD7"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E748B82" w14:textId="77777777" w:rsidR="00000000" w:rsidRDefault="009B6C69">
            <w:pPr>
              <w:spacing w:after="100"/>
              <w:divId w:val="575557074"/>
              <w:rPr>
                <w:rFonts w:eastAsia="Times New Roman"/>
              </w:rPr>
            </w:pPr>
            <w:hyperlink r:id="rId12" w:history="1">
              <w:r>
                <w:rPr>
                  <w:rStyle w:val="a3"/>
                  <w:rFonts w:eastAsia="Times New Roman"/>
                  <w:sz w:val="18"/>
                  <w:szCs w:val="18"/>
                </w:rPr>
                <w:t xml:space="preserve">Form of 3.450% Notes due 2025. </w:t>
              </w:r>
            </w:hyperlink>
          </w:p>
        </w:tc>
        <w:tc>
          <w:tcPr>
            <w:tcW w:w="0" w:type="auto"/>
            <w:gridSpan w:val="3"/>
            <w:shd w:val="clear" w:color="auto" w:fill="CCEEFF"/>
            <w:tcMar>
              <w:top w:w="0" w:type="dxa"/>
              <w:left w:w="20" w:type="dxa"/>
              <w:bottom w:w="0" w:type="dxa"/>
              <w:right w:w="20" w:type="dxa"/>
            </w:tcMar>
            <w:vAlign w:val="center"/>
            <w:hideMark/>
          </w:tcPr>
          <w:p w14:paraId="6818E23A"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1DABA968"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14:paraId="5D8EC88E"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9B0DE41" w14:textId="77777777" w:rsidR="00000000" w:rsidRDefault="009B6C69">
            <w:pPr>
              <w:spacing w:after="100"/>
              <w:jc w:val="center"/>
              <w:rPr>
                <w:rFonts w:eastAsia="Times New Roman"/>
              </w:rPr>
            </w:pPr>
            <w:r>
              <w:rPr>
                <w:rFonts w:eastAsia="Times New Roman"/>
                <w:color w:val="000000"/>
                <w:sz w:val="18"/>
                <w:szCs w:val="18"/>
              </w:rPr>
              <w:t>5/21/2015</w:t>
            </w:r>
          </w:p>
        </w:tc>
        <w:tc>
          <w:tcPr>
            <w:tcW w:w="0" w:type="auto"/>
            <w:gridSpan w:val="3"/>
            <w:shd w:val="clear" w:color="auto" w:fill="CCEEFF"/>
            <w:tcMar>
              <w:top w:w="0" w:type="dxa"/>
              <w:left w:w="20" w:type="dxa"/>
              <w:bottom w:w="0" w:type="dxa"/>
              <w:right w:w="20" w:type="dxa"/>
            </w:tcMar>
            <w:vAlign w:val="center"/>
            <w:hideMark/>
          </w:tcPr>
          <w:p w14:paraId="214B4852"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0222A0F" w14:textId="77777777" w:rsidR="00000000" w:rsidRDefault="009B6C69">
            <w:pPr>
              <w:spacing w:after="100"/>
              <w:jc w:val="center"/>
              <w:rPr>
                <w:rFonts w:eastAsia="Times New Roman"/>
              </w:rPr>
            </w:pPr>
            <w:r>
              <w:rPr>
                <w:rFonts w:eastAsia="Times New Roman"/>
                <w:color w:val="000000"/>
                <w:sz w:val="18"/>
                <w:szCs w:val="18"/>
              </w:rPr>
              <w:t>4.8</w:t>
            </w:r>
          </w:p>
        </w:tc>
        <w:tc>
          <w:tcPr>
            <w:tcW w:w="0" w:type="auto"/>
            <w:gridSpan w:val="3"/>
            <w:shd w:val="clear" w:color="auto" w:fill="CCEEFF"/>
            <w:tcMar>
              <w:top w:w="0" w:type="dxa"/>
              <w:left w:w="20" w:type="dxa"/>
              <w:bottom w:w="0" w:type="dxa"/>
              <w:right w:w="20" w:type="dxa"/>
            </w:tcMar>
            <w:vAlign w:val="center"/>
            <w:hideMark/>
          </w:tcPr>
          <w:p w14:paraId="19B46B1A"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7D7C45" w14:textId="77777777" w:rsidR="00000000" w:rsidRDefault="009B6C69">
            <w:pPr>
              <w:spacing w:after="100"/>
              <w:rPr>
                <w:rFonts w:eastAsia="Times New Roman"/>
                <w:sz w:val="20"/>
                <w:szCs w:val="20"/>
              </w:rPr>
            </w:pPr>
          </w:p>
        </w:tc>
      </w:tr>
      <w:tr w:rsidR="00000000" w14:paraId="08172F4E" w14:textId="77777777">
        <w:trPr>
          <w:divId w:val="790319245"/>
        </w:trPr>
        <w:tc>
          <w:tcPr>
            <w:tcW w:w="0" w:type="auto"/>
            <w:gridSpan w:val="3"/>
            <w:shd w:val="clear" w:color="auto" w:fill="FFFFFF"/>
            <w:tcMar>
              <w:top w:w="30" w:type="dxa"/>
              <w:left w:w="20" w:type="dxa"/>
              <w:bottom w:w="30" w:type="dxa"/>
              <w:right w:w="20" w:type="dxa"/>
            </w:tcMar>
            <w:hideMark/>
          </w:tcPr>
          <w:p w14:paraId="2BE8EED5" w14:textId="77777777" w:rsidR="00000000" w:rsidRDefault="009B6C69">
            <w:pPr>
              <w:spacing w:after="100"/>
              <w:jc w:val="center"/>
              <w:rPr>
                <w:rFonts w:eastAsia="Times New Roman"/>
              </w:rPr>
            </w:pPr>
            <w:r>
              <w:rPr>
                <w:rFonts w:eastAsia="Times New Roman"/>
                <w:color w:val="000000"/>
                <w:sz w:val="18"/>
                <w:szCs w:val="18"/>
              </w:rPr>
              <w:t>4.4</w:t>
            </w:r>
          </w:p>
        </w:tc>
        <w:tc>
          <w:tcPr>
            <w:tcW w:w="0" w:type="auto"/>
            <w:gridSpan w:val="3"/>
            <w:shd w:val="clear" w:color="auto" w:fill="FFFFFF"/>
            <w:tcMar>
              <w:top w:w="0" w:type="dxa"/>
              <w:left w:w="20" w:type="dxa"/>
              <w:bottom w:w="0" w:type="dxa"/>
              <w:right w:w="20" w:type="dxa"/>
            </w:tcMar>
            <w:vAlign w:val="center"/>
            <w:hideMark/>
          </w:tcPr>
          <w:p w14:paraId="221F1EF9"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EF3F5C6" w14:textId="77777777" w:rsidR="00000000" w:rsidRDefault="009B6C69">
            <w:pPr>
              <w:spacing w:after="100"/>
              <w:divId w:val="192771833"/>
              <w:rPr>
                <w:rFonts w:eastAsia="Times New Roman"/>
              </w:rPr>
            </w:pPr>
            <w:hyperlink r:id="rId13" w:history="1">
              <w:r>
                <w:rPr>
                  <w:rStyle w:val="a3"/>
                  <w:rFonts w:eastAsia="Times New Roman"/>
                  <w:sz w:val="18"/>
                  <w:szCs w:val="18"/>
                </w:rPr>
                <w:t xml:space="preserve">Form of 4.650% Notes due 2035. </w:t>
              </w:r>
            </w:hyperlink>
          </w:p>
        </w:tc>
        <w:tc>
          <w:tcPr>
            <w:tcW w:w="0" w:type="auto"/>
            <w:gridSpan w:val="3"/>
            <w:shd w:val="clear" w:color="auto" w:fill="FFFFFF"/>
            <w:tcMar>
              <w:top w:w="0" w:type="dxa"/>
              <w:left w:w="20" w:type="dxa"/>
              <w:bottom w:w="0" w:type="dxa"/>
              <w:right w:w="20" w:type="dxa"/>
            </w:tcMar>
            <w:vAlign w:val="center"/>
            <w:hideMark/>
          </w:tcPr>
          <w:p w14:paraId="10287311"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AD3073F"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14:paraId="0CCA054F"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D3A6045" w14:textId="77777777" w:rsidR="00000000" w:rsidRDefault="009B6C69">
            <w:pPr>
              <w:spacing w:after="100"/>
              <w:jc w:val="center"/>
              <w:rPr>
                <w:rFonts w:eastAsia="Times New Roman"/>
              </w:rPr>
            </w:pPr>
            <w:r>
              <w:rPr>
                <w:rFonts w:eastAsia="Times New Roman"/>
                <w:color w:val="000000"/>
                <w:sz w:val="18"/>
                <w:szCs w:val="18"/>
              </w:rPr>
              <w:t>5/21/2015</w:t>
            </w:r>
          </w:p>
        </w:tc>
        <w:tc>
          <w:tcPr>
            <w:tcW w:w="0" w:type="auto"/>
            <w:gridSpan w:val="3"/>
            <w:shd w:val="clear" w:color="auto" w:fill="FFFFFF"/>
            <w:tcMar>
              <w:top w:w="0" w:type="dxa"/>
              <w:left w:w="20" w:type="dxa"/>
              <w:bottom w:w="0" w:type="dxa"/>
              <w:right w:w="20" w:type="dxa"/>
            </w:tcMar>
            <w:vAlign w:val="center"/>
            <w:hideMark/>
          </w:tcPr>
          <w:p w14:paraId="038C163B"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03D7CC6" w14:textId="77777777" w:rsidR="00000000" w:rsidRDefault="009B6C69">
            <w:pPr>
              <w:spacing w:after="100"/>
              <w:jc w:val="center"/>
              <w:rPr>
                <w:rFonts w:eastAsia="Times New Roman"/>
              </w:rPr>
            </w:pPr>
            <w:r>
              <w:rPr>
                <w:rFonts w:eastAsia="Times New Roman"/>
                <w:color w:val="000000"/>
                <w:sz w:val="18"/>
                <w:szCs w:val="18"/>
              </w:rPr>
              <w:t>4.9</w:t>
            </w:r>
          </w:p>
        </w:tc>
        <w:tc>
          <w:tcPr>
            <w:tcW w:w="0" w:type="auto"/>
            <w:gridSpan w:val="3"/>
            <w:shd w:val="clear" w:color="auto" w:fill="FFFFFF"/>
            <w:tcMar>
              <w:top w:w="0" w:type="dxa"/>
              <w:left w:w="20" w:type="dxa"/>
              <w:bottom w:w="0" w:type="dxa"/>
              <w:right w:w="20" w:type="dxa"/>
            </w:tcMar>
            <w:vAlign w:val="center"/>
            <w:hideMark/>
          </w:tcPr>
          <w:p w14:paraId="41E87944"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810E88" w14:textId="77777777" w:rsidR="00000000" w:rsidRDefault="009B6C69">
            <w:pPr>
              <w:spacing w:after="100"/>
              <w:rPr>
                <w:rFonts w:eastAsia="Times New Roman"/>
                <w:sz w:val="20"/>
                <w:szCs w:val="20"/>
              </w:rPr>
            </w:pPr>
          </w:p>
        </w:tc>
      </w:tr>
      <w:tr w:rsidR="00000000" w14:paraId="7B5C2D07" w14:textId="77777777">
        <w:trPr>
          <w:divId w:val="790319245"/>
        </w:trPr>
        <w:tc>
          <w:tcPr>
            <w:tcW w:w="0" w:type="auto"/>
            <w:gridSpan w:val="3"/>
            <w:shd w:val="clear" w:color="auto" w:fill="CCEEFF"/>
            <w:tcMar>
              <w:top w:w="30" w:type="dxa"/>
              <w:left w:w="20" w:type="dxa"/>
              <w:bottom w:w="30" w:type="dxa"/>
              <w:right w:w="20" w:type="dxa"/>
            </w:tcMar>
            <w:hideMark/>
          </w:tcPr>
          <w:p w14:paraId="7C7E8A24" w14:textId="77777777" w:rsidR="00000000" w:rsidRDefault="009B6C69">
            <w:pPr>
              <w:spacing w:after="100"/>
              <w:jc w:val="center"/>
              <w:rPr>
                <w:rFonts w:eastAsia="Times New Roman"/>
              </w:rPr>
            </w:pPr>
            <w:r>
              <w:rPr>
                <w:rFonts w:eastAsia="Times New Roman"/>
                <w:color w:val="000000"/>
                <w:sz w:val="18"/>
                <w:szCs w:val="18"/>
              </w:rPr>
              <w:t>4.5</w:t>
            </w:r>
          </w:p>
        </w:tc>
        <w:tc>
          <w:tcPr>
            <w:tcW w:w="0" w:type="auto"/>
            <w:gridSpan w:val="3"/>
            <w:shd w:val="clear" w:color="auto" w:fill="CCEEFF"/>
            <w:tcMar>
              <w:top w:w="0" w:type="dxa"/>
              <w:left w:w="20" w:type="dxa"/>
              <w:bottom w:w="0" w:type="dxa"/>
              <w:right w:w="20" w:type="dxa"/>
            </w:tcMar>
            <w:vAlign w:val="center"/>
            <w:hideMark/>
          </w:tcPr>
          <w:p w14:paraId="1D8679DF"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AFE1DFA" w14:textId="77777777" w:rsidR="00000000" w:rsidRDefault="009B6C69">
            <w:pPr>
              <w:spacing w:after="100"/>
              <w:divId w:val="1231383341"/>
              <w:rPr>
                <w:rFonts w:eastAsia="Times New Roman"/>
              </w:rPr>
            </w:pPr>
            <w:hyperlink r:id="rId14" w:history="1">
              <w:r>
                <w:rPr>
                  <w:rStyle w:val="a3"/>
                  <w:rFonts w:eastAsia="Times New Roman"/>
                  <w:sz w:val="18"/>
                  <w:szCs w:val="18"/>
                </w:rPr>
                <w:t xml:space="preserve">Form of 4.800% Notes due 2045. </w:t>
              </w:r>
            </w:hyperlink>
          </w:p>
        </w:tc>
        <w:tc>
          <w:tcPr>
            <w:tcW w:w="0" w:type="auto"/>
            <w:gridSpan w:val="3"/>
            <w:shd w:val="clear" w:color="auto" w:fill="CCEEFF"/>
            <w:tcMar>
              <w:top w:w="0" w:type="dxa"/>
              <w:left w:w="20" w:type="dxa"/>
              <w:bottom w:w="0" w:type="dxa"/>
              <w:right w:w="20" w:type="dxa"/>
            </w:tcMar>
            <w:vAlign w:val="center"/>
            <w:hideMark/>
          </w:tcPr>
          <w:p w14:paraId="11D0E1FB"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157A0BB7"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14:paraId="0620216F"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9AF4A69" w14:textId="77777777" w:rsidR="00000000" w:rsidRDefault="009B6C69">
            <w:pPr>
              <w:spacing w:after="100"/>
              <w:jc w:val="center"/>
              <w:rPr>
                <w:rFonts w:eastAsia="Times New Roman"/>
              </w:rPr>
            </w:pPr>
            <w:r>
              <w:rPr>
                <w:rFonts w:eastAsia="Times New Roman"/>
                <w:color w:val="000000"/>
                <w:sz w:val="18"/>
                <w:szCs w:val="18"/>
              </w:rPr>
              <w:t>5/21/2015</w:t>
            </w:r>
          </w:p>
        </w:tc>
        <w:tc>
          <w:tcPr>
            <w:tcW w:w="0" w:type="auto"/>
            <w:gridSpan w:val="3"/>
            <w:shd w:val="clear" w:color="auto" w:fill="CCEEFF"/>
            <w:tcMar>
              <w:top w:w="0" w:type="dxa"/>
              <w:left w:w="20" w:type="dxa"/>
              <w:bottom w:w="0" w:type="dxa"/>
              <w:right w:w="20" w:type="dxa"/>
            </w:tcMar>
            <w:vAlign w:val="center"/>
            <w:hideMark/>
          </w:tcPr>
          <w:p w14:paraId="74C662A0"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79C29513" w14:textId="77777777" w:rsidR="00000000" w:rsidRDefault="009B6C69">
            <w:pPr>
              <w:spacing w:after="100"/>
              <w:jc w:val="center"/>
              <w:rPr>
                <w:rFonts w:eastAsia="Times New Roman"/>
              </w:rPr>
            </w:pPr>
            <w:r>
              <w:rPr>
                <w:rFonts w:eastAsia="Times New Roman"/>
                <w:color w:val="000000"/>
                <w:sz w:val="18"/>
                <w:szCs w:val="18"/>
              </w:rPr>
              <w:t>4.10</w:t>
            </w:r>
          </w:p>
        </w:tc>
        <w:tc>
          <w:tcPr>
            <w:tcW w:w="0" w:type="auto"/>
            <w:gridSpan w:val="3"/>
            <w:shd w:val="clear" w:color="auto" w:fill="CCEEFF"/>
            <w:tcMar>
              <w:top w:w="0" w:type="dxa"/>
              <w:left w:w="20" w:type="dxa"/>
              <w:bottom w:w="0" w:type="dxa"/>
              <w:right w:w="20" w:type="dxa"/>
            </w:tcMar>
            <w:vAlign w:val="center"/>
            <w:hideMark/>
          </w:tcPr>
          <w:p w14:paraId="38DDEAF8"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C09AE" w14:textId="77777777" w:rsidR="00000000" w:rsidRDefault="009B6C69">
            <w:pPr>
              <w:spacing w:after="100"/>
              <w:rPr>
                <w:rFonts w:eastAsia="Times New Roman"/>
                <w:sz w:val="20"/>
                <w:szCs w:val="20"/>
              </w:rPr>
            </w:pPr>
          </w:p>
        </w:tc>
      </w:tr>
      <w:tr w:rsidR="00000000" w14:paraId="66777B27" w14:textId="77777777">
        <w:trPr>
          <w:divId w:val="790319245"/>
        </w:trPr>
        <w:tc>
          <w:tcPr>
            <w:tcW w:w="0" w:type="auto"/>
            <w:gridSpan w:val="3"/>
            <w:shd w:val="clear" w:color="auto" w:fill="FFFFFF"/>
            <w:tcMar>
              <w:top w:w="30" w:type="dxa"/>
              <w:left w:w="20" w:type="dxa"/>
              <w:bottom w:w="30" w:type="dxa"/>
              <w:right w:w="20" w:type="dxa"/>
            </w:tcMar>
            <w:hideMark/>
          </w:tcPr>
          <w:p w14:paraId="1A385710" w14:textId="77777777" w:rsidR="00000000" w:rsidRDefault="009B6C69">
            <w:pPr>
              <w:spacing w:after="100"/>
              <w:jc w:val="center"/>
              <w:rPr>
                <w:rFonts w:eastAsia="Times New Roman"/>
              </w:rPr>
            </w:pPr>
            <w:r>
              <w:rPr>
                <w:rFonts w:eastAsia="Times New Roman"/>
                <w:color w:val="000000"/>
                <w:sz w:val="18"/>
                <w:szCs w:val="18"/>
              </w:rPr>
              <w:t>4.6</w:t>
            </w:r>
          </w:p>
        </w:tc>
        <w:tc>
          <w:tcPr>
            <w:tcW w:w="0" w:type="auto"/>
            <w:gridSpan w:val="3"/>
            <w:shd w:val="clear" w:color="auto" w:fill="FFFFFF"/>
            <w:tcMar>
              <w:top w:w="0" w:type="dxa"/>
              <w:left w:w="20" w:type="dxa"/>
              <w:bottom w:w="0" w:type="dxa"/>
              <w:right w:w="20" w:type="dxa"/>
            </w:tcMar>
            <w:vAlign w:val="center"/>
            <w:hideMark/>
          </w:tcPr>
          <w:p w14:paraId="7E70BB7A"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5D54024" w14:textId="77777777" w:rsidR="00000000" w:rsidRDefault="009B6C69">
            <w:pPr>
              <w:spacing w:after="100"/>
              <w:divId w:val="1089425502"/>
              <w:rPr>
                <w:rFonts w:eastAsia="Times New Roman"/>
              </w:rPr>
            </w:pPr>
            <w:hyperlink r:id="rId15" w:history="1">
              <w:r>
                <w:rPr>
                  <w:rStyle w:val="a3"/>
                  <w:rFonts w:eastAsia="Times New Roman"/>
                  <w:sz w:val="18"/>
                  <w:szCs w:val="18"/>
                </w:rPr>
                <w:t>Officers’ Certificate, dated May 26, 2017, for the Floating Rate Notes due 2019, the Floating Rate Notes due 2020, the Floating Rate Notes due 2023, the 1.850</w:t>
              </w:r>
              <w:r>
                <w:rPr>
                  <w:rStyle w:val="a3"/>
                  <w:rFonts w:eastAsia="Times New Roman"/>
                  <w:sz w:val="18"/>
                  <w:szCs w:val="18"/>
                </w:rPr>
                <w:t xml:space="preserve">% Notes due 2019, the 2.100% Notes due 2020, the 2.600% Notes due 2023, the 2.900% Notes due 2024, the 3.250% Notes due 2027 and the 4.300% Notes due 2047. </w:t>
              </w:r>
            </w:hyperlink>
          </w:p>
        </w:tc>
        <w:tc>
          <w:tcPr>
            <w:tcW w:w="0" w:type="auto"/>
            <w:gridSpan w:val="3"/>
            <w:shd w:val="clear" w:color="auto" w:fill="FFFFFF"/>
            <w:tcMar>
              <w:top w:w="0" w:type="dxa"/>
              <w:left w:w="20" w:type="dxa"/>
              <w:bottom w:w="0" w:type="dxa"/>
              <w:right w:w="20" w:type="dxa"/>
            </w:tcMar>
            <w:vAlign w:val="center"/>
            <w:hideMark/>
          </w:tcPr>
          <w:p w14:paraId="210A72A2"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8DC6441"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14:paraId="29FEDC52"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156ECF0" w14:textId="77777777" w:rsidR="00000000" w:rsidRDefault="009B6C69">
            <w:pPr>
              <w:spacing w:after="100"/>
              <w:jc w:val="center"/>
              <w:rPr>
                <w:rFonts w:eastAsia="Times New Roman"/>
              </w:rPr>
            </w:pPr>
            <w:r>
              <w:rPr>
                <w:rFonts w:eastAsia="Times New Roman"/>
                <w:color w:val="000000"/>
                <w:sz w:val="18"/>
                <w:szCs w:val="18"/>
              </w:rPr>
              <w:t>5/31/2017</w:t>
            </w:r>
          </w:p>
        </w:tc>
        <w:tc>
          <w:tcPr>
            <w:tcW w:w="0" w:type="auto"/>
            <w:gridSpan w:val="3"/>
            <w:shd w:val="clear" w:color="auto" w:fill="FFFFFF"/>
            <w:tcMar>
              <w:top w:w="0" w:type="dxa"/>
              <w:left w:w="20" w:type="dxa"/>
              <w:bottom w:w="0" w:type="dxa"/>
              <w:right w:w="20" w:type="dxa"/>
            </w:tcMar>
            <w:vAlign w:val="center"/>
            <w:hideMark/>
          </w:tcPr>
          <w:p w14:paraId="6ECC8109"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67F2BE8" w14:textId="77777777" w:rsidR="00000000" w:rsidRDefault="009B6C69">
            <w:pPr>
              <w:spacing w:after="100"/>
              <w:jc w:val="center"/>
              <w:rPr>
                <w:rFonts w:eastAsia="Times New Roman"/>
              </w:rPr>
            </w:pPr>
            <w:r>
              <w:rPr>
                <w:rFonts w:eastAsia="Times New Roman"/>
                <w:color w:val="000000"/>
                <w:sz w:val="18"/>
                <w:szCs w:val="18"/>
              </w:rPr>
              <w:t>4.2</w:t>
            </w:r>
          </w:p>
        </w:tc>
        <w:tc>
          <w:tcPr>
            <w:tcW w:w="0" w:type="auto"/>
            <w:gridSpan w:val="3"/>
            <w:shd w:val="clear" w:color="auto" w:fill="FFFFFF"/>
            <w:tcMar>
              <w:top w:w="0" w:type="dxa"/>
              <w:left w:w="20" w:type="dxa"/>
              <w:bottom w:w="0" w:type="dxa"/>
              <w:right w:w="20" w:type="dxa"/>
            </w:tcMar>
            <w:vAlign w:val="center"/>
            <w:hideMark/>
          </w:tcPr>
          <w:p w14:paraId="47C44403"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721409" w14:textId="77777777" w:rsidR="00000000" w:rsidRDefault="009B6C69">
            <w:pPr>
              <w:spacing w:after="100"/>
              <w:rPr>
                <w:rFonts w:eastAsia="Times New Roman"/>
                <w:sz w:val="20"/>
                <w:szCs w:val="20"/>
              </w:rPr>
            </w:pPr>
          </w:p>
        </w:tc>
      </w:tr>
      <w:tr w:rsidR="00000000" w14:paraId="0682509D" w14:textId="77777777">
        <w:trPr>
          <w:divId w:val="790319245"/>
        </w:trPr>
        <w:tc>
          <w:tcPr>
            <w:tcW w:w="0" w:type="auto"/>
            <w:gridSpan w:val="3"/>
            <w:shd w:val="clear" w:color="auto" w:fill="CCEEFF"/>
            <w:tcMar>
              <w:top w:w="30" w:type="dxa"/>
              <w:left w:w="20" w:type="dxa"/>
              <w:bottom w:w="30" w:type="dxa"/>
              <w:right w:w="20" w:type="dxa"/>
            </w:tcMar>
            <w:hideMark/>
          </w:tcPr>
          <w:p w14:paraId="10BC77DD" w14:textId="77777777" w:rsidR="00000000" w:rsidRDefault="009B6C69">
            <w:pPr>
              <w:spacing w:after="100"/>
              <w:jc w:val="center"/>
              <w:rPr>
                <w:rFonts w:eastAsia="Times New Roman"/>
              </w:rPr>
            </w:pPr>
            <w:r>
              <w:rPr>
                <w:rFonts w:eastAsia="Times New Roman"/>
                <w:color w:val="000000"/>
                <w:sz w:val="18"/>
                <w:szCs w:val="18"/>
              </w:rPr>
              <w:t>4.7</w:t>
            </w:r>
          </w:p>
        </w:tc>
        <w:tc>
          <w:tcPr>
            <w:tcW w:w="0" w:type="auto"/>
            <w:gridSpan w:val="3"/>
            <w:shd w:val="clear" w:color="auto" w:fill="CCEEFF"/>
            <w:tcMar>
              <w:top w:w="0" w:type="dxa"/>
              <w:left w:w="20" w:type="dxa"/>
              <w:bottom w:w="0" w:type="dxa"/>
              <w:right w:w="20" w:type="dxa"/>
            </w:tcMar>
            <w:vAlign w:val="center"/>
            <w:hideMark/>
          </w:tcPr>
          <w:p w14:paraId="294F13F5"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9BD5A18" w14:textId="77777777" w:rsidR="00000000" w:rsidRDefault="009B6C69">
            <w:pPr>
              <w:spacing w:after="100"/>
              <w:divId w:val="963117381"/>
              <w:rPr>
                <w:rFonts w:eastAsia="Times New Roman"/>
              </w:rPr>
            </w:pPr>
            <w:hyperlink r:id="rId16" w:history="1">
              <w:r>
                <w:rPr>
                  <w:rStyle w:val="a3"/>
                  <w:rFonts w:eastAsia="Times New Roman"/>
                  <w:sz w:val="18"/>
                  <w:szCs w:val="18"/>
                </w:rPr>
                <w:t>Form of Floating Rate Notes due 2023.</w:t>
              </w:r>
            </w:hyperlink>
          </w:p>
        </w:tc>
        <w:tc>
          <w:tcPr>
            <w:tcW w:w="0" w:type="auto"/>
            <w:gridSpan w:val="3"/>
            <w:shd w:val="clear" w:color="auto" w:fill="CCEEFF"/>
            <w:tcMar>
              <w:top w:w="0" w:type="dxa"/>
              <w:left w:w="20" w:type="dxa"/>
              <w:bottom w:w="0" w:type="dxa"/>
              <w:right w:w="20" w:type="dxa"/>
            </w:tcMar>
            <w:vAlign w:val="center"/>
            <w:hideMark/>
          </w:tcPr>
          <w:p w14:paraId="50363E7B"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4C07E6E0"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14:paraId="6630F252"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7ECD108C" w14:textId="77777777" w:rsidR="00000000" w:rsidRDefault="009B6C69">
            <w:pPr>
              <w:spacing w:after="100"/>
              <w:jc w:val="center"/>
              <w:rPr>
                <w:rFonts w:eastAsia="Times New Roman"/>
              </w:rPr>
            </w:pPr>
            <w:r>
              <w:rPr>
                <w:rFonts w:eastAsia="Times New Roman"/>
                <w:color w:val="000000"/>
                <w:sz w:val="18"/>
                <w:szCs w:val="18"/>
              </w:rPr>
              <w:t>5/31/2017</w:t>
            </w:r>
          </w:p>
        </w:tc>
        <w:tc>
          <w:tcPr>
            <w:tcW w:w="0" w:type="auto"/>
            <w:gridSpan w:val="3"/>
            <w:shd w:val="clear" w:color="auto" w:fill="CCEEFF"/>
            <w:tcMar>
              <w:top w:w="0" w:type="dxa"/>
              <w:left w:w="20" w:type="dxa"/>
              <w:bottom w:w="0" w:type="dxa"/>
              <w:right w:w="20" w:type="dxa"/>
            </w:tcMar>
            <w:vAlign w:val="center"/>
            <w:hideMark/>
          </w:tcPr>
          <w:p w14:paraId="1C00C61E"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4BD3F18" w14:textId="77777777" w:rsidR="00000000" w:rsidRDefault="009B6C69">
            <w:pPr>
              <w:spacing w:after="100"/>
              <w:jc w:val="center"/>
              <w:rPr>
                <w:rFonts w:eastAsia="Times New Roman"/>
              </w:rPr>
            </w:pPr>
            <w:r>
              <w:rPr>
                <w:rFonts w:eastAsia="Times New Roman"/>
                <w:color w:val="000000"/>
                <w:sz w:val="18"/>
                <w:szCs w:val="18"/>
              </w:rPr>
              <w:t>4.5</w:t>
            </w:r>
          </w:p>
        </w:tc>
        <w:tc>
          <w:tcPr>
            <w:tcW w:w="0" w:type="auto"/>
            <w:gridSpan w:val="3"/>
            <w:shd w:val="clear" w:color="auto" w:fill="CCEEFF"/>
            <w:tcMar>
              <w:top w:w="0" w:type="dxa"/>
              <w:left w:w="20" w:type="dxa"/>
              <w:bottom w:w="0" w:type="dxa"/>
              <w:right w:w="20" w:type="dxa"/>
            </w:tcMar>
            <w:vAlign w:val="center"/>
            <w:hideMark/>
          </w:tcPr>
          <w:p w14:paraId="4B2A5F86"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9F6F6C" w14:textId="77777777" w:rsidR="00000000" w:rsidRDefault="009B6C69">
            <w:pPr>
              <w:spacing w:after="100"/>
              <w:rPr>
                <w:rFonts w:eastAsia="Times New Roman"/>
                <w:sz w:val="20"/>
                <w:szCs w:val="20"/>
              </w:rPr>
            </w:pPr>
          </w:p>
        </w:tc>
      </w:tr>
      <w:tr w:rsidR="00000000" w14:paraId="75E6FEA6" w14:textId="77777777">
        <w:trPr>
          <w:divId w:val="790319245"/>
        </w:trPr>
        <w:tc>
          <w:tcPr>
            <w:tcW w:w="0" w:type="auto"/>
            <w:gridSpan w:val="3"/>
            <w:shd w:val="clear" w:color="auto" w:fill="FFFFFF"/>
            <w:tcMar>
              <w:top w:w="30" w:type="dxa"/>
              <w:left w:w="20" w:type="dxa"/>
              <w:bottom w:w="30" w:type="dxa"/>
              <w:right w:w="20" w:type="dxa"/>
            </w:tcMar>
            <w:hideMark/>
          </w:tcPr>
          <w:p w14:paraId="505B4A5C" w14:textId="77777777" w:rsidR="00000000" w:rsidRDefault="009B6C69">
            <w:pPr>
              <w:spacing w:after="100"/>
              <w:jc w:val="center"/>
              <w:rPr>
                <w:rFonts w:eastAsia="Times New Roman"/>
              </w:rPr>
            </w:pPr>
            <w:r>
              <w:rPr>
                <w:rFonts w:eastAsia="Times New Roman"/>
                <w:color w:val="000000"/>
                <w:sz w:val="18"/>
                <w:szCs w:val="18"/>
              </w:rPr>
              <w:t>4.8</w:t>
            </w:r>
          </w:p>
        </w:tc>
        <w:tc>
          <w:tcPr>
            <w:tcW w:w="0" w:type="auto"/>
            <w:gridSpan w:val="3"/>
            <w:shd w:val="clear" w:color="auto" w:fill="FFFFFF"/>
            <w:tcMar>
              <w:top w:w="0" w:type="dxa"/>
              <w:left w:w="20" w:type="dxa"/>
              <w:bottom w:w="0" w:type="dxa"/>
              <w:right w:w="20" w:type="dxa"/>
            </w:tcMar>
            <w:vAlign w:val="center"/>
            <w:hideMark/>
          </w:tcPr>
          <w:p w14:paraId="59409585"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DB4F0F3" w14:textId="77777777" w:rsidR="00000000" w:rsidRDefault="009B6C69">
            <w:pPr>
              <w:spacing w:after="100"/>
              <w:divId w:val="918100806"/>
              <w:rPr>
                <w:rFonts w:eastAsia="Times New Roman"/>
              </w:rPr>
            </w:pPr>
            <w:hyperlink r:id="rId17" w:history="1">
              <w:r>
                <w:rPr>
                  <w:rStyle w:val="a3"/>
                  <w:rFonts w:eastAsia="Times New Roman"/>
                  <w:sz w:val="18"/>
                  <w:szCs w:val="18"/>
                </w:rPr>
                <w:t>Form of 2.600% Notes due 2023.</w:t>
              </w:r>
            </w:hyperlink>
          </w:p>
        </w:tc>
        <w:tc>
          <w:tcPr>
            <w:tcW w:w="0" w:type="auto"/>
            <w:gridSpan w:val="3"/>
            <w:shd w:val="clear" w:color="auto" w:fill="FFFFFF"/>
            <w:tcMar>
              <w:top w:w="0" w:type="dxa"/>
              <w:left w:w="20" w:type="dxa"/>
              <w:bottom w:w="0" w:type="dxa"/>
              <w:right w:w="20" w:type="dxa"/>
            </w:tcMar>
            <w:vAlign w:val="center"/>
            <w:hideMark/>
          </w:tcPr>
          <w:p w14:paraId="418C67C1"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27529E9"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14:paraId="23D59E79"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52D3EBB" w14:textId="77777777" w:rsidR="00000000" w:rsidRDefault="009B6C69">
            <w:pPr>
              <w:spacing w:after="100"/>
              <w:jc w:val="center"/>
              <w:rPr>
                <w:rFonts w:eastAsia="Times New Roman"/>
              </w:rPr>
            </w:pPr>
            <w:r>
              <w:rPr>
                <w:rFonts w:eastAsia="Times New Roman"/>
                <w:color w:val="000000"/>
                <w:sz w:val="18"/>
                <w:szCs w:val="18"/>
              </w:rPr>
              <w:t>5/31/2017</w:t>
            </w:r>
          </w:p>
        </w:tc>
        <w:tc>
          <w:tcPr>
            <w:tcW w:w="0" w:type="auto"/>
            <w:gridSpan w:val="3"/>
            <w:shd w:val="clear" w:color="auto" w:fill="FFFFFF"/>
            <w:tcMar>
              <w:top w:w="0" w:type="dxa"/>
              <w:left w:w="20" w:type="dxa"/>
              <w:bottom w:w="0" w:type="dxa"/>
              <w:right w:w="20" w:type="dxa"/>
            </w:tcMar>
            <w:vAlign w:val="center"/>
            <w:hideMark/>
          </w:tcPr>
          <w:p w14:paraId="43CC5D4E"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2245D38" w14:textId="77777777" w:rsidR="00000000" w:rsidRDefault="009B6C69">
            <w:pPr>
              <w:spacing w:after="100"/>
              <w:jc w:val="center"/>
              <w:rPr>
                <w:rFonts w:eastAsia="Times New Roman"/>
              </w:rPr>
            </w:pPr>
            <w:r>
              <w:rPr>
                <w:rFonts w:eastAsia="Times New Roman"/>
                <w:color w:val="000000"/>
                <w:sz w:val="18"/>
                <w:szCs w:val="18"/>
              </w:rPr>
              <w:t>4.8</w:t>
            </w:r>
          </w:p>
        </w:tc>
        <w:tc>
          <w:tcPr>
            <w:tcW w:w="0" w:type="auto"/>
            <w:gridSpan w:val="3"/>
            <w:shd w:val="clear" w:color="auto" w:fill="FFFFFF"/>
            <w:tcMar>
              <w:top w:w="0" w:type="dxa"/>
              <w:left w:w="20" w:type="dxa"/>
              <w:bottom w:w="0" w:type="dxa"/>
              <w:right w:w="20" w:type="dxa"/>
            </w:tcMar>
            <w:vAlign w:val="center"/>
            <w:hideMark/>
          </w:tcPr>
          <w:p w14:paraId="1818E5B1"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30818F" w14:textId="77777777" w:rsidR="00000000" w:rsidRDefault="009B6C69">
            <w:pPr>
              <w:spacing w:after="100"/>
              <w:rPr>
                <w:rFonts w:eastAsia="Times New Roman"/>
                <w:sz w:val="20"/>
                <w:szCs w:val="20"/>
              </w:rPr>
            </w:pPr>
          </w:p>
        </w:tc>
      </w:tr>
      <w:tr w:rsidR="00000000" w14:paraId="19EECD91" w14:textId="77777777">
        <w:trPr>
          <w:divId w:val="790319245"/>
        </w:trPr>
        <w:tc>
          <w:tcPr>
            <w:tcW w:w="0" w:type="auto"/>
            <w:gridSpan w:val="3"/>
            <w:shd w:val="clear" w:color="auto" w:fill="CCEEFF"/>
            <w:tcMar>
              <w:top w:w="30" w:type="dxa"/>
              <w:left w:w="20" w:type="dxa"/>
              <w:bottom w:w="30" w:type="dxa"/>
              <w:right w:w="20" w:type="dxa"/>
            </w:tcMar>
            <w:hideMark/>
          </w:tcPr>
          <w:p w14:paraId="39C40CE2" w14:textId="77777777" w:rsidR="00000000" w:rsidRDefault="009B6C69">
            <w:pPr>
              <w:spacing w:after="100"/>
              <w:jc w:val="center"/>
              <w:rPr>
                <w:rFonts w:eastAsia="Times New Roman"/>
              </w:rPr>
            </w:pPr>
            <w:r>
              <w:rPr>
                <w:rFonts w:eastAsia="Times New Roman"/>
                <w:color w:val="000000"/>
                <w:sz w:val="18"/>
                <w:szCs w:val="18"/>
              </w:rPr>
              <w:t>4.9</w:t>
            </w:r>
          </w:p>
        </w:tc>
        <w:tc>
          <w:tcPr>
            <w:tcW w:w="0" w:type="auto"/>
            <w:gridSpan w:val="3"/>
            <w:shd w:val="clear" w:color="auto" w:fill="CCEEFF"/>
            <w:tcMar>
              <w:top w:w="0" w:type="dxa"/>
              <w:left w:w="20" w:type="dxa"/>
              <w:bottom w:w="0" w:type="dxa"/>
              <w:right w:w="20" w:type="dxa"/>
            </w:tcMar>
            <w:vAlign w:val="center"/>
            <w:hideMark/>
          </w:tcPr>
          <w:p w14:paraId="312F0734"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74342C35" w14:textId="77777777" w:rsidR="00000000" w:rsidRDefault="009B6C69">
            <w:pPr>
              <w:spacing w:after="100"/>
              <w:divId w:val="1725327922"/>
              <w:rPr>
                <w:rFonts w:eastAsia="Times New Roman"/>
              </w:rPr>
            </w:pPr>
            <w:hyperlink r:id="rId18" w:history="1">
              <w:r>
                <w:rPr>
                  <w:rStyle w:val="a3"/>
                  <w:rFonts w:eastAsia="Times New Roman"/>
                  <w:sz w:val="18"/>
                  <w:szCs w:val="18"/>
                </w:rPr>
                <w:t>Form of 2.900% Notes due 2024.</w:t>
              </w:r>
            </w:hyperlink>
          </w:p>
        </w:tc>
        <w:tc>
          <w:tcPr>
            <w:tcW w:w="0" w:type="auto"/>
            <w:gridSpan w:val="3"/>
            <w:shd w:val="clear" w:color="auto" w:fill="CCEEFF"/>
            <w:tcMar>
              <w:top w:w="0" w:type="dxa"/>
              <w:left w:w="20" w:type="dxa"/>
              <w:bottom w:w="0" w:type="dxa"/>
              <w:right w:w="20" w:type="dxa"/>
            </w:tcMar>
            <w:vAlign w:val="center"/>
            <w:hideMark/>
          </w:tcPr>
          <w:p w14:paraId="1090D0B0"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1EA2A4EA"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14:paraId="609D6897"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1C262EB" w14:textId="77777777" w:rsidR="00000000" w:rsidRDefault="009B6C69">
            <w:pPr>
              <w:spacing w:after="100"/>
              <w:jc w:val="center"/>
              <w:rPr>
                <w:rFonts w:eastAsia="Times New Roman"/>
              </w:rPr>
            </w:pPr>
            <w:r>
              <w:rPr>
                <w:rFonts w:eastAsia="Times New Roman"/>
                <w:color w:val="000000"/>
                <w:sz w:val="18"/>
                <w:szCs w:val="18"/>
              </w:rPr>
              <w:t>5/31/2017</w:t>
            </w:r>
          </w:p>
        </w:tc>
        <w:tc>
          <w:tcPr>
            <w:tcW w:w="0" w:type="auto"/>
            <w:gridSpan w:val="3"/>
            <w:shd w:val="clear" w:color="auto" w:fill="CCEEFF"/>
            <w:tcMar>
              <w:top w:w="0" w:type="dxa"/>
              <w:left w:w="20" w:type="dxa"/>
              <w:bottom w:w="0" w:type="dxa"/>
              <w:right w:w="20" w:type="dxa"/>
            </w:tcMar>
            <w:vAlign w:val="center"/>
            <w:hideMark/>
          </w:tcPr>
          <w:p w14:paraId="695980B9"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9AC319E" w14:textId="77777777" w:rsidR="00000000" w:rsidRDefault="009B6C69">
            <w:pPr>
              <w:spacing w:after="100"/>
              <w:jc w:val="center"/>
              <w:rPr>
                <w:rFonts w:eastAsia="Times New Roman"/>
              </w:rPr>
            </w:pPr>
            <w:r>
              <w:rPr>
                <w:rFonts w:eastAsia="Times New Roman"/>
                <w:color w:val="000000"/>
                <w:sz w:val="18"/>
                <w:szCs w:val="18"/>
              </w:rPr>
              <w:t>4.9</w:t>
            </w:r>
          </w:p>
        </w:tc>
        <w:tc>
          <w:tcPr>
            <w:tcW w:w="0" w:type="auto"/>
            <w:gridSpan w:val="3"/>
            <w:shd w:val="clear" w:color="auto" w:fill="CCEEFF"/>
            <w:tcMar>
              <w:top w:w="0" w:type="dxa"/>
              <w:left w:w="20" w:type="dxa"/>
              <w:bottom w:w="0" w:type="dxa"/>
              <w:right w:w="20" w:type="dxa"/>
            </w:tcMar>
            <w:vAlign w:val="center"/>
            <w:hideMark/>
          </w:tcPr>
          <w:p w14:paraId="4DF85044"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2C20B0" w14:textId="77777777" w:rsidR="00000000" w:rsidRDefault="009B6C69">
            <w:pPr>
              <w:spacing w:after="100"/>
              <w:rPr>
                <w:rFonts w:eastAsia="Times New Roman"/>
                <w:sz w:val="20"/>
                <w:szCs w:val="20"/>
              </w:rPr>
            </w:pPr>
          </w:p>
        </w:tc>
      </w:tr>
      <w:tr w:rsidR="00000000" w14:paraId="606C4348" w14:textId="77777777">
        <w:trPr>
          <w:divId w:val="790319245"/>
        </w:trPr>
        <w:tc>
          <w:tcPr>
            <w:tcW w:w="0" w:type="auto"/>
            <w:gridSpan w:val="3"/>
            <w:shd w:val="clear" w:color="auto" w:fill="FFFFFF"/>
            <w:tcMar>
              <w:top w:w="30" w:type="dxa"/>
              <w:left w:w="20" w:type="dxa"/>
              <w:bottom w:w="30" w:type="dxa"/>
              <w:right w:w="20" w:type="dxa"/>
            </w:tcMar>
            <w:hideMark/>
          </w:tcPr>
          <w:p w14:paraId="7950EE0B" w14:textId="77777777" w:rsidR="00000000" w:rsidRDefault="009B6C69">
            <w:pPr>
              <w:spacing w:after="100"/>
              <w:jc w:val="center"/>
              <w:rPr>
                <w:rFonts w:eastAsia="Times New Roman"/>
              </w:rPr>
            </w:pPr>
            <w:r>
              <w:rPr>
                <w:rFonts w:eastAsia="Times New Roman"/>
                <w:color w:val="000000"/>
                <w:sz w:val="18"/>
                <w:szCs w:val="18"/>
              </w:rPr>
              <w:t>4.10</w:t>
            </w:r>
          </w:p>
        </w:tc>
        <w:tc>
          <w:tcPr>
            <w:tcW w:w="0" w:type="auto"/>
            <w:gridSpan w:val="3"/>
            <w:shd w:val="clear" w:color="auto" w:fill="FFFFFF"/>
            <w:tcMar>
              <w:top w:w="0" w:type="dxa"/>
              <w:left w:w="20" w:type="dxa"/>
              <w:bottom w:w="0" w:type="dxa"/>
              <w:right w:w="20" w:type="dxa"/>
            </w:tcMar>
            <w:vAlign w:val="center"/>
            <w:hideMark/>
          </w:tcPr>
          <w:p w14:paraId="30C908F1"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B68E396" w14:textId="77777777" w:rsidR="00000000" w:rsidRDefault="009B6C69">
            <w:pPr>
              <w:spacing w:after="100"/>
              <w:divId w:val="629941852"/>
              <w:rPr>
                <w:rFonts w:eastAsia="Times New Roman"/>
              </w:rPr>
            </w:pPr>
            <w:hyperlink r:id="rId19" w:history="1">
              <w:r>
                <w:rPr>
                  <w:rStyle w:val="a3"/>
                  <w:rFonts w:eastAsia="Times New Roman"/>
                  <w:sz w:val="18"/>
                  <w:szCs w:val="18"/>
                </w:rPr>
                <w:t>Form of 3.250% Notes due 2027.</w:t>
              </w:r>
            </w:hyperlink>
          </w:p>
        </w:tc>
        <w:tc>
          <w:tcPr>
            <w:tcW w:w="0" w:type="auto"/>
            <w:gridSpan w:val="3"/>
            <w:shd w:val="clear" w:color="auto" w:fill="FFFFFF"/>
            <w:tcMar>
              <w:top w:w="0" w:type="dxa"/>
              <w:left w:w="20" w:type="dxa"/>
              <w:bottom w:w="0" w:type="dxa"/>
              <w:right w:w="20" w:type="dxa"/>
            </w:tcMar>
            <w:vAlign w:val="center"/>
            <w:hideMark/>
          </w:tcPr>
          <w:p w14:paraId="71EFC9C1"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71BF045"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14:paraId="25DD43FC"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485E7E0" w14:textId="77777777" w:rsidR="00000000" w:rsidRDefault="009B6C69">
            <w:pPr>
              <w:spacing w:after="100"/>
              <w:jc w:val="center"/>
              <w:rPr>
                <w:rFonts w:eastAsia="Times New Roman"/>
              </w:rPr>
            </w:pPr>
            <w:r>
              <w:rPr>
                <w:rFonts w:eastAsia="Times New Roman"/>
                <w:color w:val="000000"/>
                <w:sz w:val="18"/>
                <w:szCs w:val="18"/>
              </w:rPr>
              <w:t>5/31/2017</w:t>
            </w:r>
          </w:p>
        </w:tc>
        <w:tc>
          <w:tcPr>
            <w:tcW w:w="0" w:type="auto"/>
            <w:gridSpan w:val="3"/>
            <w:shd w:val="clear" w:color="auto" w:fill="FFFFFF"/>
            <w:tcMar>
              <w:top w:w="0" w:type="dxa"/>
              <w:left w:w="20" w:type="dxa"/>
              <w:bottom w:w="0" w:type="dxa"/>
              <w:right w:w="20" w:type="dxa"/>
            </w:tcMar>
            <w:vAlign w:val="center"/>
            <w:hideMark/>
          </w:tcPr>
          <w:p w14:paraId="101D413D"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D5C71DD" w14:textId="77777777" w:rsidR="00000000" w:rsidRDefault="009B6C69">
            <w:pPr>
              <w:spacing w:after="100"/>
              <w:jc w:val="center"/>
              <w:rPr>
                <w:rFonts w:eastAsia="Times New Roman"/>
              </w:rPr>
            </w:pPr>
            <w:r>
              <w:rPr>
                <w:rFonts w:eastAsia="Times New Roman"/>
                <w:color w:val="000000"/>
                <w:sz w:val="18"/>
                <w:szCs w:val="18"/>
              </w:rPr>
              <w:t>4.10</w:t>
            </w:r>
          </w:p>
        </w:tc>
        <w:tc>
          <w:tcPr>
            <w:tcW w:w="0" w:type="auto"/>
            <w:gridSpan w:val="3"/>
            <w:shd w:val="clear" w:color="auto" w:fill="FFFFFF"/>
            <w:tcMar>
              <w:top w:w="0" w:type="dxa"/>
              <w:left w:w="20" w:type="dxa"/>
              <w:bottom w:w="0" w:type="dxa"/>
              <w:right w:w="20" w:type="dxa"/>
            </w:tcMar>
            <w:vAlign w:val="center"/>
            <w:hideMark/>
          </w:tcPr>
          <w:p w14:paraId="6E8907AB"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829E7" w14:textId="77777777" w:rsidR="00000000" w:rsidRDefault="009B6C69">
            <w:pPr>
              <w:spacing w:after="100"/>
              <w:rPr>
                <w:rFonts w:eastAsia="Times New Roman"/>
                <w:sz w:val="20"/>
                <w:szCs w:val="20"/>
              </w:rPr>
            </w:pPr>
          </w:p>
        </w:tc>
      </w:tr>
      <w:tr w:rsidR="00000000" w14:paraId="3E96EB3E" w14:textId="77777777">
        <w:trPr>
          <w:divId w:val="790319245"/>
        </w:trPr>
        <w:tc>
          <w:tcPr>
            <w:tcW w:w="0" w:type="auto"/>
            <w:gridSpan w:val="3"/>
            <w:shd w:val="clear" w:color="auto" w:fill="CCEEFF"/>
            <w:tcMar>
              <w:top w:w="30" w:type="dxa"/>
              <w:left w:w="20" w:type="dxa"/>
              <w:bottom w:w="30" w:type="dxa"/>
              <w:right w:w="20" w:type="dxa"/>
            </w:tcMar>
            <w:hideMark/>
          </w:tcPr>
          <w:p w14:paraId="345DFC1F" w14:textId="77777777" w:rsidR="00000000" w:rsidRDefault="009B6C69">
            <w:pPr>
              <w:spacing w:after="100"/>
              <w:jc w:val="center"/>
              <w:rPr>
                <w:rFonts w:eastAsia="Times New Roman"/>
              </w:rPr>
            </w:pPr>
            <w:r>
              <w:rPr>
                <w:rFonts w:eastAsia="Times New Roman"/>
                <w:color w:val="000000"/>
                <w:sz w:val="18"/>
                <w:szCs w:val="18"/>
              </w:rPr>
              <w:t>4.11</w:t>
            </w:r>
          </w:p>
        </w:tc>
        <w:tc>
          <w:tcPr>
            <w:tcW w:w="0" w:type="auto"/>
            <w:gridSpan w:val="3"/>
            <w:shd w:val="clear" w:color="auto" w:fill="CCEEFF"/>
            <w:tcMar>
              <w:top w:w="0" w:type="dxa"/>
              <w:left w:w="20" w:type="dxa"/>
              <w:bottom w:w="0" w:type="dxa"/>
              <w:right w:w="20" w:type="dxa"/>
            </w:tcMar>
            <w:vAlign w:val="center"/>
            <w:hideMark/>
          </w:tcPr>
          <w:p w14:paraId="149DF85F"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B4E1674" w14:textId="77777777" w:rsidR="00000000" w:rsidRDefault="009B6C69">
            <w:pPr>
              <w:spacing w:after="100"/>
              <w:divId w:val="647513281"/>
              <w:rPr>
                <w:rFonts w:eastAsia="Times New Roman"/>
              </w:rPr>
            </w:pPr>
            <w:hyperlink r:id="rId20" w:history="1">
              <w:r>
                <w:rPr>
                  <w:rStyle w:val="a3"/>
                  <w:rFonts w:eastAsia="Times New Roman"/>
                  <w:sz w:val="18"/>
                  <w:szCs w:val="18"/>
                </w:rPr>
                <w:t>Form of 4.300% Notes due 2047.</w:t>
              </w:r>
            </w:hyperlink>
          </w:p>
        </w:tc>
        <w:tc>
          <w:tcPr>
            <w:tcW w:w="0" w:type="auto"/>
            <w:gridSpan w:val="3"/>
            <w:shd w:val="clear" w:color="auto" w:fill="CCEEFF"/>
            <w:tcMar>
              <w:top w:w="0" w:type="dxa"/>
              <w:left w:w="20" w:type="dxa"/>
              <w:bottom w:w="0" w:type="dxa"/>
              <w:right w:w="20" w:type="dxa"/>
            </w:tcMar>
            <w:vAlign w:val="center"/>
            <w:hideMark/>
          </w:tcPr>
          <w:p w14:paraId="4DC00D9F"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5BD7706A"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14:paraId="730082AC"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75A1FD76" w14:textId="77777777" w:rsidR="00000000" w:rsidRDefault="009B6C69">
            <w:pPr>
              <w:spacing w:after="100"/>
              <w:jc w:val="center"/>
              <w:rPr>
                <w:rFonts w:eastAsia="Times New Roman"/>
              </w:rPr>
            </w:pPr>
            <w:r>
              <w:rPr>
                <w:rFonts w:eastAsia="Times New Roman"/>
                <w:color w:val="000000"/>
                <w:sz w:val="18"/>
                <w:szCs w:val="18"/>
              </w:rPr>
              <w:t>5/31/2017</w:t>
            </w:r>
          </w:p>
        </w:tc>
        <w:tc>
          <w:tcPr>
            <w:tcW w:w="0" w:type="auto"/>
            <w:gridSpan w:val="3"/>
            <w:shd w:val="clear" w:color="auto" w:fill="CCEEFF"/>
            <w:tcMar>
              <w:top w:w="0" w:type="dxa"/>
              <w:left w:w="20" w:type="dxa"/>
              <w:bottom w:w="0" w:type="dxa"/>
              <w:right w:w="20" w:type="dxa"/>
            </w:tcMar>
            <w:vAlign w:val="center"/>
            <w:hideMark/>
          </w:tcPr>
          <w:p w14:paraId="6285972B"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3A053DD7" w14:textId="77777777" w:rsidR="00000000" w:rsidRDefault="009B6C69">
            <w:pPr>
              <w:spacing w:after="100"/>
              <w:jc w:val="center"/>
              <w:rPr>
                <w:rFonts w:eastAsia="Times New Roman"/>
              </w:rPr>
            </w:pPr>
            <w:r>
              <w:rPr>
                <w:rFonts w:eastAsia="Times New Roman"/>
                <w:color w:val="000000"/>
                <w:sz w:val="18"/>
                <w:szCs w:val="18"/>
              </w:rPr>
              <w:t>4.11</w:t>
            </w:r>
          </w:p>
        </w:tc>
        <w:tc>
          <w:tcPr>
            <w:tcW w:w="0" w:type="auto"/>
            <w:gridSpan w:val="3"/>
            <w:shd w:val="clear" w:color="auto" w:fill="CCEEFF"/>
            <w:tcMar>
              <w:top w:w="0" w:type="dxa"/>
              <w:left w:w="20" w:type="dxa"/>
              <w:bottom w:w="0" w:type="dxa"/>
              <w:right w:w="20" w:type="dxa"/>
            </w:tcMar>
            <w:vAlign w:val="center"/>
            <w:hideMark/>
          </w:tcPr>
          <w:p w14:paraId="76222630"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1FEB69" w14:textId="77777777" w:rsidR="00000000" w:rsidRDefault="009B6C69">
            <w:pPr>
              <w:spacing w:after="100"/>
              <w:rPr>
                <w:rFonts w:eastAsia="Times New Roman"/>
                <w:sz w:val="20"/>
                <w:szCs w:val="20"/>
              </w:rPr>
            </w:pPr>
          </w:p>
        </w:tc>
      </w:tr>
      <w:tr w:rsidR="00000000" w14:paraId="23206C08" w14:textId="77777777">
        <w:trPr>
          <w:divId w:val="790319245"/>
        </w:trPr>
        <w:tc>
          <w:tcPr>
            <w:tcW w:w="0" w:type="auto"/>
            <w:gridSpan w:val="3"/>
            <w:shd w:val="clear" w:color="auto" w:fill="FFFFFF"/>
            <w:tcMar>
              <w:top w:w="30" w:type="dxa"/>
              <w:left w:w="20" w:type="dxa"/>
              <w:bottom w:w="30" w:type="dxa"/>
              <w:right w:w="20" w:type="dxa"/>
            </w:tcMar>
            <w:hideMark/>
          </w:tcPr>
          <w:p w14:paraId="3ECB8A08" w14:textId="77777777" w:rsidR="00000000" w:rsidRDefault="009B6C69">
            <w:pPr>
              <w:spacing w:after="100"/>
              <w:jc w:val="center"/>
              <w:rPr>
                <w:rFonts w:eastAsia="Times New Roman"/>
              </w:rPr>
            </w:pPr>
            <w:r>
              <w:rPr>
                <w:rFonts w:eastAsia="Times New Roman"/>
                <w:color w:val="000000"/>
                <w:sz w:val="18"/>
                <w:szCs w:val="18"/>
              </w:rPr>
              <w:t>4.12</w:t>
            </w:r>
          </w:p>
        </w:tc>
        <w:tc>
          <w:tcPr>
            <w:tcW w:w="0" w:type="auto"/>
            <w:gridSpan w:val="3"/>
            <w:shd w:val="clear" w:color="auto" w:fill="FFFFFF"/>
            <w:tcMar>
              <w:top w:w="0" w:type="dxa"/>
              <w:left w:w="20" w:type="dxa"/>
              <w:bottom w:w="0" w:type="dxa"/>
              <w:right w:w="20" w:type="dxa"/>
            </w:tcMar>
            <w:vAlign w:val="center"/>
            <w:hideMark/>
          </w:tcPr>
          <w:p w14:paraId="217B2CF3"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D782A2A" w14:textId="77777777" w:rsidR="00000000" w:rsidRDefault="009B6C69">
            <w:pPr>
              <w:spacing w:after="100"/>
              <w:divId w:val="955909471"/>
              <w:rPr>
                <w:rFonts w:eastAsia="Times New Roman"/>
              </w:rPr>
            </w:pPr>
            <w:hyperlink r:id="rId21" w:history="1">
              <w:r>
                <w:rPr>
                  <w:rStyle w:val="a3"/>
                  <w:rFonts w:eastAsia="Times New Roman"/>
                  <w:sz w:val="18"/>
                  <w:szCs w:val="18"/>
                </w:rPr>
                <w:t>Officers’ Certificate, dated May 8, 2020, for the 2.150% Notes due 2030 and the 3.250% Notes due 2050.</w:t>
              </w:r>
            </w:hyperlink>
          </w:p>
        </w:tc>
        <w:tc>
          <w:tcPr>
            <w:tcW w:w="0" w:type="auto"/>
            <w:gridSpan w:val="3"/>
            <w:shd w:val="clear" w:color="auto" w:fill="FFFFFF"/>
            <w:tcMar>
              <w:top w:w="0" w:type="dxa"/>
              <w:left w:w="20" w:type="dxa"/>
              <w:bottom w:w="0" w:type="dxa"/>
              <w:right w:w="20" w:type="dxa"/>
            </w:tcMar>
            <w:vAlign w:val="center"/>
            <w:hideMark/>
          </w:tcPr>
          <w:p w14:paraId="55F65676"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665FD876"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14:paraId="060020C8"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DF63A13" w14:textId="77777777" w:rsidR="00000000" w:rsidRDefault="009B6C69">
            <w:pPr>
              <w:spacing w:after="100"/>
              <w:jc w:val="center"/>
              <w:rPr>
                <w:rFonts w:eastAsia="Times New Roman"/>
              </w:rPr>
            </w:pPr>
            <w:r>
              <w:rPr>
                <w:rFonts w:eastAsia="Times New Roman"/>
                <w:color w:val="000000"/>
                <w:sz w:val="18"/>
                <w:szCs w:val="18"/>
              </w:rPr>
              <w:t>5/11/2020</w:t>
            </w:r>
          </w:p>
        </w:tc>
        <w:tc>
          <w:tcPr>
            <w:tcW w:w="0" w:type="auto"/>
            <w:gridSpan w:val="3"/>
            <w:shd w:val="clear" w:color="auto" w:fill="FFFFFF"/>
            <w:tcMar>
              <w:top w:w="0" w:type="dxa"/>
              <w:left w:w="20" w:type="dxa"/>
              <w:bottom w:w="0" w:type="dxa"/>
              <w:right w:w="20" w:type="dxa"/>
            </w:tcMar>
            <w:vAlign w:val="center"/>
            <w:hideMark/>
          </w:tcPr>
          <w:p w14:paraId="7A1EC530"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97FBDEC" w14:textId="77777777" w:rsidR="00000000" w:rsidRDefault="009B6C69">
            <w:pPr>
              <w:spacing w:after="100"/>
              <w:jc w:val="center"/>
              <w:rPr>
                <w:rFonts w:eastAsia="Times New Roman"/>
              </w:rPr>
            </w:pPr>
            <w:r>
              <w:rPr>
                <w:rFonts w:eastAsia="Times New Roman"/>
                <w:color w:val="000000"/>
                <w:sz w:val="18"/>
                <w:szCs w:val="18"/>
              </w:rPr>
              <w:t>4.2</w:t>
            </w:r>
          </w:p>
        </w:tc>
        <w:tc>
          <w:tcPr>
            <w:tcW w:w="0" w:type="auto"/>
            <w:gridSpan w:val="3"/>
            <w:shd w:val="clear" w:color="auto" w:fill="FFFFFF"/>
            <w:tcMar>
              <w:top w:w="0" w:type="dxa"/>
              <w:left w:w="20" w:type="dxa"/>
              <w:bottom w:w="0" w:type="dxa"/>
              <w:right w:w="20" w:type="dxa"/>
            </w:tcMar>
            <w:vAlign w:val="center"/>
            <w:hideMark/>
          </w:tcPr>
          <w:p w14:paraId="04A5C767"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DF6487" w14:textId="77777777" w:rsidR="00000000" w:rsidRDefault="009B6C69">
            <w:pPr>
              <w:spacing w:after="100"/>
              <w:rPr>
                <w:rFonts w:eastAsia="Times New Roman"/>
                <w:sz w:val="20"/>
                <w:szCs w:val="20"/>
              </w:rPr>
            </w:pPr>
          </w:p>
        </w:tc>
      </w:tr>
      <w:tr w:rsidR="00000000" w14:paraId="3B658704" w14:textId="77777777">
        <w:trPr>
          <w:divId w:val="790319245"/>
        </w:trPr>
        <w:tc>
          <w:tcPr>
            <w:tcW w:w="0" w:type="auto"/>
            <w:gridSpan w:val="3"/>
            <w:shd w:val="clear" w:color="auto" w:fill="CCEEFF"/>
            <w:tcMar>
              <w:top w:w="30" w:type="dxa"/>
              <w:left w:w="20" w:type="dxa"/>
              <w:bottom w:w="30" w:type="dxa"/>
              <w:right w:w="20" w:type="dxa"/>
            </w:tcMar>
            <w:hideMark/>
          </w:tcPr>
          <w:p w14:paraId="2DDD3258" w14:textId="77777777" w:rsidR="00000000" w:rsidRDefault="009B6C69">
            <w:pPr>
              <w:spacing w:after="100"/>
              <w:jc w:val="center"/>
              <w:rPr>
                <w:rFonts w:eastAsia="Times New Roman"/>
              </w:rPr>
            </w:pPr>
            <w:r>
              <w:rPr>
                <w:rFonts w:eastAsia="Times New Roman"/>
                <w:color w:val="000000"/>
                <w:sz w:val="18"/>
                <w:szCs w:val="18"/>
              </w:rPr>
              <w:t>4.13</w:t>
            </w:r>
          </w:p>
        </w:tc>
        <w:tc>
          <w:tcPr>
            <w:tcW w:w="0" w:type="auto"/>
            <w:gridSpan w:val="3"/>
            <w:shd w:val="clear" w:color="auto" w:fill="CCEEFF"/>
            <w:tcMar>
              <w:top w:w="0" w:type="dxa"/>
              <w:left w:w="20" w:type="dxa"/>
              <w:bottom w:w="0" w:type="dxa"/>
              <w:right w:w="20" w:type="dxa"/>
            </w:tcMar>
            <w:vAlign w:val="center"/>
            <w:hideMark/>
          </w:tcPr>
          <w:p w14:paraId="19E11FBB"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C8B0087" w14:textId="77777777" w:rsidR="00000000" w:rsidRDefault="009B6C69">
            <w:pPr>
              <w:spacing w:after="100"/>
              <w:divId w:val="154733806"/>
              <w:rPr>
                <w:rFonts w:eastAsia="Times New Roman"/>
              </w:rPr>
            </w:pPr>
            <w:hyperlink r:id="rId22" w:history="1">
              <w:r>
                <w:rPr>
                  <w:rStyle w:val="a3"/>
                  <w:rFonts w:eastAsia="Times New Roman"/>
                  <w:sz w:val="18"/>
                  <w:szCs w:val="18"/>
                </w:rPr>
                <w:t>Form of 2.150% Notes due 2030.</w:t>
              </w:r>
            </w:hyperlink>
          </w:p>
        </w:tc>
        <w:tc>
          <w:tcPr>
            <w:tcW w:w="0" w:type="auto"/>
            <w:gridSpan w:val="3"/>
            <w:shd w:val="clear" w:color="auto" w:fill="CCEEFF"/>
            <w:tcMar>
              <w:top w:w="0" w:type="dxa"/>
              <w:left w:w="20" w:type="dxa"/>
              <w:bottom w:w="0" w:type="dxa"/>
              <w:right w:w="20" w:type="dxa"/>
            </w:tcMar>
            <w:vAlign w:val="center"/>
            <w:hideMark/>
          </w:tcPr>
          <w:p w14:paraId="2BA032B4"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3BC60061"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14:paraId="36094CAD"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DCF4E9C" w14:textId="77777777" w:rsidR="00000000" w:rsidRDefault="009B6C69">
            <w:pPr>
              <w:spacing w:after="100"/>
              <w:jc w:val="center"/>
              <w:rPr>
                <w:rFonts w:eastAsia="Times New Roman"/>
              </w:rPr>
            </w:pPr>
            <w:r>
              <w:rPr>
                <w:rFonts w:eastAsia="Times New Roman"/>
                <w:color w:val="000000"/>
                <w:sz w:val="18"/>
                <w:szCs w:val="18"/>
              </w:rPr>
              <w:t>5/11/2020</w:t>
            </w:r>
          </w:p>
        </w:tc>
        <w:tc>
          <w:tcPr>
            <w:tcW w:w="0" w:type="auto"/>
            <w:gridSpan w:val="3"/>
            <w:shd w:val="clear" w:color="auto" w:fill="CCEEFF"/>
            <w:tcMar>
              <w:top w:w="0" w:type="dxa"/>
              <w:left w:w="20" w:type="dxa"/>
              <w:bottom w:w="0" w:type="dxa"/>
              <w:right w:w="20" w:type="dxa"/>
            </w:tcMar>
            <w:vAlign w:val="center"/>
            <w:hideMark/>
          </w:tcPr>
          <w:p w14:paraId="35076E45"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791E1E5C" w14:textId="77777777" w:rsidR="00000000" w:rsidRDefault="009B6C69">
            <w:pPr>
              <w:spacing w:after="100"/>
              <w:jc w:val="center"/>
              <w:rPr>
                <w:rFonts w:eastAsia="Times New Roman"/>
              </w:rPr>
            </w:pPr>
            <w:r>
              <w:rPr>
                <w:rFonts w:eastAsia="Times New Roman"/>
                <w:color w:val="000000"/>
                <w:sz w:val="18"/>
                <w:szCs w:val="18"/>
              </w:rPr>
              <w:t>4.3</w:t>
            </w:r>
          </w:p>
        </w:tc>
        <w:tc>
          <w:tcPr>
            <w:tcW w:w="0" w:type="auto"/>
            <w:gridSpan w:val="3"/>
            <w:shd w:val="clear" w:color="auto" w:fill="CCEEFF"/>
            <w:tcMar>
              <w:top w:w="0" w:type="dxa"/>
              <w:left w:w="20" w:type="dxa"/>
              <w:bottom w:w="0" w:type="dxa"/>
              <w:right w:w="20" w:type="dxa"/>
            </w:tcMar>
            <w:vAlign w:val="center"/>
            <w:hideMark/>
          </w:tcPr>
          <w:p w14:paraId="137FB2B3"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F7397F" w14:textId="77777777" w:rsidR="00000000" w:rsidRDefault="009B6C69">
            <w:pPr>
              <w:spacing w:after="100"/>
              <w:rPr>
                <w:rFonts w:eastAsia="Times New Roman"/>
                <w:sz w:val="20"/>
                <w:szCs w:val="20"/>
              </w:rPr>
            </w:pPr>
          </w:p>
        </w:tc>
      </w:tr>
      <w:tr w:rsidR="00000000" w14:paraId="13B7C0F3" w14:textId="77777777">
        <w:trPr>
          <w:divId w:val="790319245"/>
        </w:trPr>
        <w:tc>
          <w:tcPr>
            <w:tcW w:w="0" w:type="auto"/>
            <w:gridSpan w:val="3"/>
            <w:shd w:val="clear" w:color="auto" w:fill="FFFFFF"/>
            <w:tcMar>
              <w:top w:w="30" w:type="dxa"/>
              <w:left w:w="20" w:type="dxa"/>
              <w:bottom w:w="30" w:type="dxa"/>
              <w:right w:w="20" w:type="dxa"/>
            </w:tcMar>
            <w:hideMark/>
          </w:tcPr>
          <w:p w14:paraId="40F9820A" w14:textId="77777777" w:rsidR="00000000" w:rsidRDefault="009B6C69">
            <w:pPr>
              <w:spacing w:after="100"/>
              <w:jc w:val="center"/>
              <w:rPr>
                <w:rFonts w:eastAsia="Times New Roman"/>
              </w:rPr>
            </w:pPr>
            <w:r>
              <w:rPr>
                <w:rFonts w:eastAsia="Times New Roman"/>
                <w:color w:val="000000"/>
                <w:sz w:val="18"/>
                <w:szCs w:val="18"/>
              </w:rPr>
              <w:t>4.14</w:t>
            </w:r>
          </w:p>
        </w:tc>
        <w:tc>
          <w:tcPr>
            <w:tcW w:w="0" w:type="auto"/>
            <w:gridSpan w:val="3"/>
            <w:shd w:val="clear" w:color="auto" w:fill="FFFFFF"/>
            <w:tcMar>
              <w:top w:w="0" w:type="dxa"/>
              <w:left w:w="20" w:type="dxa"/>
              <w:bottom w:w="0" w:type="dxa"/>
              <w:right w:w="20" w:type="dxa"/>
            </w:tcMar>
            <w:vAlign w:val="center"/>
            <w:hideMark/>
          </w:tcPr>
          <w:p w14:paraId="3EFE8E74"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6ABC34B" w14:textId="77777777" w:rsidR="00000000" w:rsidRDefault="009B6C69">
            <w:pPr>
              <w:spacing w:after="100"/>
              <w:divId w:val="392239522"/>
              <w:rPr>
                <w:rFonts w:eastAsia="Times New Roman"/>
              </w:rPr>
            </w:pPr>
            <w:hyperlink r:id="rId23" w:history="1">
              <w:r>
                <w:rPr>
                  <w:rStyle w:val="a3"/>
                  <w:rFonts w:eastAsia="Times New Roman"/>
                  <w:sz w:val="18"/>
                  <w:szCs w:val="18"/>
                </w:rPr>
                <w:t>Form of 3.250% Notes due 2050.</w:t>
              </w:r>
            </w:hyperlink>
          </w:p>
        </w:tc>
        <w:tc>
          <w:tcPr>
            <w:tcW w:w="0" w:type="auto"/>
            <w:gridSpan w:val="3"/>
            <w:shd w:val="clear" w:color="auto" w:fill="FFFFFF"/>
            <w:tcMar>
              <w:top w:w="0" w:type="dxa"/>
              <w:left w:w="20" w:type="dxa"/>
              <w:bottom w:w="0" w:type="dxa"/>
              <w:right w:w="20" w:type="dxa"/>
            </w:tcMar>
            <w:vAlign w:val="center"/>
            <w:hideMark/>
          </w:tcPr>
          <w:p w14:paraId="466FF534"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01EA761"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14:paraId="430805C3"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5D1D54B" w14:textId="77777777" w:rsidR="00000000" w:rsidRDefault="009B6C69">
            <w:pPr>
              <w:spacing w:after="100"/>
              <w:jc w:val="center"/>
              <w:rPr>
                <w:rFonts w:eastAsia="Times New Roman"/>
              </w:rPr>
            </w:pPr>
            <w:r>
              <w:rPr>
                <w:rFonts w:eastAsia="Times New Roman"/>
                <w:color w:val="000000"/>
                <w:sz w:val="18"/>
                <w:szCs w:val="18"/>
              </w:rPr>
              <w:t>5/11/2020</w:t>
            </w:r>
          </w:p>
        </w:tc>
        <w:tc>
          <w:tcPr>
            <w:tcW w:w="0" w:type="auto"/>
            <w:gridSpan w:val="3"/>
            <w:shd w:val="clear" w:color="auto" w:fill="FFFFFF"/>
            <w:tcMar>
              <w:top w:w="0" w:type="dxa"/>
              <w:left w:w="20" w:type="dxa"/>
              <w:bottom w:w="0" w:type="dxa"/>
              <w:right w:w="20" w:type="dxa"/>
            </w:tcMar>
            <w:vAlign w:val="center"/>
            <w:hideMark/>
          </w:tcPr>
          <w:p w14:paraId="7DF074B6"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CBA5B7D" w14:textId="77777777" w:rsidR="00000000" w:rsidRDefault="009B6C69">
            <w:pPr>
              <w:spacing w:after="100"/>
              <w:jc w:val="center"/>
              <w:rPr>
                <w:rFonts w:eastAsia="Times New Roman"/>
              </w:rPr>
            </w:pPr>
            <w:r>
              <w:rPr>
                <w:rFonts w:eastAsia="Times New Roman"/>
                <w:color w:val="000000"/>
                <w:sz w:val="18"/>
                <w:szCs w:val="18"/>
              </w:rPr>
              <w:t>4.4</w:t>
            </w:r>
          </w:p>
        </w:tc>
        <w:tc>
          <w:tcPr>
            <w:tcW w:w="0" w:type="auto"/>
            <w:gridSpan w:val="3"/>
            <w:shd w:val="clear" w:color="auto" w:fill="FFFFFF"/>
            <w:tcMar>
              <w:top w:w="0" w:type="dxa"/>
              <w:left w:w="20" w:type="dxa"/>
              <w:bottom w:w="0" w:type="dxa"/>
              <w:right w:w="20" w:type="dxa"/>
            </w:tcMar>
            <w:vAlign w:val="center"/>
            <w:hideMark/>
          </w:tcPr>
          <w:p w14:paraId="64547724"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6B8AC7" w14:textId="77777777" w:rsidR="00000000" w:rsidRDefault="009B6C69">
            <w:pPr>
              <w:spacing w:after="100"/>
              <w:rPr>
                <w:rFonts w:eastAsia="Times New Roman"/>
                <w:sz w:val="20"/>
                <w:szCs w:val="20"/>
              </w:rPr>
            </w:pPr>
          </w:p>
        </w:tc>
      </w:tr>
      <w:tr w:rsidR="00000000" w14:paraId="47A2A4CF" w14:textId="77777777">
        <w:trPr>
          <w:divId w:val="790319245"/>
        </w:trPr>
        <w:tc>
          <w:tcPr>
            <w:tcW w:w="0" w:type="auto"/>
            <w:gridSpan w:val="3"/>
            <w:shd w:val="clear" w:color="auto" w:fill="CCEEFF"/>
            <w:tcMar>
              <w:top w:w="30" w:type="dxa"/>
              <w:left w:w="20" w:type="dxa"/>
              <w:bottom w:w="30" w:type="dxa"/>
              <w:right w:w="20" w:type="dxa"/>
            </w:tcMar>
            <w:hideMark/>
          </w:tcPr>
          <w:p w14:paraId="0B71D6CA" w14:textId="77777777" w:rsidR="00000000" w:rsidRDefault="009B6C69">
            <w:pPr>
              <w:spacing w:after="100"/>
              <w:jc w:val="center"/>
              <w:rPr>
                <w:rFonts w:eastAsia="Times New Roman"/>
              </w:rPr>
            </w:pPr>
            <w:r>
              <w:rPr>
                <w:rFonts w:eastAsia="Times New Roman"/>
                <w:color w:val="000000"/>
                <w:sz w:val="18"/>
                <w:szCs w:val="18"/>
              </w:rPr>
              <w:t>4.15</w:t>
            </w:r>
          </w:p>
        </w:tc>
        <w:tc>
          <w:tcPr>
            <w:tcW w:w="0" w:type="auto"/>
            <w:gridSpan w:val="3"/>
            <w:shd w:val="clear" w:color="auto" w:fill="CCEEFF"/>
            <w:tcMar>
              <w:top w:w="0" w:type="dxa"/>
              <w:left w:w="20" w:type="dxa"/>
              <w:bottom w:w="0" w:type="dxa"/>
              <w:right w:w="20" w:type="dxa"/>
            </w:tcMar>
            <w:vAlign w:val="center"/>
            <w:hideMark/>
          </w:tcPr>
          <w:p w14:paraId="2949B2D0"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B5DAE95" w14:textId="77777777" w:rsidR="00000000" w:rsidRDefault="009B6C69">
            <w:pPr>
              <w:spacing w:after="100"/>
              <w:divId w:val="1614820510"/>
              <w:rPr>
                <w:rFonts w:eastAsia="Times New Roman"/>
              </w:rPr>
            </w:pPr>
            <w:hyperlink r:id="rId24" w:history="1">
              <w:r>
                <w:rPr>
                  <w:rStyle w:val="a3"/>
                  <w:rFonts w:eastAsia="Times New Roman"/>
                  <w:sz w:val="18"/>
                  <w:szCs w:val="18"/>
                </w:rPr>
                <w:t>Officers’ Certificate, dated August 14, 2020, for the 1.300% Notes due 2028 and the 1.650% Notes due 2032.</w:t>
              </w:r>
            </w:hyperlink>
          </w:p>
        </w:tc>
        <w:tc>
          <w:tcPr>
            <w:tcW w:w="0" w:type="auto"/>
            <w:gridSpan w:val="3"/>
            <w:shd w:val="clear" w:color="auto" w:fill="CCEEFF"/>
            <w:tcMar>
              <w:top w:w="0" w:type="dxa"/>
              <w:left w:w="20" w:type="dxa"/>
              <w:bottom w:w="0" w:type="dxa"/>
              <w:right w:w="20" w:type="dxa"/>
            </w:tcMar>
            <w:vAlign w:val="center"/>
            <w:hideMark/>
          </w:tcPr>
          <w:p w14:paraId="23FF3584"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10B4C2F3"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14:paraId="01A7AE63"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8D9B1BB" w14:textId="77777777" w:rsidR="00000000" w:rsidRDefault="009B6C69">
            <w:pPr>
              <w:spacing w:after="100"/>
              <w:jc w:val="center"/>
              <w:rPr>
                <w:rFonts w:eastAsia="Times New Roman"/>
              </w:rPr>
            </w:pPr>
            <w:r>
              <w:rPr>
                <w:rFonts w:eastAsia="Times New Roman"/>
                <w:color w:val="000000"/>
                <w:sz w:val="18"/>
                <w:szCs w:val="18"/>
              </w:rPr>
              <w:t>8/18/2020</w:t>
            </w:r>
          </w:p>
        </w:tc>
        <w:tc>
          <w:tcPr>
            <w:tcW w:w="0" w:type="auto"/>
            <w:gridSpan w:val="3"/>
            <w:shd w:val="clear" w:color="auto" w:fill="CCEEFF"/>
            <w:tcMar>
              <w:top w:w="0" w:type="dxa"/>
              <w:left w:w="20" w:type="dxa"/>
              <w:bottom w:w="0" w:type="dxa"/>
              <w:right w:w="20" w:type="dxa"/>
            </w:tcMar>
            <w:vAlign w:val="center"/>
            <w:hideMark/>
          </w:tcPr>
          <w:p w14:paraId="72841B63"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11BA31B" w14:textId="77777777" w:rsidR="00000000" w:rsidRDefault="009B6C69">
            <w:pPr>
              <w:spacing w:after="100"/>
              <w:jc w:val="center"/>
              <w:rPr>
                <w:rFonts w:eastAsia="Times New Roman"/>
              </w:rPr>
            </w:pPr>
            <w:r>
              <w:rPr>
                <w:rFonts w:eastAsia="Times New Roman"/>
                <w:color w:val="000000"/>
                <w:sz w:val="18"/>
                <w:szCs w:val="18"/>
              </w:rPr>
              <w:t>4.2</w:t>
            </w:r>
          </w:p>
        </w:tc>
        <w:tc>
          <w:tcPr>
            <w:tcW w:w="0" w:type="auto"/>
            <w:gridSpan w:val="3"/>
            <w:shd w:val="clear" w:color="auto" w:fill="CCEEFF"/>
            <w:tcMar>
              <w:top w:w="0" w:type="dxa"/>
              <w:left w:w="20" w:type="dxa"/>
              <w:bottom w:w="0" w:type="dxa"/>
              <w:right w:w="20" w:type="dxa"/>
            </w:tcMar>
            <w:vAlign w:val="center"/>
            <w:hideMark/>
          </w:tcPr>
          <w:p w14:paraId="2C4D27E3"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000A94" w14:textId="77777777" w:rsidR="00000000" w:rsidRDefault="009B6C69">
            <w:pPr>
              <w:spacing w:after="100"/>
              <w:rPr>
                <w:rFonts w:eastAsia="Times New Roman"/>
                <w:sz w:val="20"/>
                <w:szCs w:val="20"/>
              </w:rPr>
            </w:pPr>
          </w:p>
        </w:tc>
      </w:tr>
      <w:tr w:rsidR="00000000" w14:paraId="65F52F70" w14:textId="77777777">
        <w:trPr>
          <w:divId w:val="790319245"/>
        </w:trPr>
        <w:tc>
          <w:tcPr>
            <w:tcW w:w="0" w:type="auto"/>
            <w:gridSpan w:val="3"/>
            <w:shd w:val="clear" w:color="auto" w:fill="FFFFFF"/>
            <w:tcMar>
              <w:top w:w="30" w:type="dxa"/>
              <w:left w:w="20" w:type="dxa"/>
              <w:bottom w:w="30" w:type="dxa"/>
              <w:right w:w="20" w:type="dxa"/>
            </w:tcMar>
            <w:hideMark/>
          </w:tcPr>
          <w:p w14:paraId="45997942" w14:textId="77777777" w:rsidR="00000000" w:rsidRDefault="009B6C69">
            <w:pPr>
              <w:spacing w:after="100"/>
              <w:jc w:val="center"/>
              <w:rPr>
                <w:rFonts w:eastAsia="Times New Roman"/>
              </w:rPr>
            </w:pPr>
            <w:r>
              <w:rPr>
                <w:rFonts w:eastAsia="Times New Roman"/>
                <w:color w:val="000000"/>
                <w:sz w:val="18"/>
                <w:szCs w:val="18"/>
              </w:rPr>
              <w:t>4.16</w:t>
            </w:r>
          </w:p>
        </w:tc>
        <w:tc>
          <w:tcPr>
            <w:tcW w:w="0" w:type="auto"/>
            <w:gridSpan w:val="3"/>
            <w:shd w:val="clear" w:color="auto" w:fill="FFFFFF"/>
            <w:tcMar>
              <w:top w:w="0" w:type="dxa"/>
              <w:left w:w="20" w:type="dxa"/>
              <w:bottom w:w="0" w:type="dxa"/>
              <w:right w:w="20" w:type="dxa"/>
            </w:tcMar>
            <w:vAlign w:val="center"/>
            <w:hideMark/>
          </w:tcPr>
          <w:p w14:paraId="2BCDAD92"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C8896A7" w14:textId="77777777" w:rsidR="00000000" w:rsidRDefault="009B6C69">
            <w:pPr>
              <w:spacing w:after="100"/>
              <w:divId w:val="498499220"/>
              <w:rPr>
                <w:rFonts w:eastAsia="Times New Roman"/>
              </w:rPr>
            </w:pPr>
            <w:hyperlink r:id="rId25" w:history="1">
              <w:r>
                <w:rPr>
                  <w:rStyle w:val="a3"/>
                  <w:rFonts w:eastAsia="Times New Roman"/>
                  <w:sz w:val="18"/>
                  <w:szCs w:val="18"/>
                </w:rPr>
                <w:t>Form of 1.300% Rule 144A Global Notes due 2028.</w:t>
              </w:r>
            </w:hyperlink>
          </w:p>
        </w:tc>
        <w:tc>
          <w:tcPr>
            <w:tcW w:w="0" w:type="auto"/>
            <w:gridSpan w:val="3"/>
            <w:shd w:val="clear" w:color="auto" w:fill="FFFFFF"/>
            <w:tcMar>
              <w:top w:w="0" w:type="dxa"/>
              <w:left w:w="20" w:type="dxa"/>
              <w:bottom w:w="0" w:type="dxa"/>
              <w:right w:w="20" w:type="dxa"/>
            </w:tcMar>
            <w:vAlign w:val="center"/>
            <w:hideMark/>
          </w:tcPr>
          <w:p w14:paraId="6F084B9F"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C4A137D"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14:paraId="30DA7EA6"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93970C8" w14:textId="77777777" w:rsidR="00000000" w:rsidRDefault="009B6C69">
            <w:pPr>
              <w:spacing w:after="100"/>
              <w:jc w:val="center"/>
              <w:rPr>
                <w:rFonts w:eastAsia="Times New Roman"/>
              </w:rPr>
            </w:pPr>
            <w:r>
              <w:rPr>
                <w:rFonts w:eastAsia="Times New Roman"/>
                <w:color w:val="000000"/>
                <w:sz w:val="18"/>
                <w:szCs w:val="18"/>
              </w:rPr>
              <w:t>8/18/2020</w:t>
            </w:r>
          </w:p>
        </w:tc>
        <w:tc>
          <w:tcPr>
            <w:tcW w:w="0" w:type="auto"/>
            <w:gridSpan w:val="3"/>
            <w:shd w:val="clear" w:color="auto" w:fill="FFFFFF"/>
            <w:tcMar>
              <w:top w:w="0" w:type="dxa"/>
              <w:left w:w="20" w:type="dxa"/>
              <w:bottom w:w="0" w:type="dxa"/>
              <w:right w:w="20" w:type="dxa"/>
            </w:tcMar>
            <w:vAlign w:val="center"/>
            <w:hideMark/>
          </w:tcPr>
          <w:p w14:paraId="3BA897A0"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DCDAF57" w14:textId="77777777" w:rsidR="00000000" w:rsidRDefault="009B6C69">
            <w:pPr>
              <w:spacing w:after="100"/>
              <w:jc w:val="center"/>
              <w:rPr>
                <w:rFonts w:eastAsia="Times New Roman"/>
              </w:rPr>
            </w:pPr>
            <w:r>
              <w:rPr>
                <w:rFonts w:eastAsia="Times New Roman"/>
                <w:color w:val="000000"/>
                <w:sz w:val="18"/>
                <w:szCs w:val="18"/>
              </w:rPr>
              <w:t>4.3</w:t>
            </w:r>
          </w:p>
        </w:tc>
        <w:tc>
          <w:tcPr>
            <w:tcW w:w="0" w:type="auto"/>
            <w:gridSpan w:val="3"/>
            <w:shd w:val="clear" w:color="auto" w:fill="FFFFFF"/>
            <w:tcMar>
              <w:top w:w="0" w:type="dxa"/>
              <w:left w:w="20" w:type="dxa"/>
              <w:bottom w:w="0" w:type="dxa"/>
              <w:right w:w="20" w:type="dxa"/>
            </w:tcMar>
            <w:vAlign w:val="center"/>
            <w:hideMark/>
          </w:tcPr>
          <w:p w14:paraId="66CC6AC1"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285943" w14:textId="77777777" w:rsidR="00000000" w:rsidRDefault="009B6C69">
            <w:pPr>
              <w:spacing w:after="100"/>
              <w:rPr>
                <w:rFonts w:eastAsia="Times New Roman"/>
                <w:sz w:val="20"/>
                <w:szCs w:val="20"/>
              </w:rPr>
            </w:pPr>
          </w:p>
        </w:tc>
      </w:tr>
      <w:tr w:rsidR="00000000" w14:paraId="70420128" w14:textId="77777777">
        <w:trPr>
          <w:divId w:val="790319245"/>
        </w:trPr>
        <w:tc>
          <w:tcPr>
            <w:tcW w:w="0" w:type="auto"/>
            <w:gridSpan w:val="3"/>
            <w:shd w:val="clear" w:color="auto" w:fill="CCEEFF"/>
            <w:tcMar>
              <w:top w:w="30" w:type="dxa"/>
              <w:left w:w="20" w:type="dxa"/>
              <w:bottom w:w="30" w:type="dxa"/>
              <w:right w:w="20" w:type="dxa"/>
            </w:tcMar>
            <w:hideMark/>
          </w:tcPr>
          <w:p w14:paraId="0A29BC33" w14:textId="77777777" w:rsidR="00000000" w:rsidRDefault="009B6C69">
            <w:pPr>
              <w:spacing w:after="100"/>
              <w:jc w:val="center"/>
              <w:rPr>
                <w:rFonts w:eastAsia="Times New Roman"/>
              </w:rPr>
            </w:pPr>
            <w:r>
              <w:rPr>
                <w:rFonts w:eastAsia="Times New Roman"/>
                <w:color w:val="000000"/>
                <w:sz w:val="18"/>
                <w:szCs w:val="18"/>
              </w:rPr>
              <w:t>4.17</w:t>
            </w:r>
          </w:p>
        </w:tc>
        <w:tc>
          <w:tcPr>
            <w:tcW w:w="0" w:type="auto"/>
            <w:gridSpan w:val="3"/>
            <w:shd w:val="clear" w:color="auto" w:fill="CCEEFF"/>
            <w:tcMar>
              <w:top w:w="0" w:type="dxa"/>
              <w:left w:w="20" w:type="dxa"/>
              <w:bottom w:w="0" w:type="dxa"/>
              <w:right w:w="20" w:type="dxa"/>
            </w:tcMar>
            <w:vAlign w:val="center"/>
            <w:hideMark/>
          </w:tcPr>
          <w:p w14:paraId="7E25A234"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4CC8F25" w14:textId="77777777" w:rsidR="00000000" w:rsidRDefault="009B6C69">
            <w:pPr>
              <w:spacing w:after="100"/>
              <w:divId w:val="328949934"/>
              <w:rPr>
                <w:rFonts w:eastAsia="Times New Roman"/>
              </w:rPr>
            </w:pPr>
            <w:hyperlink r:id="rId26" w:history="1">
              <w:r>
                <w:rPr>
                  <w:rStyle w:val="a3"/>
                  <w:rFonts w:eastAsia="Times New Roman"/>
                  <w:sz w:val="18"/>
                  <w:szCs w:val="18"/>
                </w:rPr>
                <w:t>Form of 1.650% Rule 144A Global Notes due 2032.</w:t>
              </w:r>
            </w:hyperlink>
          </w:p>
        </w:tc>
        <w:tc>
          <w:tcPr>
            <w:tcW w:w="0" w:type="auto"/>
            <w:gridSpan w:val="3"/>
            <w:shd w:val="clear" w:color="auto" w:fill="CCEEFF"/>
            <w:tcMar>
              <w:top w:w="0" w:type="dxa"/>
              <w:left w:w="20" w:type="dxa"/>
              <w:bottom w:w="0" w:type="dxa"/>
              <w:right w:w="20" w:type="dxa"/>
            </w:tcMar>
            <w:vAlign w:val="center"/>
            <w:hideMark/>
          </w:tcPr>
          <w:p w14:paraId="369C216F"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1EBB727F"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14:paraId="18243D71"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155E095" w14:textId="77777777" w:rsidR="00000000" w:rsidRDefault="009B6C69">
            <w:pPr>
              <w:spacing w:after="100"/>
              <w:jc w:val="center"/>
              <w:rPr>
                <w:rFonts w:eastAsia="Times New Roman"/>
              </w:rPr>
            </w:pPr>
            <w:r>
              <w:rPr>
                <w:rFonts w:eastAsia="Times New Roman"/>
                <w:color w:val="000000"/>
                <w:sz w:val="18"/>
                <w:szCs w:val="18"/>
              </w:rPr>
              <w:t>8/18/2020</w:t>
            </w:r>
          </w:p>
        </w:tc>
        <w:tc>
          <w:tcPr>
            <w:tcW w:w="0" w:type="auto"/>
            <w:gridSpan w:val="3"/>
            <w:shd w:val="clear" w:color="auto" w:fill="CCEEFF"/>
            <w:tcMar>
              <w:top w:w="0" w:type="dxa"/>
              <w:left w:w="20" w:type="dxa"/>
              <w:bottom w:w="0" w:type="dxa"/>
              <w:right w:w="20" w:type="dxa"/>
            </w:tcMar>
            <w:vAlign w:val="center"/>
            <w:hideMark/>
          </w:tcPr>
          <w:p w14:paraId="16958761"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1774027" w14:textId="77777777" w:rsidR="00000000" w:rsidRDefault="009B6C69">
            <w:pPr>
              <w:spacing w:after="100"/>
              <w:jc w:val="center"/>
              <w:rPr>
                <w:rFonts w:eastAsia="Times New Roman"/>
              </w:rPr>
            </w:pPr>
            <w:r>
              <w:rPr>
                <w:rFonts w:eastAsia="Times New Roman"/>
                <w:color w:val="000000"/>
                <w:sz w:val="18"/>
                <w:szCs w:val="18"/>
              </w:rPr>
              <w:t>4.5</w:t>
            </w:r>
          </w:p>
        </w:tc>
        <w:tc>
          <w:tcPr>
            <w:tcW w:w="0" w:type="auto"/>
            <w:gridSpan w:val="3"/>
            <w:shd w:val="clear" w:color="auto" w:fill="CCEEFF"/>
            <w:tcMar>
              <w:top w:w="0" w:type="dxa"/>
              <w:left w:w="20" w:type="dxa"/>
              <w:bottom w:w="0" w:type="dxa"/>
              <w:right w:w="20" w:type="dxa"/>
            </w:tcMar>
            <w:vAlign w:val="center"/>
            <w:hideMark/>
          </w:tcPr>
          <w:p w14:paraId="56E4B637"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2F2F9B" w14:textId="77777777" w:rsidR="00000000" w:rsidRDefault="009B6C69">
            <w:pPr>
              <w:spacing w:after="100"/>
              <w:rPr>
                <w:rFonts w:eastAsia="Times New Roman"/>
                <w:sz w:val="20"/>
                <w:szCs w:val="20"/>
              </w:rPr>
            </w:pPr>
          </w:p>
        </w:tc>
      </w:tr>
      <w:tr w:rsidR="00000000" w14:paraId="2CE11509" w14:textId="77777777">
        <w:trPr>
          <w:divId w:val="790319245"/>
        </w:trPr>
        <w:tc>
          <w:tcPr>
            <w:tcW w:w="0" w:type="auto"/>
            <w:gridSpan w:val="3"/>
            <w:shd w:val="clear" w:color="auto" w:fill="FFFFFF"/>
            <w:tcMar>
              <w:top w:w="30" w:type="dxa"/>
              <w:left w:w="20" w:type="dxa"/>
              <w:bottom w:w="30" w:type="dxa"/>
              <w:right w:w="20" w:type="dxa"/>
            </w:tcMar>
            <w:hideMark/>
          </w:tcPr>
          <w:p w14:paraId="2F33500C" w14:textId="77777777" w:rsidR="00000000" w:rsidRDefault="009B6C69">
            <w:pPr>
              <w:spacing w:after="100"/>
              <w:jc w:val="center"/>
              <w:rPr>
                <w:rFonts w:eastAsia="Times New Roman"/>
              </w:rPr>
            </w:pPr>
            <w:r>
              <w:rPr>
                <w:rFonts w:eastAsia="Times New Roman"/>
                <w:color w:val="000000"/>
                <w:sz w:val="18"/>
                <w:szCs w:val="18"/>
              </w:rPr>
              <w:t>4.18</w:t>
            </w:r>
          </w:p>
        </w:tc>
        <w:tc>
          <w:tcPr>
            <w:tcW w:w="0" w:type="auto"/>
            <w:gridSpan w:val="3"/>
            <w:shd w:val="clear" w:color="auto" w:fill="FFFFFF"/>
            <w:tcMar>
              <w:top w:w="0" w:type="dxa"/>
              <w:left w:w="20" w:type="dxa"/>
              <w:bottom w:w="0" w:type="dxa"/>
              <w:right w:w="20" w:type="dxa"/>
            </w:tcMar>
            <w:vAlign w:val="center"/>
            <w:hideMark/>
          </w:tcPr>
          <w:p w14:paraId="5E92A138"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A3FB869" w14:textId="77777777" w:rsidR="00000000" w:rsidRDefault="009B6C69">
            <w:pPr>
              <w:spacing w:after="100"/>
              <w:divId w:val="180558577"/>
              <w:rPr>
                <w:rFonts w:eastAsia="Times New Roman"/>
              </w:rPr>
            </w:pPr>
            <w:hyperlink r:id="rId27" w:history="1">
              <w:r>
                <w:rPr>
                  <w:rStyle w:val="a3"/>
                  <w:rFonts w:eastAsia="Times New Roman"/>
                  <w:sz w:val="18"/>
                  <w:szCs w:val="18"/>
                </w:rPr>
                <w:t>Officers’ Certificate, dated January 6, 2021, for the 1.300% Notes due 2028 and the 1.650% Notes due 2032.</w:t>
              </w:r>
            </w:hyperlink>
          </w:p>
        </w:tc>
        <w:tc>
          <w:tcPr>
            <w:tcW w:w="0" w:type="auto"/>
            <w:gridSpan w:val="3"/>
            <w:shd w:val="clear" w:color="auto" w:fill="FFFFFF"/>
            <w:tcMar>
              <w:top w:w="0" w:type="dxa"/>
              <w:left w:w="20" w:type="dxa"/>
              <w:bottom w:w="0" w:type="dxa"/>
              <w:right w:w="20" w:type="dxa"/>
            </w:tcMar>
            <w:vAlign w:val="center"/>
            <w:hideMark/>
          </w:tcPr>
          <w:p w14:paraId="39927088"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1F3E9D2" w14:textId="77777777" w:rsidR="00000000" w:rsidRDefault="009B6C69">
            <w:pPr>
              <w:spacing w:after="100"/>
              <w:jc w:val="cente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14:paraId="455E0404"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2CCE86B" w14:textId="77777777" w:rsidR="00000000" w:rsidRDefault="009B6C69">
            <w:pPr>
              <w:spacing w:after="100"/>
              <w:jc w:val="center"/>
              <w:rPr>
                <w:rFonts w:eastAsia="Times New Roman"/>
              </w:rPr>
            </w:pPr>
            <w:r>
              <w:rPr>
                <w:rFonts w:eastAsia="Times New Roman"/>
                <w:color w:val="000000"/>
                <w:sz w:val="18"/>
                <w:szCs w:val="18"/>
              </w:rPr>
              <w:t>2/3/2021</w:t>
            </w:r>
          </w:p>
        </w:tc>
        <w:tc>
          <w:tcPr>
            <w:tcW w:w="0" w:type="auto"/>
            <w:gridSpan w:val="3"/>
            <w:shd w:val="clear" w:color="auto" w:fill="FFFFFF"/>
            <w:tcMar>
              <w:top w:w="0" w:type="dxa"/>
              <w:left w:w="20" w:type="dxa"/>
              <w:bottom w:w="0" w:type="dxa"/>
              <w:right w:w="20" w:type="dxa"/>
            </w:tcMar>
            <w:vAlign w:val="center"/>
            <w:hideMark/>
          </w:tcPr>
          <w:p w14:paraId="49FD17FA"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D8DBA20" w14:textId="77777777" w:rsidR="00000000" w:rsidRDefault="009B6C69">
            <w:pPr>
              <w:spacing w:after="100"/>
              <w:jc w:val="center"/>
              <w:rPr>
                <w:rFonts w:eastAsia="Times New Roman"/>
              </w:rPr>
            </w:pPr>
            <w:r>
              <w:rPr>
                <w:rFonts w:eastAsia="Times New Roman"/>
                <w:color w:val="000000"/>
                <w:sz w:val="18"/>
                <w:szCs w:val="18"/>
              </w:rPr>
              <w:t>4.23</w:t>
            </w:r>
          </w:p>
        </w:tc>
        <w:tc>
          <w:tcPr>
            <w:tcW w:w="0" w:type="auto"/>
            <w:gridSpan w:val="3"/>
            <w:shd w:val="clear" w:color="auto" w:fill="FFFFFF"/>
            <w:tcMar>
              <w:top w:w="0" w:type="dxa"/>
              <w:left w:w="20" w:type="dxa"/>
              <w:bottom w:w="0" w:type="dxa"/>
              <w:right w:w="20" w:type="dxa"/>
            </w:tcMar>
            <w:vAlign w:val="center"/>
            <w:hideMark/>
          </w:tcPr>
          <w:p w14:paraId="112A0B1C"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F8EE77" w14:textId="77777777" w:rsidR="00000000" w:rsidRDefault="009B6C69">
            <w:pPr>
              <w:spacing w:after="100"/>
              <w:rPr>
                <w:rFonts w:eastAsia="Times New Roman"/>
                <w:sz w:val="20"/>
                <w:szCs w:val="20"/>
              </w:rPr>
            </w:pPr>
          </w:p>
        </w:tc>
      </w:tr>
      <w:tr w:rsidR="00000000" w14:paraId="7C6CA9A8" w14:textId="77777777">
        <w:trPr>
          <w:divId w:val="790319245"/>
        </w:trPr>
        <w:tc>
          <w:tcPr>
            <w:tcW w:w="0" w:type="auto"/>
            <w:gridSpan w:val="3"/>
            <w:shd w:val="clear" w:color="auto" w:fill="CCEEFF"/>
            <w:tcMar>
              <w:top w:w="30" w:type="dxa"/>
              <w:left w:w="20" w:type="dxa"/>
              <w:bottom w:w="30" w:type="dxa"/>
              <w:right w:w="20" w:type="dxa"/>
            </w:tcMar>
            <w:hideMark/>
          </w:tcPr>
          <w:p w14:paraId="51F0D0E3" w14:textId="77777777" w:rsidR="00000000" w:rsidRDefault="009B6C69">
            <w:pPr>
              <w:spacing w:after="100"/>
              <w:jc w:val="center"/>
              <w:rPr>
                <w:rFonts w:eastAsia="Times New Roman"/>
              </w:rPr>
            </w:pPr>
            <w:r>
              <w:rPr>
                <w:rFonts w:eastAsia="Times New Roman"/>
                <w:color w:val="000000"/>
                <w:sz w:val="18"/>
                <w:szCs w:val="18"/>
              </w:rPr>
              <w:t>4.19</w:t>
            </w:r>
          </w:p>
        </w:tc>
        <w:tc>
          <w:tcPr>
            <w:tcW w:w="0" w:type="auto"/>
            <w:gridSpan w:val="3"/>
            <w:shd w:val="clear" w:color="auto" w:fill="CCEEFF"/>
            <w:tcMar>
              <w:top w:w="0" w:type="dxa"/>
              <w:left w:w="20" w:type="dxa"/>
              <w:bottom w:w="0" w:type="dxa"/>
              <w:right w:w="20" w:type="dxa"/>
            </w:tcMar>
            <w:vAlign w:val="center"/>
            <w:hideMark/>
          </w:tcPr>
          <w:p w14:paraId="1E8A6D68"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3F93F98F" w14:textId="77777777" w:rsidR="00000000" w:rsidRDefault="009B6C69">
            <w:pPr>
              <w:spacing w:after="100"/>
              <w:divId w:val="433326653"/>
              <w:rPr>
                <w:rFonts w:eastAsia="Times New Roman"/>
              </w:rPr>
            </w:pPr>
            <w:hyperlink r:id="rId28" w:history="1">
              <w:r>
                <w:rPr>
                  <w:rStyle w:val="a3"/>
                  <w:rFonts w:eastAsia="Times New Roman"/>
                  <w:sz w:val="18"/>
                  <w:szCs w:val="18"/>
                </w:rPr>
                <w:t>Form of 1.300% Notes due 2028.</w:t>
              </w:r>
            </w:hyperlink>
          </w:p>
        </w:tc>
        <w:tc>
          <w:tcPr>
            <w:tcW w:w="0" w:type="auto"/>
            <w:gridSpan w:val="3"/>
            <w:shd w:val="clear" w:color="auto" w:fill="CCEEFF"/>
            <w:tcMar>
              <w:top w:w="0" w:type="dxa"/>
              <w:left w:w="20" w:type="dxa"/>
              <w:bottom w:w="0" w:type="dxa"/>
              <w:right w:w="20" w:type="dxa"/>
            </w:tcMar>
            <w:vAlign w:val="center"/>
            <w:hideMark/>
          </w:tcPr>
          <w:p w14:paraId="2AD9C76E"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7FC490B0" w14:textId="77777777" w:rsidR="00000000" w:rsidRDefault="009B6C69">
            <w:pPr>
              <w:spacing w:after="100"/>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14:paraId="32EFA5F3"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EBE386A" w14:textId="77777777" w:rsidR="00000000" w:rsidRDefault="009B6C69">
            <w:pPr>
              <w:spacing w:after="100"/>
              <w:jc w:val="center"/>
              <w:rPr>
                <w:rFonts w:eastAsia="Times New Roman"/>
              </w:rPr>
            </w:pPr>
            <w:r>
              <w:rPr>
                <w:rFonts w:eastAsia="Times New Roman"/>
                <w:color w:val="000000"/>
                <w:sz w:val="18"/>
                <w:szCs w:val="18"/>
              </w:rPr>
              <w:t>2/3/2021</w:t>
            </w:r>
          </w:p>
        </w:tc>
        <w:tc>
          <w:tcPr>
            <w:tcW w:w="0" w:type="auto"/>
            <w:gridSpan w:val="3"/>
            <w:shd w:val="clear" w:color="auto" w:fill="CCEEFF"/>
            <w:tcMar>
              <w:top w:w="0" w:type="dxa"/>
              <w:left w:w="20" w:type="dxa"/>
              <w:bottom w:w="0" w:type="dxa"/>
              <w:right w:w="20" w:type="dxa"/>
            </w:tcMar>
            <w:vAlign w:val="center"/>
            <w:hideMark/>
          </w:tcPr>
          <w:p w14:paraId="52870BE1"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1DF9A9F" w14:textId="77777777" w:rsidR="00000000" w:rsidRDefault="009B6C69">
            <w:pPr>
              <w:spacing w:after="100"/>
              <w:jc w:val="center"/>
              <w:rPr>
                <w:rFonts w:eastAsia="Times New Roman"/>
              </w:rPr>
            </w:pPr>
            <w:r>
              <w:rPr>
                <w:rFonts w:eastAsia="Times New Roman"/>
                <w:color w:val="000000"/>
                <w:sz w:val="18"/>
                <w:szCs w:val="18"/>
              </w:rPr>
              <w:t>4.24</w:t>
            </w:r>
          </w:p>
        </w:tc>
        <w:tc>
          <w:tcPr>
            <w:tcW w:w="0" w:type="auto"/>
            <w:gridSpan w:val="3"/>
            <w:shd w:val="clear" w:color="auto" w:fill="CCEEFF"/>
            <w:tcMar>
              <w:top w:w="0" w:type="dxa"/>
              <w:left w:w="20" w:type="dxa"/>
              <w:bottom w:w="0" w:type="dxa"/>
              <w:right w:w="20" w:type="dxa"/>
            </w:tcMar>
            <w:vAlign w:val="center"/>
            <w:hideMark/>
          </w:tcPr>
          <w:p w14:paraId="1A3B7E1C"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61C26C" w14:textId="77777777" w:rsidR="00000000" w:rsidRDefault="009B6C69">
            <w:pPr>
              <w:spacing w:after="100"/>
              <w:rPr>
                <w:rFonts w:eastAsia="Times New Roman"/>
                <w:sz w:val="20"/>
                <w:szCs w:val="20"/>
              </w:rPr>
            </w:pPr>
          </w:p>
        </w:tc>
      </w:tr>
    </w:tbl>
    <w:p w14:paraId="6FB59F1E" w14:textId="77777777" w:rsidR="00000000" w:rsidRDefault="009B6C69">
      <w:pPr>
        <w:jc w:val="center"/>
        <w:divId w:val="1600799122"/>
        <w:rPr>
          <w:rFonts w:eastAsia="Times New Roman"/>
        </w:rPr>
      </w:pPr>
      <w:r>
        <w:rPr>
          <w:rFonts w:eastAsia="Times New Roman"/>
          <w:color w:val="000000"/>
          <w:sz w:val="20"/>
          <w:szCs w:val="20"/>
        </w:rPr>
        <w:t>52</w:t>
      </w:r>
    </w:p>
    <w:p w14:paraId="25A6434D" w14:textId="77777777" w:rsidR="00000000" w:rsidRDefault="009B6C69">
      <w:pPr>
        <w:rPr>
          <w:rFonts w:eastAsia="Times New Roman"/>
        </w:rPr>
      </w:pPr>
      <w:r>
        <w:rPr>
          <w:rFonts w:eastAsia="Times New Roman"/>
        </w:rPr>
        <w:pict w14:anchorId="23C4EE91">
          <v:rect id="_x0000_i1076" style="width:0;height:1.5pt" o:hralign="center" o:hrstd="t" o:hr="t" fillcolor="#a0a0a0" stroked="f"/>
        </w:pict>
      </w:r>
    </w:p>
    <w:p w14:paraId="7670AF1F" w14:textId="77777777" w:rsidR="00000000" w:rsidRDefault="009B6C69">
      <w:pPr>
        <w:divId w:val="183325266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7"/>
        <w:gridCol w:w="585"/>
        <w:gridCol w:w="36"/>
        <w:gridCol w:w="36"/>
        <w:gridCol w:w="36"/>
        <w:gridCol w:w="36"/>
        <w:gridCol w:w="38"/>
        <w:gridCol w:w="4096"/>
        <w:gridCol w:w="37"/>
        <w:gridCol w:w="36"/>
        <w:gridCol w:w="36"/>
        <w:gridCol w:w="36"/>
        <w:gridCol w:w="80"/>
        <w:gridCol w:w="383"/>
        <w:gridCol w:w="36"/>
        <w:gridCol w:w="36"/>
        <w:gridCol w:w="36"/>
        <w:gridCol w:w="36"/>
        <w:gridCol w:w="84"/>
        <w:gridCol w:w="769"/>
        <w:gridCol w:w="39"/>
        <w:gridCol w:w="36"/>
        <w:gridCol w:w="36"/>
        <w:gridCol w:w="36"/>
        <w:gridCol w:w="82"/>
        <w:gridCol w:w="590"/>
        <w:gridCol w:w="36"/>
        <w:gridCol w:w="36"/>
        <w:gridCol w:w="36"/>
        <w:gridCol w:w="36"/>
        <w:gridCol w:w="87"/>
        <w:gridCol w:w="665"/>
        <w:gridCol w:w="36"/>
      </w:tblGrid>
      <w:tr w:rsidR="00000000" w14:paraId="5DF67449" w14:textId="77777777">
        <w:trPr>
          <w:divId w:val="135732122"/>
        </w:trPr>
        <w:tc>
          <w:tcPr>
            <w:tcW w:w="50" w:type="pct"/>
            <w:vAlign w:val="center"/>
            <w:hideMark/>
          </w:tcPr>
          <w:p w14:paraId="5BFB2368" w14:textId="77777777" w:rsidR="00000000" w:rsidRDefault="009B6C69">
            <w:pPr>
              <w:rPr>
                <w:rFonts w:eastAsia="Times New Roman"/>
              </w:rPr>
            </w:pPr>
          </w:p>
        </w:tc>
        <w:tc>
          <w:tcPr>
            <w:tcW w:w="339" w:type="pct"/>
            <w:vAlign w:val="center"/>
            <w:hideMark/>
          </w:tcPr>
          <w:p w14:paraId="4C8A4364" w14:textId="77777777" w:rsidR="00000000" w:rsidRDefault="009B6C69">
            <w:pPr>
              <w:spacing w:after="100"/>
              <w:rPr>
                <w:rFonts w:eastAsia="Times New Roman"/>
                <w:sz w:val="20"/>
                <w:szCs w:val="20"/>
              </w:rPr>
            </w:pPr>
          </w:p>
        </w:tc>
        <w:tc>
          <w:tcPr>
            <w:tcW w:w="5" w:type="pct"/>
            <w:vAlign w:val="center"/>
            <w:hideMark/>
          </w:tcPr>
          <w:p w14:paraId="6F4841C5" w14:textId="77777777" w:rsidR="00000000" w:rsidRDefault="009B6C69">
            <w:pPr>
              <w:spacing w:after="100"/>
              <w:rPr>
                <w:rFonts w:eastAsia="Times New Roman"/>
                <w:sz w:val="20"/>
                <w:szCs w:val="20"/>
              </w:rPr>
            </w:pPr>
          </w:p>
        </w:tc>
        <w:tc>
          <w:tcPr>
            <w:tcW w:w="5" w:type="pct"/>
            <w:vAlign w:val="center"/>
            <w:hideMark/>
          </w:tcPr>
          <w:p w14:paraId="421018BB" w14:textId="77777777" w:rsidR="00000000" w:rsidRDefault="009B6C69">
            <w:pPr>
              <w:spacing w:after="100"/>
              <w:rPr>
                <w:rFonts w:eastAsia="Times New Roman"/>
                <w:sz w:val="20"/>
                <w:szCs w:val="20"/>
              </w:rPr>
            </w:pPr>
          </w:p>
        </w:tc>
        <w:tc>
          <w:tcPr>
            <w:tcW w:w="27" w:type="pct"/>
            <w:vAlign w:val="center"/>
            <w:hideMark/>
          </w:tcPr>
          <w:p w14:paraId="7E9182A4" w14:textId="77777777" w:rsidR="00000000" w:rsidRDefault="009B6C69">
            <w:pPr>
              <w:spacing w:after="100"/>
              <w:rPr>
                <w:rFonts w:eastAsia="Times New Roman"/>
                <w:sz w:val="20"/>
                <w:szCs w:val="20"/>
              </w:rPr>
            </w:pPr>
          </w:p>
        </w:tc>
        <w:tc>
          <w:tcPr>
            <w:tcW w:w="5" w:type="pct"/>
            <w:vAlign w:val="center"/>
            <w:hideMark/>
          </w:tcPr>
          <w:p w14:paraId="2F4DBD13" w14:textId="77777777" w:rsidR="00000000" w:rsidRDefault="009B6C69">
            <w:pPr>
              <w:spacing w:after="100"/>
              <w:rPr>
                <w:rFonts w:eastAsia="Times New Roman"/>
                <w:sz w:val="20"/>
                <w:szCs w:val="20"/>
              </w:rPr>
            </w:pPr>
          </w:p>
        </w:tc>
        <w:tc>
          <w:tcPr>
            <w:tcW w:w="50" w:type="pct"/>
            <w:vAlign w:val="center"/>
            <w:hideMark/>
          </w:tcPr>
          <w:p w14:paraId="545B402B" w14:textId="77777777" w:rsidR="00000000" w:rsidRDefault="009B6C69">
            <w:pPr>
              <w:spacing w:after="100"/>
              <w:rPr>
                <w:rFonts w:eastAsia="Times New Roman"/>
                <w:sz w:val="20"/>
                <w:szCs w:val="20"/>
              </w:rPr>
            </w:pPr>
          </w:p>
        </w:tc>
        <w:tc>
          <w:tcPr>
            <w:tcW w:w="2697" w:type="pct"/>
            <w:vAlign w:val="center"/>
            <w:hideMark/>
          </w:tcPr>
          <w:p w14:paraId="4BB98949" w14:textId="77777777" w:rsidR="00000000" w:rsidRDefault="009B6C69">
            <w:pPr>
              <w:spacing w:after="100"/>
              <w:rPr>
                <w:rFonts w:eastAsia="Times New Roman"/>
                <w:sz w:val="20"/>
                <w:szCs w:val="20"/>
              </w:rPr>
            </w:pPr>
          </w:p>
        </w:tc>
        <w:tc>
          <w:tcPr>
            <w:tcW w:w="5" w:type="pct"/>
            <w:vAlign w:val="center"/>
            <w:hideMark/>
          </w:tcPr>
          <w:p w14:paraId="27D4A34B" w14:textId="77777777" w:rsidR="00000000" w:rsidRDefault="009B6C69">
            <w:pPr>
              <w:spacing w:after="100"/>
              <w:rPr>
                <w:rFonts w:eastAsia="Times New Roman"/>
                <w:sz w:val="20"/>
                <w:szCs w:val="20"/>
              </w:rPr>
            </w:pPr>
          </w:p>
        </w:tc>
        <w:tc>
          <w:tcPr>
            <w:tcW w:w="5" w:type="pct"/>
            <w:vAlign w:val="center"/>
            <w:hideMark/>
          </w:tcPr>
          <w:p w14:paraId="23892BB2" w14:textId="77777777" w:rsidR="00000000" w:rsidRDefault="009B6C69">
            <w:pPr>
              <w:spacing w:after="100"/>
              <w:rPr>
                <w:rFonts w:eastAsia="Times New Roman"/>
                <w:sz w:val="20"/>
                <w:szCs w:val="20"/>
              </w:rPr>
            </w:pPr>
          </w:p>
        </w:tc>
        <w:tc>
          <w:tcPr>
            <w:tcW w:w="27" w:type="pct"/>
            <w:vAlign w:val="center"/>
            <w:hideMark/>
          </w:tcPr>
          <w:p w14:paraId="605E0F06" w14:textId="77777777" w:rsidR="00000000" w:rsidRDefault="009B6C69">
            <w:pPr>
              <w:spacing w:after="100"/>
              <w:rPr>
                <w:rFonts w:eastAsia="Times New Roman"/>
                <w:sz w:val="20"/>
                <w:szCs w:val="20"/>
              </w:rPr>
            </w:pPr>
          </w:p>
        </w:tc>
        <w:tc>
          <w:tcPr>
            <w:tcW w:w="5" w:type="pct"/>
            <w:vAlign w:val="center"/>
            <w:hideMark/>
          </w:tcPr>
          <w:p w14:paraId="13733E56" w14:textId="77777777" w:rsidR="00000000" w:rsidRDefault="009B6C69">
            <w:pPr>
              <w:spacing w:after="100"/>
              <w:rPr>
                <w:rFonts w:eastAsia="Times New Roman"/>
                <w:sz w:val="20"/>
                <w:szCs w:val="20"/>
              </w:rPr>
            </w:pPr>
          </w:p>
        </w:tc>
        <w:tc>
          <w:tcPr>
            <w:tcW w:w="50" w:type="pct"/>
            <w:vAlign w:val="center"/>
            <w:hideMark/>
          </w:tcPr>
          <w:p w14:paraId="472B24F6" w14:textId="77777777" w:rsidR="00000000" w:rsidRDefault="009B6C69">
            <w:pPr>
              <w:spacing w:after="100"/>
              <w:rPr>
                <w:rFonts w:eastAsia="Times New Roman"/>
                <w:sz w:val="20"/>
                <w:szCs w:val="20"/>
              </w:rPr>
            </w:pPr>
          </w:p>
        </w:tc>
        <w:tc>
          <w:tcPr>
            <w:tcW w:w="242" w:type="pct"/>
            <w:vAlign w:val="center"/>
            <w:hideMark/>
          </w:tcPr>
          <w:p w14:paraId="5D35C24A" w14:textId="77777777" w:rsidR="00000000" w:rsidRDefault="009B6C69">
            <w:pPr>
              <w:spacing w:after="100"/>
              <w:rPr>
                <w:rFonts w:eastAsia="Times New Roman"/>
                <w:sz w:val="20"/>
                <w:szCs w:val="20"/>
              </w:rPr>
            </w:pPr>
          </w:p>
        </w:tc>
        <w:tc>
          <w:tcPr>
            <w:tcW w:w="5" w:type="pct"/>
            <w:vAlign w:val="center"/>
            <w:hideMark/>
          </w:tcPr>
          <w:p w14:paraId="726B7150" w14:textId="77777777" w:rsidR="00000000" w:rsidRDefault="009B6C69">
            <w:pPr>
              <w:spacing w:after="100"/>
              <w:rPr>
                <w:rFonts w:eastAsia="Times New Roman"/>
                <w:sz w:val="20"/>
                <w:szCs w:val="20"/>
              </w:rPr>
            </w:pPr>
          </w:p>
        </w:tc>
        <w:tc>
          <w:tcPr>
            <w:tcW w:w="5" w:type="pct"/>
            <w:vAlign w:val="center"/>
            <w:hideMark/>
          </w:tcPr>
          <w:p w14:paraId="1EE70180" w14:textId="77777777" w:rsidR="00000000" w:rsidRDefault="009B6C69">
            <w:pPr>
              <w:spacing w:after="100"/>
              <w:rPr>
                <w:rFonts w:eastAsia="Times New Roman"/>
                <w:sz w:val="20"/>
                <w:szCs w:val="20"/>
              </w:rPr>
            </w:pPr>
          </w:p>
        </w:tc>
        <w:tc>
          <w:tcPr>
            <w:tcW w:w="27" w:type="pct"/>
            <w:vAlign w:val="center"/>
            <w:hideMark/>
          </w:tcPr>
          <w:p w14:paraId="1F3153A9" w14:textId="77777777" w:rsidR="00000000" w:rsidRDefault="009B6C69">
            <w:pPr>
              <w:spacing w:after="100"/>
              <w:rPr>
                <w:rFonts w:eastAsia="Times New Roman"/>
                <w:sz w:val="20"/>
                <w:szCs w:val="20"/>
              </w:rPr>
            </w:pPr>
          </w:p>
        </w:tc>
        <w:tc>
          <w:tcPr>
            <w:tcW w:w="5" w:type="pct"/>
            <w:vAlign w:val="center"/>
            <w:hideMark/>
          </w:tcPr>
          <w:p w14:paraId="42632ACC" w14:textId="77777777" w:rsidR="00000000" w:rsidRDefault="009B6C69">
            <w:pPr>
              <w:spacing w:after="100"/>
              <w:rPr>
                <w:rFonts w:eastAsia="Times New Roman"/>
                <w:sz w:val="20"/>
                <w:szCs w:val="20"/>
              </w:rPr>
            </w:pPr>
          </w:p>
        </w:tc>
        <w:tc>
          <w:tcPr>
            <w:tcW w:w="50" w:type="pct"/>
            <w:vAlign w:val="center"/>
            <w:hideMark/>
          </w:tcPr>
          <w:p w14:paraId="716DBAFC" w14:textId="77777777" w:rsidR="00000000" w:rsidRDefault="009B6C69">
            <w:pPr>
              <w:spacing w:after="100"/>
              <w:rPr>
                <w:rFonts w:eastAsia="Times New Roman"/>
                <w:sz w:val="20"/>
                <w:szCs w:val="20"/>
              </w:rPr>
            </w:pPr>
          </w:p>
        </w:tc>
        <w:tc>
          <w:tcPr>
            <w:tcW w:w="458" w:type="pct"/>
            <w:vAlign w:val="center"/>
            <w:hideMark/>
          </w:tcPr>
          <w:p w14:paraId="19AB3E73" w14:textId="77777777" w:rsidR="00000000" w:rsidRDefault="009B6C69">
            <w:pPr>
              <w:spacing w:after="100"/>
              <w:rPr>
                <w:rFonts w:eastAsia="Times New Roman"/>
                <w:sz w:val="20"/>
                <w:szCs w:val="20"/>
              </w:rPr>
            </w:pPr>
          </w:p>
        </w:tc>
        <w:tc>
          <w:tcPr>
            <w:tcW w:w="5" w:type="pct"/>
            <w:vAlign w:val="center"/>
            <w:hideMark/>
          </w:tcPr>
          <w:p w14:paraId="598780A4" w14:textId="77777777" w:rsidR="00000000" w:rsidRDefault="009B6C69">
            <w:pPr>
              <w:spacing w:after="100"/>
              <w:rPr>
                <w:rFonts w:eastAsia="Times New Roman"/>
                <w:sz w:val="20"/>
                <w:szCs w:val="20"/>
              </w:rPr>
            </w:pPr>
          </w:p>
        </w:tc>
        <w:tc>
          <w:tcPr>
            <w:tcW w:w="5" w:type="pct"/>
            <w:vAlign w:val="center"/>
            <w:hideMark/>
          </w:tcPr>
          <w:p w14:paraId="3E5EFCA1" w14:textId="77777777" w:rsidR="00000000" w:rsidRDefault="009B6C69">
            <w:pPr>
              <w:spacing w:after="100"/>
              <w:rPr>
                <w:rFonts w:eastAsia="Times New Roman"/>
                <w:sz w:val="20"/>
                <w:szCs w:val="20"/>
              </w:rPr>
            </w:pPr>
          </w:p>
        </w:tc>
        <w:tc>
          <w:tcPr>
            <w:tcW w:w="27" w:type="pct"/>
            <w:vAlign w:val="center"/>
            <w:hideMark/>
          </w:tcPr>
          <w:p w14:paraId="5D0E794A" w14:textId="77777777" w:rsidR="00000000" w:rsidRDefault="009B6C69">
            <w:pPr>
              <w:spacing w:after="100"/>
              <w:rPr>
                <w:rFonts w:eastAsia="Times New Roman"/>
                <w:sz w:val="20"/>
                <w:szCs w:val="20"/>
              </w:rPr>
            </w:pPr>
          </w:p>
        </w:tc>
        <w:tc>
          <w:tcPr>
            <w:tcW w:w="5" w:type="pct"/>
            <w:vAlign w:val="center"/>
            <w:hideMark/>
          </w:tcPr>
          <w:p w14:paraId="0F4FECB2" w14:textId="77777777" w:rsidR="00000000" w:rsidRDefault="009B6C69">
            <w:pPr>
              <w:spacing w:after="100"/>
              <w:rPr>
                <w:rFonts w:eastAsia="Times New Roman"/>
                <w:sz w:val="20"/>
                <w:szCs w:val="20"/>
              </w:rPr>
            </w:pPr>
          </w:p>
        </w:tc>
        <w:tc>
          <w:tcPr>
            <w:tcW w:w="50" w:type="pct"/>
            <w:vAlign w:val="center"/>
            <w:hideMark/>
          </w:tcPr>
          <w:p w14:paraId="08380FDB" w14:textId="77777777" w:rsidR="00000000" w:rsidRDefault="009B6C69">
            <w:pPr>
              <w:spacing w:after="100"/>
              <w:rPr>
                <w:rFonts w:eastAsia="Times New Roman"/>
                <w:sz w:val="20"/>
                <w:szCs w:val="20"/>
              </w:rPr>
            </w:pPr>
          </w:p>
        </w:tc>
        <w:tc>
          <w:tcPr>
            <w:tcW w:w="361" w:type="pct"/>
            <w:vAlign w:val="center"/>
            <w:hideMark/>
          </w:tcPr>
          <w:p w14:paraId="69C4F7F5" w14:textId="77777777" w:rsidR="00000000" w:rsidRDefault="009B6C69">
            <w:pPr>
              <w:spacing w:after="100"/>
              <w:rPr>
                <w:rFonts w:eastAsia="Times New Roman"/>
                <w:sz w:val="20"/>
                <w:szCs w:val="20"/>
              </w:rPr>
            </w:pPr>
          </w:p>
        </w:tc>
        <w:tc>
          <w:tcPr>
            <w:tcW w:w="5" w:type="pct"/>
            <w:vAlign w:val="center"/>
            <w:hideMark/>
          </w:tcPr>
          <w:p w14:paraId="44696312" w14:textId="77777777" w:rsidR="00000000" w:rsidRDefault="009B6C69">
            <w:pPr>
              <w:spacing w:after="100"/>
              <w:rPr>
                <w:rFonts w:eastAsia="Times New Roman"/>
                <w:sz w:val="20"/>
                <w:szCs w:val="20"/>
              </w:rPr>
            </w:pPr>
          </w:p>
        </w:tc>
        <w:tc>
          <w:tcPr>
            <w:tcW w:w="5" w:type="pct"/>
            <w:vAlign w:val="center"/>
            <w:hideMark/>
          </w:tcPr>
          <w:p w14:paraId="1A0A870D" w14:textId="77777777" w:rsidR="00000000" w:rsidRDefault="009B6C69">
            <w:pPr>
              <w:spacing w:after="100"/>
              <w:rPr>
                <w:rFonts w:eastAsia="Times New Roman"/>
                <w:sz w:val="20"/>
                <w:szCs w:val="20"/>
              </w:rPr>
            </w:pPr>
          </w:p>
        </w:tc>
        <w:tc>
          <w:tcPr>
            <w:tcW w:w="27" w:type="pct"/>
            <w:vAlign w:val="center"/>
            <w:hideMark/>
          </w:tcPr>
          <w:p w14:paraId="20EBCB93" w14:textId="77777777" w:rsidR="00000000" w:rsidRDefault="009B6C69">
            <w:pPr>
              <w:spacing w:after="100"/>
              <w:rPr>
                <w:rFonts w:eastAsia="Times New Roman"/>
                <w:sz w:val="20"/>
                <w:szCs w:val="20"/>
              </w:rPr>
            </w:pPr>
          </w:p>
        </w:tc>
        <w:tc>
          <w:tcPr>
            <w:tcW w:w="5" w:type="pct"/>
            <w:vAlign w:val="center"/>
            <w:hideMark/>
          </w:tcPr>
          <w:p w14:paraId="10ED95AE" w14:textId="77777777" w:rsidR="00000000" w:rsidRDefault="009B6C69">
            <w:pPr>
              <w:spacing w:after="100"/>
              <w:rPr>
                <w:rFonts w:eastAsia="Times New Roman"/>
                <w:sz w:val="20"/>
                <w:szCs w:val="20"/>
              </w:rPr>
            </w:pPr>
          </w:p>
        </w:tc>
        <w:tc>
          <w:tcPr>
            <w:tcW w:w="50" w:type="pct"/>
            <w:vAlign w:val="center"/>
            <w:hideMark/>
          </w:tcPr>
          <w:p w14:paraId="0593EE6F" w14:textId="77777777" w:rsidR="00000000" w:rsidRDefault="009B6C69">
            <w:pPr>
              <w:spacing w:after="100"/>
              <w:rPr>
                <w:rFonts w:eastAsia="Times New Roman"/>
                <w:sz w:val="20"/>
                <w:szCs w:val="20"/>
              </w:rPr>
            </w:pPr>
          </w:p>
        </w:tc>
        <w:tc>
          <w:tcPr>
            <w:tcW w:w="384" w:type="pct"/>
            <w:vAlign w:val="center"/>
            <w:hideMark/>
          </w:tcPr>
          <w:p w14:paraId="172ED0F9" w14:textId="77777777" w:rsidR="00000000" w:rsidRDefault="009B6C69">
            <w:pPr>
              <w:spacing w:after="100"/>
              <w:rPr>
                <w:rFonts w:eastAsia="Times New Roman"/>
                <w:sz w:val="20"/>
                <w:szCs w:val="20"/>
              </w:rPr>
            </w:pPr>
          </w:p>
        </w:tc>
        <w:tc>
          <w:tcPr>
            <w:tcW w:w="5" w:type="pct"/>
            <w:vAlign w:val="center"/>
            <w:hideMark/>
          </w:tcPr>
          <w:p w14:paraId="7A13A038" w14:textId="77777777" w:rsidR="00000000" w:rsidRDefault="009B6C69">
            <w:pPr>
              <w:spacing w:after="100"/>
              <w:rPr>
                <w:rFonts w:eastAsia="Times New Roman"/>
                <w:sz w:val="20"/>
                <w:szCs w:val="20"/>
              </w:rPr>
            </w:pPr>
          </w:p>
        </w:tc>
      </w:tr>
      <w:tr w:rsidR="00000000" w14:paraId="78E6CCEA" w14:textId="77777777">
        <w:trPr>
          <w:divId w:val="135732122"/>
        </w:trPr>
        <w:tc>
          <w:tcPr>
            <w:tcW w:w="0" w:type="auto"/>
            <w:gridSpan w:val="3"/>
            <w:tcBorders>
              <w:bottom w:val="single" w:sz="8" w:space="0" w:color="000000"/>
            </w:tcBorders>
            <w:tcMar>
              <w:top w:w="30" w:type="dxa"/>
              <w:left w:w="20" w:type="dxa"/>
              <w:bottom w:w="30" w:type="dxa"/>
              <w:right w:w="20" w:type="dxa"/>
            </w:tcMar>
            <w:hideMark/>
          </w:tcPr>
          <w:p w14:paraId="52D7FCBE" w14:textId="77777777" w:rsidR="00000000" w:rsidRDefault="009B6C69">
            <w:pPr>
              <w:spacing w:after="100"/>
              <w:jc w:val="center"/>
              <w:rPr>
                <w:rFonts w:eastAsia="Times New Roman"/>
              </w:rPr>
            </w:pPr>
            <w:r>
              <w:rPr>
                <w:rFonts w:eastAsia="Times New Roman"/>
                <w:b/>
                <w:bCs/>
                <w:color w:val="000000"/>
                <w:sz w:val="18"/>
                <w:szCs w:val="18"/>
              </w:rPr>
              <w:t xml:space="preserve">Exhibit </w:t>
            </w:r>
            <w:r>
              <w:rPr>
                <w:rFonts w:eastAsia="Times New Roman"/>
                <w:b/>
                <w:bCs/>
                <w:color w:val="000000"/>
                <w:sz w:val="18"/>
                <w:szCs w:val="18"/>
              </w:rPr>
              <w:br/>
              <w:t>Number</w:t>
            </w:r>
          </w:p>
        </w:tc>
        <w:tc>
          <w:tcPr>
            <w:tcW w:w="0" w:type="auto"/>
            <w:gridSpan w:val="3"/>
            <w:tcMar>
              <w:top w:w="30" w:type="dxa"/>
              <w:left w:w="20" w:type="dxa"/>
              <w:bottom w:w="30" w:type="dxa"/>
              <w:right w:w="20" w:type="dxa"/>
            </w:tcMar>
            <w:hideMark/>
          </w:tcPr>
          <w:p w14:paraId="4307F843" w14:textId="77777777" w:rsidR="00000000" w:rsidRDefault="009B6C69">
            <w:pPr>
              <w:spacing w:after="100"/>
              <w:rPr>
                <w:rFonts w:eastAsia="Times New Roman"/>
              </w:rPr>
            </w:pPr>
            <w:r>
              <w:rPr>
                <w:rFonts w:eastAsia="Times New Roman"/>
                <w:color w:val="000000"/>
                <w:sz w:val="18"/>
                <w:szCs w:val="18"/>
              </w:rPr>
              <w:t> </w:t>
            </w:r>
          </w:p>
        </w:tc>
        <w:tc>
          <w:tcPr>
            <w:tcW w:w="0" w:type="auto"/>
            <w:gridSpan w:val="3"/>
            <w:tcBorders>
              <w:bottom w:val="single" w:sz="8" w:space="0" w:color="000000"/>
            </w:tcBorders>
            <w:tcMar>
              <w:top w:w="30" w:type="dxa"/>
              <w:left w:w="20" w:type="dxa"/>
              <w:bottom w:w="30" w:type="dxa"/>
              <w:right w:w="20" w:type="dxa"/>
            </w:tcMar>
            <w:vAlign w:val="bottom"/>
            <w:hideMark/>
          </w:tcPr>
          <w:p w14:paraId="23CC0A1E" w14:textId="77777777" w:rsidR="00000000" w:rsidRDefault="009B6C69">
            <w:pPr>
              <w:spacing w:after="100"/>
              <w:jc w:val="center"/>
              <w:rPr>
                <w:rFonts w:eastAsia="Times New Roman"/>
              </w:rPr>
            </w:pPr>
            <w:r>
              <w:rPr>
                <w:rFonts w:eastAsia="Times New Roman"/>
                <w:b/>
                <w:bCs/>
                <w:color w:val="000000"/>
                <w:sz w:val="18"/>
                <w:szCs w:val="18"/>
              </w:rPr>
              <w:t>Exhibit Description</w:t>
            </w:r>
          </w:p>
        </w:tc>
        <w:tc>
          <w:tcPr>
            <w:tcW w:w="0" w:type="auto"/>
            <w:gridSpan w:val="3"/>
            <w:tcMar>
              <w:top w:w="0" w:type="dxa"/>
              <w:left w:w="20" w:type="dxa"/>
              <w:bottom w:w="0" w:type="dxa"/>
              <w:right w:w="20" w:type="dxa"/>
            </w:tcMar>
            <w:vAlign w:val="center"/>
            <w:hideMark/>
          </w:tcPr>
          <w:p w14:paraId="65ACEA54" w14:textId="77777777" w:rsidR="00000000" w:rsidRDefault="009B6C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5A672A8" w14:textId="77777777" w:rsidR="00000000" w:rsidRDefault="009B6C69">
            <w:pPr>
              <w:spacing w:after="100"/>
              <w:jc w:val="center"/>
              <w:rPr>
                <w:rFonts w:eastAsia="Times New Roman"/>
              </w:rPr>
            </w:pPr>
            <w:r>
              <w:rPr>
                <w:rFonts w:eastAsia="Times New Roman"/>
                <w:b/>
                <w:bCs/>
                <w:color w:val="000000"/>
                <w:sz w:val="18"/>
                <w:szCs w:val="18"/>
              </w:rPr>
              <w:t>Form</w:t>
            </w:r>
          </w:p>
        </w:tc>
        <w:tc>
          <w:tcPr>
            <w:tcW w:w="0" w:type="auto"/>
            <w:gridSpan w:val="3"/>
            <w:tcMar>
              <w:top w:w="0" w:type="dxa"/>
              <w:left w:w="20" w:type="dxa"/>
              <w:bottom w:w="0" w:type="dxa"/>
              <w:right w:w="20" w:type="dxa"/>
            </w:tcMar>
            <w:vAlign w:val="center"/>
            <w:hideMark/>
          </w:tcPr>
          <w:p w14:paraId="4D895E36" w14:textId="77777777" w:rsidR="00000000" w:rsidRDefault="009B6C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29F02CE3" w14:textId="77777777" w:rsidR="00000000" w:rsidRDefault="009B6C69">
            <w:pPr>
              <w:spacing w:after="100"/>
              <w:jc w:val="center"/>
              <w:rPr>
                <w:rFonts w:eastAsia="Times New Roman"/>
              </w:rPr>
            </w:pPr>
            <w:r>
              <w:rPr>
                <w:rFonts w:eastAsia="Times New Roman"/>
                <w:b/>
                <w:bCs/>
                <w:color w:val="000000"/>
                <w:sz w:val="18"/>
                <w:szCs w:val="18"/>
              </w:rPr>
              <w:t>Date of First Filing</w:t>
            </w:r>
          </w:p>
        </w:tc>
        <w:tc>
          <w:tcPr>
            <w:tcW w:w="0" w:type="auto"/>
            <w:gridSpan w:val="3"/>
            <w:tcMar>
              <w:top w:w="0" w:type="dxa"/>
              <w:left w:w="20" w:type="dxa"/>
              <w:bottom w:w="0" w:type="dxa"/>
              <w:right w:w="20" w:type="dxa"/>
            </w:tcMar>
            <w:vAlign w:val="center"/>
            <w:hideMark/>
          </w:tcPr>
          <w:p w14:paraId="7DF6D02F" w14:textId="77777777" w:rsidR="00000000" w:rsidRDefault="009B6C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09DA579" w14:textId="77777777" w:rsidR="00000000" w:rsidRDefault="009B6C69">
            <w:pPr>
              <w:spacing w:after="100"/>
              <w:jc w:val="center"/>
              <w:rPr>
                <w:rFonts w:eastAsia="Times New Roman"/>
              </w:rPr>
            </w:pPr>
            <w:r>
              <w:rPr>
                <w:rFonts w:eastAsia="Times New Roman"/>
                <w:b/>
                <w:bCs/>
                <w:color w:val="000000"/>
                <w:sz w:val="18"/>
                <w:szCs w:val="18"/>
              </w:rPr>
              <w:t>Exhibit Number</w:t>
            </w:r>
          </w:p>
        </w:tc>
        <w:tc>
          <w:tcPr>
            <w:tcW w:w="0" w:type="auto"/>
            <w:gridSpan w:val="3"/>
            <w:tcMar>
              <w:top w:w="0" w:type="dxa"/>
              <w:left w:w="20" w:type="dxa"/>
              <w:bottom w:w="0" w:type="dxa"/>
              <w:right w:w="20" w:type="dxa"/>
            </w:tcMar>
            <w:vAlign w:val="center"/>
            <w:hideMark/>
          </w:tcPr>
          <w:p w14:paraId="3AE1B2F4" w14:textId="77777777" w:rsidR="00000000" w:rsidRDefault="009B6C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F9B039E" w14:textId="77777777" w:rsidR="00000000" w:rsidRDefault="009B6C69">
            <w:pPr>
              <w:spacing w:after="100"/>
              <w:jc w:val="center"/>
              <w:rPr>
                <w:rFonts w:eastAsia="Times New Roman"/>
              </w:rPr>
            </w:pPr>
            <w:r>
              <w:rPr>
                <w:rFonts w:eastAsia="Times New Roman"/>
                <w:b/>
                <w:bCs/>
                <w:color w:val="000000"/>
                <w:sz w:val="18"/>
                <w:szCs w:val="18"/>
              </w:rPr>
              <w:t>Filed Herewith</w:t>
            </w:r>
          </w:p>
        </w:tc>
      </w:tr>
      <w:tr w:rsidR="00000000" w14:paraId="36F8FA74" w14:textId="77777777">
        <w:trPr>
          <w:divId w:val="135732122"/>
        </w:trPr>
        <w:tc>
          <w:tcPr>
            <w:tcW w:w="0" w:type="auto"/>
            <w:gridSpan w:val="3"/>
            <w:shd w:val="clear" w:color="auto" w:fill="FFFFFF"/>
            <w:tcMar>
              <w:top w:w="30" w:type="dxa"/>
              <w:left w:w="20" w:type="dxa"/>
              <w:bottom w:w="30" w:type="dxa"/>
              <w:right w:w="20" w:type="dxa"/>
            </w:tcMar>
            <w:hideMark/>
          </w:tcPr>
          <w:p w14:paraId="49502B69" w14:textId="77777777" w:rsidR="00000000" w:rsidRDefault="009B6C69">
            <w:pPr>
              <w:spacing w:after="100"/>
              <w:jc w:val="center"/>
              <w:rPr>
                <w:rFonts w:eastAsia="Times New Roman"/>
              </w:rPr>
            </w:pPr>
            <w:r>
              <w:rPr>
                <w:rFonts w:eastAsia="Times New Roman"/>
                <w:color w:val="000000"/>
                <w:sz w:val="18"/>
                <w:szCs w:val="18"/>
              </w:rPr>
              <w:t>4.20</w:t>
            </w:r>
          </w:p>
        </w:tc>
        <w:tc>
          <w:tcPr>
            <w:tcW w:w="0" w:type="auto"/>
            <w:gridSpan w:val="3"/>
            <w:shd w:val="clear" w:color="auto" w:fill="FFFFFF"/>
            <w:tcMar>
              <w:top w:w="0" w:type="dxa"/>
              <w:left w:w="20" w:type="dxa"/>
              <w:bottom w:w="0" w:type="dxa"/>
              <w:right w:w="20" w:type="dxa"/>
            </w:tcMar>
            <w:vAlign w:val="center"/>
            <w:hideMark/>
          </w:tcPr>
          <w:p w14:paraId="239E4578"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9DBDCC5" w14:textId="77777777" w:rsidR="00000000" w:rsidRDefault="009B6C69">
            <w:pPr>
              <w:spacing w:after="100"/>
              <w:divId w:val="1087461707"/>
              <w:rPr>
                <w:rFonts w:eastAsia="Times New Roman"/>
              </w:rPr>
            </w:pPr>
            <w:hyperlink r:id="rId29" w:history="1">
              <w:r>
                <w:rPr>
                  <w:rStyle w:val="a3"/>
                  <w:rFonts w:eastAsia="Times New Roman"/>
                  <w:sz w:val="18"/>
                  <w:szCs w:val="18"/>
                </w:rPr>
                <w:t>Form of 1.650% Notes due 2032.</w:t>
              </w:r>
            </w:hyperlink>
          </w:p>
        </w:tc>
        <w:tc>
          <w:tcPr>
            <w:tcW w:w="0" w:type="auto"/>
            <w:gridSpan w:val="3"/>
            <w:shd w:val="clear" w:color="auto" w:fill="FFFFFF"/>
            <w:tcMar>
              <w:top w:w="0" w:type="dxa"/>
              <w:left w:w="20" w:type="dxa"/>
              <w:bottom w:w="0" w:type="dxa"/>
              <w:right w:w="20" w:type="dxa"/>
            </w:tcMar>
            <w:vAlign w:val="center"/>
            <w:hideMark/>
          </w:tcPr>
          <w:p w14:paraId="52B132AE"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2F21121" w14:textId="77777777" w:rsidR="00000000" w:rsidRDefault="009B6C69">
            <w:pPr>
              <w:spacing w:after="100"/>
              <w:jc w:val="cente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14:paraId="4B88099C"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CE591CB" w14:textId="77777777" w:rsidR="00000000" w:rsidRDefault="009B6C69">
            <w:pPr>
              <w:spacing w:after="100"/>
              <w:jc w:val="center"/>
              <w:rPr>
                <w:rFonts w:eastAsia="Times New Roman"/>
              </w:rPr>
            </w:pPr>
            <w:r>
              <w:rPr>
                <w:rFonts w:eastAsia="Times New Roman"/>
                <w:color w:val="000000"/>
                <w:sz w:val="18"/>
                <w:szCs w:val="18"/>
              </w:rPr>
              <w:t>2/3/2021</w:t>
            </w:r>
          </w:p>
        </w:tc>
        <w:tc>
          <w:tcPr>
            <w:tcW w:w="0" w:type="auto"/>
            <w:gridSpan w:val="3"/>
            <w:shd w:val="clear" w:color="auto" w:fill="FFFFFF"/>
            <w:tcMar>
              <w:top w:w="0" w:type="dxa"/>
              <w:left w:w="20" w:type="dxa"/>
              <w:bottom w:w="0" w:type="dxa"/>
              <w:right w:w="20" w:type="dxa"/>
            </w:tcMar>
            <w:vAlign w:val="center"/>
            <w:hideMark/>
          </w:tcPr>
          <w:p w14:paraId="4E16F6B5"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2034F0D" w14:textId="77777777" w:rsidR="00000000" w:rsidRDefault="009B6C69">
            <w:pPr>
              <w:spacing w:after="100"/>
              <w:jc w:val="center"/>
              <w:rPr>
                <w:rFonts w:eastAsia="Times New Roman"/>
              </w:rPr>
            </w:pPr>
            <w:r>
              <w:rPr>
                <w:rFonts w:eastAsia="Times New Roman"/>
                <w:color w:val="000000"/>
                <w:sz w:val="18"/>
                <w:szCs w:val="18"/>
              </w:rPr>
              <w:t>4.25</w:t>
            </w:r>
          </w:p>
        </w:tc>
        <w:tc>
          <w:tcPr>
            <w:tcW w:w="0" w:type="auto"/>
            <w:gridSpan w:val="3"/>
            <w:shd w:val="clear" w:color="auto" w:fill="FFFFFF"/>
            <w:tcMar>
              <w:top w:w="0" w:type="dxa"/>
              <w:left w:w="20" w:type="dxa"/>
              <w:bottom w:w="0" w:type="dxa"/>
              <w:right w:w="20" w:type="dxa"/>
            </w:tcMar>
            <w:vAlign w:val="center"/>
            <w:hideMark/>
          </w:tcPr>
          <w:p w14:paraId="33FC82A3"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2C63AE" w14:textId="77777777" w:rsidR="00000000" w:rsidRDefault="009B6C69">
            <w:pPr>
              <w:spacing w:after="100"/>
              <w:rPr>
                <w:rFonts w:eastAsia="Times New Roman"/>
                <w:sz w:val="20"/>
                <w:szCs w:val="20"/>
              </w:rPr>
            </w:pPr>
          </w:p>
        </w:tc>
      </w:tr>
      <w:tr w:rsidR="00000000" w14:paraId="34D18147" w14:textId="77777777">
        <w:trPr>
          <w:divId w:val="135732122"/>
        </w:trPr>
        <w:tc>
          <w:tcPr>
            <w:tcW w:w="0" w:type="auto"/>
            <w:gridSpan w:val="3"/>
            <w:shd w:val="clear" w:color="auto" w:fill="CCEEFF"/>
            <w:tcMar>
              <w:top w:w="30" w:type="dxa"/>
              <w:left w:w="20" w:type="dxa"/>
              <w:bottom w:w="30" w:type="dxa"/>
              <w:right w:w="20" w:type="dxa"/>
            </w:tcMar>
            <w:hideMark/>
          </w:tcPr>
          <w:p w14:paraId="08AD11E1" w14:textId="77777777" w:rsidR="00000000" w:rsidRDefault="009B6C69">
            <w:pPr>
              <w:spacing w:after="100"/>
              <w:jc w:val="center"/>
              <w:rPr>
                <w:rFonts w:eastAsia="Times New Roman"/>
              </w:rPr>
            </w:pPr>
            <w:r>
              <w:rPr>
                <w:rFonts w:eastAsia="Times New Roman"/>
                <w:color w:val="000000"/>
                <w:sz w:val="18"/>
                <w:szCs w:val="18"/>
              </w:rPr>
              <w:t>4.21</w:t>
            </w:r>
          </w:p>
        </w:tc>
        <w:tc>
          <w:tcPr>
            <w:tcW w:w="0" w:type="auto"/>
            <w:gridSpan w:val="3"/>
            <w:shd w:val="clear" w:color="auto" w:fill="CCEEFF"/>
            <w:tcMar>
              <w:top w:w="0" w:type="dxa"/>
              <w:left w:w="20" w:type="dxa"/>
              <w:bottom w:w="0" w:type="dxa"/>
              <w:right w:w="20" w:type="dxa"/>
            </w:tcMar>
            <w:vAlign w:val="center"/>
            <w:hideMark/>
          </w:tcPr>
          <w:p w14:paraId="7293A121"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4995844" w14:textId="77777777" w:rsidR="00000000" w:rsidRDefault="009B6C69">
            <w:pPr>
              <w:spacing w:after="100"/>
              <w:divId w:val="1188761887"/>
              <w:rPr>
                <w:rFonts w:eastAsia="Times New Roman"/>
              </w:rPr>
            </w:pPr>
            <w:hyperlink r:id="rId30" w:history="1">
              <w:r>
                <w:rPr>
                  <w:rStyle w:val="a3"/>
                  <w:rFonts w:eastAsia="Times New Roman"/>
                  <w:sz w:val="18"/>
                  <w:szCs w:val="18"/>
                </w:rPr>
                <w:t>Officers’ Certificate, dated May 9, 2022, for the 4.250% Notes due 2032 and the 4.500% Notes due 2052.</w:t>
              </w:r>
            </w:hyperlink>
          </w:p>
        </w:tc>
        <w:tc>
          <w:tcPr>
            <w:tcW w:w="0" w:type="auto"/>
            <w:gridSpan w:val="3"/>
            <w:shd w:val="clear" w:color="auto" w:fill="CCEEFF"/>
            <w:tcMar>
              <w:top w:w="0" w:type="dxa"/>
              <w:left w:w="20" w:type="dxa"/>
              <w:bottom w:w="0" w:type="dxa"/>
              <w:right w:w="20" w:type="dxa"/>
            </w:tcMar>
            <w:vAlign w:val="center"/>
            <w:hideMark/>
          </w:tcPr>
          <w:p w14:paraId="29DBE41F"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73CB54AC"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14:paraId="5A7C3B66"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AFFAE10" w14:textId="77777777" w:rsidR="00000000" w:rsidRDefault="009B6C69">
            <w:pPr>
              <w:spacing w:after="100"/>
              <w:jc w:val="center"/>
              <w:rPr>
                <w:rFonts w:eastAsia="Times New Roman"/>
              </w:rPr>
            </w:pPr>
            <w:r>
              <w:rPr>
                <w:rFonts w:eastAsia="Times New Roman"/>
                <w:color w:val="000000"/>
                <w:sz w:val="18"/>
                <w:szCs w:val="18"/>
              </w:rPr>
              <w:t>5/9/2022</w:t>
            </w:r>
          </w:p>
        </w:tc>
        <w:tc>
          <w:tcPr>
            <w:tcW w:w="0" w:type="auto"/>
            <w:gridSpan w:val="3"/>
            <w:shd w:val="clear" w:color="auto" w:fill="CCEEFF"/>
            <w:tcMar>
              <w:top w:w="0" w:type="dxa"/>
              <w:left w:w="20" w:type="dxa"/>
              <w:bottom w:w="0" w:type="dxa"/>
              <w:right w:w="20" w:type="dxa"/>
            </w:tcMar>
            <w:vAlign w:val="center"/>
            <w:hideMark/>
          </w:tcPr>
          <w:p w14:paraId="6DC59F3C"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17AB1B7" w14:textId="77777777" w:rsidR="00000000" w:rsidRDefault="009B6C69">
            <w:pPr>
              <w:spacing w:after="100"/>
              <w:jc w:val="center"/>
              <w:rPr>
                <w:rFonts w:eastAsia="Times New Roman"/>
              </w:rPr>
            </w:pPr>
            <w:r>
              <w:rPr>
                <w:rFonts w:eastAsia="Times New Roman"/>
                <w:color w:val="000000"/>
                <w:sz w:val="18"/>
                <w:szCs w:val="18"/>
              </w:rPr>
              <w:t>4.2</w:t>
            </w:r>
          </w:p>
        </w:tc>
        <w:tc>
          <w:tcPr>
            <w:tcW w:w="0" w:type="auto"/>
            <w:gridSpan w:val="3"/>
            <w:shd w:val="clear" w:color="auto" w:fill="CCEEFF"/>
            <w:tcMar>
              <w:top w:w="0" w:type="dxa"/>
              <w:left w:w="20" w:type="dxa"/>
              <w:bottom w:w="0" w:type="dxa"/>
              <w:right w:w="20" w:type="dxa"/>
            </w:tcMar>
            <w:vAlign w:val="center"/>
            <w:hideMark/>
          </w:tcPr>
          <w:p w14:paraId="6B008920"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99940D" w14:textId="77777777" w:rsidR="00000000" w:rsidRDefault="009B6C69">
            <w:pPr>
              <w:spacing w:after="100"/>
              <w:rPr>
                <w:rFonts w:eastAsia="Times New Roman"/>
                <w:sz w:val="20"/>
                <w:szCs w:val="20"/>
              </w:rPr>
            </w:pPr>
          </w:p>
        </w:tc>
      </w:tr>
      <w:tr w:rsidR="00000000" w14:paraId="6A860E4C" w14:textId="77777777">
        <w:trPr>
          <w:divId w:val="135732122"/>
        </w:trPr>
        <w:tc>
          <w:tcPr>
            <w:tcW w:w="0" w:type="auto"/>
            <w:gridSpan w:val="3"/>
            <w:shd w:val="clear" w:color="auto" w:fill="FFFFFF"/>
            <w:tcMar>
              <w:top w:w="30" w:type="dxa"/>
              <w:left w:w="20" w:type="dxa"/>
              <w:bottom w:w="30" w:type="dxa"/>
              <w:right w:w="20" w:type="dxa"/>
            </w:tcMar>
            <w:hideMark/>
          </w:tcPr>
          <w:p w14:paraId="6459505D" w14:textId="77777777" w:rsidR="00000000" w:rsidRDefault="009B6C69">
            <w:pPr>
              <w:spacing w:after="100"/>
              <w:jc w:val="center"/>
              <w:rPr>
                <w:rFonts w:eastAsia="Times New Roman"/>
              </w:rPr>
            </w:pPr>
            <w:r>
              <w:rPr>
                <w:rFonts w:eastAsia="Times New Roman"/>
                <w:color w:val="000000"/>
                <w:sz w:val="18"/>
                <w:szCs w:val="18"/>
              </w:rPr>
              <w:t>4.22</w:t>
            </w:r>
          </w:p>
        </w:tc>
        <w:tc>
          <w:tcPr>
            <w:tcW w:w="0" w:type="auto"/>
            <w:gridSpan w:val="3"/>
            <w:shd w:val="clear" w:color="auto" w:fill="FFFFFF"/>
            <w:tcMar>
              <w:top w:w="0" w:type="dxa"/>
              <w:left w:w="20" w:type="dxa"/>
              <w:bottom w:w="0" w:type="dxa"/>
              <w:right w:w="20" w:type="dxa"/>
            </w:tcMar>
            <w:vAlign w:val="center"/>
            <w:hideMark/>
          </w:tcPr>
          <w:p w14:paraId="516CFC3E"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D15A50C" w14:textId="77777777" w:rsidR="00000000" w:rsidRDefault="009B6C69">
            <w:pPr>
              <w:spacing w:after="100"/>
              <w:divId w:val="1494760912"/>
              <w:rPr>
                <w:rFonts w:eastAsia="Times New Roman"/>
              </w:rPr>
            </w:pPr>
            <w:hyperlink r:id="rId31" w:history="1">
              <w:r>
                <w:rPr>
                  <w:rStyle w:val="a3"/>
                  <w:rFonts w:eastAsia="Times New Roman"/>
                  <w:sz w:val="18"/>
                  <w:szCs w:val="18"/>
                </w:rPr>
                <w:t>Form of 4.250% Notes due 2032.</w:t>
              </w:r>
            </w:hyperlink>
          </w:p>
        </w:tc>
        <w:tc>
          <w:tcPr>
            <w:tcW w:w="0" w:type="auto"/>
            <w:gridSpan w:val="3"/>
            <w:shd w:val="clear" w:color="auto" w:fill="FFFFFF"/>
            <w:tcMar>
              <w:top w:w="0" w:type="dxa"/>
              <w:left w:w="20" w:type="dxa"/>
              <w:bottom w:w="0" w:type="dxa"/>
              <w:right w:w="20" w:type="dxa"/>
            </w:tcMar>
            <w:vAlign w:val="center"/>
            <w:hideMark/>
          </w:tcPr>
          <w:p w14:paraId="2269A4FD"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9EB3967"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14:paraId="600606CC"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23FACE7" w14:textId="77777777" w:rsidR="00000000" w:rsidRDefault="009B6C69">
            <w:pPr>
              <w:spacing w:after="100"/>
              <w:jc w:val="center"/>
              <w:rPr>
                <w:rFonts w:eastAsia="Times New Roman"/>
              </w:rPr>
            </w:pPr>
            <w:r>
              <w:rPr>
                <w:rFonts w:eastAsia="Times New Roman"/>
                <w:color w:val="000000"/>
                <w:sz w:val="18"/>
                <w:szCs w:val="18"/>
              </w:rPr>
              <w:t>5/9/2022</w:t>
            </w:r>
          </w:p>
        </w:tc>
        <w:tc>
          <w:tcPr>
            <w:tcW w:w="0" w:type="auto"/>
            <w:gridSpan w:val="3"/>
            <w:shd w:val="clear" w:color="auto" w:fill="FFFFFF"/>
            <w:tcMar>
              <w:top w:w="0" w:type="dxa"/>
              <w:left w:w="20" w:type="dxa"/>
              <w:bottom w:w="0" w:type="dxa"/>
              <w:right w:w="20" w:type="dxa"/>
            </w:tcMar>
            <w:vAlign w:val="center"/>
            <w:hideMark/>
          </w:tcPr>
          <w:p w14:paraId="3FD9103B"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5507A02" w14:textId="77777777" w:rsidR="00000000" w:rsidRDefault="009B6C69">
            <w:pPr>
              <w:spacing w:after="100"/>
              <w:jc w:val="center"/>
              <w:rPr>
                <w:rFonts w:eastAsia="Times New Roman"/>
              </w:rPr>
            </w:pPr>
            <w:r>
              <w:rPr>
                <w:rFonts w:eastAsia="Times New Roman"/>
                <w:color w:val="000000"/>
                <w:sz w:val="18"/>
                <w:szCs w:val="18"/>
              </w:rPr>
              <w:t>4.3</w:t>
            </w:r>
          </w:p>
        </w:tc>
        <w:tc>
          <w:tcPr>
            <w:tcW w:w="0" w:type="auto"/>
            <w:gridSpan w:val="3"/>
            <w:shd w:val="clear" w:color="auto" w:fill="FFFFFF"/>
            <w:tcMar>
              <w:top w:w="0" w:type="dxa"/>
              <w:left w:w="20" w:type="dxa"/>
              <w:bottom w:w="0" w:type="dxa"/>
              <w:right w:w="20" w:type="dxa"/>
            </w:tcMar>
            <w:vAlign w:val="center"/>
            <w:hideMark/>
          </w:tcPr>
          <w:p w14:paraId="7B6558A5"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069B70" w14:textId="77777777" w:rsidR="00000000" w:rsidRDefault="009B6C69">
            <w:pPr>
              <w:spacing w:after="100"/>
              <w:rPr>
                <w:rFonts w:eastAsia="Times New Roman"/>
                <w:sz w:val="20"/>
                <w:szCs w:val="20"/>
              </w:rPr>
            </w:pPr>
          </w:p>
        </w:tc>
      </w:tr>
      <w:tr w:rsidR="00000000" w14:paraId="1392E78A" w14:textId="77777777">
        <w:trPr>
          <w:divId w:val="135732122"/>
        </w:trPr>
        <w:tc>
          <w:tcPr>
            <w:tcW w:w="0" w:type="auto"/>
            <w:gridSpan w:val="3"/>
            <w:shd w:val="clear" w:color="auto" w:fill="CCEEFF"/>
            <w:tcMar>
              <w:top w:w="30" w:type="dxa"/>
              <w:left w:w="20" w:type="dxa"/>
              <w:bottom w:w="30" w:type="dxa"/>
              <w:right w:w="20" w:type="dxa"/>
            </w:tcMar>
            <w:hideMark/>
          </w:tcPr>
          <w:p w14:paraId="33DF6821" w14:textId="77777777" w:rsidR="00000000" w:rsidRDefault="009B6C69">
            <w:pPr>
              <w:spacing w:after="100"/>
              <w:jc w:val="center"/>
              <w:rPr>
                <w:rFonts w:eastAsia="Times New Roman"/>
              </w:rPr>
            </w:pPr>
            <w:r>
              <w:rPr>
                <w:rFonts w:eastAsia="Times New Roman"/>
                <w:color w:val="000000"/>
                <w:sz w:val="18"/>
                <w:szCs w:val="18"/>
              </w:rPr>
              <w:t>4.23</w:t>
            </w:r>
          </w:p>
        </w:tc>
        <w:tc>
          <w:tcPr>
            <w:tcW w:w="0" w:type="auto"/>
            <w:gridSpan w:val="3"/>
            <w:shd w:val="clear" w:color="auto" w:fill="CCEEFF"/>
            <w:tcMar>
              <w:top w:w="0" w:type="dxa"/>
              <w:left w:w="20" w:type="dxa"/>
              <w:bottom w:w="0" w:type="dxa"/>
              <w:right w:w="20" w:type="dxa"/>
            </w:tcMar>
            <w:vAlign w:val="center"/>
            <w:hideMark/>
          </w:tcPr>
          <w:p w14:paraId="1CAA90C2"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68022FD" w14:textId="77777777" w:rsidR="00000000" w:rsidRDefault="009B6C69">
            <w:pPr>
              <w:spacing w:after="100"/>
              <w:divId w:val="2019312043"/>
              <w:rPr>
                <w:rFonts w:eastAsia="Times New Roman"/>
              </w:rPr>
            </w:pPr>
            <w:hyperlink r:id="rId32" w:history="1">
              <w:r>
                <w:rPr>
                  <w:rStyle w:val="a3"/>
                  <w:rFonts w:eastAsia="Times New Roman"/>
                  <w:sz w:val="18"/>
                  <w:szCs w:val="18"/>
                </w:rPr>
                <w:t>Form of 4.500% Notes due 2052.</w:t>
              </w:r>
            </w:hyperlink>
          </w:p>
        </w:tc>
        <w:tc>
          <w:tcPr>
            <w:tcW w:w="0" w:type="auto"/>
            <w:gridSpan w:val="3"/>
            <w:shd w:val="clear" w:color="auto" w:fill="CCEEFF"/>
            <w:tcMar>
              <w:top w:w="0" w:type="dxa"/>
              <w:left w:w="20" w:type="dxa"/>
              <w:bottom w:w="0" w:type="dxa"/>
              <w:right w:w="20" w:type="dxa"/>
            </w:tcMar>
            <w:vAlign w:val="center"/>
            <w:hideMark/>
          </w:tcPr>
          <w:p w14:paraId="0CCB2CD0"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982E66D"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14:paraId="5DCECCA5"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18DC91B" w14:textId="77777777" w:rsidR="00000000" w:rsidRDefault="009B6C69">
            <w:pPr>
              <w:spacing w:after="100"/>
              <w:jc w:val="center"/>
              <w:rPr>
                <w:rFonts w:eastAsia="Times New Roman"/>
              </w:rPr>
            </w:pPr>
            <w:r>
              <w:rPr>
                <w:rFonts w:eastAsia="Times New Roman"/>
                <w:color w:val="000000"/>
                <w:sz w:val="18"/>
                <w:szCs w:val="18"/>
              </w:rPr>
              <w:t>5/9/2022</w:t>
            </w:r>
          </w:p>
        </w:tc>
        <w:tc>
          <w:tcPr>
            <w:tcW w:w="0" w:type="auto"/>
            <w:gridSpan w:val="3"/>
            <w:shd w:val="clear" w:color="auto" w:fill="CCEEFF"/>
            <w:tcMar>
              <w:top w:w="0" w:type="dxa"/>
              <w:left w:w="20" w:type="dxa"/>
              <w:bottom w:w="0" w:type="dxa"/>
              <w:right w:w="20" w:type="dxa"/>
            </w:tcMar>
            <w:vAlign w:val="center"/>
            <w:hideMark/>
          </w:tcPr>
          <w:p w14:paraId="1768F19E"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300A07F3" w14:textId="77777777" w:rsidR="00000000" w:rsidRDefault="009B6C69">
            <w:pPr>
              <w:spacing w:after="100"/>
              <w:jc w:val="center"/>
              <w:rPr>
                <w:rFonts w:eastAsia="Times New Roman"/>
              </w:rPr>
            </w:pPr>
            <w:r>
              <w:rPr>
                <w:rFonts w:eastAsia="Times New Roman"/>
                <w:color w:val="000000"/>
                <w:sz w:val="18"/>
                <w:szCs w:val="18"/>
              </w:rPr>
              <w:t>4.4</w:t>
            </w:r>
          </w:p>
        </w:tc>
        <w:tc>
          <w:tcPr>
            <w:tcW w:w="0" w:type="auto"/>
            <w:gridSpan w:val="3"/>
            <w:shd w:val="clear" w:color="auto" w:fill="CCEEFF"/>
            <w:tcMar>
              <w:top w:w="0" w:type="dxa"/>
              <w:left w:w="20" w:type="dxa"/>
              <w:bottom w:w="0" w:type="dxa"/>
              <w:right w:w="20" w:type="dxa"/>
            </w:tcMar>
            <w:vAlign w:val="center"/>
            <w:hideMark/>
          </w:tcPr>
          <w:p w14:paraId="0BDFCF0C"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16A3B4" w14:textId="77777777" w:rsidR="00000000" w:rsidRDefault="009B6C69">
            <w:pPr>
              <w:spacing w:after="100"/>
              <w:rPr>
                <w:rFonts w:eastAsia="Times New Roman"/>
                <w:sz w:val="20"/>
                <w:szCs w:val="20"/>
              </w:rPr>
            </w:pPr>
          </w:p>
        </w:tc>
      </w:tr>
      <w:tr w:rsidR="00000000" w14:paraId="4DAB7947" w14:textId="77777777">
        <w:trPr>
          <w:divId w:val="135732122"/>
        </w:trPr>
        <w:tc>
          <w:tcPr>
            <w:tcW w:w="0" w:type="auto"/>
            <w:gridSpan w:val="3"/>
            <w:shd w:val="clear" w:color="auto" w:fill="FFFFFF"/>
            <w:tcMar>
              <w:top w:w="30" w:type="dxa"/>
              <w:left w:w="20" w:type="dxa"/>
              <w:bottom w:w="30" w:type="dxa"/>
              <w:right w:w="20" w:type="dxa"/>
            </w:tcMar>
            <w:hideMark/>
          </w:tcPr>
          <w:p w14:paraId="05C966FD" w14:textId="77777777" w:rsidR="00000000" w:rsidRDefault="009B6C69">
            <w:pPr>
              <w:spacing w:after="100"/>
              <w:jc w:val="center"/>
              <w:rPr>
                <w:rFonts w:eastAsia="Times New Roman"/>
              </w:rPr>
            </w:pPr>
            <w:r>
              <w:rPr>
                <w:rFonts w:eastAsia="Times New Roman"/>
                <w:color w:val="000000"/>
                <w:sz w:val="18"/>
                <w:szCs w:val="18"/>
              </w:rPr>
              <w:t>4.24</w:t>
            </w:r>
          </w:p>
        </w:tc>
        <w:tc>
          <w:tcPr>
            <w:tcW w:w="0" w:type="auto"/>
            <w:gridSpan w:val="3"/>
            <w:shd w:val="clear" w:color="auto" w:fill="FFFFFF"/>
            <w:tcMar>
              <w:top w:w="0" w:type="dxa"/>
              <w:left w:w="20" w:type="dxa"/>
              <w:bottom w:w="0" w:type="dxa"/>
              <w:right w:w="20" w:type="dxa"/>
            </w:tcMar>
            <w:vAlign w:val="center"/>
            <w:hideMark/>
          </w:tcPr>
          <w:p w14:paraId="1A80A0D3"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3A678DF" w14:textId="77777777" w:rsidR="00000000" w:rsidRDefault="009B6C69">
            <w:pPr>
              <w:spacing w:after="100"/>
              <w:divId w:val="1476795958"/>
              <w:rPr>
                <w:rFonts w:eastAsia="Times New Roman"/>
              </w:rPr>
            </w:pPr>
            <w:hyperlink r:id="rId33" w:history="1">
              <w:r>
                <w:rPr>
                  <w:rStyle w:val="a3"/>
                  <w:rFonts w:eastAsia="Times New Roman"/>
                  <w:sz w:val="18"/>
                  <w:szCs w:val="18"/>
                </w:rPr>
                <w:t>Description of registrant’s securities.</w:t>
              </w:r>
            </w:hyperlink>
          </w:p>
        </w:tc>
        <w:tc>
          <w:tcPr>
            <w:tcW w:w="0" w:type="auto"/>
            <w:gridSpan w:val="3"/>
            <w:shd w:val="clear" w:color="auto" w:fill="FFFFFF"/>
            <w:tcMar>
              <w:top w:w="0" w:type="dxa"/>
              <w:left w:w="20" w:type="dxa"/>
              <w:bottom w:w="0" w:type="dxa"/>
              <w:right w:w="20" w:type="dxa"/>
            </w:tcMar>
            <w:vAlign w:val="center"/>
            <w:hideMark/>
          </w:tcPr>
          <w:p w14:paraId="3477E206"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626BFF1" w14:textId="77777777" w:rsidR="00000000" w:rsidRDefault="009B6C69">
            <w:pPr>
              <w:spacing w:after="100"/>
              <w:jc w:val="center"/>
              <w:rPr>
                <w:rFonts w:eastAsia="Times New Roman"/>
              </w:rPr>
            </w:pPr>
            <w:r>
              <w:rPr>
                <w:rFonts w:eastAsia="Times New Roman"/>
                <w:color w:val="000000"/>
                <w:sz w:val="18"/>
                <w:szCs w:val="18"/>
              </w:rPr>
              <w:t>10-K</w:t>
            </w:r>
          </w:p>
        </w:tc>
        <w:tc>
          <w:tcPr>
            <w:tcW w:w="0" w:type="auto"/>
            <w:gridSpan w:val="3"/>
            <w:shd w:val="clear" w:color="auto" w:fill="FFFFFF"/>
            <w:tcMar>
              <w:top w:w="0" w:type="dxa"/>
              <w:left w:w="20" w:type="dxa"/>
              <w:bottom w:w="0" w:type="dxa"/>
              <w:right w:w="20" w:type="dxa"/>
            </w:tcMar>
            <w:vAlign w:val="center"/>
            <w:hideMark/>
          </w:tcPr>
          <w:p w14:paraId="479E707E"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44E7A00" w14:textId="77777777" w:rsidR="00000000" w:rsidRDefault="009B6C69">
            <w:pPr>
              <w:spacing w:after="100"/>
              <w:jc w:val="center"/>
              <w:rPr>
                <w:rFonts w:eastAsia="Times New Roman"/>
              </w:rPr>
            </w:pPr>
            <w:r>
              <w:rPr>
                <w:rFonts w:eastAsia="Times New Roman"/>
                <w:color w:val="000000"/>
                <w:sz w:val="18"/>
                <w:szCs w:val="18"/>
              </w:rPr>
              <w:t>11/6/2019</w:t>
            </w:r>
          </w:p>
        </w:tc>
        <w:tc>
          <w:tcPr>
            <w:tcW w:w="0" w:type="auto"/>
            <w:gridSpan w:val="3"/>
            <w:shd w:val="clear" w:color="auto" w:fill="FFFFFF"/>
            <w:tcMar>
              <w:top w:w="0" w:type="dxa"/>
              <w:left w:w="20" w:type="dxa"/>
              <w:bottom w:w="0" w:type="dxa"/>
              <w:right w:w="20" w:type="dxa"/>
            </w:tcMar>
            <w:vAlign w:val="center"/>
            <w:hideMark/>
          </w:tcPr>
          <w:p w14:paraId="71AB1EE0"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CCC5F26" w14:textId="77777777" w:rsidR="00000000" w:rsidRDefault="009B6C69">
            <w:pPr>
              <w:spacing w:after="100"/>
              <w:jc w:val="center"/>
              <w:rPr>
                <w:rFonts w:eastAsia="Times New Roman"/>
              </w:rPr>
            </w:pPr>
            <w:r>
              <w:rPr>
                <w:rFonts w:eastAsia="Times New Roman"/>
                <w:color w:val="000000"/>
                <w:sz w:val="18"/>
                <w:szCs w:val="18"/>
              </w:rPr>
              <w:t>4.15</w:t>
            </w:r>
          </w:p>
        </w:tc>
        <w:tc>
          <w:tcPr>
            <w:tcW w:w="0" w:type="auto"/>
            <w:gridSpan w:val="3"/>
            <w:shd w:val="clear" w:color="auto" w:fill="FFFFFF"/>
            <w:tcMar>
              <w:top w:w="0" w:type="dxa"/>
              <w:left w:w="20" w:type="dxa"/>
              <w:bottom w:w="0" w:type="dxa"/>
              <w:right w:w="20" w:type="dxa"/>
            </w:tcMar>
            <w:vAlign w:val="center"/>
            <w:hideMark/>
          </w:tcPr>
          <w:p w14:paraId="576B24AC"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6ABB97" w14:textId="77777777" w:rsidR="00000000" w:rsidRDefault="009B6C69">
            <w:pPr>
              <w:spacing w:after="100"/>
              <w:rPr>
                <w:rFonts w:eastAsia="Times New Roman"/>
                <w:sz w:val="20"/>
                <w:szCs w:val="20"/>
              </w:rPr>
            </w:pPr>
          </w:p>
        </w:tc>
      </w:tr>
      <w:tr w:rsidR="00000000" w14:paraId="7FBE47F1" w14:textId="77777777">
        <w:trPr>
          <w:divId w:val="135732122"/>
        </w:trPr>
        <w:tc>
          <w:tcPr>
            <w:tcW w:w="0" w:type="auto"/>
            <w:gridSpan w:val="3"/>
            <w:shd w:val="clear" w:color="auto" w:fill="CCEEFF"/>
            <w:tcMar>
              <w:top w:w="30" w:type="dxa"/>
              <w:left w:w="20" w:type="dxa"/>
              <w:bottom w:w="30" w:type="dxa"/>
              <w:right w:w="20" w:type="dxa"/>
            </w:tcMar>
            <w:hideMark/>
          </w:tcPr>
          <w:p w14:paraId="46588870" w14:textId="77777777" w:rsidR="00000000" w:rsidRDefault="009B6C69">
            <w:pPr>
              <w:spacing w:after="100"/>
              <w:jc w:val="center"/>
              <w:rPr>
                <w:rFonts w:eastAsia="Times New Roman"/>
              </w:rPr>
            </w:pPr>
            <w:r>
              <w:rPr>
                <w:rFonts w:eastAsia="Times New Roman"/>
                <w:color w:val="000000"/>
                <w:sz w:val="18"/>
                <w:szCs w:val="18"/>
              </w:rPr>
              <w:t>10.1</w:t>
            </w:r>
          </w:p>
        </w:tc>
        <w:tc>
          <w:tcPr>
            <w:tcW w:w="0" w:type="auto"/>
            <w:gridSpan w:val="3"/>
            <w:shd w:val="clear" w:color="auto" w:fill="CCEEFF"/>
            <w:tcMar>
              <w:top w:w="0" w:type="dxa"/>
              <w:left w:w="20" w:type="dxa"/>
              <w:bottom w:w="0" w:type="dxa"/>
              <w:right w:w="20" w:type="dxa"/>
            </w:tcMar>
            <w:vAlign w:val="center"/>
            <w:hideMark/>
          </w:tcPr>
          <w:p w14:paraId="4D76FCE4"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8D08640" w14:textId="77777777" w:rsidR="00000000" w:rsidRDefault="009B6C69">
            <w:pPr>
              <w:spacing w:after="100"/>
              <w:divId w:val="437603490"/>
              <w:rPr>
                <w:rFonts w:eastAsia="Times New Roman"/>
              </w:rPr>
            </w:pPr>
            <w:hyperlink r:id="rId34" w:history="1">
              <w:r>
                <w:rPr>
                  <w:rStyle w:val="a3"/>
                  <w:rFonts w:eastAsia="Times New Roman"/>
                  <w:sz w:val="18"/>
                  <w:szCs w:val="18"/>
                </w:rPr>
                <w:t>Credit Agreement</w:t>
              </w:r>
            </w:hyperlink>
            <w:hyperlink r:id="rId35" w:history="1">
              <w:r>
                <w:rPr>
                  <w:rStyle w:val="a3"/>
                  <w:rFonts w:eastAsia="Times New Roman"/>
                  <w:sz w:val="18"/>
                  <w:szCs w:val="18"/>
                </w:rPr>
                <w:t>, dated as of December 8, 2020,</w:t>
              </w:r>
            </w:hyperlink>
            <w:hyperlink r:id="rId36" w:history="1">
              <w:r>
                <w:rPr>
                  <w:rStyle w:val="a3"/>
                  <w:rFonts w:eastAsia="Times New Roman"/>
                  <w:sz w:val="18"/>
                  <w:szCs w:val="18"/>
                </w:rPr>
                <w:t xml:space="preserve"> among QUALCOMM Incorporated, the lenders party thereto, the letter of credit issuers party thereto and Bank of America, N.A., as administrative agent, s</w:t>
              </w:r>
              <w:r>
                <w:rPr>
                  <w:rStyle w:val="a3"/>
                  <w:rFonts w:eastAsia="Times New Roman"/>
                  <w:sz w:val="18"/>
                  <w:szCs w:val="18"/>
                </w:rPr>
                <w:t>wing line lender and a letter of credit issuer</w:t>
              </w:r>
            </w:hyperlink>
            <w:hyperlink r:id="rId37" w:history="1">
              <w:r>
                <w:rPr>
                  <w:rStyle w:val="a3"/>
                  <w:rFonts w:eastAsia="Times New Roman"/>
                  <w:sz w:val="18"/>
                  <w:szCs w:val="18"/>
                </w:rPr>
                <w:t>.</w:t>
              </w:r>
            </w:hyperlink>
          </w:p>
        </w:tc>
        <w:tc>
          <w:tcPr>
            <w:tcW w:w="0" w:type="auto"/>
            <w:gridSpan w:val="3"/>
            <w:shd w:val="clear" w:color="auto" w:fill="CCEEFF"/>
            <w:tcMar>
              <w:top w:w="0" w:type="dxa"/>
              <w:left w:w="20" w:type="dxa"/>
              <w:bottom w:w="0" w:type="dxa"/>
              <w:right w:w="20" w:type="dxa"/>
            </w:tcMar>
            <w:vAlign w:val="center"/>
            <w:hideMark/>
          </w:tcPr>
          <w:p w14:paraId="22BB33C5"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02BDE356"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14:paraId="49C71AC1"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765A4703" w14:textId="77777777" w:rsidR="00000000" w:rsidRDefault="009B6C69">
            <w:pPr>
              <w:spacing w:after="100"/>
              <w:jc w:val="center"/>
              <w:rPr>
                <w:rFonts w:eastAsia="Times New Roman"/>
              </w:rPr>
            </w:pPr>
            <w:r>
              <w:rPr>
                <w:rFonts w:eastAsia="Times New Roman"/>
                <w:color w:val="000000"/>
                <w:sz w:val="18"/>
                <w:szCs w:val="18"/>
              </w:rPr>
              <w:t>12/10/2020</w:t>
            </w:r>
          </w:p>
        </w:tc>
        <w:tc>
          <w:tcPr>
            <w:tcW w:w="0" w:type="auto"/>
            <w:gridSpan w:val="3"/>
            <w:shd w:val="clear" w:color="auto" w:fill="CCEEFF"/>
            <w:tcMar>
              <w:top w:w="0" w:type="dxa"/>
              <w:left w:w="20" w:type="dxa"/>
              <w:bottom w:w="0" w:type="dxa"/>
              <w:right w:w="20" w:type="dxa"/>
            </w:tcMar>
            <w:vAlign w:val="center"/>
            <w:hideMark/>
          </w:tcPr>
          <w:p w14:paraId="00633A53"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79C13BEB" w14:textId="77777777" w:rsidR="00000000" w:rsidRDefault="009B6C69">
            <w:pPr>
              <w:spacing w:after="100"/>
              <w:jc w:val="center"/>
              <w:rPr>
                <w:rFonts w:eastAsia="Times New Roman"/>
              </w:rPr>
            </w:pPr>
            <w:r>
              <w:rPr>
                <w:rFonts w:eastAsia="Times New Roman"/>
                <w:color w:val="000000"/>
                <w:sz w:val="18"/>
                <w:szCs w:val="18"/>
              </w:rPr>
              <w:t>10.1</w:t>
            </w:r>
          </w:p>
        </w:tc>
        <w:tc>
          <w:tcPr>
            <w:tcW w:w="0" w:type="auto"/>
            <w:gridSpan w:val="3"/>
            <w:shd w:val="clear" w:color="auto" w:fill="CCEEFF"/>
            <w:tcMar>
              <w:top w:w="0" w:type="dxa"/>
              <w:left w:w="20" w:type="dxa"/>
              <w:bottom w:w="0" w:type="dxa"/>
              <w:right w:w="20" w:type="dxa"/>
            </w:tcMar>
            <w:vAlign w:val="center"/>
            <w:hideMark/>
          </w:tcPr>
          <w:p w14:paraId="0524A84D"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59527C" w14:textId="77777777" w:rsidR="00000000" w:rsidRDefault="009B6C69">
            <w:pPr>
              <w:spacing w:after="100"/>
              <w:rPr>
                <w:rFonts w:eastAsia="Times New Roman"/>
                <w:sz w:val="20"/>
                <w:szCs w:val="20"/>
              </w:rPr>
            </w:pPr>
          </w:p>
        </w:tc>
      </w:tr>
      <w:tr w:rsidR="00000000" w14:paraId="64329E61" w14:textId="77777777">
        <w:trPr>
          <w:divId w:val="135732122"/>
        </w:trPr>
        <w:tc>
          <w:tcPr>
            <w:tcW w:w="0" w:type="auto"/>
            <w:gridSpan w:val="3"/>
            <w:shd w:val="clear" w:color="auto" w:fill="FFFFFF"/>
            <w:tcMar>
              <w:top w:w="30" w:type="dxa"/>
              <w:left w:w="20" w:type="dxa"/>
              <w:bottom w:w="30" w:type="dxa"/>
              <w:right w:w="20" w:type="dxa"/>
            </w:tcMar>
            <w:hideMark/>
          </w:tcPr>
          <w:p w14:paraId="41DAF424" w14:textId="77777777" w:rsidR="00000000" w:rsidRDefault="009B6C69">
            <w:pPr>
              <w:spacing w:after="100"/>
              <w:jc w:val="center"/>
              <w:rPr>
                <w:rFonts w:eastAsia="Times New Roman"/>
              </w:rPr>
            </w:pPr>
            <w:r>
              <w:rPr>
                <w:rFonts w:eastAsia="Times New Roman"/>
                <w:color w:val="000000"/>
                <w:sz w:val="18"/>
                <w:szCs w:val="18"/>
              </w:rPr>
              <w:t>10.2</w:t>
            </w:r>
          </w:p>
        </w:tc>
        <w:tc>
          <w:tcPr>
            <w:tcW w:w="0" w:type="auto"/>
            <w:gridSpan w:val="3"/>
            <w:shd w:val="clear" w:color="auto" w:fill="FFFFFF"/>
            <w:tcMar>
              <w:top w:w="0" w:type="dxa"/>
              <w:left w:w="20" w:type="dxa"/>
              <w:bottom w:w="0" w:type="dxa"/>
              <w:right w:w="20" w:type="dxa"/>
            </w:tcMar>
            <w:vAlign w:val="center"/>
            <w:hideMark/>
          </w:tcPr>
          <w:p w14:paraId="07D4F235"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F5C88AA" w14:textId="77777777" w:rsidR="00000000" w:rsidRDefault="009B6C69">
            <w:pPr>
              <w:spacing w:after="100"/>
              <w:divId w:val="2038190623"/>
              <w:rPr>
                <w:rFonts w:eastAsia="Times New Roman"/>
              </w:rPr>
            </w:pPr>
            <w:hyperlink r:id="rId38" w:history="1">
              <w:r>
                <w:rPr>
                  <w:rStyle w:val="a3"/>
                  <w:rFonts w:eastAsia="Times New Roman"/>
                  <w:sz w:val="18"/>
                  <w:szCs w:val="18"/>
                </w:rPr>
                <w:t>LIBOR Transition Amendment to Credit Agreement, dated as of December 21, 2021, by and between QUALCOMM Incorporated and Bank of America, N.A., as admini</w:t>
              </w:r>
              <w:r>
                <w:rPr>
                  <w:rStyle w:val="a3"/>
                  <w:rFonts w:eastAsia="Times New Roman"/>
                  <w:sz w:val="18"/>
                  <w:szCs w:val="18"/>
                </w:rPr>
                <w:t>strative agent.</w:t>
              </w:r>
            </w:hyperlink>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14:paraId="6BF39814"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B1E2B8D" w14:textId="77777777" w:rsidR="00000000" w:rsidRDefault="009B6C69">
            <w:pPr>
              <w:spacing w:after="100"/>
              <w:jc w:val="cente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14:paraId="4F79BCD4"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C4DED8E" w14:textId="77777777" w:rsidR="00000000" w:rsidRDefault="009B6C69">
            <w:pPr>
              <w:spacing w:after="100"/>
              <w:jc w:val="center"/>
              <w:rPr>
                <w:rFonts w:eastAsia="Times New Roman"/>
              </w:rPr>
            </w:pPr>
            <w:r>
              <w:rPr>
                <w:rFonts w:eastAsia="Times New Roman"/>
                <w:color w:val="000000"/>
                <w:sz w:val="18"/>
                <w:szCs w:val="18"/>
              </w:rPr>
              <w:t>2/2/2022</w:t>
            </w:r>
          </w:p>
        </w:tc>
        <w:tc>
          <w:tcPr>
            <w:tcW w:w="0" w:type="auto"/>
            <w:gridSpan w:val="3"/>
            <w:shd w:val="clear" w:color="auto" w:fill="FFFFFF"/>
            <w:tcMar>
              <w:top w:w="0" w:type="dxa"/>
              <w:left w:w="20" w:type="dxa"/>
              <w:bottom w:w="0" w:type="dxa"/>
              <w:right w:w="20" w:type="dxa"/>
            </w:tcMar>
            <w:vAlign w:val="center"/>
            <w:hideMark/>
          </w:tcPr>
          <w:p w14:paraId="249F2094"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7B185E4" w14:textId="77777777" w:rsidR="00000000" w:rsidRDefault="009B6C69">
            <w:pPr>
              <w:spacing w:after="100"/>
              <w:jc w:val="center"/>
              <w:rPr>
                <w:rFonts w:eastAsia="Times New Roman"/>
              </w:rPr>
            </w:pPr>
            <w:r>
              <w:rPr>
                <w:rFonts w:eastAsia="Times New Roman"/>
                <w:color w:val="000000"/>
                <w:sz w:val="18"/>
                <w:szCs w:val="18"/>
              </w:rPr>
              <w:t>10.25</w:t>
            </w:r>
          </w:p>
        </w:tc>
        <w:tc>
          <w:tcPr>
            <w:tcW w:w="0" w:type="auto"/>
            <w:gridSpan w:val="3"/>
            <w:shd w:val="clear" w:color="auto" w:fill="FFFFFF"/>
            <w:tcMar>
              <w:top w:w="0" w:type="dxa"/>
              <w:left w:w="20" w:type="dxa"/>
              <w:bottom w:w="0" w:type="dxa"/>
              <w:right w:w="20" w:type="dxa"/>
            </w:tcMar>
            <w:vAlign w:val="center"/>
            <w:hideMark/>
          </w:tcPr>
          <w:p w14:paraId="406A312D"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ED71C6" w14:textId="77777777" w:rsidR="00000000" w:rsidRDefault="009B6C69">
            <w:pPr>
              <w:spacing w:after="100"/>
              <w:rPr>
                <w:rFonts w:eastAsia="Times New Roman"/>
                <w:sz w:val="20"/>
                <w:szCs w:val="20"/>
              </w:rPr>
            </w:pPr>
          </w:p>
        </w:tc>
      </w:tr>
      <w:tr w:rsidR="00000000" w14:paraId="52D937C0" w14:textId="77777777">
        <w:trPr>
          <w:divId w:val="135732122"/>
        </w:trPr>
        <w:tc>
          <w:tcPr>
            <w:tcW w:w="0" w:type="auto"/>
            <w:gridSpan w:val="3"/>
            <w:shd w:val="clear" w:color="auto" w:fill="CCEEFF"/>
            <w:tcMar>
              <w:top w:w="30" w:type="dxa"/>
              <w:left w:w="20" w:type="dxa"/>
              <w:bottom w:w="30" w:type="dxa"/>
              <w:right w:w="20" w:type="dxa"/>
            </w:tcMar>
            <w:hideMark/>
          </w:tcPr>
          <w:p w14:paraId="04F2ED32" w14:textId="77777777" w:rsidR="00000000" w:rsidRDefault="009B6C69">
            <w:pPr>
              <w:spacing w:after="100"/>
              <w:jc w:val="center"/>
              <w:rPr>
                <w:rFonts w:eastAsia="Times New Roman"/>
              </w:rPr>
            </w:pPr>
            <w:r>
              <w:rPr>
                <w:rFonts w:eastAsia="Times New Roman"/>
                <w:color w:val="000000"/>
                <w:sz w:val="18"/>
                <w:szCs w:val="18"/>
              </w:rPr>
              <w:t>10.3</w:t>
            </w:r>
          </w:p>
        </w:tc>
        <w:tc>
          <w:tcPr>
            <w:tcW w:w="0" w:type="auto"/>
            <w:gridSpan w:val="3"/>
            <w:shd w:val="clear" w:color="auto" w:fill="CCEEFF"/>
            <w:tcMar>
              <w:top w:w="0" w:type="dxa"/>
              <w:left w:w="20" w:type="dxa"/>
              <w:bottom w:w="0" w:type="dxa"/>
              <w:right w:w="20" w:type="dxa"/>
            </w:tcMar>
            <w:vAlign w:val="center"/>
            <w:hideMark/>
          </w:tcPr>
          <w:p w14:paraId="76825799"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16790E1" w14:textId="77777777" w:rsidR="00000000" w:rsidRDefault="009B6C69">
            <w:pPr>
              <w:spacing w:after="100"/>
              <w:divId w:val="2119569227"/>
              <w:rPr>
                <w:rFonts w:eastAsia="Times New Roman"/>
              </w:rPr>
            </w:pPr>
            <w:hyperlink r:id="rId39" w:history="1">
              <w:r>
                <w:rPr>
                  <w:rStyle w:val="a3"/>
                  <w:rFonts w:eastAsia="Times New Roman"/>
                  <w:sz w:val="18"/>
                  <w:szCs w:val="18"/>
                </w:rPr>
                <w:t>Investment and Separation Matters Agreement, dated as of October 4, 2021, by and among QUALCOMM Incorporated, SSW HoldCo LP and SSW Merger Sub Corp. (1)</w:t>
              </w:r>
            </w:hyperlink>
          </w:p>
        </w:tc>
        <w:tc>
          <w:tcPr>
            <w:tcW w:w="0" w:type="auto"/>
            <w:gridSpan w:val="3"/>
            <w:shd w:val="clear" w:color="auto" w:fill="CCEEFF"/>
            <w:tcMar>
              <w:top w:w="0" w:type="dxa"/>
              <w:left w:w="20" w:type="dxa"/>
              <w:bottom w:w="0" w:type="dxa"/>
              <w:right w:w="20" w:type="dxa"/>
            </w:tcMar>
            <w:vAlign w:val="center"/>
            <w:hideMark/>
          </w:tcPr>
          <w:p w14:paraId="7D2DCACC"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0C9E3C1" w14:textId="77777777" w:rsidR="00000000" w:rsidRDefault="009B6C69">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14:paraId="3C333ADB"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465B1F0" w14:textId="77777777" w:rsidR="00000000" w:rsidRDefault="009B6C69">
            <w:pPr>
              <w:spacing w:after="100"/>
              <w:jc w:val="center"/>
              <w:rPr>
                <w:rFonts w:eastAsia="Times New Roman"/>
              </w:rPr>
            </w:pPr>
            <w:r>
              <w:rPr>
                <w:rFonts w:eastAsia="Times New Roman"/>
                <w:color w:val="000000"/>
                <w:sz w:val="18"/>
                <w:szCs w:val="18"/>
              </w:rPr>
              <w:t>10/4/2021</w:t>
            </w:r>
          </w:p>
        </w:tc>
        <w:tc>
          <w:tcPr>
            <w:tcW w:w="0" w:type="auto"/>
            <w:gridSpan w:val="3"/>
            <w:shd w:val="clear" w:color="auto" w:fill="CCEEFF"/>
            <w:tcMar>
              <w:top w:w="0" w:type="dxa"/>
              <w:left w:w="20" w:type="dxa"/>
              <w:bottom w:w="0" w:type="dxa"/>
              <w:right w:w="20" w:type="dxa"/>
            </w:tcMar>
            <w:vAlign w:val="center"/>
            <w:hideMark/>
          </w:tcPr>
          <w:p w14:paraId="1C67F784"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B8F46B0" w14:textId="77777777" w:rsidR="00000000" w:rsidRDefault="009B6C69">
            <w:pPr>
              <w:spacing w:after="100"/>
              <w:jc w:val="center"/>
              <w:rPr>
                <w:rFonts w:eastAsia="Times New Roman"/>
              </w:rPr>
            </w:pPr>
            <w:r>
              <w:rPr>
                <w:rFonts w:eastAsia="Times New Roman"/>
                <w:color w:val="000000"/>
                <w:sz w:val="18"/>
                <w:szCs w:val="18"/>
              </w:rPr>
              <w:t>10.1</w:t>
            </w:r>
          </w:p>
        </w:tc>
        <w:tc>
          <w:tcPr>
            <w:tcW w:w="0" w:type="auto"/>
            <w:gridSpan w:val="3"/>
            <w:shd w:val="clear" w:color="auto" w:fill="CCEEFF"/>
            <w:tcMar>
              <w:top w:w="0" w:type="dxa"/>
              <w:left w:w="20" w:type="dxa"/>
              <w:bottom w:w="0" w:type="dxa"/>
              <w:right w:w="20" w:type="dxa"/>
            </w:tcMar>
            <w:vAlign w:val="center"/>
            <w:hideMark/>
          </w:tcPr>
          <w:p w14:paraId="2297AF92"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374184" w14:textId="77777777" w:rsidR="00000000" w:rsidRDefault="009B6C69">
            <w:pPr>
              <w:spacing w:after="100"/>
              <w:rPr>
                <w:rFonts w:eastAsia="Times New Roman"/>
                <w:sz w:val="20"/>
                <w:szCs w:val="20"/>
              </w:rPr>
            </w:pPr>
          </w:p>
        </w:tc>
      </w:tr>
      <w:tr w:rsidR="00000000" w14:paraId="36500241" w14:textId="77777777">
        <w:trPr>
          <w:divId w:val="135732122"/>
        </w:trPr>
        <w:tc>
          <w:tcPr>
            <w:tcW w:w="0" w:type="auto"/>
            <w:gridSpan w:val="3"/>
            <w:shd w:val="clear" w:color="auto" w:fill="FFFFFF"/>
            <w:tcMar>
              <w:top w:w="30" w:type="dxa"/>
              <w:left w:w="20" w:type="dxa"/>
              <w:bottom w:w="30" w:type="dxa"/>
              <w:right w:w="20" w:type="dxa"/>
            </w:tcMar>
            <w:hideMark/>
          </w:tcPr>
          <w:p w14:paraId="723C8F92" w14:textId="77777777" w:rsidR="00000000" w:rsidRDefault="009B6C69">
            <w:pPr>
              <w:spacing w:after="100"/>
              <w:jc w:val="center"/>
              <w:rPr>
                <w:rFonts w:eastAsia="Times New Roman"/>
              </w:rPr>
            </w:pPr>
            <w:r>
              <w:rPr>
                <w:rFonts w:eastAsia="Times New Roman"/>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14:paraId="185CD78A"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CC59A95" w14:textId="77777777" w:rsidR="00000000" w:rsidRDefault="009B6C69">
            <w:pPr>
              <w:spacing w:after="100"/>
              <w:divId w:val="1031689664"/>
              <w:rPr>
                <w:rFonts w:eastAsia="Times New Roman"/>
              </w:rPr>
            </w:pPr>
            <w:hyperlink r:id="rId40" w:history="1">
              <w:r>
                <w:rPr>
                  <w:rStyle w:val="a3"/>
                  <w:rFonts w:eastAsia="Times New Roman"/>
                  <w:sz w:val="18"/>
                  <w:szCs w:val="18"/>
                </w:rPr>
                <w:t>Letter Agreement, dated as of January 24, 2022, by and among QUALCOMM Incorporated, SSW HoldCo LP and SSW Merger Sub Corp and SSW Investors LP. (1)</w:t>
              </w:r>
            </w:hyperlink>
          </w:p>
        </w:tc>
        <w:tc>
          <w:tcPr>
            <w:tcW w:w="0" w:type="auto"/>
            <w:gridSpan w:val="3"/>
            <w:shd w:val="clear" w:color="auto" w:fill="FFFFFF"/>
            <w:tcMar>
              <w:top w:w="0" w:type="dxa"/>
              <w:left w:w="20" w:type="dxa"/>
              <w:bottom w:w="0" w:type="dxa"/>
              <w:right w:w="20" w:type="dxa"/>
            </w:tcMar>
            <w:vAlign w:val="center"/>
            <w:hideMark/>
          </w:tcPr>
          <w:p w14:paraId="03C80A9E"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C4C03A0" w14:textId="77777777" w:rsidR="00000000" w:rsidRDefault="009B6C69">
            <w:pPr>
              <w:spacing w:after="100"/>
              <w:jc w:val="cente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14:paraId="7B33DBC0"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F8251A9" w14:textId="77777777" w:rsidR="00000000" w:rsidRDefault="009B6C69">
            <w:pPr>
              <w:spacing w:after="100"/>
              <w:jc w:val="center"/>
              <w:rPr>
                <w:rFonts w:eastAsia="Times New Roman"/>
              </w:rPr>
            </w:pPr>
            <w:r>
              <w:rPr>
                <w:rFonts w:eastAsia="Times New Roman"/>
                <w:color w:val="000000"/>
                <w:sz w:val="18"/>
                <w:szCs w:val="18"/>
              </w:rPr>
              <w:t>4/27/2022</w:t>
            </w:r>
          </w:p>
        </w:tc>
        <w:tc>
          <w:tcPr>
            <w:tcW w:w="0" w:type="auto"/>
            <w:gridSpan w:val="3"/>
            <w:shd w:val="clear" w:color="auto" w:fill="FFFFFF"/>
            <w:tcMar>
              <w:top w:w="0" w:type="dxa"/>
              <w:left w:w="20" w:type="dxa"/>
              <w:bottom w:w="0" w:type="dxa"/>
              <w:right w:w="20" w:type="dxa"/>
            </w:tcMar>
            <w:vAlign w:val="center"/>
            <w:hideMark/>
          </w:tcPr>
          <w:p w14:paraId="15836C15"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DD61122" w14:textId="77777777" w:rsidR="00000000" w:rsidRDefault="009B6C69">
            <w:pPr>
              <w:spacing w:after="100"/>
              <w:jc w:val="center"/>
              <w:rPr>
                <w:rFonts w:eastAsia="Times New Roman"/>
              </w:rPr>
            </w:pPr>
            <w:r>
              <w:rPr>
                <w:rFonts w:eastAsia="Times New Roman"/>
                <w:color w:val="000000"/>
                <w:sz w:val="18"/>
                <w:szCs w:val="18"/>
              </w:rPr>
              <w:t>10.27</w:t>
            </w:r>
          </w:p>
        </w:tc>
        <w:tc>
          <w:tcPr>
            <w:tcW w:w="0" w:type="auto"/>
            <w:gridSpan w:val="3"/>
            <w:shd w:val="clear" w:color="auto" w:fill="FFFFFF"/>
            <w:tcMar>
              <w:top w:w="0" w:type="dxa"/>
              <w:left w:w="20" w:type="dxa"/>
              <w:bottom w:w="0" w:type="dxa"/>
              <w:right w:w="20" w:type="dxa"/>
            </w:tcMar>
            <w:vAlign w:val="center"/>
            <w:hideMark/>
          </w:tcPr>
          <w:p w14:paraId="485C2556"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1121F2" w14:textId="77777777" w:rsidR="00000000" w:rsidRDefault="009B6C69">
            <w:pPr>
              <w:spacing w:after="100"/>
              <w:rPr>
                <w:rFonts w:eastAsia="Times New Roman"/>
                <w:sz w:val="20"/>
                <w:szCs w:val="20"/>
              </w:rPr>
            </w:pPr>
          </w:p>
        </w:tc>
      </w:tr>
      <w:tr w:rsidR="00000000" w14:paraId="0DA97E9D" w14:textId="77777777">
        <w:trPr>
          <w:divId w:val="135732122"/>
        </w:trPr>
        <w:tc>
          <w:tcPr>
            <w:tcW w:w="0" w:type="auto"/>
            <w:gridSpan w:val="3"/>
            <w:shd w:val="clear" w:color="auto" w:fill="CCEEFF"/>
            <w:tcMar>
              <w:top w:w="30" w:type="dxa"/>
              <w:left w:w="20" w:type="dxa"/>
              <w:bottom w:w="30" w:type="dxa"/>
              <w:right w:w="20" w:type="dxa"/>
            </w:tcMar>
            <w:hideMark/>
          </w:tcPr>
          <w:p w14:paraId="36733A13" w14:textId="77777777" w:rsidR="00000000" w:rsidRDefault="009B6C69">
            <w:pPr>
              <w:spacing w:after="100"/>
              <w:jc w:val="center"/>
              <w:rPr>
                <w:rFonts w:eastAsia="Times New Roman"/>
              </w:rPr>
            </w:pPr>
            <w:r>
              <w:rPr>
                <w:rFonts w:eastAsia="Times New Roman"/>
                <w:color w:val="000000"/>
                <w:sz w:val="18"/>
                <w:szCs w:val="18"/>
              </w:rPr>
              <w:t>10.5</w:t>
            </w:r>
          </w:p>
        </w:tc>
        <w:tc>
          <w:tcPr>
            <w:tcW w:w="0" w:type="auto"/>
            <w:gridSpan w:val="3"/>
            <w:shd w:val="clear" w:color="auto" w:fill="CCEEFF"/>
            <w:tcMar>
              <w:top w:w="0" w:type="dxa"/>
              <w:left w:w="20" w:type="dxa"/>
              <w:bottom w:w="0" w:type="dxa"/>
              <w:right w:w="20" w:type="dxa"/>
            </w:tcMar>
            <w:vAlign w:val="center"/>
            <w:hideMark/>
          </w:tcPr>
          <w:p w14:paraId="7D87C929"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D3D1710" w14:textId="77777777" w:rsidR="00000000" w:rsidRDefault="009B6C69">
            <w:pPr>
              <w:spacing w:after="100"/>
              <w:divId w:val="1183782195"/>
              <w:rPr>
                <w:rFonts w:eastAsia="Times New Roman"/>
              </w:rPr>
            </w:pPr>
            <w:hyperlink r:id="rId41" w:history="1">
              <w:r>
                <w:rPr>
                  <w:rStyle w:val="a3"/>
                  <w:rFonts w:eastAsia="Times New Roman"/>
                  <w:sz w:val="18"/>
                  <w:szCs w:val="18"/>
                </w:rPr>
                <w:t>Form of Indemnity Agreement between the Company and its directors and officers. (2)</w:t>
              </w:r>
            </w:hyperlink>
          </w:p>
        </w:tc>
        <w:tc>
          <w:tcPr>
            <w:tcW w:w="0" w:type="auto"/>
            <w:gridSpan w:val="3"/>
            <w:shd w:val="clear" w:color="auto" w:fill="CCEEFF"/>
            <w:tcMar>
              <w:top w:w="0" w:type="dxa"/>
              <w:left w:w="20" w:type="dxa"/>
              <w:bottom w:w="0" w:type="dxa"/>
              <w:right w:w="20" w:type="dxa"/>
            </w:tcMar>
            <w:vAlign w:val="center"/>
            <w:hideMark/>
          </w:tcPr>
          <w:p w14:paraId="0BAAB3AE"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2EBBDF25" w14:textId="77777777" w:rsidR="00000000" w:rsidRDefault="009B6C69">
            <w:pPr>
              <w:spacing w:after="100"/>
              <w:jc w:val="center"/>
              <w:rPr>
                <w:rFonts w:eastAsia="Times New Roman"/>
              </w:rPr>
            </w:pPr>
            <w:r>
              <w:rPr>
                <w:rFonts w:eastAsia="Times New Roman"/>
                <w:color w:val="000000"/>
                <w:sz w:val="18"/>
                <w:szCs w:val="18"/>
              </w:rPr>
              <w:t>10-K</w:t>
            </w:r>
          </w:p>
        </w:tc>
        <w:tc>
          <w:tcPr>
            <w:tcW w:w="0" w:type="auto"/>
            <w:gridSpan w:val="3"/>
            <w:shd w:val="clear" w:color="auto" w:fill="CCEEFF"/>
            <w:tcMar>
              <w:top w:w="0" w:type="dxa"/>
              <w:left w:w="20" w:type="dxa"/>
              <w:bottom w:w="0" w:type="dxa"/>
              <w:right w:w="20" w:type="dxa"/>
            </w:tcMar>
            <w:vAlign w:val="center"/>
            <w:hideMark/>
          </w:tcPr>
          <w:p w14:paraId="786C6C79"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728A5C95" w14:textId="77777777" w:rsidR="00000000" w:rsidRDefault="009B6C69">
            <w:pPr>
              <w:spacing w:after="100"/>
              <w:jc w:val="center"/>
              <w:rPr>
                <w:rFonts w:eastAsia="Times New Roman"/>
              </w:rPr>
            </w:pPr>
            <w:r>
              <w:rPr>
                <w:rFonts w:eastAsia="Times New Roman"/>
                <w:color w:val="000000"/>
                <w:sz w:val="18"/>
                <w:szCs w:val="18"/>
              </w:rPr>
              <w:t>11/4/2015</w:t>
            </w:r>
          </w:p>
        </w:tc>
        <w:tc>
          <w:tcPr>
            <w:tcW w:w="0" w:type="auto"/>
            <w:gridSpan w:val="3"/>
            <w:shd w:val="clear" w:color="auto" w:fill="CCEEFF"/>
            <w:tcMar>
              <w:top w:w="0" w:type="dxa"/>
              <w:left w:w="20" w:type="dxa"/>
              <w:bottom w:w="0" w:type="dxa"/>
              <w:right w:w="20" w:type="dxa"/>
            </w:tcMar>
            <w:vAlign w:val="center"/>
            <w:hideMark/>
          </w:tcPr>
          <w:p w14:paraId="410EBF6F"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DD2D02D" w14:textId="77777777" w:rsidR="00000000" w:rsidRDefault="009B6C69">
            <w:pPr>
              <w:spacing w:after="100"/>
              <w:jc w:val="center"/>
              <w:rPr>
                <w:rFonts w:eastAsia="Times New Roman"/>
              </w:rPr>
            </w:pPr>
            <w:r>
              <w:rPr>
                <w:rFonts w:eastAsia="Times New Roman"/>
                <w:color w:val="000000"/>
                <w:sz w:val="18"/>
                <w:szCs w:val="18"/>
              </w:rPr>
              <w:t>10.1</w:t>
            </w:r>
          </w:p>
        </w:tc>
        <w:tc>
          <w:tcPr>
            <w:tcW w:w="0" w:type="auto"/>
            <w:gridSpan w:val="3"/>
            <w:shd w:val="clear" w:color="auto" w:fill="CCEEFF"/>
            <w:tcMar>
              <w:top w:w="0" w:type="dxa"/>
              <w:left w:w="20" w:type="dxa"/>
              <w:bottom w:w="0" w:type="dxa"/>
              <w:right w:w="20" w:type="dxa"/>
            </w:tcMar>
            <w:vAlign w:val="center"/>
            <w:hideMark/>
          </w:tcPr>
          <w:p w14:paraId="4B8939CB"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7B0CDE" w14:textId="77777777" w:rsidR="00000000" w:rsidRDefault="009B6C69">
            <w:pPr>
              <w:spacing w:after="100"/>
              <w:rPr>
                <w:rFonts w:eastAsia="Times New Roman"/>
                <w:sz w:val="20"/>
                <w:szCs w:val="20"/>
              </w:rPr>
            </w:pPr>
          </w:p>
        </w:tc>
      </w:tr>
      <w:tr w:rsidR="00000000" w14:paraId="52A52301" w14:textId="77777777">
        <w:trPr>
          <w:divId w:val="135732122"/>
        </w:trPr>
        <w:tc>
          <w:tcPr>
            <w:tcW w:w="0" w:type="auto"/>
            <w:gridSpan w:val="3"/>
            <w:shd w:val="clear" w:color="auto" w:fill="FFFFFF"/>
            <w:tcMar>
              <w:top w:w="30" w:type="dxa"/>
              <w:left w:w="20" w:type="dxa"/>
              <w:bottom w:w="30" w:type="dxa"/>
              <w:right w:w="20" w:type="dxa"/>
            </w:tcMar>
            <w:hideMark/>
          </w:tcPr>
          <w:p w14:paraId="3A6AF7F8" w14:textId="77777777" w:rsidR="00000000" w:rsidRDefault="009B6C69">
            <w:pPr>
              <w:spacing w:after="100"/>
              <w:jc w:val="center"/>
              <w:rPr>
                <w:rFonts w:eastAsia="Times New Roman"/>
              </w:rPr>
            </w:pPr>
            <w:r>
              <w:rPr>
                <w:rFonts w:eastAsia="Times New Roman"/>
                <w:color w:val="000000"/>
                <w:sz w:val="18"/>
                <w:szCs w:val="18"/>
              </w:rPr>
              <w:t>10.6</w:t>
            </w:r>
          </w:p>
        </w:tc>
        <w:tc>
          <w:tcPr>
            <w:tcW w:w="0" w:type="auto"/>
            <w:gridSpan w:val="3"/>
            <w:shd w:val="clear" w:color="auto" w:fill="FFFFFF"/>
            <w:tcMar>
              <w:top w:w="0" w:type="dxa"/>
              <w:left w:w="20" w:type="dxa"/>
              <w:bottom w:w="0" w:type="dxa"/>
              <w:right w:w="20" w:type="dxa"/>
            </w:tcMar>
            <w:vAlign w:val="center"/>
            <w:hideMark/>
          </w:tcPr>
          <w:p w14:paraId="34B7C201"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89A8333" w14:textId="77777777" w:rsidR="00000000" w:rsidRDefault="009B6C69">
            <w:pPr>
              <w:spacing w:after="100"/>
              <w:divId w:val="1454203696"/>
              <w:rPr>
                <w:rFonts w:eastAsia="Times New Roman"/>
              </w:rPr>
            </w:pPr>
            <w:hyperlink r:id="rId42" w:history="1">
              <w:r>
                <w:rPr>
                  <w:rStyle w:val="a3"/>
                  <w:rFonts w:eastAsia="Times New Roman"/>
                  <w:sz w:val="18"/>
                  <w:szCs w:val="18"/>
                </w:rPr>
                <w:t>Amended and Restated 2016 Long-Term Incentive Plan. (2)</w:t>
              </w:r>
            </w:hyperlink>
          </w:p>
        </w:tc>
        <w:tc>
          <w:tcPr>
            <w:tcW w:w="0" w:type="auto"/>
            <w:gridSpan w:val="3"/>
            <w:shd w:val="clear" w:color="auto" w:fill="FFFFFF"/>
            <w:tcMar>
              <w:top w:w="0" w:type="dxa"/>
              <w:left w:w="20" w:type="dxa"/>
              <w:bottom w:w="0" w:type="dxa"/>
              <w:right w:w="20" w:type="dxa"/>
            </w:tcMar>
            <w:vAlign w:val="center"/>
            <w:hideMark/>
          </w:tcPr>
          <w:p w14:paraId="2AA7DF0C"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5248696" w14:textId="77777777" w:rsidR="00000000" w:rsidRDefault="009B6C69">
            <w:pPr>
              <w:spacing w:after="100"/>
              <w:jc w:val="cente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14:paraId="654BD6F2"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981F36F" w14:textId="77777777" w:rsidR="00000000" w:rsidRDefault="009B6C69">
            <w:pPr>
              <w:spacing w:after="100"/>
              <w:jc w:val="center"/>
              <w:rPr>
                <w:rFonts w:eastAsia="Times New Roman"/>
              </w:rPr>
            </w:pPr>
            <w:r>
              <w:rPr>
                <w:rFonts w:eastAsia="Times New Roman"/>
                <w:color w:val="000000"/>
                <w:sz w:val="18"/>
                <w:szCs w:val="18"/>
              </w:rPr>
              <w:t>4/29/2020</w:t>
            </w:r>
          </w:p>
        </w:tc>
        <w:tc>
          <w:tcPr>
            <w:tcW w:w="0" w:type="auto"/>
            <w:gridSpan w:val="3"/>
            <w:shd w:val="clear" w:color="auto" w:fill="FFFFFF"/>
            <w:tcMar>
              <w:top w:w="0" w:type="dxa"/>
              <w:left w:w="20" w:type="dxa"/>
              <w:bottom w:w="0" w:type="dxa"/>
              <w:right w:w="20" w:type="dxa"/>
            </w:tcMar>
            <w:vAlign w:val="center"/>
            <w:hideMark/>
          </w:tcPr>
          <w:p w14:paraId="7964A3EA"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4F149DC" w14:textId="77777777" w:rsidR="00000000" w:rsidRDefault="009B6C69">
            <w:pPr>
              <w:spacing w:after="100"/>
              <w:jc w:val="center"/>
              <w:rPr>
                <w:rFonts w:eastAsia="Times New Roman"/>
              </w:rPr>
            </w:pPr>
            <w:r>
              <w:rPr>
                <w:rFonts w:eastAsia="Times New Roman"/>
                <w:color w:val="000000"/>
                <w:sz w:val="18"/>
                <w:szCs w:val="18"/>
              </w:rPr>
              <w:t>10.7</w:t>
            </w:r>
          </w:p>
        </w:tc>
        <w:tc>
          <w:tcPr>
            <w:tcW w:w="0" w:type="auto"/>
            <w:gridSpan w:val="3"/>
            <w:shd w:val="clear" w:color="auto" w:fill="FFFFFF"/>
            <w:tcMar>
              <w:top w:w="0" w:type="dxa"/>
              <w:left w:w="20" w:type="dxa"/>
              <w:bottom w:w="0" w:type="dxa"/>
              <w:right w:w="20" w:type="dxa"/>
            </w:tcMar>
            <w:vAlign w:val="center"/>
            <w:hideMark/>
          </w:tcPr>
          <w:p w14:paraId="57AB4E85"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F016BC" w14:textId="77777777" w:rsidR="00000000" w:rsidRDefault="009B6C69">
            <w:pPr>
              <w:spacing w:after="100"/>
              <w:rPr>
                <w:rFonts w:eastAsia="Times New Roman"/>
                <w:sz w:val="20"/>
                <w:szCs w:val="20"/>
              </w:rPr>
            </w:pPr>
          </w:p>
        </w:tc>
      </w:tr>
      <w:tr w:rsidR="00000000" w14:paraId="44A6FE13" w14:textId="77777777">
        <w:trPr>
          <w:divId w:val="135732122"/>
        </w:trPr>
        <w:tc>
          <w:tcPr>
            <w:tcW w:w="0" w:type="auto"/>
            <w:gridSpan w:val="3"/>
            <w:shd w:val="clear" w:color="auto" w:fill="CCEEFF"/>
            <w:tcMar>
              <w:top w:w="30" w:type="dxa"/>
              <w:left w:w="20" w:type="dxa"/>
              <w:bottom w:w="30" w:type="dxa"/>
              <w:right w:w="20" w:type="dxa"/>
            </w:tcMar>
            <w:hideMark/>
          </w:tcPr>
          <w:p w14:paraId="243CCF1B" w14:textId="77777777" w:rsidR="00000000" w:rsidRDefault="009B6C69">
            <w:pPr>
              <w:spacing w:after="100"/>
              <w:jc w:val="center"/>
              <w:rPr>
                <w:rFonts w:eastAsia="Times New Roman"/>
              </w:rPr>
            </w:pPr>
            <w:r>
              <w:rPr>
                <w:rFonts w:eastAsia="Times New Roman"/>
                <w:color w:val="000000"/>
                <w:sz w:val="18"/>
                <w:szCs w:val="18"/>
              </w:rPr>
              <w:t>10.7</w:t>
            </w:r>
          </w:p>
        </w:tc>
        <w:tc>
          <w:tcPr>
            <w:tcW w:w="0" w:type="auto"/>
            <w:gridSpan w:val="3"/>
            <w:shd w:val="clear" w:color="auto" w:fill="CCEEFF"/>
            <w:tcMar>
              <w:top w:w="0" w:type="dxa"/>
              <w:left w:w="20" w:type="dxa"/>
              <w:bottom w:w="0" w:type="dxa"/>
              <w:right w:w="20" w:type="dxa"/>
            </w:tcMar>
            <w:vAlign w:val="center"/>
            <w:hideMark/>
          </w:tcPr>
          <w:p w14:paraId="4BE20E4F"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3A4BBBD3" w14:textId="77777777" w:rsidR="00000000" w:rsidRDefault="009B6C69">
            <w:pPr>
              <w:spacing w:after="100"/>
              <w:divId w:val="1256593102"/>
              <w:rPr>
                <w:rFonts w:eastAsia="Times New Roman"/>
              </w:rPr>
            </w:pPr>
            <w:hyperlink r:id="rId43" w:history="1">
              <w:r>
                <w:rPr>
                  <w:rStyle w:val="a3"/>
                  <w:rFonts w:eastAsia="Times New Roman"/>
                  <w:sz w:val="18"/>
                  <w:szCs w:val="18"/>
                </w:rPr>
                <w:t>Amended and Restated QUALCOMM Incorporated 2001 Employee Stock Purchase Plan, as amended. (2)</w:t>
              </w:r>
            </w:hyperlink>
          </w:p>
        </w:tc>
        <w:tc>
          <w:tcPr>
            <w:tcW w:w="0" w:type="auto"/>
            <w:gridSpan w:val="3"/>
            <w:shd w:val="clear" w:color="auto" w:fill="CCEEFF"/>
            <w:tcMar>
              <w:top w:w="0" w:type="dxa"/>
              <w:left w:w="20" w:type="dxa"/>
              <w:bottom w:w="0" w:type="dxa"/>
              <w:right w:w="20" w:type="dxa"/>
            </w:tcMar>
            <w:vAlign w:val="center"/>
            <w:hideMark/>
          </w:tcPr>
          <w:p w14:paraId="0671604D"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46882ADC" w14:textId="77777777" w:rsidR="00000000" w:rsidRDefault="009B6C69">
            <w:pPr>
              <w:spacing w:after="100"/>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14:paraId="70E11F4C"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77A9D99" w14:textId="77777777" w:rsidR="00000000" w:rsidRDefault="009B6C69">
            <w:pPr>
              <w:spacing w:after="100"/>
              <w:jc w:val="center"/>
              <w:rPr>
                <w:rFonts w:eastAsia="Times New Roman"/>
              </w:rPr>
            </w:pPr>
            <w:r>
              <w:rPr>
                <w:rFonts w:eastAsia="Times New Roman"/>
                <w:color w:val="000000"/>
                <w:sz w:val="18"/>
                <w:szCs w:val="18"/>
              </w:rPr>
              <w:t>4/25/2018</w:t>
            </w:r>
          </w:p>
        </w:tc>
        <w:tc>
          <w:tcPr>
            <w:tcW w:w="0" w:type="auto"/>
            <w:gridSpan w:val="3"/>
            <w:shd w:val="clear" w:color="auto" w:fill="CCEEFF"/>
            <w:tcMar>
              <w:top w:w="0" w:type="dxa"/>
              <w:left w:w="20" w:type="dxa"/>
              <w:bottom w:w="0" w:type="dxa"/>
              <w:right w:w="20" w:type="dxa"/>
            </w:tcMar>
            <w:vAlign w:val="center"/>
            <w:hideMark/>
          </w:tcPr>
          <w:p w14:paraId="05FCBB25"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BA435A2" w14:textId="77777777" w:rsidR="00000000" w:rsidRDefault="009B6C69">
            <w:pPr>
              <w:spacing w:after="100"/>
              <w:jc w:val="center"/>
              <w:rPr>
                <w:rFonts w:eastAsia="Times New Roman"/>
              </w:rPr>
            </w:pPr>
            <w:r>
              <w:rPr>
                <w:rFonts w:eastAsia="Times New Roman"/>
                <w:color w:val="000000"/>
                <w:sz w:val="18"/>
                <w:szCs w:val="18"/>
              </w:rPr>
              <w:t>10.62</w:t>
            </w:r>
          </w:p>
        </w:tc>
        <w:tc>
          <w:tcPr>
            <w:tcW w:w="0" w:type="auto"/>
            <w:gridSpan w:val="3"/>
            <w:shd w:val="clear" w:color="auto" w:fill="CCEEFF"/>
            <w:tcMar>
              <w:top w:w="0" w:type="dxa"/>
              <w:left w:w="20" w:type="dxa"/>
              <w:bottom w:w="0" w:type="dxa"/>
              <w:right w:w="20" w:type="dxa"/>
            </w:tcMar>
            <w:vAlign w:val="center"/>
            <w:hideMark/>
          </w:tcPr>
          <w:p w14:paraId="75AA74B8"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4CB420" w14:textId="77777777" w:rsidR="00000000" w:rsidRDefault="009B6C69">
            <w:pPr>
              <w:spacing w:after="100"/>
              <w:rPr>
                <w:rFonts w:eastAsia="Times New Roman"/>
                <w:sz w:val="20"/>
                <w:szCs w:val="20"/>
              </w:rPr>
            </w:pPr>
          </w:p>
        </w:tc>
      </w:tr>
      <w:tr w:rsidR="00000000" w14:paraId="4D28A8AF" w14:textId="77777777">
        <w:trPr>
          <w:divId w:val="135732122"/>
        </w:trPr>
        <w:tc>
          <w:tcPr>
            <w:tcW w:w="0" w:type="auto"/>
            <w:gridSpan w:val="3"/>
            <w:shd w:val="clear" w:color="auto" w:fill="FFFFFF"/>
            <w:tcMar>
              <w:top w:w="30" w:type="dxa"/>
              <w:left w:w="20" w:type="dxa"/>
              <w:bottom w:w="30" w:type="dxa"/>
              <w:right w:w="20" w:type="dxa"/>
            </w:tcMar>
            <w:hideMark/>
          </w:tcPr>
          <w:p w14:paraId="556DFF8F" w14:textId="77777777" w:rsidR="00000000" w:rsidRDefault="009B6C69">
            <w:pPr>
              <w:spacing w:after="100"/>
              <w:jc w:val="center"/>
              <w:rPr>
                <w:rFonts w:eastAsia="Times New Roman"/>
              </w:rPr>
            </w:pPr>
            <w:r>
              <w:rPr>
                <w:rFonts w:eastAsia="Times New Roman"/>
                <w:color w:val="000000"/>
                <w:sz w:val="18"/>
                <w:szCs w:val="18"/>
              </w:rPr>
              <w:t>10.8</w:t>
            </w:r>
          </w:p>
        </w:tc>
        <w:tc>
          <w:tcPr>
            <w:tcW w:w="0" w:type="auto"/>
            <w:gridSpan w:val="3"/>
            <w:shd w:val="clear" w:color="auto" w:fill="FFFFFF"/>
            <w:tcMar>
              <w:top w:w="0" w:type="dxa"/>
              <w:left w:w="20" w:type="dxa"/>
              <w:bottom w:w="0" w:type="dxa"/>
              <w:right w:w="20" w:type="dxa"/>
            </w:tcMar>
            <w:vAlign w:val="center"/>
            <w:hideMark/>
          </w:tcPr>
          <w:p w14:paraId="77F1F6EC"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89AC41B" w14:textId="77777777" w:rsidR="00000000" w:rsidRDefault="009B6C69">
            <w:pPr>
              <w:spacing w:after="100"/>
              <w:divId w:val="2082824397"/>
              <w:rPr>
                <w:rFonts w:eastAsia="Times New Roman"/>
              </w:rPr>
            </w:pPr>
            <w:hyperlink r:id="rId44" w:history="1">
              <w:r>
                <w:rPr>
                  <w:rStyle w:val="a3"/>
                  <w:rFonts w:eastAsia="Times New Roman"/>
                  <w:sz w:val="18"/>
                  <w:szCs w:val="18"/>
                </w:rPr>
                <w:t xml:space="preserve">Form of Qualcomm Incorporated 2016 Long-Term Incentive Plan Executive Performance Stock Unit Award RTSR Shares Grant Notice and ROIC Shares Grant Notice, </w:t>
              </w:r>
              <w:r>
                <w:rPr>
                  <w:rStyle w:val="a3"/>
                  <w:rFonts w:eastAsia="Times New Roman"/>
                  <w:sz w:val="18"/>
                  <w:szCs w:val="18"/>
                </w:rPr>
                <w:t>and Qualcomm Incorporated 2016 Long-Term Incentive Plan Executive Performance Stock Unit Award Agreement (September 30, 2019 - September 25, 2022 Performance Period). (2)</w:t>
              </w:r>
            </w:hyperlink>
          </w:p>
        </w:tc>
        <w:tc>
          <w:tcPr>
            <w:tcW w:w="0" w:type="auto"/>
            <w:gridSpan w:val="3"/>
            <w:shd w:val="clear" w:color="auto" w:fill="FFFFFF"/>
            <w:tcMar>
              <w:top w:w="0" w:type="dxa"/>
              <w:left w:w="20" w:type="dxa"/>
              <w:bottom w:w="0" w:type="dxa"/>
              <w:right w:w="20" w:type="dxa"/>
            </w:tcMar>
            <w:vAlign w:val="center"/>
            <w:hideMark/>
          </w:tcPr>
          <w:p w14:paraId="046209C4"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01D6265" w14:textId="77777777" w:rsidR="00000000" w:rsidRDefault="009B6C69">
            <w:pPr>
              <w:spacing w:after="100"/>
              <w:jc w:val="center"/>
              <w:rPr>
                <w:rFonts w:eastAsia="Times New Roman"/>
              </w:rPr>
            </w:pPr>
            <w:r>
              <w:rPr>
                <w:rFonts w:eastAsia="Times New Roman"/>
                <w:color w:val="000000"/>
                <w:sz w:val="18"/>
                <w:szCs w:val="18"/>
              </w:rPr>
              <w:t>10-K</w:t>
            </w:r>
          </w:p>
        </w:tc>
        <w:tc>
          <w:tcPr>
            <w:tcW w:w="0" w:type="auto"/>
            <w:gridSpan w:val="3"/>
            <w:shd w:val="clear" w:color="auto" w:fill="FFFFFF"/>
            <w:tcMar>
              <w:top w:w="0" w:type="dxa"/>
              <w:left w:w="20" w:type="dxa"/>
              <w:bottom w:w="0" w:type="dxa"/>
              <w:right w:w="20" w:type="dxa"/>
            </w:tcMar>
            <w:vAlign w:val="center"/>
            <w:hideMark/>
          </w:tcPr>
          <w:p w14:paraId="42548D64"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0C100DB" w14:textId="77777777" w:rsidR="00000000" w:rsidRDefault="009B6C69">
            <w:pPr>
              <w:spacing w:after="100"/>
              <w:jc w:val="center"/>
              <w:rPr>
                <w:rFonts w:eastAsia="Times New Roman"/>
              </w:rPr>
            </w:pPr>
            <w:r>
              <w:rPr>
                <w:rFonts w:eastAsia="Times New Roman"/>
                <w:color w:val="000000"/>
                <w:sz w:val="18"/>
                <w:szCs w:val="18"/>
              </w:rPr>
              <w:t>11/6/2019</w:t>
            </w:r>
          </w:p>
        </w:tc>
        <w:tc>
          <w:tcPr>
            <w:tcW w:w="0" w:type="auto"/>
            <w:gridSpan w:val="3"/>
            <w:shd w:val="clear" w:color="auto" w:fill="FFFFFF"/>
            <w:tcMar>
              <w:top w:w="0" w:type="dxa"/>
              <w:left w:w="20" w:type="dxa"/>
              <w:bottom w:w="0" w:type="dxa"/>
              <w:right w:w="20" w:type="dxa"/>
            </w:tcMar>
            <w:vAlign w:val="center"/>
            <w:hideMark/>
          </w:tcPr>
          <w:p w14:paraId="474AAEFE"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7283386" w14:textId="77777777" w:rsidR="00000000" w:rsidRDefault="009B6C69">
            <w:pPr>
              <w:spacing w:after="100"/>
              <w:jc w:val="center"/>
              <w:rPr>
                <w:rFonts w:eastAsia="Times New Roman"/>
              </w:rPr>
            </w:pPr>
            <w:r>
              <w:rPr>
                <w:rFonts w:eastAsia="Times New Roman"/>
                <w:color w:val="000000"/>
                <w:sz w:val="18"/>
                <w:szCs w:val="18"/>
              </w:rPr>
              <w:t>10.29</w:t>
            </w:r>
          </w:p>
        </w:tc>
        <w:tc>
          <w:tcPr>
            <w:tcW w:w="0" w:type="auto"/>
            <w:gridSpan w:val="3"/>
            <w:shd w:val="clear" w:color="auto" w:fill="FFFFFF"/>
            <w:tcMar>
              <w:top w:w="0" w:type="dxa"/>
              <w:left w:w="20" w:type="dxa"/>
              <w:bottom w:w="0" w:type="dxa"/>
              <w:right w:w="20" w:type="dxa"/>
            </w:tcMar>
            <w:vAlign w:val="center"/>
            <w:hideMark/>
          </w:tcPr>
          <w:p w14:paraId="7C4D48B5"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EB4E53" w14:textId="77777777" w:rsidR="00000000" w:rsidRDefault="009B6C69">
            <w:pPr>
              <w:spacing w:after="100"/>
              <w:rPr>
                <w:rFonts w:eastAsia="Times New Roman"/>
                <w:sz w:val="20"/>
                <w:szCs w:val="20"/>
              </w:rPr>
            </w:pPr>
          </w:p>
        </w:tc>
      </w:tr>
      <w:tr w:rsidR="00000000" w14:paraId="2FA6C5C3" w14:textId="77777777">
        <w:trPr>
          <w:divId w:val="135732122"/>
        </w:trPr>
        <w:tc>
          <w:tcPr>
            <w:tcW w:w="0" w:type="auto"/>
            <w:gridSpan w:val="3"/>
            <w:shd w:val="clear" w:color="auto" w:fill="CCEEFF"/>
            <w:tcMar>
              <w:top w:w="30" w:type="dxa"/>
              <w:left w:w="20" w:type="dxa"/>
              <w:bottom w:w="30" w:type="dxa"/>
              <w:right w:w="20" w:type="dxa"/>
            </w:tcMar>
            <w:hideMark/>
          </w:tcPr>
          <w:p w14:paraId="2BDC15F2" w14:textId="77777777" w:rsidR="00000000" w:rsidRDefault="009B6C69">
            <w:pPr>
              <w:spacing w:after="100"/>
              <w:jc w:val="center"/>
              <w:rPr>
                <w:rFonts w:eastAsia="Times New Roman"/>
              </w:rPr>
            </w:pPr>
            <w:r>
              <w:rPr>
                <w:rFonts w:eastAsia="Times New Roman"/>
                <w:color w:val="000000"/>
                <w:sz w:val="18"/>
                <w:szCs w:val="18"/>
              </w:rPr>
              <w:t>10.9</w:t>
            </w:r>
          </w:p>
        </w:tc>
        <w:tc>
          <w:tcPr>
            <w:tcW w:w="0" w:type="auto"/>
            <w:gridSpan w:val="3"/>
            <w:shd w:val="clear" w:color="auto" w:fill="CCEEFF"/>
            <w:tcMar>
              <w:top w:w="0" w:type="dxa"/>
              <w:left w:w="20" w:type="dxa"/>
              <w:bottom w:w="0" w:type="dxa"/>
              <w:right w:w="20" w:type="dxa"/>
            </w:tcMar>
            <w:vAlign w:val="center"/>
            <w:hideMark/>
          </w:tcPr>
          <w:p w14:paraId="3542AC9F"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9E52315" w14:textId="77777777" w:rsidR="00000000" w:rsidRDefault="009B6C69">
            <w:pPr>
              <w:spacing w:after="100"/>
              <w:divId w:val="989559131"/>
              <w:rPr>
                <w:rFonts w:eastAsia="Times New Roman"/>
              </w:rPr>
            </w:pPr>
            <w:hyperlink r:id="rId45" w:history="1">
              <w:r>
                <w:rPr>
                  <w:rStyle w:val="a3"/>
                  <w:rFonts w:eastAsia="Times New Roman"/>
                  <w:sz w:val="18"/>
                  <w:szCs w:val="18"/>
                </w:rPr>
                <w:t>Form of Qualcomm Incorporated 2016 Long-Term Incentive Plan Executive Performance Stock Unit Award Grant Notice and Executive Performance Stock Unit Award</w:t>
              </w:r>
              <w:r>
                <w:rPr>
                  <w:rStyle w:val="a3"/>
                  <w:rFonts w:eastAsia="Times New Roman"/>
                  <w:sz w:val="18"/>
                  <w:szCs w:val="18"/>
                </w:rPr>
                <w:t xml:space="preserve"> Agreement (2020 Form). (2)</w:t>
              </w:r>
            </w:hyperlink>
          </w:p>
        </w:tc>
        <w:tc>
          <w:tcPr>
            <w:tcW w:w="0" w:type="auto"/>
            <w:gridSpan w:val="3"/>
            <w:shd w:val="clear" w:color="auto" w:fill="CCEEFF"/>
            <w:tcMar>
              <w:top w:w="0" w:type="dxa"/>
              <w:left w:w="20" w:type="dxa"/>
              <w:bottom w:w="0" w:type="dxa"/>
              <w:right w:w="20" w:type="dxa"/>
            </w:tcMar>
            <w:vAlign w:val="center"/>
            <w:hideMark/>
          </w:tcPr>
          <w:p w14:paraId="467FB5DE"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2C70EC4D" w14:textId="77777777" w:rsidR="00000000" w:rsidRDefault="009B6C69">
            <w:pPr>
              <w:spacing w:after="100"/>
              <w:jc w:val="center"/>
              <w:rPr>
                <w:rFonts w:eastAsia="Times New Roman"/>
              </w:rPr>
            </w:pPr>
            <w:r>
              <w:rPr>
                <w:rFonts w:eastAsia="Times New Roman"/>
                <w:color w:val="000000"/>
                <w:sz w:val="18"/>
                <w:szCs w:val="18"/>
              </w:rPr>
              <w:t>10-K</w:t>
            </w:r>
          </w:p>
        </w:tc>
        <w:tc>
          <w:tcPr>
            <w:tcW w:w="0" w:type="auto"/>
            <w:gridSpan w:val="3"/>
            <w:shd w:val="clear" w:color="auto" w:fill="CCEEFF"/>
            <w:tcMar>
              <w:top w:w="0" w:type="dxa"/>
              <w:left w:w="20" w:type="dxa"/>
              <w:bottom w:w="0" w:type="dxa"/>
              <w:right w:w="20" w:type="dxa"/>
            </w:tcMar>
            <w:vAlign w:val="center"/>
            <w:hideMark/>
          </w:tcPr>
          <w:p w14:paraId="032619F9"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7BF0A52" w14:textId="77777777" w:rsidR="00000000" w:rsidRDefault="009B6C69">
            <w:pPr>
              <w:spacing w:after="100"/>
              <w:jc w:val="center"/>
              <w:rPr>
                <w:rFonts w:eastAsia="Times New Roman"/>
              </w:rPr>
            </w:pPr>
            <w:r>
              <w:rPr>
                <w:rFonts w:eastAsia="Times New Roman"/>
                <w:color w:val="000000"/>
                <w:sz w:val="18"/>
                <w:szCs w:val="18"/>
              </w:rPr>
              <w:t>11/4/2020</w:t>
            </w:r>
          </w:p>
        </w:tc>
        <w:tc>
          <w:tcPr>
            <w:tcW w:w="0" w:type="auto"/>
            <w:gridSpan w:val="3"/>
            <w:shd w:val="clear" w:color="auto" w:fill="CCEEFF"/>
            <w:tcMar>
              <w:top w:w="0" w:type="dxa"/>
              <w:left w:w="20" w:type="dxa"/>
              <w:bottom w:w="0" w:type="dxa"/>
              <w:right w:w="20" w:type="dxa"/>
            </w:tcMar>
            <w:vAlign w:val="center"/>
            <w:hideMark/>
          </w:tcPr>
          <w:p w14:paraId="26FBD3B8"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5F601DA" w14:textId="77777777" w:rsidR="00000000" w:rsidRDefault="009B6C69">
            <w:pPr>
              <w:spacing w:after="100"/>
              <w:jc w:val="center"/>
              <w:rPr>
                <w:rFonts w:eastAsia="Times New Roman"/>
              </w:rPr>
            </w:pPr>
            <w:r>
              <w:rPr>
                <w:rFonts w:eastAsia="Times New Roman"/>
                <w:color w:val="000000"/>
                <w:sz w:val="18"/>
                <w:szCs w:val="18"/>
              </w:rPr>
              <w:t>10.21</w:t>
            </w:r>
          </w:p>
        </w:tc>
        <w:tc>
          <w:tcPr>
            <w:tcW w:w="0" w:type="auto"/>
            <w:gridSpan w:val="3"/>
            <w:shd w:val="clear" w:color="auto" w:fill="CCEEFF"/>
            <w:tcMar>
              <w:top w:w="0" w:type="dxa"/>
              <w:left w:w="20" w:type="dxa"/>
              <w:bottom w:w="0" w:type="dxa"/>
              <w:right w:w="20" w:type="dxa"/>
            </w:tcMar>
            <w:vAlign w:val="center"/>
            <w:hideMark/>
          </w:tcPr>
          <w:p w14:paraId="69B1D106"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ACC24C" w14:textId="77777777" w:rsidR="00000000" w:rsidRDefault="009B6C69">
            <w:pPr>
              <w:spacing w:after="100"/>
              <w:rPr>
                <w:rFonts w:eastAsia="Times New Roman"/>
                <w:sz w:val="20"/>
                <w:szCs w:val="20"/>
              </w:rPr>
            </w:pPr>
          </w:p>
        </w:tc>
      </w:tr>
      <w:tr w:rsidR="00000000" w14:paraId="73E64742" w14:textId="77777777">
        <w:trPr>
          <w:divId w:val="135732122"/>
        </w:trPr>
        <w:tc>
          <w:tcPr>
            <w:tcW w:w="0" w:type="auto"/>
            <w:gridSpan w:val="3"/>
            <w:shd w:val="clear" w:color="auto" w:fill="FFFFFF"/>
            <w:tcMar>
              <w:top w:w="30" w:type="dxa"/>
              <w:left w:w="20" w:type="dxa"/>
              <w:bottom w:w="30" w:type="dxa"/>
              <w:right w:w="20" w:type="dxa"/>
            </w:tcMar>
            <w:hideMark/>
          </w:tcPr>
          <w:p w14:paraId="2BFD8FC0" w14:textId="77777777" w:rsidR="00000000" w:rsidRDefault="009B6C69">
            <w:pPr>
              <w:spacing w:after="100"/>
              <w:jc w:val="center"/>
              <w:rPr>
                <w:rFonts w:eastAsia="Times New Roman"/>
              </w:rPr>
            </w:pPr>
            <w:r>
              <w:rPr>
                <w:rFonts w:eastAsia="Times New Roman"/>
                <w:color w:val="000000"/>
                <w:sz w:val="18"/>
                <w:szCs w:val="18"/>
              </w:rPr>
              <w:t>10.10</w:t>
            </w:r>
          </w:p>
        </w:tc>
        <w:tc>
          <w:tcPr>
            <w:tcW w:w="0" w:type="auto"/>
            <w:gridSpan w:val="3"/>
            <w:shd w:val="clear" w:color="auto" w:fill="FFFFFF"/>
            <w:tcMar>
              <w:top w:w="0" w:type="dxa"/>
              <w:left w:w="20" w:type="dxa"/>
              <w:bottom w:w="0" w:type="dxa"/>
              <w:right w:w="20" w:type="dxa"/>
            </w:tcMar>
            <w:vAlign w:val="center"/>
            <w:hideMark/>
          </w:tcPr>
          <w:p w14:paraId="39807E49"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1797F94" w14:textId="77777777" w:rsidR="00000000" w:rsidRDefault="009B6C69">
            <w:pPr>
              <w:spacing w:after="100"/>
              <w:divId w:val="901062616"/>
              <w:rPr>
                <w:rFonts w:eastAsia="Times New Roman"/>
              </w:rPr>
            </w:pPr>
            <w:hyperlink r:id="rId46" w:history="1">
              <w:r>
                <w:rPr>
                  <w:rStyle w:val="a3"/>
                  <w:rFonts w:eastAsia="Times New Roman"/>
                  <w:sz w:val="18"/>
                  <w:szCs w:val="18"/>
                </w:rPr>
                <w:t>Form of Qualcomm Incorporated 2016 Long-Term Incentive Plan Executive Restricted Stock Unit Grant Notice and Executive Restricted Stock Unit Agreement (20</w:t>
              </w:r>
              <w:r>
                <w:rPr>
                  <w:rStyle w:val="a3"/>
                  <w:rFonts w:eastAsia="Times New Roman"/>
                  <w:sz w:val="18"/>
                  <w:szCs w:val="18"/>
                </w:rPr>
                <w:t>20 Form). (2)</w:t>
              </w:r>
            </w:hyperlink>
          </w:p>
        </w:tc>
        <w:tc>
          <w:tcPr>
            <w:tcW w:w="0" w:type="auto"/>
            <w:gridSpan w:val="3"/>
            <w:shd w:val="clear" w:color="auto" w:fill="FFFFFF"/>
            <w:tcMar>
              <w:top w:w="0" w:type="dxa"/>
              <w:left w:w="20" w:type="dxa"/>
              <w:bottom w:w="0" w:type="dxa"/>
              <w:right w:w="20" w:type="dxa"/>
            </w:tcMar>
            <w:vAlign w:val="center"/>
            <w:hideMark/>
          </w:tcPr>
          <w:p w14:paraId="7D20080F"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0E22999" w14:textId="77777777" w:rsidR="00000000" w:rsidRDefault="009B6C69">
            <w:pPr>
              <w:spacing w:after="100"/>
              <w:jc w:val="cente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14:paraId="0F62C00E"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A6E9B06" w14:textId="77777777" w:rsidR="00000000" w:rsidRDefault="009B6C69">
            <w:pPr>
              <w:spacing w:after="100"/>
              <w:jc w:val="center"/>
              <w:rPr>
                <w:rFonts w:eastAsia="Times New Roman"/>
              </w:rPr>
            </w:pPr>
            <w:r>
              <w:rPr>
                <w:rFonts w:eastAsia="Times New Roman"/>
                <w:color w:val="000000"/>
                <w:sz w:val="18"/>
                <w:szCs w:val="18"/>
              </w:rPr>
              <w:t>2/3/2021</w:t>
            </w:r>
          </w:p>
        </w:tc>
        <w:tc>
          <w:tcPr>
            <w:tcW w:w="0" w:type="auto"/>
            <w:gridSpan w:val="3"/>
            <w:shd w:val="clear" w:color="auto" w:fill="FFFFFF"/>
            <w:tcMar>
              <w:top w:w="0" w:type="dxa"/>
              <w:left w:w="20" w:type="dxa"/>
              <w:bottom w:w="0" w:type="dxa"/>
              <w:right w:w="20" w:type="dxa"/>
            </w:tcMar>
            <w:vAlign w:val="center"/>
            <w:hideMark/>
          </w:tcPr>
          <w:p w14:paraId="603E0906"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6ED0ED6" w14:textId="77777777" w:rsidR="00000000" w:rsidRDefault="009B6C69">
            <w:pPr>
              <w:spacing w:after="100"/>
              <w:jc w:val="center"/>
              <w:rPr>
                <w:rFonts w:eastAsia="Times New Roman"/>
              </w:rPr>
            </w:pPr>
            <w:r>
              <w:rPr>
                <w:rFonts w:eastAsia="Times New Roman"/>
                <w:color w:val="000000"/>
                <w:sz w:val="18"/>
                <w:szCs w:val="18"/>
              </w:rPr>
              <w:t>10.20</w:t>
            </w:r>
          </w:p>
        </w:tc>
        <w:tc>
          <w:tcPr>
            <w:tcW w:w="0" w:type="auto"/>
            <w:gridSpan w:val="3"/>
            <w:shd w:val="clear" w:color="auto" w:fill="FFFFFF"/>
            <w:tcMar>
              <w:top w:w="0" w:type="dxa"/>
              <w:left w:w="20" w:type="dxa"/>
              <w:bottom w:w="0" w:type="dxa"/>
              <w:right w:w="20" w:type="dxa"/>
            </w:tcMar>
            <w:vAlign w:val="center"/>
            <w:hideMark/>
          </w:tcPr>
          <w:p w14:paraId="0F5EF18D"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655E7A" w14:textId="77777777" w:rsidR="00000000" w:rsidRDefault="009B6C69">
            <w:pPr>
              <w:spacing w:after="100"/>
              <w:rPr>
                <w:rFonts w:eastAsia="Times New Roman"/>
                <w:sz w:val="20"/>
                <w:szCs w:val="20"/>
              </w:rPr>
            </w:pPr>
          </w:p>
        </w:tc>
      </w:tr>
      <w:tr w:rsidR="00000000" w14:paraId="5E754864" w14:textId="77777777">
        <w:trPr>
          <w:divId w:val="135732122"/>
        </w:trPr>
        <w:tc>
          <w:tcPr>
            <w:tcW w:w="0" w:type="auto"/>
            <w:gridSpan w:val="3"/>
            <w:shd w:val="clear" w:color="auto" w:fill="CCEEFF"/>
            <w:tcMar>
              <w:top w:w="30" w:type="dxa"/>
              <w:left w:w="20" w:type="dxa"/>
              <w:bottom w:w="30" w:type="dxa"/>
              <w:right w:w="20" w:type="dxa"/>
            </w:tcMar>
            <w:hideMark/>
          </w:tcPr>
          <w:p w14:paraId="6448A01E" w14:textId="77777777" w:rsidR="00000000" w:rsidRDefault="009B6C69">
            <w:pPr>
              <w:spacing w:after="100"/>
              <w:jc w:val="center"/>
              <w:rPr>
                <w:rFonts w:eastAsia="Times New Roman"/>
              </w:rPr>
            </w:pPr>
            <w:r>
              <w:rPr>
                <w:rFonts w:eastAsia="Times New Roman"/>
                <w:color w:val="000000"/>
                <w:sz w:val="18"/>
                <w:szCs w:val="18"/>
              </w:rPr>
              <w:t>10.11</w:t>
            </w:r>
          </w:p>
        </w:tc>
        <w:tc>
          <w:tcPr>
            <w:tcW w:w="0" w:type="auto"/>
            <w:gridSpan w:val="3"/>
            <w:shd w:val="clear" w:color="auto" w:fill="CCEEFF"/>
            <w:tcMar>
              <w:top w:w="0" w:type="dxa"/>
              <w:left w:w="20" w:type="dxa"/>
              <w:bottom w:w="0" w:type="dxa"/>
              <w:right w:w="20" w:type="dxa"/>
            </w:tcMar>
            <w:vAlign w:val="center"/>
            <w:hideMark/>
          </w:tcPr>
          <w:p w14:paraId="51338387"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049A9B6" w14:textId="77777777" w:rsidR="00000000" w:rsidRDefault="009B6C69">
            <w:pPr>
              <w:spacing w:after="100"/>
              <w:divId w:val="664482077"/>
              <w:rPr>
                <w:rFonts w:eastAsia="Times New Roman"/>
              </w:rPr>
            </w:pPr>
            <w:hyperlink r:id="rId47" w:history="1">
              <w:r>
                <w:rPr>
                  <w:rStyle w:val="a3"/>
                  <w:rFonts w:eastAsia="Times New Roman"/>
                  <w:sz w:val="18"/>
                  <w:szCs w:val="18"/>
                </w:rPr>
                <w:t>Form of Qualcomm Incorporated 2016 Long-Term Incentive Plan Executive Performance Stock Unit Award Grant Notices and Executive Performance Stock Unit Awar</w:t>
              </w:r>
              <w:r>
                <w:rPr>
                  <w:rStyle w:val="a3"/>
                  <w:rFonts w:eastAsia="Times New Roman"/>
                  <w:sz w:val="18"/>
                  <w:szCs w:val="18"/>
                </w:rPr>
                <w:t>d Agreement (2021 Form). (2)</w:t>
              </w:r>
            </w:hyperlink>
          </w:p>
        </w:tc>
        <w:tc>
          <w:tcPr>
            <w:tcW w:w="0" w:type="auto"/>
            <w:gridSpan w:val="3"/>
            <w:shd w:val="clear" w:color="auto" w:fill="CCEEFF"/>
            <w:tcMar>
              <w:top w:w="0" w:type="dxa"/>
              <w:left w:w="20" w:type="dxa"/>
              <w:bottom w:w="0" w:type="dxa"/>
              <w:right w:w="20" w:type="dxa"/>
            </w:tcMar>
            <w:vAlign w:val="center"/>
            <w:hideMark/>
          </w:tcPr>
          <w:p w14:paraId="65007286"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5D365C7D" w14:textId="77777777" w:rsidR="00000000" w:rsidRDefault="009B6C69">
            <w:pPr>
              <w:spacing w:after="100"/>
              <w:jc w:val="center"/>
              <w:rPr>
                <w:rFonts w:eastAsia="Times New Roman"/>
              </w:rPr>
            </w:pPr>
            <w:r>
              <w:rPr>
                <w:rFonts w:eastAsia="Times New Roman"/>
                <w:color w:val="000000"/>
                <w:sz w:val="18"/>
                <w:szCs w:val="18"/>
              </w:rPr>
              <w:t>10-K</w:t>
            </w:r>
          </w:p>
        </w:tc>
        <w:tc>
          <w:tcPr>
            <w:tcW w:w="0" w:type="auto"/>
            <w:gridSpan w:val="3"/>
            <w:shd w:val="clear" w:color="auto" w:fill="CCEEFF"/>
            <w:tcMar>
              <w:top w:w="0" w:type="dxa"/>
              <w:left w:w="20" w:type="dxa"/>
              <w:bottom w:w="0" w:type="dxa"/>
              <w:right w:w="20" w:type="dxa"/>
            </w:tcMar>
            <w:vAlign w:val="center"/>
            <w:hideMark/>
          </w:tcPr>
          <w:p w14:paraId="09871123"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DA92A82" w14:textId="77777777" w:rsidR="00000000" w:rsidRDefault="009B6C69">
            <w:pPr>
              <w:spacing w:after="100"/>
              <w:jc w:val="center"/>
              <w:rPr>
                <w:rFonts w:eastAsia="Times New Roman"/>
              </w:rPr>
            </w:pPr>
            <w:r>
              <w:rPr>
                <w:rFonts w:eastAsia="Times New Roman"/>
                <w:color w:val="000000"/>
                <w:sz w:val="18"/>
                <w:szCs w:val="18"/>
              </w:rPr>
              <w:t>11/3/2021</w:t>
            </w:r>
          </w:p>
        </w:tc>
        <w:tc>
          <w:tcPr>
            <w:tcW w:w="0" w:type="auto"/>
            <w:gridSpan w:val="3"/>
            <w:shd w:val="clear" w:color="auto" w:fill="CCEEFF"/>
            <w:tcMar>
              <w:top w:w="0" w:type="dxa"/>
              <w:left w:w="20" w:type="dxa"/>
              <w:bottom w:w="0" w:type="dxa"/>
              <w:right w:w="20" w:type="dxa"/>
            </w:tcMar>
            <w:vAlign w:val="center"/>
            <w:hideMark/>
          </w:tcPr>
          <w:p w14:paraId="7DD078F1"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1BCACD6" w14:textId="77777777" w:rsidR="00000000" w:rsidRDefault="009B6C69">
            <w:pPr>
              <w:spacing w:after="100"/>
              <w:jc w:val="center"/>
              <w:rPr>
                <w:rFonts w:eastAsia="Times New Roman"/>
              </w:rPr>
            </w:pPr>
            <w:r>
              <w:rPr>
                <w:rFonts w:eastAsia="Times New Roman"/>
                <w:color w:val="000000"/>
                <w:sz w:val="18"/>
                <w:szCs w:val="18"/>
              </w:rPr>
              <w:t>10.22</w:t>
            </w:r>
          </w:p>
        </w:tc>
        <w:tc>
          <w:tcPr>
            <w:tcW w:w="0" w:type="auto"/>
            <w:gridSpan w:val="3"/>
            <w:shd w:val="clear" w:color="auto" w:fill="CCEEFF"/>
            <w:tcMar>
              <w:top w:w="0" w:type="dxa"/>
              <w:left w:w="20" w:type="dxa"/>
              <w:bottom w:w="0" w:type="dxa"/>
              <w:right w:w="20" w:type="dxa"/>
            </w:tcMar>
            <w:vAlign w:val="center"/>
            <w:hideMark/>
          </w:tcPr>
          <w:p w14:paraId="7E3F6E2C"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72856B" w14:textId="77777777" w:rsidR="00000000" w:rsidRDefault="009B6C69">
            <w:pPr>
              <w:spacing w:after="100"/>
              <w:rPr>
                <w:rFonts w:eastAsia="Times New Roman"/>
                <w:sz w:val="20"/>
                <w:szCs w:val="20"/>
              </w:rPr>
            </w:pPr>
          </w:p>
        </w:tc>
      </w:tr>
      <w:tr w:rsidR="00000000" w14:paraId="29E637A3" w14:textId="77777777">
        <w:trPr>
          <w:divId w:val="135732122"/>
        </w:trPr>
        <w:tc>
          <w:tcPr>
            <w:tcW w:w="0" w:type="auto"/>
            <w:gridSpan w:val="3"/>
            <w:shd w:val="clear" w:color="auto" w:fill="FFFFFF"/>
            <w:tcMar>
              <w:top w:w="30" w:type="dxa"/>
              <w:left w:w="20" w:type="dxa"/>
              <w:bottom w:w="30" w:type="dxa"/>
              <w:right w:w="20" w:type="dxa"/>
            </w:tcMar>
            <w:hideMark/>
          </w:tcPr>
          <w:p w14:paraId="5466FB18" w14:textId="77777777" w:rsidR="00000000" w:rsidRDefault="009B6C69">
            <w:pPr>
              <w:spacing w:after="100"/>
              <w:jc w:val="center"/>
              <w:rPr>
                <w:rFonts w:eastAsia="Times New Roman"/>
              </w:rPr>
            </w:pPr>
            <w:r>
              <w:rPr>
                <w:rFonts w:eastAsia="Times New Roman"/>
                <w:color w:val="000000"/>
                <w:sz w:val="18"/>
                <w:szCs w:val="18"/>
              </w:rPr>
              <w:t>10.12</w:t>
            </w:r>
          </w:p>
        </w:tc>
        <w:tc>
          <w:tcPr>
            <w:tcW w:w="0" w:type="auto"/>
            <w:gridSpan w:val="3"/>
            <w:shd w:val="clear" w:color="auto" w:fill="FFFFFF"/>
            <w:tcMar>
              <w:top w:w="0" w:type="dxa"/>
              <w:left w:w="20" w:type="dxa"/>
              <w:bottom w:w="0" w:type="dxa"/>
              <w:right w:w="20" w:type="dxa"/>
            </w:tcMar>
            <w:vAlign w:val="center"/>
            <w:hideMark/>
          </w:tcPr>
          <w:p w14:paraId="0DBBAE99"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7425E61E" w14:textId="77777777" w:rsidR="00000000" w:rsidRDefault="009B6C69">
            <w:pPr>
              <w:spacing w:after="100"/>
              <w:divId w:val="937643662"/>
              <w:rPr>
                <w:rFonts w:eastAsia="Times New Roman"/>
              </w:rPr>
            </w:pPr>
            <w:hyperlink r:id="rId48" w:history="1">
              <w:r>
                <w:rPr>
                  <w:rStyle w:val="a3"/>
                  <w:rFonts w:eastAsia="Times New Roman"/>
                  <w:sz w:val="18"/>
                  <w:szCs w:val="18"/>
                </w:rPr>
                <w:t>Form of Qualcomm Incorporated 2016 Long-Term Incentive Plan Executive Restricted Stock Unit Award Grant Notice and Executive Restricted Stock Unit Award A</w:t>
              </w:r>
              <w:r>
                <w:rPr>
                  <w:rStyle w:val="a3"/>
                  <w:rFonts w:eastAsia="Times New Roman"/>
                  <w:sz w:val="18"/>
                  <w:szCs w:val="18"/>
                </w:rPr>
                <w:t>greement (2021 Form). (2)</w:t>
              </w:r>
            </w:hyperlink>
          </w:p>
        </w:tc>
        <w:tc>
          <w:tcPr>
            <w:tcW w:w="0" w:type="auto"/>
            <w:gridSpan w:val="3"/>
            <w:shd w:val="clear" w:color="auto" w:fill="FFFFFF"/>
            <w:tcMar>
              <w:top w:w="0" w:type="dxa"/>
              <w:left w:w="20" w:type="dxa"/>
              <w:bottom w:w="0" w:type="dxa"/>
              <w:right w:w="20" w:type="dxa"/>
            </w:tcMar>
            <w:vAlign w:val="center"/>
            <w:hideMark/>
          </w:tcPr>
          <w:p w14:paraId="6CF9F220"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BCA9EC0" w14:textId="77777777" w:rsidR="00000000" w:rsidRDefault="009B6C69">
            <w:pPr>
              <w:spacing w:after="100"/>
              <w:jc w:val="center"/>
              <w:rPr>
                <w:rFonts w:eastAsia="Times New Roman"/>
              </w:rPr>
            </w:pPr>
            <w:r>
              <w:rPr>
                <w:rFonts w:eastAsia="Times New Roman"/>
                <w:color w:val="000000"/>
                <w:sz w:val="18"/>
                <w:szCs w:val="18"/>
              </w:rPr>
              <w:t>10-K</w:t>
            </w:r>
          </w:p>
        </w:tc>
        <w:tc>
          <w:tcPr>
            <w:tcW w:w="0" w:type="auto"/>
            <w:gridSpan w:val="3"/>
            <w:shd w:val="clear" w:color="auto" w:fill="FFFFFF"/>
            <w:tcMar>
              <w:top w:w="0" w:type="dxa"/>
              <w:left w:w="20" w:type="dxa"/>
              <w:bottom w:w="0" w:type="dxa"/>
              <w:right w:w="20" w:type="dxa"/>
            </w:tcMar>
            <w:vAlign w:val="center"/>
            <w:hideMark/>
          </w:tcPr>
          <w:p w14:paraId="3738FF98"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0B24DE0" w14:textId="77777777" w:rsidR="00000000" w:rsidRDefault="009B6C69">
            <w:pPr>
              <w:spacing w:after="100"/>
              <w:jc w:val="center"/>
              <w:rPr>
                <w:rFonts w:eastAsia="Times New Roman"/>
              </w:rPr>
            </w:pPr>
            <w:r>
              <w:rPr>
                <w:rFonts w:eastAsia="Times New Roman"/>
                <w:color w:val="000000"/>
                <w:sz w:val="18"/>
                <w:szCs w:val="18"/>
              </w:rPr>
              <w:t>11/3/2021</w:t>
            </w:r>
          </w:p>
        </w:tc>
        <w:tc>
          <w:tcPr>
            <w:tcW w:w="0" w:type="auto"/>
            <w:gridSpan w:val="3"/>
            <w:shd w:val="clear" w:color="auto" w:fill="FFFFFF"/>
            <w:tcMar>
              <w:top w:w="0" w:type="dxa"/>
              <w:left w:w="20" w:type="dxa"/>
              <w:bottom w:w="0" w:type="dxa"/>
              <w:right w:w="20" w:type="dxa"/>
            </w:tcMar>
            <w:vAlign w:val="center"/>
            <w:hideMark/>
          </w:tcPr>
          <w:p w14:paraId="7362542D"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E443F55" w14:textId="77777777" w:rsidR="00000000" w:rsidRDefault="009B6C69">
            <w:pPr>
              <w:spacing w:after="100"/>
              <w:jc w:val="center"/>
              <w:rPr>
                <w:rFonts w:eastAsia="Times New Roman"/>
              </w:rPr>
            </w:pPr>
            <w:r>
              <w:rPr>
                <w:rFonts w:eastAsia="Times New Roman"/>
                <w:color w:val="000000"/>
                <w:sz w:val="18"/>
                <w:szCs w:val="18"/>
              </w:rPr>
              <w:t>10.23</w:t>
            </w:r>
          </w:p>
        </w:tc>
        <w:tc>
          <w:tcPr>
            <w:tcW w:w="0" w:type="auto"/>
            <w:gridSpan w:val="3"/>
            <w:shd w:val="clear" w:color="auto" w:fill="FFFFFF"/>
            <w:tcMar>
              <w:top w:w="0" w:type="dxa"/>
              <w:left w:w="20" w:type="dxa"/>
              <w:bottom w:w="0" w:type="dxa"/>
              <w:right w:w="20" w:type="dxa"/>
            </w:tcMar>
            <w:vAlign w:val="center"/>
            <w:hideMark/>
          </w:tcPr>
          <w:p w14:paraId="3B3E5275"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EE1D48" w14:textId="77777777" w:rsidR="00000000" w:rsidRDefault="009B6C69">
            <w:pPr>
              <w:spacing w:after="100"/>
              <w:rPr>
                <w:rFonts w:eastAsia="Times New Roman"/>
                <w:sz w:val="20"/>
                <w:szCs w:val="20"/>
              </w:rPr>
            </w:pPr>
          </w:p>
        </w:tc>
      </w:tr>
      <w:tr w:rsidR="00000000" w14:paraId="78A24AA2" w14:textId="77777777">
        <w:trPr>
          <w:divId w:val="135732122"/>
        </w:trPr>
        <w:tc>
          <w:tcPr>
            <w:tcW w:w="0" w:type="auto"/>
            <w:gridSpan w:val="3"/>
            <w:shd w:val="clear" w:color="auto" w:fill="CCEEFF"/>
            <w:tcMar>
              <w:top w:w="30" w:type="dxa"/>
              <w:left w:w="20" w:type="dxa"/>
              <w:bottom w:w="30" w:type="dxa"/>
              <w:right w:w="20" w:type="dxa"/>
            </w:tcMar>
            <w:hideMark/>
          </w:tcPr>
          <w:p w14:paraId="7FF131F1" w14:textId="77777777" w:rsidR="00000000" w:rsidRDefault="009B6C69">
            <w:pPr>
              <w:spacing w:after="100"/>
              <w:jc w:val="center"/>
              <w:rPr>
                <w:rFonts w:eastAsia="Times New Roman"/>
              </w:rPr>
            </w:pPr>
            <w:r>
              <w:rPr>
                <w:rFonts w:eastAsia="Times New Roman"/>
                <w:color w:val="000000"/>
                <w:sz w:val="18"/>
                <w:szCs w:val="18"/>
              </w:rPr>
              <w:t>10.13</w:t>
            </w:r>
          </w:p>
        </w:tc>
        <w:tc>
          <w:tcPr>
            <w:tcW w:w="0" w:type="auto"/>
            <w:gridSpan w:val="3"/>
            <w:shd w:val="clear" w:color="auto" w:fill="CCEEFF"/>
            <w:tcMar>
              <w:top w:w="0" w:type="dxa"/>
              <w:left w:w="20" w:type="dxa"/>
              <w:bottom w:w="0" w:type="dxa"/>
              <w:right w:w="20" w:type="dxa"/>
            </w:tcMar>
            <w:vAlign w:val="center"/>
            <w:hideMark/>
          </w:tcPr>
          <w:p w14:paraId="6315E090"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954D172" w14:textId="77777777" w:rsidR="00000000" w:rsidRDefault="009B6C69">
            <w:pPr>
              <w:spacing w:after="100"/>
              <w:divId w:val="1071270152"/>
              <w:rPr>
                <w:rFonts w:eastAsia="Times New Roman"/>
              </w:rPr>
            </w:pPr>
            <w:hyperlink r:id="rId49" w:history="1">
              <w:r>
                <w:rPr>
                  <w:rStyle w:val="a3"/>
                  <w:rFonts w:eastAsia="Times New Roman"/>
                  <w:sz w:val="18"/>
                  <w:szCs w:val="18"/>
                </w:rPr>
                <w:t>Form of 2022 Annual Cash Incentive Plan Performance Unit Agreement (2)</w:t>
              </w:r>
            </w:hyperlink>
          </w:p>
        </w:tc>
        <w:tc>
          <w:tcPr>
            <w:tcW w:w="0" w:type="auto"/>
            <w:gridSpan w:val="3"/>
            <w:shd w:val="clear" w:color="auto" w:fill="CCEEFF"/>
            <w:tcMar>
              <w:top w:w="0" w:type="dxa"/>
              <w:left w:w="20" w:type="dxa"/>
              <w:bottom w:w="0" w:type="dxa"/>
              <w:right w:w="20" w:type="dxa"/>
            </w:tcMar>
            <w:vAlign w:val="center"/>
            <w:hideMark/>
          </w:tcPr>
          <w:p w14:paraId="25F3FA27"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1BD067B0" w14:textId="77777777" w:rsidR="00000000" w:rsidRDefault="009B6C69">
            <w:pPr>
              <w:spacing w:after="100"/>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14:paraId="25268349"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18751C6" w14:textId="77777777" w:rsidR="00000000" w:rsidRDefault="009B6C69">
            <w:pPr>
              <w:spacing w:after="100"/>
              <w:jc w:val="center"/>
              <w:rPr>
                <w:rFonts w:eastAsia="Times New Roman"/>
              </w:rPr>
            </w:pPr>
            <w:r>
              <w:rPr>
                <w:rFonts w:eastAsia="Times New Roman"/>
                <w:color w:val="000000"/>
                <w:sz w:val="18"/>
                <w:szCs w:val="18"/>
              </w:rPr>
              <w:t>2/2/2022</w:t>
            </w:r>
          </w:p>
        </w:tc>
        <w:tc>
          <w:tcPr>
            <w:tcW w:w="0" w:type="auto"/>
            <w:gridSpan w:val="3"/>
            <w:shd w:val="clear" w:color="auto" w:fill="CCEEFF"/>
            <w:tcMar>
              <w:top w:w="0" w:type="dxa"/>
              <w:left w:w="20" w:type="dxa"/>
              <w:bottom w:w="0" w:type="dxa"/>
              <w:right w:w="20" w:type="dxa"/>
            </w:tcMar>
            <w:vAlign w:val="center"/>
            <w:hideMark/>
          </w:tcPr>
          <w:p w14:paraId="4F58F2FE"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26EE0DA" w14:textId="77777777" w:rsidR="00000000" w:rsidRDefault="009B6C69">
            <w:pPr>
              <w:spacing w:after="100"/>
              <w:jc w:val="center"/>
              <w:rPr>
                <w:rFonts w:eastAsia="Times New Roman"/>
              </w:rPr>
            </w:pPr>
            <w:r>
              <w:rPr>
                <w:rFonts w:eastAsia="Times New Roman"/>
                <w:color w:val="000000"/>
                <w:sz w:val="18"/>
                <w:szCs w:val="18"/>
              </w:rPr>
              <w:t>10.26</w:t>
            </w:r>
          </w:p>
        </w:tc>
        <w:tc>
          <w:tcPr>
            <w:tcW w:w="0" w:type="auto"/>
            <w:gridSpan w:val="3"/>
            <w:shd w:val="clear" w:color="auto" w:fill="CCEEFF"/>
            <w:tcMar>
              <w:top w:w="0" w:type="dxa"/>
              <w:left w:w="20" w:type="dxa"/>
              <w:bottom w:w="0" w:type="dxa"/>
              <w:right w:w="20" w:type="dxa"/>
            </w:tcMar>
            <w:vAlign w:val="center"/>
            <w:hideMark/>
          </w:tcPr>
          <w:p w14:paraId="12B4D83A"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D7D20E" w14:textId="77777777" w:rsidR="00000000" w:rsidRDefault="009B6C69">
            <w:pPr>
              <w:spacing w:after="100"/>
              <w:rPr>
                <w:rFonts w:eastAsia="Times New Roman"/>
                <w:sz w:val="20"/>
                <w:szCs w:val="20"/>
              </w:rPr>
            </w:pPr>
          </w:p>
        </w:tc>
      </w:tr>
      <w:tr w:rsidR="00000000" w14:paraId="35C6EB7A" w14:textId="77777777">
        <w:trPr>
          <w:divId w:val="135732122"/>
        </w:trPr>
        <w:tc>
          <w:tcPr>
            <w:tcW w:w="0" w:type="auto"/>
            <w:gridSpan w:val="3"/>
            <w:shd w:val="clear" w:color="auto" w:fill="FFFFFF"/>
            <w:tcMar>
              <w:top w:w="30" w:type="dxa"/>
              <w:left w:w="20" w:type="dxa"/>
              <w:bottom w:w="30" w:type="dxa"/>
              <w:right w:w="20" w:type="dxa"/>
            </w:tcMar>
            <w:hideMark/>
          </w:tcPr>
          <w:p w14:paraId="05162A1B" w14:textId="77777777" w:rsidR="00000000" w:rsidRDefault="009B6C69">
            <w:pPr>
              <w:spacing w:after="100"/>
              <w:jc w:val="center"/>
              <w:rPr>
                <w:rFonts w:eastAsia="Times New Roman"/>
              </w:rPr>
            </w:pPr>
            <w:r>
              <w:rPr>
                <w:rFonts w:eastAsia="Times New Roman"/>
                <w:color w:val="000000"/>
                <w:sz w:val="18"/>
                <w:szCs w:val="18"/>
              </w:rPr>
              <w:t>10.14</w:t>
            </w:r>
          </w:p>
        </w:tc>
        <w:tc>
          <w:tcPr>
            <w:tcW w:w="0" w:type="auto"/>
            <w:gridSpan w:val="3"/>
            <w:shd w:val="clear" w:color="auto" w:fill="FFFFFF"/>
            <w:tcMar>
              <w:top w:w="0" w:type="dxa"/>
              <w:left w:w="20" w:type="dxa"/>
              <w:bottom w:w="0" w:type="dxa"/>
              <w:right w:w="20" w:type="dxa"/>
            </w:tcMar>
            <w:vAlign w:val="center"/>
            <w:hideMark/>
          </w:tcPr>
          <w:p w14:paraId="3E5A0E06"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FD8C935" w14:textId="77777777" w:rsidR="00000000" w:rsidRDefault="009B6C69">
            <w:pPr>
              <w:spacing w:after="100"/>
              <w:divId w:val="1484734268"/>
              <w:rPr>
                <w:rFonts w:eastAsia="Times New Roman"/>
              </w:rPr>
            </w:pPr>
            <w:hyperlink r:id="rId50" w:history="1">
              <w:r>
                <w:rPr>
                  <w:rStyle w:val="a3"/>
                  <w:rFonts w:eastAsia="Times New Roman"/>
                  <w:sz w:val="18"/>
                  <w:szCs w:val="18"/>
                </w:rPr>
                <w:t>Qualcomm Incorporated Executive Officer Change in Control Severance Plan (as amended and restated). (2)</w:t>
              </w:r>
            </w:hyperlink>
          </w:p>
        </w:tc>
        <w:tc>
          <w:tcPr>
            <w:tcW w:w="0" w:type="auto"/>
            <w:gridSpan w:val="3"/>
            <w:shd w:val="clear" w:color="auto" w:fill="FFFFFF"/>
            <w:tcMar>
              <w:top w:w="0" w:type="dxa"/>
              <w:left w:w="20" w:type="dxa"/>
              <w:bottom w:w="0" w:type="dxa"/>
              <w:right w:w="20" w:type="dxa"/>
            </w:tcMar>
            <w:vAlign w:val="center"/>
            <w:hideMark/>
          </w:tcPr>
          <w:p w14:paraId="5AABC59A"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AC88C80" w14:textId="77777777" w:rsidR="00000000" w:rsidRDefault="009B6C69">
            <w:pPr>
              <w:spacing w:after="100"/>
              <w:jc w:val="cente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14:paraId="4AC2BF06"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C272FAF" w14:textId="77777777" w:rsidR="00000000" w:rsidRDefault="009B6C69">
            <w:pPr>
              <w:spacing w:after="100"/>
              <w:jc w:val="center"/>
              <w:rPr>
                <w:rFonts w:eastAsia="Times New Roman"/>
              </w:rPr>
            </w:pPr>
            <w:r>
              <w:rPr>
                <w:rFonts w:eastAsia="Times New Roman"/>
                <w:color w:val="000000"/>
                <w:sz w:val="18"/>
                <w:szCs w:val="18"/>
              </w:rPr>
              <w:t>7/28/2021</w:t>
            </w:r>
          </w:p>
        </w:tc>
        <w:tc>
          <w:tcPr>
            <w:tcW w:w="0" w:type="auto"/>
            <w:gridSpan w:val="3"/>
            <w:shd w:val="clear" w:color="auto" w:fill="FFFFFF"/>
            <w:tcMar>
              <w:top w:w="0" w:type="dxa"/>
              <w:left w:w="20" w:type="dxa"/>
              <w:bottom w:w="0" w:type="dxa"/>
              <w:right w:w="20" w:type="dxa"/>
            </w:tcMar>
            <w:vAlign w:val="center"/>
            <w:hideMark/>
          </w:tcPr>
          <w:p w14:paraId="765D12A1"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BA0A452" w14:textId="77777777" w:rsidR="00000000" w:rsidRDefault="009B6C69">
            <w:pPr>
              <w:spacing w:after="100"/>
              <w:jc w:val="center"/>
              <w:rPr>
                <w:rFonts w:eastAsia="Times New Roman"/>
              </w:rPr>
            </w:pPr>
            <w:r>
              <w:rPr>
                <w:rFonts w:eastAsia="Times New Roman"/>
                <w:color w:val="000000"/>
                <w:sz w:val="18"/>
                <w:szCs w:val="18"/>
              </w:rPr>
              <w:t>10.11</w:t>
            </w:r>
          </w:p>
        </w:tc>
        <w:tc>
          <w:tcPr>
            <w:tcW w:w="0" w:type="auto"/>
            <w:gridSpan w:val="3"/>
            <w:shd w:val="clear" w:color="auto" w:fill="FFFFFF"/>
            <w:tcMar>
              <w:top w:w="0" w:type="dxa"/>
              <w:left w:w="20" w:type="dxa"/>
              <w:bottom w:w="0" w:type="dxa"/>
              <w:right w:w="20" w:type="dxa"/>
            </w:tcMar>
            <w:vAlign w:val="center"/>
            <w:hideMark/>
          </w:tcPr>
          <w:p w14:paraId="0CCCC51E"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B2D5F5" w14:textId="77777777" w:rsidR="00000000" w:rsidRDefault="009B6C69">
            <w:pPr>
              <w:spacing w:after="100"/>
              <w:rPr>
                <w:rFonts w:eastAsia="Times New Roman"/>
                <w:sz w:val="20"/>
                <w:szCs w:val="20"/>
              </w:rPr>
            </w:pPr>
          </w:p>
        </w:tc>
      </w:tr>
      <w:tr w:rsidR="00000000" w14:paraId="6A168A03" w14:textId="77777777">
        <w:trPr>
          <w:divId w:val="135732122"/>
        </w:trPr>
        <w:tc>
          <w:tcPr>
            <w:tcW w:w="0" w:type="auto"/>
            <w:gridSpan w:val="3"/>
            <w:shd w:val="clear" w:color="auto" w:fill="CCEEFF"/>
            <w:tcMar>
              <w:top w:w="30" w:type="dxa"/>
              <w:left w:w="20" w:type="dxa"/>
              <w:bottom w:w="30" w:type="dxa"/>
              <w:right w:w="20" w:type="dxa"/>
            </w:tcMar>
            <w:hideMark/>
          </w:tcPr>
          <w:p w14:paraId="2B446823" w14:textId="77777777" w:rsidR="00000000" w:rsidRDefault="009B6C69">
            <w:pPr>
              <w:spacing w:after="100"/>
              <w:jc w:val="center"/>
              <w:rPr>
                <w:rFonts w:eastAsia="Times New Roman"/>
              </w:rPr>
            </w:pPr>
            <w:r>
              <w:rPr>
                <w:rFonts w:eastAsia="Times New Roman"/>
                <w:color w:val="000000"/>
                <w:sz w:val="18"/>
                <w:szCs w:val="18"/>
              </w:rPr>
              <w:t>10.15</w:t>
            </w:r>
          </w:p>
        </w:tc>
        <w:tc>
          <w:tcPr>
            <w:tcW w:w="0" w:type="auto"/>
            <w:gridSpan w:val="3"/>
            <w:shd w:val="clear" w:color="auto" w:fill="CCEEFF"/>
            <w:tcMar>
              <w:top w:w="0" w:type="dxa"/>
              <w:left w:w="20" w:type="dxa"/>
              <w:bottom w:w="0" w:type="dxa"/>
              <w:right w:w="20" w:type="dxa"/>
            </w:tcMar>
            <w:vAlign w:val="center"/>
            <w:hideMark/>
          </w:tcPr>
          <w:p w14:paraId="7A5BBEC2"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CB21396" w14:textId="77777777" w:rsidR="00000000" w:rsidRDefault="009B6C69">
            <w:pPr>
              <w:spacing w:after="100"/>
              <w:divId w:val="29886503"/>
              <w:rPr>
                <w:rFonts w:eastAsia="Times New Roman"/>
              </w:rPr>
            </w:pPr>
            <w:hyperlink r:id="rId51" w:history="1">
              <w:r>
                <w:rPr>
                  <w:rStyle w:val="a3"/>
                  <w:rFonts w:eastAsia="Times New Roman"/>
                  <w:sz w:val="18"/>
                  <w:szCs w:val="18"/>
                </w:rPr>
                <w:t>Qualcomm Incorporated Executive Officer Severance Plan (as amended and restated). (2)</w:t>
              </w:r>
            </w:hyperlink>
          </w:p>
        </w:tc>
        <w:tc>
          <w:tcPr>
            <w:tcW w:w="0" w:type="auto"/>
            <w:gridSpan w:val="3"/>
            <w:shd w:val="clear" w:color="auto" w:fill="CCEEFF"/>
            <w:tcMar>
              <w:top w:w="0" w:type="dxa"/>
              <w:left w:w="20" w:type="dxa"/>
              <w:bottom w:w="0" w:type="dxa"/>
              <w:right w:w="20" w:type="dxa"/>
            </w:tcMar>
            <w:vAlign w:val="center"/>
            <w:hideMark/>
          </w:tcPr>
          <w:p w14:paraId="46A625C0"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F0322CB" w14:textId="77777777" w:rsidR="00000000" w:rsidRDefault="009B6C69">
            <w:pPr>
              <w:spacing w:after="100"/>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14:paraId="665AC319"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2FB91F0" w14:textId="77777777" w:rsidR="00000000" w:rsidRDefault="009B6C69">
            <w:pPr>
              <w:spacing w:after="100"/>
              <w:jc w:val="center"/>
              <w:rPr>
                <w:rFonts w:eastAsia="Times New Roman"/>
              </w:rPr>
            </w:pPr>
            <w:r>
              <w:rPr>
                <w:rFonts w:eastAsia="Times New Roman"/>
                <w:color w:val="000000"/>
                <w:sz w:val="18"/>
                <w:szCs w:val="18"/>
              </w:rPr>
              <w:t>7/28/2021</w:t>
            </w:r>
          </w:p>
        </w:tc>
        <w:tc>
          <w:tcPr>
            <w:tcW w:w="0" w:type="auto"/>
            <w:gridSpan w:val="3"/>
            <w:shd w:val="clear" w:color="auto" w:fill="CCEEFF"/>
            <w:tcMar>
              <w:top w:w="0" w:type="dxa"/>
              <w:left w:w="20" w:type="dxa"/>
              <w:bottom w:w="0" w:type="dxa"/>
              <w:right w:w="20" w:type="dxa"/>
            </w:tcMar>
            <w:vAlign w:val="center"/>
            <w:hideMark/>
          </w:tcPr>
          <w:p w14:paraId="481A87B1"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3CD47388" w14:textId="77777777" w:rsidR="00000000" w:rsidRDefault="009B6C69">
            <w:pPr>
              <w:spacing w:after="100"/>
              <w:jc w:val="center"/>
              <w:rPr>
                <w:rFonts w:eastAsia="Times New Roman"/>
              </w:rPr>
            </w:pPr>
            <w:r>
              <w:rPr>
                <w:rFonts w:eastAsia="Times New Roman"/>
                <w:color w:val="000000"/>
                <w:sz w:val="18"/>
                <w:szCs w:val="18"/>
              </w:rPr>
              <w:t>10.12</w:t>
            </w:r>
          </w:p>
        </w:tc>
        <w:tc>
          <w:tcPr>
            <w:tcW w:w="0" w:type="auto"/>
            <w:gridSpan w:val="3"/>
            <w:shd w:val="clear" w:color="auto" w:fill="CCEEFF"/>
            <w:tcMar>
              <w:top w:w="0" w:type="dxa"/>
              <w:left w:w="20" w:type="dxa"/>
              <w:bottom w:w="0" w:type="dxa"/>
              <w:right w:w="20" w:type="dxa"/>
            </w:tcMar>
            <w:vAlign w:val="center"/>
            <w:hideMark/>
          </w:tcPr>
          <w:p w14:paraId="3D610744"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6093E5" w14:textId="77777777" w:rsidR="00000000" w:rsidRDefault="009B6C69">
            <w:pPr>
              <w:spacing w:after="100"/>
              <w:rPr>
                <w:rFonts w:eastAsia="Times New Roman"/>
                <w:sz w:val="20"/>
                <w:szCs w:val="20"/>
              </w:rPr>
            </w:pPr>
          </w:p>
        </w:tc>
      </w:tr>
    </w:tbl>
    <w:p w14:paraId="7DB97C6A" w14:textId="77777777" w:rsidR="00000000" w:rsidRDefault="009B6C69">
      <w:pPr>
        <w:jc w:val="center"/>
        <w:divId w:val="1758401716"/>
        <w:rPr>
          <w:rFonts w:eastAsia="Times New Roman"/>
        </w:rPr>
      </w:pPr>
      <w:r>
        <w:rPr>
          <w:rFonts w:eastAsia="Times New Roman"/>
          <w:color w:val="000000"/>
          <w:sz w:val="20"/>
          <w:szCs w:val="20"/>
        </w:rPr>
        <w:t>53</w:t>
      </w:r>
    </w:p>
    <w:p w14:paraId="4FE6DADA" w14:textId="77777777" w:rsidR="00000000" w:rsidRDefault="009B6C69">
      <w:pPr>
        <w:rPr>
          <w:rFonts w:eastAsia="Times New Roman"/>
        </w:rPr>
      </w:pPr>
      <w:r>
        <w:rPr>
          <w:rFonts w:eastAsia="Times New Roman"/>
        </w:rPr>
        <w:pict w14:anchorId="5500EFB1">
          <v:rect id="_x0000_i1077" style="width:0;height:1.5pt" o:hralign="center" o:hrstd="t" o:hr="t" fillcolor="#a0a0a0" stroked="f"/>
        </w:pict>
      </w:r>
    </w:p>
    <w:p w14:paraId="6666D035" w14:textId="77777777" w:rsidR="00000000" w:rsidRDefault="009B6C69">
      <w:pPr>
        <w:divId w:val="22853599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1"/>
        <w:gridCol w:w="615"/>
        <w:gridCol w:w="36"/>
        <w:gridCol w:w="36"/>
        <w:gridCol w:w="36"/>
        <w:gridCol w:w="36"/>
        <w:gridCol w:w="38"/>
        <w:gridCol w:w="4152"/>
        <w:gridCol w:w="37"/>
        <w:gridCol w:w="36"/>
        <w:gridCol w:w="36"/>
        <w:gridCol w:w="36"/>
        <w:gridCol w:w="80"/>
        <w:gridCol w:w="383"/>
        <w:gridCol w:w="36"/>
        <w:gridCol w:w="36"/>
        <w:gridCol w:w="36"/>
        <w:gridCol w:w="36"/>
        <w:gridCol w:w="76"/>
        <w:gridCol w:w="689"/>
        <w:gridCol w:w="37"/>
        <w:gridCol w:w="36"/>
        <w:gridCol w:w="36"/>
        <w:gridCol w:w="36"/>
        <w:gridCol w:w="82"/>
        <w:gridCol w:w="590"/>
        <w:gridCol w:w="36"/>
        <w:gridCol w:w="36"/>
        <w:gridCol w:w="36"/>
        <w:gridCol w:w="36"/>
        <w:gridCol w:w="87"/>
        <w:gridCol w:w="665"/>
        <w:gridCol w:w="36"/>
      </w:tblGrid>
      <w:tr w:rsidR="00000000" w14:paraId="60BD6ADC" w14:textId="77777777">
        <w:trPr>
          <w:divId w:val="1834224998"/>
        </w:trPr>
        <w:tc>
          <w:tcPr>
            <w:tcW w:w="50" w:type="pct"/>
            <w:vAlign w:val="center"/>
            <w:hideMark/>
          </w:tcPr>
          <w:p w14:paraId="114E7A7E" w14:textId="77777777" w:rsidR="00000000" w:rsidRDefault="009B6C69">
            <w:pPr>
              <w:rPr>
                <w:rFonts w:eastAsia="Times New Roman"/>
              </w:rPr>
            </w:pPr>
          </w:p>
        </w:tc>
        <w:tc>
          <w:tcPr>
            <w:tcW w:w="339" w:type="pct"/>
            <w:vAlign w:val="center"/>
            <w:hideMark/>
          </w:tcPr>
          <w:p w14:paraId="0ABDE335" w14:textId="77777777" w:rsidR="00000000" w:rsidRDefault="009B6C69">
            <w:pPr>
              <w:spacing w:after="100"/>
              <w:rPr>
                <w:rFonts w:eastAsia="Times New Roman"/>
                <w:sz w:val="20"/>
                <w:szCs w:val="20"/>
              </w:rPr>
            </w:pPr>
          </w:p>
        </w:tc>
        <w:tc>
          <w:tcPr>
            <w:tcW w:w="5" w:type="pct"/>
            <w:vAlign w:val="center"/>
            <w:hideMark/>
          </w:tcPr>
          <w:p w14:paraId="31C21AE8" w14:textId="77777777" w:rsidR="00000000" w:rsidRDefault="009B6C69">
            <w:pPr>
              <w:spacing w:after="100"/>
              <w:rPr>
                <w:rFonts w:eastAsia="Times New Roman"/>
                <w:sz w:val="20"/>
                <w:szCs w:val="20"/>
              </w:rPr>
            </w:pPr>
          </w:p>
        </w:tc>
        <w:tc>
          <w:tcPr>
            <w:tcW w:w="5" w:type="pct"/>
            <w:vAlign w:val="center"/>
            <w:hideMark/>
          </w:tcPr>
          <w:p w14:paraId="7E8F0806" w14:textId="77777777" w:rsidR="00000000" w:rsidRDefault="009B6C69">
            <w:pPr>
              <w:spacing w:after="100"/>
              <w:rPr>
                <w:rFonts w:eastAsia="Times New Roman"/>
                <w:sz w:val="20"/>
                <w:szCs w:val="20"/>
              </w:rPr>
            </w:pPr>
          </w:p>
        </w:tc>
        <w:tc>
          <w:tcPr>
            <w:tcW w:w="27" w:type="pct"/>
            <w:vAlign w:val="center"/>
            <w:hideMark/>
          </w:tcPr>
          <w:p w14:paraId="5033D4E6" w14:textId="77777777" w:rsidR="00000000" w:rsidRDefault="009B6C69">
            <w:pPr>
              <w:spacing w:after="100"/>
              <w:rPr>
                <w:rFonts w:eastAsia="Times New Roman"/>
                <w:sz w:val="20"/>
                <w:szCs w:val="20"/>
              </w:rPr>
            </w:pPr>
          </w:p>
        </w:tc>
        <w:tc>
          <w:tcPr>
            <w:tcW w:w="5" w:type="pct"/>
            <w:vAlign w:val="center"/>
            <w:hideMark/>
          </w:tcPr>
          <w:p w14:paraId="6F7B6C2B" w14:textId="77777777" w:rsidR="00000000" w:rsidRDefault="009B6C69">
            <w:pPr>
              <w:spacing w:after="100"/>
              <w:rPr>
                <w:rFonts w:eastAsia="Times New Roman"/>
                <w:sz w:val="20"/>
                <w:szCs w:val="20"/>
              </w:rPr>
            </w:pPr>
          </w:p>
        </w:tc>
        <w:tc>
          <w:tcPr>
            <w:tcW w:w="50" w:type="pct"/>
            <w:vAlign w:val="center"/>
            <w:hideMark/>
          </w:tcPr>
          <w:p w14:paraId="6CF1AE0C" w14:textId="77777777" w:rsidR="00000000" w:rsidRDefault="009B6C69">
            <w:pPr>
              <w:spacing w:after="100"/>
              <w:rPr>
                <w:rFonts w:eastAsia="Times New Roman"/>
                <w:sz w:val="20"/>
                <w:szCs w:val="20"/>
              </w:rPr>
            </w:pPr>
          </w:p>
        </w:tc>
        <w:tc>
          <w:tcPr>
            <w:tcW w:w="2697" w:type="pct"/>
            <w:vAlign w:val="center"/>
            <w:hideMark/>
          </w:tcPr>
          <w:p w14:paraId="0EAEE917" w14:textId="77777777" w:rsidR="00000000" w:rsidRDefault="009B6C69">
            <w:pPr>
              <w:spacing w:after="100"/>
              <w:rPr>
                <w:rFonts w:eastAsia="Times New Roman"/>
                <w:sz w:val="20"/>
                <w:szCs w:val="20"/>
              </w:rPr>
            </w:pPr>
          </w:p>
        </w:tc>
        <w:tc>
          <w:tcPr>
            <w:tcW w:w="5" w:type="pct"/>
            <w:vAlign w:val="center"/>
            <w:hideMark/>
          </w:tcPr>
          <w:p w14:paraId="6730CC07" w14:textId="77777777" w:rsidR="00000000" w:rsidRDefault="009B6C69">
            <w:pPr>
              <w:spacing w:after="100"/>
              <w:rPr>
                <w:rFonts w:eastAsia="Times New Roman"/>
                <w:sz w:val="20"/>
                <w:szCs w:val="20"/>
              </w:rPr>
            </w:pPr>
          </w:p>
        </w:tc>
        <w:tc>
          <w:tcPr>
            <w:tcW w:w="5" w:type="pct"/>
            <w:vAlign w:val="center"/>
            <w:hideMark/>
          </w:tcPr>
          <w:p w14:paraId="56101CFB" w14:textId="77777777" w:rsidR="00000000" w:rsidRDefault="009B6C69">
            <w:pPr>
              <w:spacing w:after="100"/>
              <w:rPr>
                <w:rFonts w:eastAsia="Times New Roman"/>
                <w:sz w:val="20"/>
                <w:szCs w:val="20"/>
              </w:rPr>
            </w:pPr>
          </w:p>
        </w:tc>
        <w:tc>
          <w:tcPr>
            <w:tcW w:w="27" w:type="pct"/>
            <w:vAlign w:val="center"/>
            <w:hideMark/>
          </w:tcPr>
          <w:p w14:paraId="4334AD5D" w14:textId="77777777" w:rsidR="00000000" w:rsidRDefault="009B6C69">
            <w:pPr>
              <w:spacing w:after="100"/>
              <w:rPr>
                <w:rFonts w:eastAsia="Times New Roman"/>
                <w:sz w:val="20"/>
                <w:szCs w:val="20"/>
              </w:rPr>
            </w:pPr>
          </w:p>
        </w:tc>
        <w:tc>
          <w:tcPr>
            <w:tcW w:w="5" w:type="pct"/>
            <w:vAlign w:val="center"/>
            <w:hideMark/>
          </w:tcPr>
          <w:p w14:paraId="56EB9D01" w14:textId="77777777" w:rsidR="00000000" w:rsidRDefault="009B6C69">
            <w:pPr>
              <w:spacing w:after="100"/>
              <w:rPr>
                <w:rFonts w:eastAsia="Times New Roman"/>
                <w:sz w:val="20"/>
                <w:szCs w:val="20"/>
              </w:rPr>
            </w:pPr>
          </w:p>
        </w:tc>
        <w:tc>
          <w:tcPr>
            <w:tcW w:w="50" w:type="pct"/>
            <w:vAlign w:val="center"/>
            <w:hideMark/>
          </w:tcPr>
          <w:p w14:paraId="27F30F80" w14:textId="77777777" w:rsidR="00000000" w:rsidRDefault="009B6C69">
            <w:pPr>
              <w:spacing w:after="100"/>
              <w:rPr>
                <w:rFonts w:eastAsia="Times New Roman"/>
                <w:sz w:val="20"/>
                <w:szCs w:val="20"/>
              </w:rPr>
            </w:pPr>
          </w:p>
        </w:tc>
        <w:tc>
          <w:tcPr>
            <w:tcW w:w="242" w:type="pct"/>
            <w:vAlign w:val="center"/>
            <w:hideMark/>
          </w:tcPr>
          <w:p w14:paraId="32A656B3" w14:textId="77777777" w:rsidR="00000000" w:rsidRDefault="009B6C69">
            <w:pPr>
              <w:spacing w:after="100"/>
              <w:rPr>
                <w:rFonts w:eastAsia="Times New Roman"/>
                <w:sz w:val="20"/>
                <w:szCs w:val="20"/>
              </w:rPr>
            </w:pPr>
          </w:p>
        </w:tc>
        <w:tc>
          <w:tcPr>
            <w:tcW w:w="5" w:type="pct"/>
            <w:vAlign w:val="center"/>
            <w:hideMark/>
          </w:tcPr>
          <w:p w14:paraId="3258E985" w14:textId="77777777" w:rsidR="00000000" w:rsidRDefault="009B6C69">
            <w:pPr>
              <w:spacing w:after="100"/>
              <w:rPr>
                <w:rFonts w:eastAsia="Times New Roman"/>
                <w:sz w:val="20"/>
                <w:szCs w:val="20"/>
              </w:rPr>
            </w:pPr>
          </w:p>
        </w:tc>
        <w:tc>
          <w:tcPr>
            <w:tcW w:w="5" w:type="pct"/>
            <w:vAlign w:val="center"/>
            <w:hideMark/>
          </w:tcPr>
          <w:p w14:paraId="18035AA7" w14:textId="77777777" w:rsidR="00000000" w:rsidRDefault="009B6C69">
            <w:pPr>
              <w:spacing w:after="100"/>
              <w:rPr>
                <w:rFonts w:eastAsia="Times New Roman"/>
                <w:sz w:val="20"/>
                <w:szCs w:val="20"/>
              </w:rPr>
            </w:pPr>
          </w:p>
        </w:tc>
        <w:tc>
          <w:tcPr>
            <w:tcW w:w="27" w:type="pct"/>
            <w:vAlign w:val="center"/>
            <w:hideMark/>
          </w:tcPr>
          <w:p w14:paraId="53B96925" w14:textId="77777777" w:rsidR="00000000" w:rsidRDefault="009B6C69">
            <w:pPr>
              <w:spacing w:after="100"/>
              <w:rPr>
                <w:rFonts w:eastAsia="Times New Roman"/>
                <w:sz w:val="20"/>
                <w:szCs w:val="20"/>
              </w:rPr>
            </w:pPr>
          </w:p>
        </w:tc>
        <w:tc>
          <w:tcPr>
            <w:tcW w:w="5" w:type="pct"/>
            <w:vAlign w:val="center"/>
            <w:hideMark/>
          </w:tcPr>
          <w:p w14:paraId="0B039E4A" w14:textId="77777777" w:rsidR="00000000" w:rsidRDefault="009B6C69">
            <w:pPr>
              <w:spacing w:after="100"/>
              <w:rPr>
                <w:rFonts w:eastAsia="Times New Roman"/>
                <w:sz w:val="20"/>
                <w:szCs w:val="20"/>
              </w:rPr>
            </w:pPr>
          </w:p>
        </w:tc>
        <w:tc>
          <w:tcPr>
            <w:tcW w:w="50" w:type="pct"/>
            <w:vAlign w:val="center"/>
            <w:hideMark/>
          </w:tcPr>
          <w:p w14:paraId="24DC3B4D" w14:textId="77777777" w:rsidR="00000000" w:rsidRDefault="009B6C69">
            <w:pPr>
              <w:spacing w:after="100"/>
              <w:rPr>
                <w:rFonts w:eastAsia="Times New Roman"/>
                <w:sz w:val="20"/>
                <w:szCs w:val="20"/>
              </w:rPr>
            </w:pPr>
          </w:p>
        </w:tc>
        <w:tc>
          <w:tcPr>
            <w:tcW w:w="458" w:type="pct"/>
            <w:vAlign w:val="center"/>
            <w:hideMark/>
          </w:tcPr>
          <w:p w14:paraId="2FDBB837" w14:textId="77777777" w:rsidR="00000000" w:rsidRDefault="009B6C69">
            <w:pPr>
              <w:spacing w:after="100"/>
              <w:rPr>
                <w:rFonts w:eastAsia="Times New Roman"/>
                <w:sz w:val="20"/>
                <w:szCs w:val="20"/>
              </w:rPr>
            </w:pPr>
          </w:p>
        </w:tc>
        <w:tc>
          <w:tcPr>
            <w:tcW w:w="5" w:type="pct"/>
            <w:vAlign w:val="center"/>
            <w:hideMark/>
          </w:tcPr>
          <w:p w14:paraId="1B36D526" w14:textId="77777777" w:rsidR="00000000" w:rsidRDefault="009B6C69">
            <w:pPr>
              <w:spacing w:after="100"/>
              <w:rPr>
                <w:rFonts w:eastAsia="Times New Roman"/>
                <w:sz w:val="20"/>
                <w:szCs w:val="20"/>
              </w:rPr>
            </w:pPr>
          </w:p>
        </w:tc>
        <w:tc>
          <w:tcPr>
            <w:tcW w:w="5" w:type="pct"/>
            <w:vAlign w:val="center"/>
            <w:hideMark/>
          </w:tcPr>
          <w:p w14:paraId="219BCB01" w14:textId="77777777" w:rsidR="00000000" w:rsidRDefault="009B6C69">
            <w:pPr>
              <w:spacing w:after="100"/>
              <w:rPr>
                <w:rFonts w:eastAsia="Times New Roman"/>
                <w:sz w:val="20"/>
                <w:szCs w:val="20"/>
              </w:rPr>
            </w:pPr>
          </w:p>
        </w:tc>
        <w:tc>
          <w:tcPr>
            <w:tcW w:w="27" w:type="pct"/>
            <w:vAlign w:val="center"/>
            <w:hideMark/>
          </w:tcPr>
          <w:p w14:paraId="70C7A1AE" w14:textId="77777777" w:rsidR="00000000" w:rsidRDefault="009B6C69">
            <w:pPr>
              <w:spacing w:after="100"/>
              <w:rPr>
                <w:rFonts w:eastAsia="Times New Roman"/>
                <w:sz w:val="20"/>
                <w:szCs w:val="20"/>
              </w:rPr>
            </w:pPr>
          </w:p>
        </w:tc>
        <w:tc>
          <w:tcPr>
            <w:tcW w:w="5" w:type="pct"/>
            <w:vAlign w:val="center"/>
            <w:hideMark/>
          </w:tcPr>
          <w:p w14:paraId="35927285" w14:textId="77777777" w:rsidR="00000000" w:rsidRDefault="009B6C69">
            <w:pPr>
              <w:spacing w:after="100"/>
              <w:rPr>
                <w:rFonts w:eastAsia="Times New Roman"/>
                <w:sz w:val="20"/>
                <w:szCs w:val="20"/>
              </w:rPr>
            </w:pPr>
          </w:p>
        </w:tc>
        <w:tc>
          <w:tcPr>
            <w:tcW w:w="50" w:type="pct"/>
            <w:vAlign w:val="center"/>
            <w:hideMark/>
          </w:tcPr>
          <w:p w14:paraId="4E4017C8" w14:textId="77777777" w:rsidR="00000000" w:rsidRDefault="009B6C69">
            <w:pPr>
              <w:spacing w:after="100"/>
              <w:rPr>
                <w:rFonts w:eastAsia="Times New Roman"/>
                <w:sz w:val="20"/>
                <w:szCs w:val="20"/>
              </w:rPr>
            </w:pPr>
          </w:p>
        </w:tc>
        <w:tc>
          <w:tcPr>
            <w:tcW w:w="361" w:type="pct"/>
            <w:vAlign w:val="center"/>
            <w:hideMark/>
          </w:tcPr>
          <w:p w14:paraId="0BDD27BB" w14:textId="77777777" w:rsidR="00000000" w:rsidRDefault="009B6C69">
            <w:pPr>
              <w:spacing w:after="100"/>
              <w:rPr>
                <w:rFonts w:eastAsia="Times New Roman"/>
                <w:sz w:val="20"/>
                <w:szCs w:val="20"/>
              </w:rPr>
            </w:pPr>
          </w:p>
        </w:tc>
        <w:tc>
          <w:tcPr>
            <w:tcW w:w="5" w:type="pct"/>
            <w:vAlign w:val="center"/>
            <w:hideMark/>
          </w:tcPr>
          <w:p w14:paraId="3E49DCC4" w14:textId="77777777" w:rsidR="00000000" w:rsidRDefault="009B6C69">
            <w:pPr>
              <w:spacing w:after="100"/>
              <w:rPr>
                <w:rFonts w:eastAsia="Times New Roman"/>
                <w:sz w:val="20"/>
                <w:szCs w:val="20"/>
              </w:rPr>
            </w:pPr>
          </w:p>
        </w:tc>
        <w:tc>
          <w:tcPr>
            <w:tcW w:w="5" w:type="pct"/>
            <w:vAlign w:val="center"/>
            <w:hideMark/>
          </w:tcPr>
          <w:p w14:paraId="32A72F02" w14:textId="77777777" w:rsidR="00000000" w:rsidRDefault="009B6C69">
            <w:pPr>
              <w:spacing w:after="100"/>
              <w:rPr>
                <w:rFonts w:eastAsia="Times New Roman"/>
                <w:sz w:val="20"/>
                <w:szCs w:val="20"/>
              </w:rPr>
            </w:pPr>
          </w:p>
        </w:tc>
        <w:tc>
          <w:tcPr>
            <w:tcW w:w="27" w:type="pct"/>
            <w:vAlign w:val="center"/>
            <w:hideMark/>
          </w:tcPr>
          <w:p w14:paraId="52C33777" w14:textId="77777777" w:rsidR="00000000" w:rsidRDefault="009B6C69">
            <w:pPr>
              <w:spacing w:after="100"/>
              <w:rPr>
                <w:rFonts w:eastAsia="Times New Roman"/>
                <w:sz w:val="20"/>
                <w:szCs w:val="20"/>
              </w:rPr>
            </w:pPr>
          </w:p>
        </w:tc>
        <w:tc>
          <w:tcPr>
            <w:tcW w:w="5" w:type="pct"/>
            <w:vAlign w:val="center"/>
            <w:hideMark/>
          </w:tcPr>
          <w:p w14:paraId="2633C4F8" w14:textId="77777777" w:rsidR="00000000" w:rsidRDefault="009B6C69">
            <w:pPr>
              <w:spacing w:after="100"/>
              <w:rPr>
                <w:rFonts w:eastAsia="Times New Roman"/>
                <w:sz w:val="20"/>
                <w:szCs w:val="20"/>
              </w:rPr>
            </w:pPr>
          </w:p>
        </w:tc>
        <w:tc>
          <w:tcPr>
            <w:tcW w:w="50" w:type="pct"/>
            <w:vAlign w:val="center"/>
            <w:hideMark/>
          </w:tcPr>
          <w:p w14:paraId="2B1837C9" w14:textId="77777777" w:rsidR="00000000" w:rsidRDefault="009B6C69">
            <w:pPr>
              <w:spacing w:after="100"/>
              <w:rPr>
                <w:rFonts w:eastAsia="Times New Roman"/>
                <w:sz w:val="20"/>
                <w:szCs w:val="20"/>
              </w:rPr>
            </w:pPr>
          </w:p>
        </w:tc>
        <w:tc>
          <w:tcPr>
            <w:tcW w:w="384" w:type="pct"/>
            <w:vAlign w:val="center"/>
            <w:hideMark/>
          </w:tcPr>
          <w:p w14:paraId="5B20DDC1" w14:textId="77777777" w:rsidR="00000000" w:rsidRDefault="009B6C69">
            <w:pPr>
              <w:spacing w:after="100"/>
              <w:rPr>
                <w:rFonts w:eastAsia="Times New Roman"/>
                <w:sz w:val="20"/>
                <w:szCs w:val="20"/>
              </w:rPr>
            </w:pPr>
          </w:p>
        </w:tc>
        <w:tc>
          <w:tcPr>
            <w:tcW w:w="5" w:type="pct"/>
            <w:vAlign w:val="center"/>
            <w:hideMark/>
          </w:tcPr>
          <w:p w14:paraId="16E816BF" w14:textId="77777777" w:rsidR="00000000" w:rsidRDefault="009B6C69">
            <w:pPr>
              <w:spacing w:after="100"/>
              <w:rPr>
                <w:rFonts w:eastAsia="Times New Roman"/>
                <w:sz w:val="20"/>
                <w:szCs w:val="20"/>
              </w:rPr>
            </w:pPr>
          </w:p>
        </w:tc>
      </w:tr>
      <w:tr w:rsidR="00000000" w14:paraId="489C7E27" w14:textId="77777777">
        <w:trPr>
          <w:divId w:val="1834224998"/>
        </w:trPr>
        <w:tc>
          <w:tcPr>
            <w:tcW w:w="0" w:type="auto"/>
            <w:gridSpan w:val="3"/>
            <w:tcBorders>
              <w:bottom w:val="single" w:sz="8" w:space="0" w:color="000000"/>
            </w:tcBorders>
            <w:tcMar>
              <w:top w:w="30" w:type="dxa"/>
              <w:left w:w="20" w:type="dxa"/>
              <w:bottom w:w="30" w:type="dxa"/>
              <w:right w:w="20" w:type="dxa"/>
            </w:tcMar>
            <w:hideMark/>
          </w:tcPr>
          <w:p w14:paraId="5DB97314" w14:textId="77777777" w:rsidR="00000000" w:rsidRDefault="009B6C69">
            <w:pPr>
              <w:spacing w:after="100"/>
              <w:jc w:val="center"/>
              <w:rPr>
                <w:rFonts w:eastAsia="Times New Roman"/>
              </w:rPr>
            </w:pPr>
            <w:r>
              <w:rPr>
                <w:rFonts w:eastAsia="Times New Roman"/>
                <w:b/>
                <w:bCs/>
                <w:color w:val="000000"/>
                <w:sz w:val="18"/>
                <w:szCs w:val="18"/>
              </w:rPr>
              <w:t xml:space="preserve">Exhibit </w:t>
            </w:r>
            <w:r>
              <w:rPr>
                <w:rFonts w:eastAsia="Times New Roman"/>
                <w:b/>
                <w:bCs/>
                <w:color w:val="000000"/>
                <w:sz w:val="18"/>
                <w:szCs w:val="18"/>
              </w:rPr>
              <w:br/>
              <w:t>Number</w:t>
            </w:r>
          </w:p>
        </w:tc>
        <w:tc>
          <w:tcPr>
            <w:tcW w:w="0" w:type="auto"/>
            <w:gridSpan w:val="3"/>
            <w:tcMar>
              <w:top w:w="30" w:type="dxa"/>
              <w:left w:w="20" w:type="dxa"/>
              <w:bottom w:w="30" w:type="dxa"/>
              <w:right w:w="20" w:type="dxa"/>
            </w:tcMar>
            <w:hideMark/>
          </w:tcPr>
          <w:p w14:paraId="2E80BB74" w14:textId="77777777" w:rsidR="00000000" w:rsidRDefault="009B6C69">
            <w:pPr>
              <w:spacing w:after="100"/>
              <w:rPr>
                <w:rFonts w:eastAsia="Times New Roman"/>
              </w:rPr>
            </w:pPr>
            <w:r>
              <w:rPr>
                <w:rFonts w:eastAsia="Times New Roman"/>
                <w:color w:val="000000"/>
                <w:sz w:val="18"/>
                <w:szCs w:val="18"/>
              </w:rPr>
              <w:t> </w:t>
            </w:r>
          </w:p>
        </w:tc>
        <w:tc>
          <w:tcPr>
            <w:tcW w:w="0" w:type="auto"/>
            <w:gridSpan w:val="3"/>
            <w:tcBorders>
              <w:bottom w:val="single" w:sz="8" w:space="0" w:color="000000"/>
            </w:tcBorders>
            <w:tcMar>
              <w:top w:w="30" w:type="dxa"/>
              <w:left w:w="20" w:type="dxa"/>
              <w:bottom w:w="30" w:type="dxa"/>
              <w:right w:w="20" w:type="dxa"/>
            </w:tcMar>
            <w:vAlign w:val="bottom"/>
            <w:hideMark/>
          </w:tcPr>
          <w:p w14:paraId="1BA42E47" w14:textId="77777777" w:rsidR="00000000" w:rsidRDefault="009B6C69">
            <w:pPr>
              <w:spacing w:after="100"/>
              <w:jc w:val="center"/>
              <w:rPr>
                <w:rFonts w:eastAsia="Times New Roman"/>
              </w:rPr>
            </w:pPr>
            <w:r>
              <w:rPr>
                <w:rFonts w:eastAsia="Times New Roman"/>
                <w:b/>
                <w:bCs/>
                <w:color w:val="000000"/>
                <w:sz w:val="18"/>
                <w:szCs w:val="18"/>
              </w:rPr>
              <w:t>Exhibit Description</w:t>
            </w:r>
          </w:p>
        </w:tc>
        <w:tc>
          <w:tcPr>
            <w:tcW w:w="0" w:type="auto"/>
            <w:gridSpan w:val="3"/>
            <w:tcMar>
              <w:top w:w="0" w:type="dxa"/>
              <w:left w:w="20" w:type="dxa"/>
              <w:bottom w:w="0" w:type="dxa"/>
              <w:right w:w="20" w:type="dxa"/>
            </w:tcMar>
            <w:vAlign w:val="center"/>
            <w:hideMark/>
          </w:tcPr>
          <w:p w14:paraId="04902B2B" w14:textId="77777777" w:rsidR="00000000" w:rsidRDefault="009B6C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29D4CE24" w14:textId="77777777" w:rsidR="00000000" w:rsidRDefault="009B6C69">
            <w:pPr>
              <w:spacing w:after="100"/>
              <w:jc w:val="center"/>
              <w:rPr>
                <w:rFonts w:eastAsia="Times New Roman"/>
              </w:rPr>
            </w:pPr>
            <w:r>
              <w:rPr>
                <w:rFonts w:eastAsia="Times New Roman"/>
                <w:b/>
                <w:bCs/>
                <w:color w:val="000000"/>
                <w:sz w:val="18"/>
                <w:szCs w:val="18"/>
              </w:rPr>
              <w:t>Form</w:t>
            </w:r>
          </w:p>
        </w:tc>
        <w:tc>
          <w:tcPr>
            <w:tcW w:w="0" w:type="auto"/>
            <w:gridSpan w:val="3"/>
            <w:tcMar>
              <w:top w:w="0" w:type="dxa"/>
              <w:left w:w="20" w:type="dxa"/>
              <w:bottom w:w="0" w:type="dxa"/>
              <w:right w:w="20" w:type="dxa"/>
            </w:tcMar>
            <w:vAlign w:val="center"/>
            <w:hideMark/>
          </w:tcPr>
          <w:p w14:paraId="63F4F36C" w14:textId="77777777" w:rsidR="00000000" w:rsidRDefault="009B6C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472B66DA" w14:textId="77777777" w:rsidR="00000000" w:rsidRDefault="009B6C69">
            <w:pPr>
              <w:spacing w:after="100"/>
              <w:jc w:val="center"/>
              <w:rPr>
                <w:rFonts w:eastAsia="Times New Roman"/>
              </w:rPr>
            </w:pPr>
            <w:r>
              <w:rPr>
                <w:rFonts w:eastAsia="Times New Roman"/>
                <w:b/>
                <w:bCs/>
                <w:color w:val="000000"/>
                <w:sz w:val="18"/>
                <w:szCs w:val="18"/>
              </w:rPr>
              <w:t>Date of First Filing</w:t>
            </w:r>
          </w:p>
        </w:tc>
        <w:tc>
          <w:tcPr>
            <w:tcW w:w="0" w:type="auto"/>
            <w:gridSpan w:val="3"/>
            <w:tcMar>
              <w:top w:w="0" w:type="dxa"/>
              <w:left w:w="20" w:type="dxa"/>
              <w:bottom w:w="0" w:type="dxa"/>
              <w:right w:w="20" w:type="dxa"/>
            </w:tcMar>
            <w:vAlign w:val="center"/>
            <w:hideMark/>
          </w:tcPr>
          <w:p w14:paraId="67159342" w14:textId="77777777" w:rsidR="00000000" w:rsidRDefault="009B6C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41BF318E" w14:textId="77777777" w:rsidR="00000000" w:rsidRDefault="009B6C69">
            <w:pPr>
              <w:spacing w:after="100"/>
              <w:jc w:val="center"/>
              <w:rPr>
                <w:rFonts w:eastAsia="Times New Roman"/>
              </w:rPr>
            </w:pPr>
            <w:r>
              <w:rPr>
                <w:rFonts w:eastAsia="Times New Roman"/>
                <w:b/>
                <w:bCs/>
                <w:color w:val="000000"/>
                <w:sz w:val="18"/>
                <w:szCs w:val="18"/>
              </w:rPr>
              <w:t>Exhibit Number</w:t>
            </w:r>
          </w:p>
        </w:tc>
        <w:tc>
          <w:tcPr>
            <w:tcW w:w="0" w:type="auto"/>
            <w:gridSpan w:val="3"/>
            <w:tcMar>
              <w:top w:w="0" w:type="dxa"/>
              <w:left w:w="20" w:type="dxa"/>
              <w:bottom w:w="0" w:type="dxa"/>
              <w:right w:w="20" w:type="dxa"/>
            </w:tcMar>
            <w:vAlign w:val="center"/>
            <w:hideMark/>
          </w:tcPr>
          <w:p w14:paraId="5EDCE19C" w14:textId="77777777" w:rsidR="00000000" w:rsidRDefault="009B6C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5AC81362" w14:textId="77777777" w:rsidR="00000000" w:rsidRDefault="009B6C69">
            <w:pPr>
              <w:spacing w:after="100"/>
              <w:jc w:val="center"/>
              <w:rPr>
                <w:rFonts w:eastAsia="Times New Roman"/>
              </w:rPr>
            </w:pPr>
            <w:r>
              <w:rPr>
                <w:rFonts w:eastAsia="Times New Roman"/>
                <w:b/>
                <w:bCs/>
                <w:color w:val="000000"/>
                <w:sz w:val="18"/>
                <w:szCs w:val="18"/>
              </w:rPr>
              <w:t>Filed Herewith</w:t>
            </w:r>
          </w:p>
        </w:tc>
      </w:tr>
      <w:tr w:rsidR="00000000" w14:paraId="12ADC41C" w14:textId="77777777">
        <w:trPr>
          <w:divId w:val="1834224998"/>
        </w:trPr>
        <w:tc>
          <w:tcPr>
            <w:tcW w:w="0" w:type="auto"/>
            <w:gridSpan w:val="3"/>
            <w:shd w:val="clear" w:color="auto" w:fill="FFFFFF"/>
            <w:tcMar>
              <w:top w:w="30" w:type="dxa"/>
              <w:left w:w="20" w:type="dxa"/>
              <w:bottom w:w="30" w:type="dxa"/>
              <w:right w:w="20" w:type="dxa"/>
            </w:tcMar>
            <w:hideMark/>
          </w:tcPr>
          <w:p w14:paraId="36A0790F" w14:textId="77777777" w:rsidR="00000000" w:rsidRDefault="009B6C69">
            <w:pPr>
              <w:spacing w:after="100"/>
              <w:jc w:val="center"/>
              <w:rPr>
                <w:rFonts w:eastAsia="Times New Roman"/>
              </w:rPr>
            </w:pPr>
            <w:r>
              <w:rPr>
                <w:rFonts w:eastAsia="Times New Roman"/>
                <w:color w:val="000000"/>
                <w:sz w:val="18"/>
                <w:szCs w:val="18"/>
              </w:rPr>
              <w:t>10.16</w:t>
            </w:r>
          </w:p>
        </w:tc>
        <w:tc>
          <w:tcPr>
            <w:tcW w:w="0" w:type="auto"/>
            <w:gridSpan w:val="3"/>
            <w:shd w:val="clear" w:color="auto" w:fill="FFFFFF"/>
            <w:tcMar>
              <w:top w:w="0" w:type="dxa"/>
              <w:left w:w="20" w:type="dxa"/>
              <w:bottom w:w="0" w:type="dxa"/>
              <w:right w:w="20" w:type="dxa"/>
            </w:tcMar>
            <w:vAlign w:val="center"/>
            <w:hideMark/>
          </w:tcPr>
          <w:p w14:paraId="4550F496"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DC40AEA" w14:textId="77777777" w:rsidR="00000000" w:rsidRDefault="009B6C69">
            <w:pPr>
              <w:spacing w:after="100"/>
              <w:divId w:val="957562641"/>
              <w:rPr>
                <w:rFonts w:eastAsia="Times New Roman"/>
              </w:rPr>
            </w:pPr>
            <w:hyperlink r:id="rId52" w:history="1">
              <w:r>
                <w:rPr>
                  <w:rStyle w:val="a3"/>
                  <w:rFonts w:eastAsia="Times New Roman"/>
                  <w:sz w:val="18"/>
                  <w:szCs w:val="18"/>
                </w:rPr>
                <w:t>Qualcomm Incorporated Non-Executive Officer Change in Control Severance Plan (as amended and restated).</w:t>
              </w:r>
            </w:hyperlink>
          </w:p>
        </w:tc>
        <w:tc>
          <w:tcPr>
            <w:tcW w:w="0" w:type="auto"/>
            <w:gridSpan w:val="3"/>
            <w:shd w:val="clear" w:color="auto" w:fill="FFFFFF"/>
            <w:tcMar>
              <w:top w:w="0" w:type="dxa"/>
              <w:left w:w="20" w:type="dxa"/>
              <w:bottom w:w="0" w:type="dxa"/>
              <w:right w:w="20" w:type="dxa"/>
            </w:tcMar>
            <w:vAlign w:val="center"/>
            <w:hideMark/>
          </w:tcPr>
          <w:p w14:paraId="74E3867A"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7AADD7F" w14:textId="77777777" w:rsidR="00000000" w:rsidRDefault="009B6C69">
            <w:pPr>
              <w:spacing w:after="100"/>
              <w:jc w:val="cente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14:paraId="51002F9F"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F2FC27A" w14:textId="77777777" w:rsidR="00000000" w:rsidRDefault="009B6C69">
            <w:pPr>
              <w:spacing w:after="100"/>
              <w:jc w:val="center"/>
              <w:rPr>
                <w:rFonts w:eastAsia="Times New Roman"/>
              </w:rPr>
            </w:pPr>
            <w:r>
              <w:rPr>
                <w:rFonts w:eastAsia="Times New Roman"/>
                <w:color w:val="000000"/>
                <w:sz w:val="18"/>
                <w:szCs w:val="18"/>
              </w:rPr>
              <w:t>7/28/2021</w:t>
            </w:r>
          </w:p>
        </w:tc>
        <w:tc>
          <w:tcPr>
            <w:tcW w:w="0" w:type="auto"/>
            <w:gridSpan w:val="3"/>
            <w:shd w:val="clear" w:color="auto" w:fill="FFFFFF"/>
            <w:tcMar>
              <w:top w:w="0" w:type="dxa"/>
              <w:left w:w="20" w:type="dxa"/>
              <w:bottom w:w="0" w:type="dxa"/>
              <w:right w:w="20" w:type="dxa"/>
            </w:tcMar>
            <w:vAlign w:val="center"/>
            <w:hideMark/>
          </w:tcPr>
          <w:p w14:paraId="36448263"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7D4ACF0D" w14:textId="77777777" w:rsidR="00000000" w:rsidRDefault="009B6C69">
            <w:pPr>
              <w:spacing w:after="100"/>
              <w:jc w:val="center"/>
              <w:rPr>
                <w:rFonts w:eastAsia="Times New Roman"/>
              </w:rPr>
            </w:pPr>
            <w:r>
              <w:rPr>
                <w:rFonts w:eastAsia="Times New Roman"/>
                <w:color w:val="000000"/>
                <w:sz w:val="18"/>
                <w:szCs w:val="18"/>
              </w:rPr>
              <w:t>10.7</w:t>
            </w:r>
          </w:p>
        </w:tc>
        <w:tc>
          <w:tcPr>
            <w:tcW w:w="0" w:type="auto"/>
            <w:gridSpan w:val="3"/>
            <w:shd w:val="clear" w:color="auto" w:fill="FFFFFF"/>
            <w:tcMar>
              <w:top w:w="0" w:type="dxa"/>
              <w:left w:w="20" w:type="dxa"/>
              <w:bottom w:w="0" w:type="dxa"/>
              <w:right w:w="20" w:type="dxa"/>
            </w:tcMar>
            <w:vAlign w:val="center"/>
            <w:hideMark/>
          </w:tcPr>
          <w:p w14:paraId="39F623AE"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C38ABA" w14:textId="77777777" w:rsidR="00000000" w:rsidRDefault="009B6C69">
            <w:pPr>
              <w:spacing w:after="100"/>
              <w:rPr>
                <w:rFonts w:eastAsia="Times New Roman"/>
                <w:sz w:val="20"/>
                <w:szCs w:val="20"/>
              </w:rPr>
            </w:pPr>
          </w:p>
        </w:tc>
      </w:tr>
      <w:tr w:rsidR="00000000" w14:paraId="4D52C291" w14:textId="77777777">
        <w:trPr>
          <w:divId w:val="1834224998"/>
        </w:trPr>
        <w:tc>
          <w:tcPr>
            <w:tcW w:w="0" w:type="auto"/>
            <w:gridSpan w:val="3"/>
            <w:shd w:val="clear" w:color="auto" w:fill="CCEEFF"/>
            <w:tcMar>
              <w:top w:w="30" w:type="dxa"/>
              <w:left w:w="20" w:type="dxa"/>
              <w:bottom w:w="30" w:type="dxa"/>
              <w:right w:w="20" w:type="dxa"/>
            </w:tcMar>
            <w:hideMark/>
          </w:tcPr>
          <w:p w14:paraId="2F49250A" w14:textId="77777777" w:rsidR="00000000" w:rsidRDefault="009B6C69">
            <w:pPr>
              <w:spacing w:after="100"/>
              <w:jc w:val="center"/>
              <w:rPr>
                <w:rFonts w:eastAsia="Times New Roman"/>
              </w:rPr>
            </w:pPr>
            <w:r>
              <w:rPr>
                <w:rFonts w:eastAsia="Times New Roman"/>
                <w:color w:val="000000"/>
                <w:sz w:val="18"/>
                <w:szCs w:val="18"/>
              </w:rPr>
              <w:t>10.17</w:t>
            </w:r>
          </w:p>
        </w:tc>
        <w:tc>
          <w:tcPr>
            <w:tcW w:w="0" w:type="auto"/>
            <w:gridSpan w:val="3"/>
            <w:shd w:val="clear" w:color="auto" w:fill="CCEEFF"/>
            <w:tcMar>
              <w:top w:w="0" w:type="dxa"/>
              <w:left w:w="20" w:type="dxa"/>
              <w:bottom w:w="0" w:type="dxa"/>
              <w:right w:w="20" w:type="dxa"/>
            </w:tcMar>
            <w:vAlign w:val="center"/>
            <w:hideMark/>
          </w:tcPr>
          <w:p w14:paraId="241EB352"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8D21D97" w14:textId="77777777" w:rsidR="00000000" w:rsidRDefault="009B6C69">
            <w:pPr>
              <w:spacing w:after="100"/>
              <w:divId w:val="89274789"/>
              <w:rPr>
                <w:rFonts w:eastAsia="Times New Roman"/>
              </w:rPr>
            </w:pPr>
            <w:hyperlink r:id="rId53" w:history="1">
              <w:r>
                <w:rPr>
                  <w:rStyle w:val="a3"/>
                  <w:rFonts w:eastAsia="Times New Roman"/>
                  <w:sz w:val="18"/>
                  <w:szCs w:val="18"/>
                </w:rPr>
                <w:t>QUALCOMM Incorporated Non-Qualified Deferred Compensation Plan, as amended and restated effective January 1, 2021. (2)</w:t>
              </w:r>
            </w:hyperlink>
          </w:p>
        </w:tc>
        <w:tc>
          <w:tcPr>
            <w:tcW w:w="0" w:type="auto"/>
            <w:gridSpan w:val="3"/>
            <w:shd w:val="clear" w:color="auto" w:fill="CCEEFF"/>
            <w:tcMar>
              <w:top w:w="0" w:type="dxa"/>
              <w:left w:w="20" w:type="dxa"/>
              <w:bottom w:w="0" w:type="dxa"/>
              <w:right w:w="20" w:type="dxa"/>
            </w:tcMar>
            <w:vAlign w:val="center"/>
            <w:hideMark/>
          </w:tcPr>
          <w:p w14:paraId="3FC60AAA"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2B93E94F" w14:textId="77777777" w:rsidR="00000000" w:rsidRDefault="009B6C69">
            <w:pPr>
              <w:spacing w:after="100"/>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14:paraId="646A5576"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E5D80EF" w14:textId="77777777" w:rsidR="00000000" w:rsidRDefault="009B6C69">
            <w:pPr>
              <w:spacing w:after="100"/>
              <w:jc w:val="center"/>
              <w:rPr>
                <w:rFonts w:eastAsia="Times New Roman"/>
              </w:rPr>
            </w:pPr>
            <w:r>
              <w:rPr>
                <w:rFonts w:eastAsia="Times New Roman"/>
                <w:color w:val="000000"/>
                <w:sz w:val="18"/>
                <w:szCs w:val="18"/>
              </w:rPr>
              <w:t>2/3/2021</w:t>
            </w:r>
          </w:p>
        </w:tc>
        <w:tc>
          <w:tcPr>
            <w:tcW w:w="0" w:type="auto"/>
            <w:gridSpan w:val="3"/>
            <w:shd w:val="clear" w:color="auto" w:fill="CCEEFF"/>
            <w:tcMar>
              <w:top w:w="0" w:type="dxa"/>
              <w:left w:w="20" w:type="dxa"/>
              <w:bottom w:w="0" w:type="dxa"/>
              <w:right w:w="20" w:type="dxa"/>
            </w:tcMar>
            <w:vAlign w:val="center"/>
            <w:hideMark/>
          </w:tcPr>
          <w:p w14:paraId="44282E56"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4866717" w14:textId="77777777" w:rsidR="00000000" w:rsidRDefault="009B6C69">
            <w:pPr>
              <w:spacing w:after="100"/>
              <w:jc w:val="center"/>
              <w:rPr>
                <w:rFonts w:eastAsia="Times New Roman"/>
              </w:rPr>
            </w:pPr>
            <w:r>
              <w:rPr>
                <w:rFonts w:eastAsia="Times New Roman"/>
                <w:color w:val="000000"/>
                <w:sz w:val="18"/>
                <w:szCs w:val="18"/>
              </w:rPr>
              <w:t>10.16</w:t>
            </w:r>
          </w:p>
        </w:tc>
        <w:tc>
          <w:tcPr>
            <w:tcW w:w="0" w:type="auto"/>
            <w:gridSpan w:val="3"/>
            <w:shd w:val="clear" w:color="auto" w:fill="CCEEFF"/>
            <w:tcMar>
              <w:top w:w="0" w:type="dxa"/>
              <w:left w:w="20" w:type="dxa"/>
              <w:bottom w:w="0" w:type="dxa"/>
              <w:right w:w="20" w:type="dxa"/>
            </w:tcMar>
            <w:vAlign w:val="center"/>
            <w:hideMark/>
          </w:tcPr>
          <w:p w14:paraId="432DD2FE"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043ADB" w14:textId="77777777" w:rsidR="00000000" w:rsidRDefault="009B6C69">
            <w:pPr>
              <w:spacing w:after="100"/>
              <w:rPr>
                <w:rFonts w:eastAsia="Times New Roman"/>
                <w:sz w:val="20"/>
                <w:szCs w:val="20"/>
              </w:rPr>
            </w:pPr>
          </w:p>
        </w:tc>
      </w:tr>
      <w:tr w:rsidR="00000000" w14:paraId="38F4296A" w14:textId="77777777">
        <w:trPr>
          <w:divId w:val="1834224998"/>
        </w:trPr>
        <w:tc>
          <w:tcPr>
            <w:tcW w:w="0" w:type="auto"/>
            <w:gridSpan w:val="3"/>
            <w:shd w:val="clear" w:color="auto" w:fill="FFFFFF"/>
            <w:tcMar>
              <w:top w:w="30" w:type="dxa"/>
              <w:left w:w="20" w:type="dxa"/>
              <w:bottom w:w="30" w:type="dxa"/>
              <w:right w:w="20" w:type="dxa"/>
            </w:tcMar>
            <w:hideMark/>
          </w:tcPr>
          <w:p w14:paraId="7AFF1ACD" w14:textId="77777777" w:rsidR="00000000" w:rsidRDefault="009B6C69">
            <w:pPr>
              <w:spacing w:after="100"/>
              <w:jc w:val="center"/>
              <w:rPr>
                <w:rFonts w:eastAsia="Times New Roman"/>
              </w:rPr>
            </w:pPr>
            <w:r>
              <w:rPr>
                <w:rFonts w:eastAsia="Times New Roman"/>
                <w:color w:val="000000"/>
                <w:sz w:val="18"/>
                <w:szCs w:val="18"/>
              </w:rPr>
              <w:t>10.18</w:t>
            </w:r>
          </w:p>
        </w:tc>
        <w:tc>
          <w:tcPr>
            <w:tcW w:w="0" w:type="auto"/>
            <w:gridSpan w:val="3"/>
            <w:shd w:val="clear" w:color="auto" w:fill="FFFFFF"/>
            <w:tcMar>
              <w:top w:w="0" w:type="dxa"/>
              <w:left w:w="20" w:type="dxa"/>
              <w:bottom w:w="0" w:type="dxa"/>
              <w:right w:w="20" w:type="dxa"/>
            </w:tcMar>
            <w:vAlign w:val="center"/>
            <w:hideMark/>
          </w:tcPr>
          <w:p w14:paraId="27B41A6B"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3663CBC" w14:textId="77777777" w:rsidR="00000000" w:rsidRDefault="009B6C69">
            <w:pPr>
              <w:spacing w:after="100"/>
              <w:divId w:val="2020229639"/>
              <w:rPr>
                <w:rFonts w:eastAsia="Times New Roman"/>
              </w:rPr>
            </w:pPr>
            <w:hyperlink r:id="rId54" w:history="1">
              <w:r>
                <w:rPr>
                  <w:rStyle w:val="a3"/>
                  <w:rFonts w:eastAsia="Times New Roman"/>
                  <w:sz w:val="18"/>
                  <w:szCs w:val="18"/>
                </w:rPr>
                <w:t>Qualcomm Incorporated 2022 Director Compensation Plan. (2)</w:t>
              </w:r>
            </w:hyperlink>
          </w:p>
        </w:tc>
        <w:tc>
          <w:tcPr>
            <w:tcW w:w="0" w:type="auto"/>
            <w:gridSpan w:val="3"/>
            <w:shd w:val="clear" w:color="auto" w:fill="FFFFFF"/>
            <w:tcMar>
              <w:top w:w="0" w:type="dxa"/>
              <w:left w:w="20" w:type="dxa"/>
              <w:bottom w:w="0" w:type="dxa"/>
              <w:right w:w="20" w:type="dxa"/>
            </w:tcMar>
            <w:vAlign w:val="center"/>
            <w:hideMark/>
          </w:tcPr>
          <w:p w14:paraId="4434C52C"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77D10C3" w14:textId="77777777" w:rsidR="00000000" w:rsidRDefault="009B6C69">
            <w:pPr>
              <w:spacing w:after="100"/>
              <w:jc w:val="center"/>
              <w:rPr>
                <w:rFonts w:eastAsia="Times New Roman"/>
              </w:rPr>
            </w:pPr>
            <w:r>
              <w:rPr>
                <w:rFonts w:eastAsia="Times New Roman"/>
                <w:color w:val="000000"/>
                <w:sz w:val="18"/>
                <w:szCs w:val="18"/>
              </w:rPr>
              <w:t>10-K</w:t>
            </w:r>
          </w:p>
        </w:tc>
        <w:tc>
          <w:tcPr>
            <w:tcW w:w="0" w:type="auto"/>
            <w:gridSpan w:val="3"/>
            <w:shd w:val="clear" w:color="auto" w:fill="FFFFFF"/>
            <w:tcMar>
              <w:top w:w="0" w:type="dxa"/>
              <w:left w:w="20" w:type="dxa"/>
              <w:bottom w:w="0" w:type="dxa"/>
              <w:right w:w="20" w:type="dxa"/>
            </w:tcMar>
            <w:vAlign w:val="center"/>
            <w:hideMark/>
          </w:tcPr>
          <w:p w14:paraId="53F8D245"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BA77B35" w14:textId="77777777" w:rsidR="00000000" w:rsidRDefault="009B6C69">
            <w:pPr>
              <w:spacing w:after="100"/>
              <w:jc w:val="center"/>
              <w:rPr>
                <w:rFonts w:eastAsia="Times New Roman"/>
              </w:rPr>
            </w:pPr>
            <w:r>
              <w:rPr>
                <w:rFonts w:eastAsia="Times New Roman"/>
                <w:color w:val="000000"/>
                <w:sz w:val="18"/>
                <w:szCs w:val="18"/>
              </w:rPr>
              <w:t>11/3/2021</w:t>
            </w:r>
          </w:p>
        </w:tc>
        <w:tc>
          <w:tcPr>
            <w:tcW w:w="0" w:type="auto"/>
            <w:gridSpan w:val="3"/>
            <w:shd w:val="clear" w:color="auto" w:fill="FFFFFF"/>
            <w:tcMar>
              <w:top w:w="0" w:type="dxa"/>
              <w:left w:w="20" w:type="dxa"/>
              <w:bottom w:w="0" w:type="dxa"/>
              <w:right w:w="20" w:type="dxa"/>
            </w:tcMar>
            <w:vAlign w:val="center"/>
            <w:hideMark/>
          </w:tcPr>
          <w:p w14:paraId="332E6770"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642FC98" w14:textId="77777777" w:rsidR="00000000" w:rsidRDefault="009B6C69">
            <w:pPr>
              <w:spacing w:after="100"/>
              <w:jc w:val="center"/>
              <w:rPr>
                <w:rFonts w:eastAsia="Times New Roman"/>
              </w:rPr>
            </w:pPr>
            <w:r>
              <w:rPr>
                <w:rFonts w:eastAsia="Times New Roman"/>
                <w:color w:val="000000"/>
                <w:sz w:val="18"/>
                <w:szCs w:val="18"/>
              </w:rPr>
              <w:t>10.24</w:t>
            </w:r>
          </w:p>
        </w:tc>
        <w:tc>
          <w:tcPr>
            <w:tcW w:w="0" w:type="auto"/>
            <w:gridSpan w:val="3"/>
            <w:shd w:val="clear" w:color="auto" w:fill="FFFFFF"/>
            <w:tcMar>
              <w:top w:w="0" w:type="dxa"/>
              <w:left w:w="20" w:type="dxa"/>
              <w:bottom w:w="0" w:type="dxa"/>
              <w:right w:w="20" w:type="dxa"/>
            </w:tcMar>
            <w:vAlign w:val="center"/>
            <w:hideMark/>
          </w:tcPr>
          <w:p w14:paraId="22E122F2"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065B95" w14:textId="77777777" w:rsidR="00000000" w:rsidRDefault="009B6C69">
            <w:pPr>
              <w:spacing w:after="100"/>
              <w:rPr>
                <w:rFonts w:eastAsia="Times New Roman"/>
                <w:sz w:val="20"/>
                <w:szCs w:val="20"/>
              </w:rPr>
            </w:pPr>
          </w:p>
        </w:tc>
      </w:tr>
      <w:tr w:rsidR="00000000" w14:paraId="644B6D7A" w14:textId="77777777">
        <w:trPr>
          <w:divId w:val="1834224998"/>
        </w:trPr>
        <w:tc>
          <w:tcPr>
            <w:tcW w:w="0" w:type="auto"/>
            <w:gridSpan w:val="3"/>
            <w:shd w:val="clear" w:color="auto" w:fill="CCEEFF"/>
            <w:tcMar>
              <w:top w:w="30" w:type="dxa"/>
              <w:left w:w="20" w:type="dxa"/>
              <w:bottom w:w="30" w:type="dxa"/>
              <w:right w:w="20" w:type="dxa"/>
            </w:tcMar>
            <w:hideMark/>
          </w:tcPr>
          <w:p w14:paraId="09E58986" w14:textId="77777777" w:rsidR="00000000" w:rsidRDefault="009B6C69">
            <w:pPr>
              <w:spacing w:after="100"/>
              <w:jc w:val="center"/>
              <w:rPr>
                <w:rFonts w:eastAsia="Times New Roman"/>
              </w:rPr>
            </w:pPr>
            <w:r>
              <w:rPr>
                <w:rFonts w:eastAsia="Times New Roman"/>
                <w:color w:val="000000"/>
                <w:sz w:val="18"/>
                <w:szCs w:val="18"/>
              </w:rPr>
              <w:t>10.19</w:t>
            </w:r>
          </w:p>
        </w:tc>
        <w:tc>
          <w:tcPr>
            <w:tcW w:w="0" w:type="auto"/>
            <w:gridSpan w:val="3"/>
            <w:shd w:val="clear" w:color="auto" w:fill="CCEEFF"/>
            <w:tcMar>
              <w:top w:w="0" w:type="dxa"/>
              <w:left w:w="20" w:type="dxa"/>
              <w:bottom w:w="0" w:type="dxa"/>
              <w:right w:w="20" w:type="dxa"/>
            </w:tcMar>
            <w:vAlign w:val="center"/>
            <w:hideMark/>
          </w:tcPr>
          <w:p w14:paraId="45D98E21"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62E6786" w14:textId="77777777" w:rsidR="00000000" w:rsidRDefault="009B6C69">
            <w:pPr>
              <w:spacing w:after="100"/>
              <w:divId w:val="300497634"/>
              <w:rPr>
                <w:rFonts w:eastAsia="Times New Roman"/>
              </w:rPr>
            </w:pPr>
            <w:hyperlink r:id="rId55" w:history="1">
              <w:r>
                <w:rPr>
                  <w:rStyle w:val="a3"/>
                  <w:rFonts w:eastAsia="Times New Roman"/>
                  <w:sz w:val="18"/>
                  <w:szCs w:val="18"/>
                </w:rPr>
                <w:t>Qualcomm Incorporated 2023 Director Compensation Plan. (2)</w:t>
              </w:r>
            </w:hyperlink>
          </w:p>
        </w:tc>
        <w:tc>
          <w:tcPr>
            <w:tcW w:w="0" w:type="auto"/>
            <w:gridSpan w:val="3"/>
            <w:shd w:val="clear" w:color="auto" w:fill="CCEEFF"/>
            <w:tcMar>
              <w:top w:w="0" w:type="dxa"/>
              <w:left w:w="20" w:type="dxa"/>
              <w:bottom w:w="0" w:type="dxa"/>
              <w:right w:w="20" w:type="dxa"/>
            </w:tcMar>
            <w:vAlign w:val="center"/>
            <w:hideMark/>
          </w:tcPr>
          <w:p w14:paraId="7D4649DB" w14:textId="77777777" w:rsidR="00000000" w:rsidRDefault="009B6C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8C5005"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E69439"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D148B2"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DE7D0D"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7031E5"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36CD53" w14:textId="77777777" w:rsidR="00000000" w:rsidRDefault="009B6C69">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666FA64B" w14:textId="77777777" w:rsidR="00000000" w:rsidRDefault="009B6C69">
            <w:pPr>
              <w:spacing w:after="100"/>
              <w:jc w:val="center"/>
              <w:rPr>
                <w:rFonts w:eastAsia="Times New Roman"/>
              </w:rPr>
            </w:pPr>
            <w:r>
              <w:rPr>
                <w:rFonts w:eastAsia="Times New Roman"/>
                <w:color w:val="000000"/>
                <w:sz w:val="18"/>
                <w:szCs w:val="18"/>
              </w:rPr>
              <w:t>X</w:t>
            </w:r>
          </w:p>
        </w:tc>
      </w:tr>
      <w:tr w:rsidR="00000000" w14:paraId="6D49D09C" w14:textId="77777777">
        <w:trPr>
          <w:divId w:val="1834224998"/>
        </w:trPr>
        <w:tc>
          <w:tcPr>
            <w:tcW w:w="0" w:type="auto"/>
            <w:gridSpan w:val="3"/>
            <w:shd w:val="clear" w:color="auto" w:fill="FFFFFF"/>
            <w:tcMar>
              <w:top w:w="30" w:type="dxa"/>
              <w:left w:w="20" w:type="dxa"/>
              <w:bottom w:w="30" w:type="dxa"/>
              <w:right w:w="20" w:type="dxa"/>
            </w:tcMar>
            <w:hideMark/>
          </w:tcPr>
          <w:p w14:paraId="3CB3C02E" w14:textId="77777777" w:rsidR="00000000" w:rsidRDefault="009B6C69">
            <w:pPr>
              <w:spacing w:after="100"/>
              <w:jc w:val="center"/>
              <w:rPr>
                <w:rFonts w:eastAsia="Times New Roman"/>
              </w:rPr>
            </w:pPr>
            <w:r>
              <w:rPr>
                <w:rFonts w:eastAsia="Times New Roman"/>
                <w:color w:val="000000"/>
                <w:sz w:val="18"/>
                <w:szCs w:val="18"/>
              </w:rPr>
              <w:t>10.20</w:t>
            </w:r>
          </w:p>
        </w:tc>
        <w:tc>
          <w:tcPr>
            <w:tcW w:w="0" w:type="auto"/>
            <w:gridSpan w:val="3"/>
            <w:shd w:val="clear" w:color="auto" w:fill="FFFFFF"/>
            <w:tcMar>
              <w:top w:w="0" w:type="dxa"/>
              <w:left w:w="20" w:type="dxa"/>
              <w:bottom w:w="0" w:type="dxa"/>
              <w:right w:w="20" w:type="dxa"/>
            </w:tcMar>
            <w:vAlign w:val="center"/>
            <w:hideMark/>
          </w:tcPr>
          <w:p w14:paraId="56E07CE7"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7D247BBC" w14:textId="77777777" w:rsidR="00000000" w:rsidRDefault="009B6C69">
            <w:pPr>
              <w:spacing w:after="100"/>
              <w:divId w:val="2087222942"/>
              <w:rPr>
                <w:rFonts w:eastAsia="Times New Roman"/>
              </w:rPr>
            </w:pPr>
            <w:hyperlink r:id="rId56" w:history="1">
              <w:r>
                <w:rPr>
                  <w:rStyle w:val="a3"/>
                  <w:rFonts w:eastAsia="Times New Roman"/>
                  <w:sz w:val="18"/>
                  <w:szCs w:val="18"/>
                </w:rPr>
                <w:t>Form of Non-Employee Director Deferred Stock Unit Grant Notices and Non-Employee Director Deferred Stock Unit Agreements under the 2016 Long-Term Incentive</w:t>
              </w:r>
              <w:r>
                <w:rPr>
                  <w:rStyle w:val="a3"/>
                  <w:rFonts w:eastAsia="Times New Roman"/>
                  <w:sz w:val="18"/>
                  <w:szCs w:val="18"/>
                </w:rPr>
                <w:t xml:space="preserve"> Plan for non-employee directors residing in the United States (2016 Form). (2)</w:t>
              </w:r>
            </w:hyperlink>
          </w:p>
        </w:tc>
        <w:tc>
          <w:tcPr>
            <w:tcW w:w="0" w:type="auto"/>
            <w:gridSpan w:val="3"/>
            <w:shd w:val="clear" w:color="auto" w:fill="FFFFFF"/>
            <w:tcMar>
              <w:top w:w="0" w:type="dxa"/>
              <w:left w:w="20" w:type="dxa"/>
              <w:bottom w:w="0" w:type="dxa"/>
              <w:right w:w="20" w:type="dxa"/>
            </w:tcMar>
            <w:vAlign w:val="center"/>
            <w:hideMark/>
          </w:tcPr>
          <w:p w14:paraId="7BABE8FC"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D15F7F9" w14:textId="77777777" w:rsidR="00000000" w:rsidRDefault="009B6C69">
            <w:pPr>
              <w:spacing w:after="100"/>
              <w:jc w:val="cente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14:paraId="1ED6B8A4"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E76335C" w14:textId="77777777" w:rsidR="00000000" w:rsidRDefault="009B6C69">
            <w:pPr>
              <w:spacing w:after="100"/>
              <w:jc w:val="center"/>
              <w:rPr>
                <w:rFonts w:eastAsia="Times New Roman"/>
              </w:rPr>
            </w:pPr>
            <w:r>
              <w:rPr>
                <w:rFonts w:eastAsia="Times New Roman"/>
                <w:color w:val="000000"/>
                <w:sz w:val="18"/>
                <w:szCs w:val="18"/>
              </w:rPr>
              <w:t>4/20/2016</w:t>
            </w:r>
          </w:p>
        </w:tc>
        <w:tc>
          <w:tcPr>
            <w:tcW w:w="0" w:type="auto"/>
            <w:gridSpan w:val="3"/>
            <w:shd w:val="clear" w:color="auto" w:fill="FFFFFF"/>
            <w:tcMar>
              <w:top w:w="0" w:type="dxa"/>
              <w:left w:w="20" w:type="dxa"/>
              <w:bottom w:w="0" w:type="dxa"/>
              <w:right w:w="20" w:type="dxa"/>
            </w:tcMar>
            <w:vAlign w:val="center"/>
            <w:hideMark/>
          </w:tcPr>
          <w:p w14:paraId="079D2AB7"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37C5D3D" w14:textId="77777777" w:rsidR="00000000" w:rsidRDefault="009B6C69">
            <w:pPr>
              <w:spacing w:after="100"/>
              <w:jc w:val="center"/>
              <w:rPr>
                <w:rFonts w:eastAsia="Times New Roman"/>
              </w:rPr>
            </w:pPr>
            <w:r>
              <w:rPr>
                <w:rFonts w:eastAsia="Times New Roman"/>
                <w:color w:val="000000"/>
                <w:sz w:val="18"/>
                <w:szCs w:val="18"/>
              </w:rPr>
              <w:t>10.32</w:t>
            </w:r>
          </w:p>
        </w:tc>
        <w:tc>
          <w:tcPr>
            <w:tcW w:w="0" w:type="auto"/>
            <w:gridSpan w:val="3"/>
            <w:shd w:val="clear" w:color="auto" w:fill="FFFFFF"/>
            <w:tcMar>
              <w:top w:w="0" w:type="dxa"/>
              <w:left w:w="20" w:type="dxa"/>
              <w:bottom w:w="0" w:type="dxa"/>
              <w:right w:w="20" w:type="dxa"/>
            </w:tcMar>
            <w:vAlign w:val="center"/>
            <w:hideMark/>
          </w:tcPr>
          <w:p w14:paraId="4511ADD3"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464820" w14:textId="77777777" w:rsidR="00000000" w:rsidRDefault="009B6C69">
            <w:pPr>
              <w:spacing w:after="100"/>
              <w:rPr>
                <w:rFonts w:eastAsia="Times New Roman"/>
                <w:sz w:val="20"/>
                <w:szCs w:val="20"/>
              </w:rPr>
            </w:pPr>
          </w:p>
        </w:tc>
      </w:tr>
      <w:tr w:rsidR="00000000" w14:paraId="5971CCC5" w14:textId="77777777">
        <w:trPr>
          <w:divId w:val="1834224998"/>
        </w:trPr>
        <w:tc>
          <w:tcPr>
            <w:tcW w:w="0" w:type="auto"/>
            <w:gridSpan w:val="3"/>
            <w:shd w:val="clear" w:color="auto" w:fill="CCEEFF"/>
            <w:tcMar>
              <w:top w:w="30" w:type="dxa"/>
              <w:left w:w="20" w:type="dxa"/>
              <w:bottom w:w="30" w:type="dxa"/>
              <w:right w:w="20" w:type="dxa"/>
            </w:tcMar>
            <w:hideMark/>
          </w:tcPr>
          <w:p w14:paraId="43D4DA79" w14:textId="77777777" w:rsidR="00000000" w:rsidRDefault="009B6C69">
            <w:pPr>
              <w:spacing w:after="100"/>
              <w:jc w:val="center"/>
              <w:rPr>
                <w:rFonts w:eastAsia="Times New Roman"/>
              </w:rPr>
            </w:pPr>
            <w:r>
              <w:rPr>
                <w:rFonts w:eastAsia="Times New Roman"/>
                <w:color w:val="000000"/>
                <w:sz w:val="18"/>
                <w:szCs w:val="18"/>
              </w:rPr>
              <w:t>10.21</w:t>
            </w:r>
          </w:p>
        </w:tc>
        <w:tc>
          <w:tcPr>
            <w:tcW w:w="0" w:type="auto"/>
            <w:gridSpan w:val="3"/>
            <w:shd w:val="clear" w:color="auto" w:fill="CCEEFF"/>
            <w:tcMar>
              <w:top w:w="0" w:type="dxa"/>
              <w:left w:w="20" w:type="dxa"/>
              <w:bottom w:w="0" w:type="dxa"/>
              <w:right w:w="20" w:type="dxa"/>
            </w:tcMar>
            <w:vAlign w:val="center"/>
            <w:hideMark/>
          </w:tcPr>
          <w:p w14:paraId="57CE19B7"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8BD5F71" w14:textId="77777777" w:rsidR="00000000" w:rsidRDefault="009B6C69">
            <w:pPr>
              <w:spacing w:after="100"/>
              <w:divId w:val="586965479"/>
              <w:rPr>
                <w:rFonts w:eastAsia="Times New Roman"/>
              </w:rPr>
            </w:pPr>
            <w:hyperlink r:id="rId57" w:history="1">
              <w:r>
                <w:rPr>
                  <w:rStyle w:val="a3"/>
                  <w:rFonts w:eastAsia="Times New Roman"/>
                  <w:sz w:val="18"/>
                  <w:szCs w:val="18"/>
                </w:rPr>
                <w:t>Forms of Non-Employee Director Deferred Stock Unit Grant Notices and Non-Employee Director Deferred Stock Unit Agreements under the 2016 Long-Term Incentiv</w:t>
              </w:r>
              <w:r>
                <w:rPr>
                  <w:rStyle w:val="a3"/>
                  <w:rFonts w:eastAsia="Times New Roman"/>
                  <w:sz w:val="18"/>
                  <w:szCs w:val="18"/>
                </w:rPr>
                <w:t>e Plan for Non-Employee Directors in Hong Kong. (2)</w:t>
              </w:r>
            </w:hyperlink>
          </w:p>
        </w:tc>
        <w:tc>
          <w:tcPr>
            <w:tcW w:w="0" w:type="auto"/>
            <w:gridSpan w:val="3"/>
            <w:shd w:val="clear" w:color="auto" w:fill="CCEEFF"/>
            <w:tcMar>
              <w:top w:w="0" w:type="dxa"/>
              <w:left w:w="20" w:type="dxa"/>
              <w:bottom w:w="0" w:type="dxa"/>
              <w:right w:w="20" w:type="dxa"/>
            </w:tcMar>
            <w:vAlign w:val="center"/>
            <w:hideMark/>
          </w:tcPr>
          <w:p w14:paraId="34034359"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7C3B8A3D" w14:textId="77777777" w:rsidR="00000000" w:rsidRDefault="009B6C69">
            <w:pPr>
              <w:spacing w:after="100"/>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14:paraId="13334F5B"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32782004" w14:textId="77777777" w:rsidR="00000000" w:rsidRDefault="009B6C69">
            <w:pPr>
              <w:spacing w:after="100"/>
              <w:jc w:val="center"/>
              <w:rPr>
                <w:rFonts w:eastAsia="Times New Roman"/>
              </w:rPr>
            </w:pPr>
            <w:r>
              <w:rPr>
                <w:rFonts w:eastAsia="Times New Roman"/>
                <w:color w:val="000000"/>
                <w:sz w:val="18"/>
                <w:szCs w:val="18"/>
              </w:rPr>
              <w:t>4/28/21</w:t>
            </w:r>
          </w:p>
        </w:tc>
        <w:tc>
          <w:tcPr>
            <w:tcW w:w="0" w:type="auto"/>
            <w:gridSpan w:val="3"/>
            <w:shd w:val="clear" w:color="auto" w:fill="CCEEFF"/>
            <w:tcMar>
              <w:top w:w="0" w:type="dxa"/>
              <w:left w:w="20" w:type="dxa"/>
              <w:bottom w:w="0" w:type="dxa"/>
              <w:right w:w="20" w:type="dxa"/>
            </w:tcMar>
            <w:vAlign w:val="center"/>
            <w:hideMark/>
          </w:tcPr>
          <w:p w14:paraId="4570F7A5"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9D945A4" w14:textId="77777777" w:rsidR="00000000" w:rsidRDefault="009B6C69">
            <w:pPr>
              <w:spacing w:after="100"/>
              <w:jc w:val="center"/>
              <w:rPr>
                <w:rFonts w:eastAsia="Times New Roman"/>
              </w:rPr>
            </w:pPr>
            <w:r>
              <w:rPr>
                <w:rFonts w:eastAsia="Times New Roman"/>
                <w:color w:val="000000"/>
                <w:sz w:val="18"/>
                <w:szCs w:val="18"/>
              </w:rPr>
              <w:t>10.4</w:t>
            </w:r>
          </w:p>
        </w:tc>
        <w:tc>
          <w:tcPr>
            <w:tcW w:w="0" w:type="auto"/>
            <w:gridSpan w:val="3"/>
            <w:shd w:val="clear" w:color="auto" w:fill="CCEEFF"/>
            <w:tcMar>
              <w:top w:w="0" w:type="dxa"/>
              <w:left w:w="20" w:type="dxa"/>
              <w:bottom w:w="0" w:type="dxa"/>
              <w:right w:w="20" w:type="dxa"/>
            </w:tcMar>
            <w:vAlign w:val="center"/>
            <w:hideMark/>
          </w:tcPr>
          <w:p w14:paraId="3F51701B"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46993F" w14:textId="77777777" w:rsidR="00000000" w:rsidRDefault="009B6C69">
            <w:pPr>
              <w:spacing w:after="100"/>
              <w:rPr>
                <w:rFonts w:eastAsia="Times New Roman"/>
                <w:sz w:val="20"/>
                <w:szCs w:val="20"/>
              </w:rPr>
            </w:pPr>
          </w:p>
        </w:tc>
      </w:tr>
      <w:tr w:rsidR="00000000" w14:paraId="043379FE" w14:textId="77777777">
        <w:trPr>
          <w:divId w:val="1834224998"/>
        </w:trPr>
        <w:tc>
          <w:tcPr>
            <w:tcW w:w="0" w:type="auto"/>
            <w:gridSpan w:val="3"/>
            <w:shd w:val="clear" w:color="auto" w:fill="FFFFFF"/>
            <w:tcMar>
              <w:top w:w="30" w:type="dxa"/>
              <w:left w:w="20" w:type="dxa"/>
              <w:bottom w:w="30" w:type="dxa"/>
              <w:right w:w="20" w:type="dxa"/>
            </w:tcMar>
            <w:hideMark/>
          </w:tcPr>
          <w:p w14:paraId="7DC974F5" w14:textId="77777777" w:rsidR="00000000" w:rsidRDefault="009B6C69">
            <w:pPr>
              <w:spacing w:after="100"/>
              <w:jc w:val="center"/>
              <w:rPr>
                <w:rFonts w:eastAsia="Times New Roman"/>
              </w:rPr>
            </w:pPr>
            <w:r>
              <w:rPr>
                <w:rFonts w:eastAsia="Times New Roman"/>
                <w:color w:val="000000"/>
                <w:sz w:val="18"/>
                <w:szCs w:val="18"/>
              </w:rPr>
              <w:t>10.22</w:t>
            </w:r>
          </w:p>
        </w:tc>
        <w:tc>
          <w:tcPr>
            <w:tcW w:w="0" w:type="auto"/>
            <w:gridSpan w:val="3"/>
            <w:shd w:val="clear" w:color="auto" w:fill="FFFFFF"/>
            <w:tcMar>
              <w:top w:w="0" w:type="dxa"/>
              <w:left w:w="20" w:type="dxa"/>
              <w:bottom w:w="0" w:type="dxa"/>
              <w:right w:w="20" w:type="dxa"/>
            </w:tcMar>
            <w:vAlign w:val="center"/>
            <w:hideMark/>
          </w:tcPr>
          <w:p w14:paraId="3498E193"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812A6EE" w14:textId="77777777" w:rsidR="00000000" w:rsidRDefault="009B6C69">
            <w:pPr>
              <w:spacing w:after="100"/>
              <w:divId w:val="2106219595"/>
              <w:rPr>
                <w:rFonts w:eastAsia="Times New Roman"/>
              </w:rPr>
            </w:pPr>
            <w:hyperlink r:id="rId58" w:history="1">
              <w:r>
                <w:rPr>
                  <w:rStyle w:val="a3"/>
                  <w:rFonts w:eastAsia="Times New Roman"/>
                  <w:sz w:val="18"/>
                  <w:szCs w:val="18"/>
                </w:rPr>
                <w:t>Form of 2016 Long-Term Incentive Plan Non-Employee Director Deferred Stock Unit Grant Notice and Non-Employee Director Deferred Stock Unit Agreement (2018</w:t>
              </w:r>
              <w:r>
                <w:rPr>
                  <w:rStyle w:val="a3"/>
                  <w:rFonts w:eastAsia="Times New Roman"/>
                  <w:sz w:val="18"/>
                  <w:szCs w:val="18"/>
                </w:rPr>
                <w:t xml:space="preserve"> Form). (2) </w:t>
              </w:r>
            </w:hyperlink>
          </w:p>
        </w:tc>
        <w:tc>
          <w:tcPr>
            <w:tcW w:w="0" w:type="auto"/>
            <w:gridSpan w:val="3"/>
            <w:shd w:val="clear" w:color="auto" w:fill="FFFFFF"/>
            <w:tcMar>
              <w:top w:w="0" w:type="dxa"/>
              <w:left w:w="20" w:type="dxa"/>
              <w:bottom w:w="0" w:type="dxa"/>
              <w:right w:w="20" w:type="dxa"/>
            </w:tcMar>
            <w:vAlign w:val="center"/>
            <w:hideMark/>
          </w:tcPr>
          <w:p w14:paraId="2E9AF332"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9708CE0" w14:textId="77777777" w:rsidR="00000000" w:rsidRDefault="009B6C69">
            <w:pPr>
              <w:spacing w:after="100"/>
              <w:jc w:val="cente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14:paraId="3DD91A55"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CD4081E" w14:textId="77777777" w:rsidR="00000000" w:rsidRDefault="009B6C69">
            <w:pPr>
              <w:spacing w:after="100"/>
              <w:jc w:val="center"/>
              <w:rPr>
                <w:rFonts w:eastAsia="Times New Roman"/>
              </w:rPr>
            </w:pPr>
            <w:r>
              <w:rPr>
                <w:rFonts w:eastAsia="Times New Roman"/>
                <w:color w:val="000000"/>
                <w:sz w:val="18"/>
                <w:szCs w:val="18"/>
              </w:rPr>
              <w:t>4/25/2018</w:t>
            </w:r>
          </w:p>
        </w:tc>
        <w:tc>
          <w:tcPr>
            <w:tcW w:w="0" w:type="auto"/>
            <w:gridSpan w:val="3"/>
            <w:shd w:val="clear" w:color="auto" w:fill="FFFFFF"/>
            <w:tcMar>
              <w:top w:w="0" w:type="dxa"/>
              <w:left w:w="20" w:type="dxa"/>
              <w:bottom w:w="0" w:type="dxa"/>
              <w:right w:w="20" w:type="dxa"/>
            </w:tcMar>
            <w:vAlign w:val="center"/>
            <w:hideMark/>
          </w:tcPr>
          <w:p w14:paraId="7D484D8C"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9D3EE37" w14:textId="77777777" w:rsidR="00000000" w:rsidRDefault="009B6C69">
            <w:pPr>
              <w:spacing w:after="100"/>
              <w:jc w:val="center"/>
              <w:rPr>
                <w:rFonts w:eastAsia="Times New Roman"/>
              </w:rPr>
            </w:pPr>
            <w:r>
              <w:rPr>
                <w:rFonts w:eastAsia="Times New Roman"/>
                <w:color w:val="000000"/>
                <w:sz w:val="18"/>
                <w:szCs w:val="18"/>
              </w:rPr>
              <w:t>10.60</w:t>
            </w:r>
          </w:p>
        </w:tc>
        <w:tc>
          <w:tcPr>
            <w:tcW w:w="0" w:type="auto"/>
            <w:gridSpan w:val="3"/>
            <w:shd w:val="clear" w:color="auto" w:fill="FFFFFF"/>
            <w:tcMar>
              <w:top w:w="0" w:type="dxa"/>
              <w:left w:w="20" w:type="dxa"/>
              <w:bottom w:w="0" w:type="dxa"/>
              <w:right w:w="20" w:type="dxa"/>
            </w:tcMar>
            <w:vAlign w:val="center"/>
            <w:hideMark/>
          </w:tcPr>
          <w:p w14:paraId="3266A5A6" w14:textId="77777777" w:rsidR="00000000" w:rsidRDefault="009B6C69">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ED99D6" w14:textId="77777777" w:rsidR="00000000" w:rsidRDefault="009B6C69">
            <w:pPr>
              <w:spacing w:after="100"/>
              <w:rPr>
                <w:rFonts w:eastAsia="Times New Roman"/>
                <w:sz w:val="20"/>
                <w:szCs w:val="20"/>
              </w:rPr>
            </w:pPr>
          </w:p>
        </w:tc>
      </w:tr>
      <w:tr w:rsidR="00000000" w14:paraId="488C1EFB" w14:textId="77777777">
        <w:trPr>
          <w:divId w:val="1834224998"/>
        </w:trPr>
        <w:tc>
          <w:tcPr>
            <w:tcW w:w="0" w:type="auto"/>
            <w:gridSpan w:val="3"/>
            <w:shd w:val="clear" w:color="auto" w:fill="CCEEFF"/>
            <w:tcMar>
              <w:top w:w="30" w:type="dxa"/>
              <w:left w:w="20" w:type="dxa"/>
              <w:bottom w:w="30" w:type="dxa"/>
              <w:right w:w="20" w:type="dxa"/>
            </w:tcMar>
            <w:hideMark/>
          </w:tcPr>
          <w:p w14:paraId="45DBB12E" w14:textId="77777777" w:rsidR="00000000" w:rsidRDefault="009B6C69">
            <w:pPr>
              <w:spacing w:after="100"/>
              <w:jc w:val="center"/>
              <w:rPr>
                <w:rFonts w:eastAsia="Times New Roman"/>
              </w:rPr>
            </w:pPr>
            <w:r>
              <w:rPr>
                <w:rFonts w:eastAsia="Times New Roman"/>
                <w:color w:val="000000"/>
                <w:sz w:val="18"/>
                <w:szCs w:val="18"/>
              </w:rPr>
              <w:t>21</w:t>
            </w:r>
          </w:p>
        </w:tc>
        <w:tc>
          <w:tcPr>
            <w:tcW w:w="0" w:type="auto"/>
            <w:gridSpan w:val="3"/>
            <w:shd w:val="clear" w:color="auto" w:fill="CCEEFF"/>
            <w:tcMar>
              <w:top w:w="0" w:type="dxa"/>
              <w:left w:w="20" w:type="dxa"/>
              <w:bottom w:w="0" w:type="dxa"/>
              <w:right w:w="20" w:type="dxa"/>
            </w:tcMar>
            <w:vAlign w:val="center"/>
            <w:hideMark/>
          </w:tcPr>
          <w:p w14:paraId="18291C7D"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7C3694AA" w14:textId="77777777" w:rsidR="00000000" w:rsidRDefault="009B6C69">
            <w:pPr>
              <w:spacing w:after="100"/>
              <w:divId w:val="1058551822"/>
              <w:rPr>
                <w:rFonts w:eastAsia="Times New Roman"/>
              </w:rPr>
            </w:pPr>
            <w:hyperlink r:id="rId59" w:history="1">
              <w:r>
                <w:rPr>
                  <w:rStyle w:val="a3"/>
                  <w:rFonts w:eastAsia="Times New Roman"/>
                  <w:sz w:val="18"/>
                  <w:szCs w:val="18"/>
                </w:rPr>
                <w:t>Subsidiaries of the Company.</w:t>
              </w:r>
            </w:hyperlink>
          </w:p>
        </w:tc>
        <w:tc>
          <w:tcPr>
            <w:tcW w:w="0" w:type="auto"/>
            <w:gridSpan w:val="3"/>
            <w:shd w:val="clear" w:color="auto" w:fill="CCEEFF"/>
            <w:tcMar>
              <w:top w:w="0" w:type="dxa"/>
              <w:left w:w="20" w:type="dxa"/>
              <w:bottom w:w="0" w:type="dxa"/>
              <w:right w:w="20" w:type="dxa"/>
            </w:tcMar>
            <w:vAlign w:val="center"/>
            <w:hideMark/>
          </w:tcPr>
          <w:p w14:paraId="54F232DF" w14:textId="77777777" w:rsidR="00000000" w:rsidRDefault="009B6C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966B40"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9D7914"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3AAD49"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16AC1F"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D622F7"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082151" w14:textId="77777777" w:rsidR="00000000" w:rsidRDefault="009B6C69">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09F2F420" w14:textId="77777777" w:rsidR="00000000" w:rsidRDefault="009B6C69">
            <w:pPr>
              <w:spacing w:after="100"/>
              <w:jc w:val="center"/>
              <w:rPr>
                <w:rFonts w:eastAsia="Times New Roman"/>
              </w:rPr>
            </w:pPr>
            <w:r>
              <w:rPr>
                <w:rFonts w:eastAsia="Times New Roman"/>
                <w:color w:val="000000"/>
                <w:sz w:val="18"/>
                <w:szCs w:val="18"/>
              </w:rPr>
              <w:t>X</w:t>
            </w:r>
          </w:p>
        </w:tc>
      </w:tr>
      <w:tr w:rsidR="00000000" w14:paraId="1E294E39" w14:textId="77777777">
        <w:trPr>
          <w:divId w:val="1834224998"/>
        </w:trPr>
        <w:tc>
          <w:tcPr>
            <w:tcW w:w="0" w:type="auto"/>
            <w:gridSpan w:val="3"/>
            <w:shd w:val="clear" w:color="auto" w:fill="FFFFFF"/>
            <w:tcMar>
              <w:top w:w="30" w:type="dxa"/>
              <w:left w:w="20" w:type="dxa"/>
              <w:bottom w:w="30" w:type="dxa"/>
              <w:right w:w="20" w:type="dxa"/>
            </w:tcMar>
            <w:hideMark/>
          </w:tcPr>
          <w:p w14:paraId="428D553B" w14:textId="77777777" w:rsidR="00000000" w:rsidRDefault="009B6C69">
            <w:pPr>
              <w:spacing w:after="100"/>
              <w:jc w:val="center"/>
              <w:rPr>
                <w:rFonts w:eastAsia="Times New Roman"/>
              </w:rPr>
            </w:pPr>
            <w:r>
              <w:rPr>
                <w:rFonts w:eastAsia="Times New Roman"/>
                <w:color w:val="000000"/>
                <w:sz w:val="18"/>
                <w:szCs w:val="18"/>
              </w:rPr>
              <w:t>23.1</w:t>
            </w:r>
          </w:p>
        </w:tc>
        <w:tc>
          <w:tcPr>
            <w:tcW w:w="0" w:type="auto"/>
            <w:gridSpan w:val="3"/>
            <w:shd w:val="clear" w:color="auto" w:fill="FFFFFF"/>
            <w:tcMar>
              <w:top w:w="0" w:type="dxa"/>
              <w:left w:w="20" w:type="dxa"/>
              <w:bottom w:w="0" w:type="dxa"/>
              <w:right w:w="20" w:type="dxa"/>
            </w:tcMar>
            <w:vAlign w:val="center"/>
            <w:hideMark/>
          </w:tcPr>
          <w:p w14:paraId="430B8E4D"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D5EFFF5" w14:textId="77777777" w:rsidR="00000000" w:rsidRDefault="009B6C69">
            <w:pPr>
              <w:spacing w:after="100"/>
              <w:divId w:val="133497410"/>
              <w:rPr>
                <w:rFonts w:eastAsia="Times New Roman"/>
              </w:rPr>
            </w:pPr>
            <w:hyperlink r:id="rId60" w:history="1">
              <w:r>
                <w:rPr>
                  <w:rStyle w:val="a3"/>
                  <w:rFonts w:eastAsia="Times New Roman"/>
                  <w:sz w:val="18"/>
                  <w:szCs w:val="18"/>
                </w:rPr>
                <w:t>Consent of Independent Registered Public Accounting Firm.</w:t>
              </w:r>
            </w:hyperlink>
          </w:p>
        </w:tc>
        <w:tc>
          <w:tcPr>
            <w:tcW w:w="0" w:type="auto"/>
            <w:gridSpan w:val="3"/>
            <w:shd w:val="clear" w:color="auto" w:fill="FFFFFF"/>
            <w:tcMar>
              <w:top w:w="0" w:type="dxa"/>
              <w:left w:w="20" w:type="dxa"/>
              <w:bottom w:w="0" w:type="dxa"/>
              <w:right w:w="20" w:type="dxa"/>
            </w:tcMar>
            <w:vAlign w:val="center"/>
            <w:hideMark/>
          </w:tcPr>
          <w:p w14:paraId="308E27A2" w14:textId="77777777" w:rsidR="00000000" w:rsidRDefault="009B6C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932C38"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144D4B"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E5EDC5"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DF68E5"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C7FA39"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D73F2A" w14:textId="77777777" w:rsidR="00000000" w:rsidRDefault="009B6C69">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709EFBA8" w14:textId="77777777" w:rsidR="00000000" w:rsidRDefault="009B6C69">
            <w:pPr>
              <w:spacing w:after="100"/>
              <w:jc w:val="center"/>
              <w:rPr>
                <w:rFonts w:eastAsia="Times New Roman"/>
              </w:rPr>
            </w:pPr>
            <w:r>
              <w:rPr>
                <w:rFonts w:eastAsia="Times New Roman"/>
                <w:color w:val="000000"/>
                <w:sz w:val="18"/>
                <w:szCs w:val="18"/>
              </w:rPr>
              <w:t>X</w:t>
            </w:r>
          </w:p>
        </w:tc>
      </w:tr>
      <w:tr w:rsidR="00000000" w14:paraId="73FA1922" w14:textId="77777777">
        <w:trPr>
          <w:divId w:val="1834224998"/>
        </w:trPr>
        <w:tc>
          <w:tcPr>
            <w:tcW w:w="0" w:type="auto"/>
            <w:gridSpan w:val="3"/>
            <w:shd w:val="clear" w:color="auto" w:fill="CCEEFF"/>
            <w:tcMar>
              <w:top w:w="30" w:type="dxa"/>
              <w:left w:w="20" w:type="dxa"/>
              <w:bottom w:w="30" w:type="dxa"/>
              <w:right w:w="20" w:type="dxa"/>
            </w:tcMar>
            <w:hideMark/>
          </w:tcPr>
          <w:p w14:paraId="31AAB3A7" w14:textId="77777777" w:rsidR="00000000" w:rsidRDefault="009B6C69">
            <w:pPr>
              <w:spacing w:after="100"/>
              <w:jc w:val="center"/>
              <w:rPr>
                <w:rFonts w:eastAsia="Times New Roman"/>
              </w:rPr>
            </w:pPr>
            <w:r>
              <w:rPr>
                <w:rFonts w:eastAsia="Times New Roman"/>
                <w:color w:val="000000"/>
                <w:sz w:val="18"/>
                <w:szCs w:val="18"/>
              </w:rPr>
              <w:t>31.1</w:t>
            </w:r>
          </w:p>
        </w:tc>
        <w:tc>
          <w:tcPr>
            <w:tcW w:w="0" w:type="auto"/>
            <w:gridSpan w:val="3"/>
            <w:shd w:val="clear" w:color="auto" w:fill="CCEEFF"/>
            <w:tcMar>
              <w:top w:w="30" w:type="dxa"/>
              <w:left w:w="20" w:type="dxa"/>
              <w:bottom w:w="30" w:type="dxa"/>
              <w:right w:w="20" w:type="dxa"/>
            </w:tcMar>
            <w:hideMark/>
          </w:tcPr>
          <w:p w14:paraId="7CBAEA6D"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14:paraId="29C052DB" w14:textId="77777777" w:rsidR="00000000" w:rsidRDefault="009B6C69">
            <w:pPr>
              <w:spacing w:after="100"/>
              <w:divId w:val="476725845"/>
              <w:rPr>
                <w:rFonts w:eastAsia="Times New Roman"/>
              </w:rPr>
            </w:pPr>
            <w:hyperlink r:id="rId61" w:history="1">
              <w:r>
                <w:rPr>
                  <w:rStyle w:val="a3"/>
                  <w:rFonts w:eastAsia="Times New Roman"/>
                  <w:sz w:val="18"/>
                  <w:szCs w:val="18"/>
                </w:rPr>
                <w:t>Certification pursuant to Section </w:t>
              </w:r>
              <w:r>
                <w:rPr>
                  <w:rStyle w:val="a3"/>
                  <w:rFonts w:eastAsia="Times New Roman"/>
                  <w:sz w:val="18"/>
                  <w:szCs w:val="18"/>
                </w:rPr>
                <w:t>302 of the Sarbanes-Oxley Act of 2002 for Cristiano R. Amon.</w:t>
              </w:r>
            </w:hyperlink>
          </w:p>
        </w:tc>
        <w:tc>
          <w:tcPr>
            <w:tcW w:w="0" w:type="auto"/>
            <w:gridSpan w:val="3"/>
            <w:shd w:val="clear" w:color="auto" w:fill="CCEEFF"/>
            <w:tcMar>
              <w:top w:w="0" w:type="dxa"/>
              <w:left w:w="20" w:type="dxa"/>
              <w:bottom w:w="0" w:type="dxa"/>
              <w:right w:w="20" w:type="dxa"/>
            </w:tcMar>
            <w:vAlign w:val="center"/>
            <w:hideMark/>
          </w:tcPr>
          <w:p w14:paraId="52376DC1" w14:textId="77777777" w:rsidR="00000000" w:rsidRDefault="009B6C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7A68EB"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17D71C"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A441E8"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81617B"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85A3CC"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E9831A" w14:textId="77777777" w:rsidR="00000000" w:rsidRDefault="009B6C69">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4B576CEA" w14:textId="77777777" w:rsidR="00000000" w:rsidRDefault="009B6C69">
            <w:pPr>
              <w:spacing w:after="100"/>
              <w:jc w:val="center"/>
              <w:rPr>
                <w:rFonts w:eastAsia="Times New Roman"/>
              </w:rPr>
            </w:pPr>
            <w:r>
              <w:rPr>
                <w:rFonts w:eastAsia="Times New Roman"/>
                <w:color w:val="000000"/>
                <w:sz w:val="18"/>
                <w:szCs w:val="18"/>
              </w:rPr>
              <w:t>X</w:t>
            </w:r>
          </w:p>
        </w:tc>
      </w:tr>
      <w:tr w:rsidR="00000000" w14:paraId="3C7685DF" w14:textId="77777777">
        <w:trPr>
          <w:divId w:val="1834224998"/>
        </w:trPr>
        <w:tc>
          <w:tcPr>
            <w:tcW w:w="0" w:type="auto"/>
            <w:gridSpan w:val="3"/>
            <w:shd w:val="clear" w:color="auto" w:fill="FFFFFF"/>
            <w:tcMar>
              <w:top w:w="30" w:type="dxa"/>
              <w:left w:w="20" w:type="dxa"/>
              <w:bottom w:w="30" w:type="dxa"/>
              <w:right w:w="20" w:type="dxa"/>
            </w:tcMar>
            <w:hideMark/>
          </w:tcPr>
          <w:p w14:paraId="5CA31C2B" w14:textId="77777777" w:rsidR="00000000" w:rsidRDefault="009B6C69">
            <w:pPr>
              <w:spacing w:after="100"/>
              <w:jc w:val="center"/>
              <w:rPr>
                <w:rFonts w:eastAsia="Times New Roman"/>
              </w:rPr>
            </w:pPr>
            <w:r>
              <w:rPr>
                <w:rFonts w:eastAsia="Times New Roman"/>
                <w:color w:val="000000"/>
                <w:sz w:val="18"/>
                <w:szCs w:val="18"/>
              </w:rPr>
              <w:t>31.2</w:t>
            </w:r>
          </w:p>
        </w:tc>
        <w:tc>
          <w:tcPr>
            <w:tcW w:w="0" w:type="auto"/>
            <w:gridSpan w:val="3"/>
            <w:shd w:val="clear" w:color="auto" w:fill="FFFFFF"/>
            <w:tcMar>
              <w:top w:w="30" w:type="dxa"/>
              <w:left w:w="20" w:type="dxa"/>
              <w:bottom w:w="30" w:type="dxa"/>
              <w:right w:w="20" w:type="dxa"/>
            </w:tcMar>
            <w:hideMark/>
          </w:tcPr>
          <w:p w14:paraId="787C9055"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hideMark/>
          </w:tcPr>
          <w:p w14:paraId="5DBA109A" w14:textId="77777777" w:rsidR="00000000" w:rsidRDefault="009B6C69">
            <w:pPr>
              <w:spacing w:after="100"/>
              <w:divId w:val="1158303239"/>
              <w:rPr>
                <w:rFonts w:eastAsia="Times New Roman"/>
              </w:rPr>
            </w:pPr>
            <w:hyperlink r:id="rId62" w:history="1">
              <w:r>
                <w:rPr>
                  <w:rStyle w:val="a3"/>
                  <w:rFonts w:eastAsia="Times New Roman"/>
                  <w:sz w:val="18"/>
                  <w:szCs w:val="18"/>
                </w:rPr>
                <w:t>Certification pursuant to Section </w:t>
              </w:r>
              <w:r>
                <w:rPr>
                  <w:rStyle w:val="a3"/>
                  <w:rFonts w:eastAsia="Times New Roman"/>
                  <w:sz w:val="18"/>
                  <w:szCs w:val="18"/>
                </w:rPr>
                <w:t>302 of the Sarbanes-Oxley Act of 2002 for Akash Palkhiwala.</w:t>
              </w:r>
            </w:hyperlink>
          </w:p>
        </w:tc>
        <w:tc>
          <w:tcPr>
            <w:tcW w:w="0" w:type="auto"/>
            <w:gridSpan w:val="3"/>
            <w:shd w:val="clear" w:color="auto" w:fill="FFFFFF"/>
            <w:tcMar>
              <w:top w:w="0" w:type="dxa"/>
              <w:left w:w="20" w:type="dxa"/>
              <w:bottom w:w="0" w:type="dxa"/>
              <w:right w:w="20" w:type="dxa"/>
            </w:tcMar>
            <w:vAlign w:val="center"/>
            <w:hideMark/>
          </w:tcPr>
          <w:p w14:paraId="461BCA5F" w14:textId="77777777" w:rsidR="00000000" w:rsidRDefault="009B6C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2F83F7"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E67252"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BC9A97"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8374C9"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242C5F"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C6FAD3" w14:textId="77777777" w:rsidR="00000000" w:rsidRDefault="009B6C69">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019140FB" w14:textId="77777777" w:rsidR="00000000" w:rsidRDefault="009B6C69">
            <w:pPr>
              <w:spacing w:after="100"/>
              <w:jc w:val="center"/>
              <w:rPr>
                <w:rFonts w:eastAsia="Times New Roman"/>
              </w:rPr>
            </w:pPr>
            <w:r>
              <w:rPr>
                <w:rFonts w:eastAsia="Times New Roman"/>
                <w:color w:val="000000"/>
                <w:sz w:val="18"/>
                <w:szCs w:val="18"/>
              </w:rPr>
              <w:t>X</w:t>
            </w:r>
          </w:p>
        </w:tc>
      </w:tr>
      <w:tr w:rsidR="00000000" w14:paraId="72C4CA33" w14:textId="77777777">
        <w:trPr>
          <w:divId w:val="1834224998"/>
        </w:trPr>
        <w:tc>
          <w:tcPr>
            <w:tcW w:w="0" w:type="auto"/>
            <w:gridSpan w:val="3"/>
            <w:shd w:val="clear" w:color="auto" w:fill="CCEEFF"/>
            <w:tcMar>
              <w:top w:w="30" w:type="dxa"/>
              <w:left w:w="20" w:type="dxa"/>
              <w:bottom w:w="30" w:type="dxa"/>
              <w:right w:w="20" w:type="dxa"/>
            </w:tcMar>
            <w:hideMark/>
          </w:tcPr>
          <w:p w14:paraId="29FA87B1" w14:textId="77777777" w:rsidR="00000000" w:rsidRDefault="009B6C69">
            <w:pPr>
              <w:spacing w:after="100"/>
              <w:jc w:val="center"/>
              <w:rPr>
                <w:rFonts w:eastAsia="Times New Roman"/>
              </w:rPr>
            </w:pPr>
            <w:r>
              <w:rPr>
                <w:rFonts w:eastAsia="Times New Roman"/>
                <w:color w:val="000000"/>
                <w:sz w:val="18"/>
                <w:szCs w:val="18"/>
              </w:rPr>
              <w:t>32.1</w:t>
            </w:r>
          </w:p>
        </w:tc>
        <w:tc>
          <w:tcPr>
            <w:tcW w:w="0" w:type="auto"/>
            <w:gridSpan w:val="3"/>
            <w:shd w:val="clear" w:color="auto" w:fill="CCEEFF"/>
            <w:tcMar>
              <w:top w:w="30" w:type="dxa"/>
              <w:left w:w="20" w:type="dxa"/>
              <w:bottom w:w="30" w:type="dxa"/>
              <w:right w:w="20" w:type="dxa"/>
            </w:tcMar>
            <w:hideMark/>
          </w:tcPr>
          <w:p w14:paraId="0B3461C7"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14:paraId="7397C5EA" w14:textId="77777777" w:rsidR="00000000" w:rsidRDefault="009B6C69">
            <w:pPr>
              <w:spacing w:after="100"/>
              <w:divId w:val="266738734"/>
              <w:rPr>
                <w:rFonts w:eastAsia="Times New Roman"/>
              </w:rPr>
            </w:pPr>
            <w:hyperlink r:id="rId63" w:history="1">
              <w:r>
                <w:rPr>
                  <w:rStyle w:val="a3"/>
                  <w:rFonts w:eastAsia="Times New Roman"/>
                  <w:sz w:val="18"/>
                  <w:szCs w:val="18"/>
                </w:rPr>
                <w:t>Certification pursuant to 18 U.S.C. Section 1350, as adopted pursuant to Section </w:t>
              </w:r>
              <w:r>
                <w:rPr>
                  <w:rStyle w:val="a3"/>
                  <w:rFonts w:eastAsia="Times New Roman"/>
                  <w:sz w:val="18"/>
                  <w:szCs w:val="18"/>
                </w:rPr>
                <w:t>906 of the Sarbanes-Oxley Act of 2002, for Cristiano R. Amon.</w:t>
              </w:r>
            </w:hyperlink>
          </w:p>
        </w:tc>
        <w:tc>
          <w:tcPr>
            <w:tcW w:w="0" w:type="auto"/>
            <w:gridSpan w:val="3"/>
            <w:shd w:val="clear" w:color="auto" w:fill="CCEEFF"/>
            <w:tcMar>
              <w:top w:w="0" w:type="dxa"/>
              <w:left w:w="20" w:type="dxa"/>
              <w:bottom w:w="0" w:type="dxa"/>
              <w:right w:w="20" w:type="dxa"/>
            </w:tcMar>
            <w:vAlign w:val="center"/>
            <w:hideMark/>
          </w:tcPr>
          <w:p w14:paraId="20908BCF" w14:textId="77777777" w:rsidR="00000000" w:rsidRDefault="009B6C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5049F5"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3219F6"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1AEA07"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90EB88"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A883D8"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D6BB3A" w14:textId="77777777" w:rsidR="00000000" w:rsidRDefault="009B6C69">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40D97E08" w14:textId="77777777" w:rsidR="00000000" w:rsidRDefault="009B6C69">
            <w:pPr>
              <w:spacing w:after="100"/>
              <w:jc w:val="center"/>
              <w:rPr>
                <w:rFonts w:eastAsia="Times New Roman"/>
              </w:rPr>
            </w:pPr>
            <w:r>
              <w:rPr>
                <w:rFonts w:eastAsia="Times New Roman"/>
                <w:color w:val="000000"/>
                <w:sz w:val="18"/>
                <w:szCs w:val="18"/>
              </w:rPr>
              <w:t>X</w:t>
            </w:r>
          </w:p>
        </w:tc>
      </w:tr>
      <w:tr w:rsidR="00000000" w14:paraId="58ECFEE4" w14:textId="77777777">
        <w:trPr>
          <w:divId w:val="1834224998"/>
        </w:trPr>
        <w:tc>
          <w:tcPr>
            <w:tcW w:w="0" w:type="auto"/>
            <w:gridSpan w:val="3"/>
            <w:shd w:val="clear" w:color="auto" w:fill="FFFFFF"/>
            <w:tcMar>
              <w:top w:w="30" w:type="dxa"/>
              <w:left w:w="20" w:type="dxa"/>
              <w:bottom w:w="30" w:type="dxa"/>
              <w:right w:w="20" w:type="dxa"/>
            </w:tcMar>
            <w:hideMark/>
          </w:tcPr>
          <w:p w14:paraId="028E09CE" w14:textId="77777777" w:rsidR="00000000" w:rsidRDefault="009B6C69">
            <w:pPr>
              <w:spacing w:after="100"/>
              <w:jc w:val="center"/>
              <w:rPr>
                <w:rFonts w:eastAsia="Times New Roman"/>
              </w:rPr>
            </w:pPr>
            <w:r>
              <w:rPr>
                <w:rFonts w:eastAsia="Times New Roman"/>
                <w:color w:val="000000"/>
                <w:sz w:val="18"/>
                <w:szCs w:val="18"/>
              </w:rPr>
              <w:t>32.2</w:t>
            </w:r>
          </w:p>
        </w:tc>
        <w:tc>
          <w:tcPr>
            <w:tcW w:w="0" w:type="auto"/>
            <w:gridSpan w:val="3"/>
            <w:shd w:val="clear" w:color="auto" w:fill="FFFFFF"/>
            <w:tcMar>
              <w:top w:w="30" w:type="dxa"/>
              <w:left w:w="20" w:type="dxa"/>
              <w:bottom w:w="30" w:type="dxa"/>
              <w:right w:w="20" w:type="dxa"/>
            </w:tcMar>
            <w:hideMark/>
          </w:tcPr>
          <w:p w14:paraId="1E1AE04E"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hideMark/>
          </w:tcPr>
          <w:p w14:paraId="081BDA39" w14:textId="77777777" w:rsidR="00000000" w:rsidRDefault="009B6C69">
            <w:pPr>
              <w:spacing w:after="100"/>
              <w:divId w:val="707294420"/>
              <w:rPr>
                <w:rFonts w:eastAsia="Times New Roman"/>
              </w:rPr>
            </w:pPr>
            <w:hyperlink r:id="rId64" w:history="1">
              <w:r>
                <w:rPr>
                  <w:rStyle w:val="a3"/>
                  <w:rFonts w:eastAsia="Times New Roman"/>
                  <w:sz w:val="18"/>
                  <w:szCs w:val="18"/>
                </w:rPr>
                <w:t>Certification pursuant to 18 U.S.C. Section 1350, as adopted pursuant to Section </w:t>
              </w:r>
              <w:r>
                <w:rPr>
                  <w:rStyle w:val="a3"/>
                  <w:rFonts w:eastAsia="Times New Roman"/>
                  <w:sz w:val="18"/>
                  <w:szCs w:val="18"/>
                </w:rPr>
                <w:t>906 of the Sarbanes-Oxley Act of 2002, for Akash Palkhiwala.</w:t>
              </w:r>
            </w:hyperlink>
          </w:p>
        </w:tc>
        <w:tc>
          <w:tcPr>
            <w:tcW w:w="0" w:type="auto"/>
            <w:gridSpan w:val="3"/>
            <w:shd w:val="clear" w:color="auto" w:fill="FFFFFF"/>
            <w:tcMar>
              <w:top w:w="0" w:type="dxa"/>
              <w:left w:w="20" w:type="dxa"/>
              <w:bottom w:w="0" w:type="dxa"/>
              <w:right w:w="20" w:type="dxa"/>
            </w:tcMar>
            <w:vAlign w:val="center"/>
            <w:hideMark/>
          </w:tcPr>
          <w:p w14:paraId="2F8F6492" w14:textId="77777777" w:rsidR="00000000" w:rsidRDefault="009B6C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1200CB"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B537B9"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279516"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8F67F3"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93B1F7"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1F1EA9" w14:textId="77777777" w:rsidR="00000000" w:rsidRDefault="009B6C69">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21E7E947" w14:textId="77777777" w:rsidR="00000000" w:rsidRDefault="009B6C69">
            <w:pPr>
              <w:spacing w:after="100"/>
              <w:jc w:val="center"/>
              <w:rPr>
                <w:rFonts w:eastAsia="Times New Roman"/>
              </w:rPr>
            </w:pPr>
            <w:r>
              <w:rPr>
                <w:rFonts w:eastAsia="Times New Roman"/>
                <w:color w:val="000000"/>
                <w:sz w:val="18"/>
                <w:szCs w:val="18"/>
              </w:rPr>
              <w:t>X</w:t>
            </w:r>
          </w:p>
        </w:tc>
      </w:tr>
      <w:tr w:rsidR="00000000" w14:paraId="41324918" w14:textId="77777777">
        <w:trPr>
          <w:divId w:val="1834224998"/>
        </w:trPr>
        <w:tc>
          <w:tcPr>
            <w:tcW w:w="0" w:type="auto"/>
            <w:gridSpan w:val="3"/>
            <w:shd w:val="clear" w:color="auto" w:fill="CCEEFF"/>
            <w:tcMar>
              <w:top w:w="30" w:type="dxa"/>
              <w:left w:w="20" w:type="dxa"/>
              <w:bottom w:w="30" w:type="dxa"/>
              <w:right w:w="20" w:type="dxa"/>
            </w:tcMar>
            <w:hideMark/>
          </w:tcPr>
          <w:p w14:paraId="16FB5BB7" w14:textId="77777777" w:rsidR="00000000" w:rsidRDefault="009B6C69">
            <w:pPr>
              <w:spacing w:after="100"/>
              <w:jc w:val="center"/>
              <w:rPr>
                <w:rFonts w:eastAsia="Times New Roman"/>
              </w:rPr>
            </w:pPr>
            <w:r>
              <w:rPr>
                <w:rFonts w:eastAsia="Times New Roman"/>
                <w:color w:val="000000"/>
                <w:sz w:val="18"/>
                <w:szCs w:val="18"/>
              </w:rPr>
              <w:t>101.INS</w:t>
            </w:r>
          </w:p>
        </w:tc>
        <w:tc>
          <w:tcPr>
            <w:tcW w:w="0" w:type="auto"/>
            <w:gridSpan w:val="3"/>
            <w:shd w:val="clear" w:color="auto" w:fill="CCEEFF"/>
            <w:tcMar>
              <w:top w:w="30" w:type="dxa"/>
              <w:left w:w="20" w:type="dxa"/>
              <w:bottom w:w="30" w:type="dxa"/>
              <w:right w:w="20" w:type="dxa"/>
            </w:tcMar>
            <w:hideMark/>
          </w:tcPr>
          <w:p w14:paraId="43FA4669"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14:paraId="736BF632" w14:textId="77777777" w:rsidR="00000000" w:rsidRDefault="009B6C69">
            <w:pPr>
              <w:spacing w:after="100"/>
              <w:divId w:val="59257177"/>
              <w:rPr>
                <w:rFonts w:eastAsia="Times New Roman"/>
              </w:rPr>
            </w:pPr>
            <w:r>
              <w:rPr>
                <w:rFonts w:eastAsia="Times New Roman"/>
                <w:color w:val="000000"/>
                <w:sz w:val="20"/>
                <w:szCs w:val="20"/>
              </w:rPr>
              <w:t xml:space="preserve">Inline </w:t>
            </w:r>
            <w:r>
              <w:rPr>
                <w:rFonts w:eastAsia="Times New Roman"/>
                <w:color w:val="000000"/>
                <w:sz w:val="18"/>
                <w:szCs w:val="18"/>
              </w:rPr>
              <w:t>XBRL Instance Document.</w:t>
            </w:r>
          </w:p>
        </w:tc>
        <w:tc>
          <w:tcPr>
            <w:tcW w:w="0" w:type="auto"/>
            <w:gridSpan w:val="3"/>
            <w:shd w:val="clear" w:color="auto" w:fill="CCEEFF"/>
            <w:tcMar>
              <w:top w:w="0" w:type="dxa"/>
              <w:left w:w="20" w:type="dxa"/>
              <w:bottom w:w="0" w:type="dxa"/>
              <w:right w:w="20" w:type="dxa"/>
            </w:tcMar>
            <w:vAlign w:val="center"/>
            <w:hideMark/>
          </w:tcPr>
          <w:p w14:paraId="0FD0C405" w14:textId="77777777" w:rsidR="00000000" w:rsidRDefault="009B6C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FC9E00"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4649F5"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8FFB52"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A93EEC"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DFBE2D"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8F810B" w14:textId="77777777" w:rsidR="00000000" w:rsidRDefault="009B6C69">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02563B6C" w14:textId="77777777" w:rsidR="00000000" w:rsidRDefault="009B6C69">
            <w:pPr>
              <w:spacing w:after="100"/>
              <w:jc w:val="center"/>
              <w:rPr>
                <w:rFonts w:eastAsia="Times New Roman"/>
              </w:rPr>
            </w:pPr>
            <w:r>
              <w:rPr>
                <w:rFonts w:eastAsia="Times New Roman"/>
                <w:color w:val="000000"/>
                <w:sz w:val="18"/>
                <w:szCs w:val="18"/>
              </w:rPr>
              <w:t>X</w:t>
            </w:r>
          </w:p>
        </w:tc>
      </w:tr>
      <w:tr w:rsidR="00000000" w14:paraId="22C100B8" w14:textId="77777777">
        <w:trPr>
          <w:divId w:val="1834224998"/>
        </w:trPr>
        <w:tc>
          <w:tcPr>
            <w:tcW w:w="0" w:type="auto"/>
            <w:gridSpan w:val="3"/>
            <w:shd w:val="clear" w:color="auto" w:fill="FFFFFF"/>
            <w:tcMar>
              <w:top w:w="30" w:type="dxa"/>
              <w:left w:w="20" w:type="dxa"/>
              <w:bottom w:w="30" w:type="dxa"/>
              <w:right w:w="20" w:type="dxa"/>
            </w:tcMar>
            <w:hideMark/>
          </w:tcPr>
          <w:p w14:paraId="412AF3AA" w14:textId="77777777" w:rsidR="00000000" w:rsidRDefault="009B6C69">
            <w:pPr>
              <w:spacing w:after="100"/>
              <w:jc w:val="center"/>
              <w:rPr>
                <w:rFonts w:eastAsia="Times New Roman"/>
              </w:rPr>
            </w:pPr>
            <w:r>
              <w:rPr>
                <w:rFonts w:eastAsia="Times New Roman"/>
                <w:color w:val="000000"/>
                <w:sz w:val="18"/>
                <w:szCs w:val="18"/>
              </w:rPr>
              <w:t>101.SCH</w:t>
            </w:r>
          </w:p>
        </w:tc>
        <w:tc>
          <w:tcPr>
            <w:tcW w:w="0" w:type="auto"/>
            <w:gridSpan w:val="3"/>
            <w:shd w:val="clear" w:color="auto" w:fill="FFFFFF"/>
            <w:tcMar>
              <w:top w:w="30" w:type="dxa"/>
              <w:left w:w="20" w:type="dxa"/>
              <w:bottom w:w="30" w:type="dxa"/>
              <w:right w:w="20" w:type="dxa"/>
            </w:tcMar>
            <w:hideMark/>
          </w:tcPr>
          <w:p w14:paraId="27D2985A"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hideMark/>
          </w:tcPr>
          <w:p w14:paraId="552B7522" w14:textId="77777777" w:rsidR="00000000" w:rsidRDefault="009B6C69">
            <w:pPr>
              <w:spacing w:after="100"/>
              <w:divId w:val="792020192"/>
              <w:rPr>
                <w:rFonts w:eastAsia="Times New Roman"/>
              </w:rPr>
            </w:pPr>
            <w:r>
              <w:rPr>
                <w:rFonts w:eastAsia="Times New Roman"/>
                <w:color w:val="000000"/>
                <w:sz w:val="20"/>
                <w:szCs w:val="20"/>
              </w:rPr>
              <w:t xml:space="preserve">Inline </w:t>
            </w:r>
            <w:r>
              <w:rPr>
                <w:rFonts w:eastAsia="Times New Roman"/>
                <w:color w:val="000000"/>
                <w:sz w:val="18"/>
                <w:szCs w:val="18"/>
              </w:rPr>
              <w:t>XBRL Taxonomy Extension Schema.</w:t>
            </w:r>
          </w:p>
        </w:tc>
        <w:tc>
          <w:tcPr>
            <w:tcW w:w="0" w:type="auto"/>
            <w:gridSpan w:val="3"/>
            <w:shd w:val="clear" w:color="auto" w:fill="FFFFFF"/>
            <w:tcMar>
              <w:top w:w="0" w:type="dxa"/>
              <w:left w:w="20" w:type="dxa"/>
              <w:bottom w:w="0" w:type="dxa"/>
              <w:right w:w="20" w:type="dxa"/>
            </w:tcMar>
            <w:vAlign w:val="center"/>
            <w:hideMark/>
          </w:tcPr>
          <w:p w14:paraId="7F397B48" w14:textId="77777777" w:rsidR="00000000" w:rsidRDefault="009B6C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3B6281"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3ED7B1"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E55932"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9BC055"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2E6FAC"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7ED774" w14:textId="77777777" w:rsidR="00000000" w:rsidRDefault="009B6C69">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311C38EF" w14:textId="77777777" w:rsidR="00000000" w:rsidRDefault="009B6C69">
            <w:pPr>
              <w:spacing w:after="100"/>
              <w:jc w:val="center"/>
              <w:rPr>
                <w:rFonts w:eastAsia="Times New Roman"/>
              </w:rPr>
            </w:pPr>
            <w:r>
              <w:rPr>
                <w:rFonts w:eastAsia="Times New Roman"/>
                <w:color w:val="000000"/>
                <w:sz w:val="18"/>
                <w:szCs w:val="18"/>
              </w:rPr>
              <w:t>X</w:t>
            </w:r>
          </w:p>
        </w:tc>
      </w:tr>
      <w:tr w:rsidR="00000000" w14:paraId="67E4AED2" w14:textId="77777777">
        <w:trPr>
          <w:divId w:val="1834224998"/>
        </w:trPr>
        <w:tc>
          <w:tcPr>
            <w:tcW w:w="0" w:type="auto"/>
            <w:gridSpan w:val="3"/>
            <w:shd w:val="clear" w:color="auto" w:fill="CCEEFF"/>
            <w:tcMar>
              <w:top w:w="30" w:type="dxa"/>
              <w:left w:w="20" w:type="dxa"/>
              <w:bottom w:w="30" w:type="dxa"/>
              <w:right w:w="20" w:type="dxa"/>
            </w:tcMar>
            <w:hideMark/>
          </w:tcPr>
          <w:p w14:paraId="614548CA" w14:textId="77777777" w:rsidR="00000000" w:rsidRDefault="009B6C69">
            <w:pPr>
              <w:spacing w:after="100"/>
              <w:jc w:val="center"/>
              <w:rPr>
                <w:rFonts w:eastAsia="Times New Roman"/>
              </w:rPr>
            </w:pPr>
            <w:r>
              <w:rPr>
                <w:rFonts w:eastAsia="Times New Roman"/>
                <w:color w:val="000000"/>
                <w:sz w:val="18"/>
                <w:szCs w:val="18"/>
              </w:rPr>
              <w:t>101.CAL</w:t>
            </w:r>
          </w:p>
        </w:tc>
        <w:tc>
          <w:tcPr>
            <w:tcW w:w="0" w:type="auto"/>
            <w:gridSpan w:val="3"/>
            <w:shd w:val="clear" w:color="auto" w:fill="CCEEFF"/>
            <w:tcMar>
              <w:top w:w="30" w:type="dxa"/>
              <w:left w:w="20" w:type="dxa"/>
              <w:bottom w:w="30" w:type="dxa"/>
              <w:right w:w="20" w:type="dxa"/>
            </w:tcMar>
            <w:hideMark/>
          </w:tcPr>
          <w:p w14:paraId="3A066532"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14:paraId="2264F3A7" w14:textId="77777777" w:rsidR="00000000" w:rsidRDefault="009B6C69">
            <w:pPr>
              <w:spacing w:after="100"/>
              <w:divId w:val="1643004584"/>
              <w:rPr>
                <w:rFonts w:eastAsia="Times New Roman"/>
              </w:rPr>
            </w:pPr>
            <w:r>
              <w:rPr>
                <w:rFonts w:eastAsia="Times New Roman"/>
                <w:color w:val="000000"/>
                <w:sz w:val="20"/>
                <w:szCs w:val="20"/>
              </w:rPr>
              <w:t xml:space="preserve">Inline </w:t>
            </w:r>
            <w:r>
              <w:rPr>
                <w:rFonts w:eastAsia="Times New Roman"/>
                <w:color w:val="000000"/>
                <w:sz w:val="18"/>
                <w:szCs w:val="18"/>
              </w:rPr>
              <w:t>XBRL Taxonomy Extension Calculation Linkbase.</w:t>
            </w:r>
          </w:p>
        </w:tc>
        <w:tc>
          <w:tcPr>
            <w:tcW w:w="0" w:type="auto"/>
            <w:gridSpan w:val="3"/>
            <w:shd w:val="clear" w:color="auto" w:fill="CCEEFF"/>
            <w:tcMar>
              <w:top w:w="0" w:type="dxa"/>
              <w:left w:w="20" w:type="dxa"/>
              <w:bottom w:w="0" w:type="dxa"/>
              <w:right w:w="20" w:type="dxa"/>
            </w:tcMar>
            <w:vAlign w:val="center"/>
            <w:hideMark/>
          </w:tcPr>
          <w:p w14:paraId="15E401E5" w14:textId="77777777" w:rsidR="00000000" w:rsidRDefault="009B6C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2978D1"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0CE6D5"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004B5A"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578A99"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6CCD53"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0DB667" w14:textId="77777777" w:rsidR="00000000" w:rsidRDefault="009B6C69">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701B71AB" w14:textId="77777777" w:rsidR="00000000" w:rsidRDefault="009B6C69">
            <w:pPr>
              <w:spacing w:after="100"/>
              <w:jc w:val="center"/>
              <w:rPr>
                <w:rFonts w:eastAsia="Times New Roman"/>
              </w:rPr>
            </w:pPr>
            <w:r>
              <w:rPr>
                <w:rFonts w:eastAsia="Times New Roman"/>
                <w:color w:val="000000"/>
                <w:sz w:val="18"/>
                <w:szCs w:val="18"/>
              </w:rPr>
              <w:t>X</w:t>
            </w:r>
          </w:p>
        </w:tc>
      </w:tr>
      <w:tr w:rsidR="00000000" w14:paraId="3BCA8B44" w14:textId="77777777">
        <w:trPr>
          <w:divId w:val="1834224998"/>
        </w:trPr>
        <w:tc>
          <w:tcPr>
            <w:tcW w:w="0" w:type="auto"/>
            <w:gridSpan w:val="3"/>
            <w:shd w:val="clear" w:color="auto" w:fill="FFFFFF"/>
            <w:tcMar>
              <w:top w:w="30" w:type="dxa"/>
              <w:left w:w="20" w:type="dxa"/>
              <w:bottom w:w="30" w:type="dxa"/>
              <w:right w:w="20" w:type="dxa"/>
            </w:tcMar>
            <w:hideMark/>
          </w:tcPr>
          <w:p w14:paraId="4B139850" w14:textId="77777777" w:rsidR="00000000" w:rsidRDefault="009B6C69">
            <w:pPr>
              <w:spacing w:after="100"/>
              <w:jc w:val="center"/>
              <w:rPr>
                <w:rFonts w:eastAsia="Times New Roman"/>
              </w:rPr>
            </w:pPr>
            <w:r>
              <w:rPr>
                <w:rFonts w:eastAsia="Times New Roman"/>
                <w:color w:val="000000"/>
                <w:sz w:val="18"/>
                <w:szCs w:val="18"/>
              </w:rPr>
              <w:t>101.LAB</w:t>
            </w:r>
          </w:p>
        </w:tc>
        <w:tc>
          <w:tcPr>
            <w:tcW w:w="0" w:type="auto"/>
            <w:gridSpan w:val="3"/>
            <w:shd w:val="clear" w:color="auto" w:fill="FFFFFF"/>
            <w:tcMar>
              <w:top w:w="30" w:type="dxa"/>
              <w:left w:w="20" w:type="dxa"/>
              <w:bottom w:w="30" w:type="dxa"/>
              <w:right w:w="20" w:type="dxa"/>
            </w:tcMar>
            <w:hideMark/>
          </w:tcPr>
          <w:p w14:paraId="49C70FBA"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hideMark/>
          </w:tcPr>
          <w:p w14:paraId="74B3242A" w14:textId="77777777" w:rsidR="00000000" w:rsidRDefault="009B6C69">
            <w:pPr>
              <w:spacing w:after="100"/>
              <w:divId w:val="847215857"/>
              <w:rPr>
                <w:rFonts w:eastAsia="Times New Roman"/>
              </w:rPr>
            </w:pPr>
            <w:r>
              <w:rPr>
                <w:rFonts w:eastAsia="Times New Roman"/>
                <w:color w:val="000000"/>
                <w:sz w:val="20"/>
                <w:szCs w:val="20"/>
              </w:rPr>
              <w:t xml:space="preserve">Inline </w:t>
            </w:r>
            <w:r>
              <w:rPr>
                <w:rFonts w:eastAsia="Times New Roman"/>
                <w:color w:val="000000"/>
                <w:sz w:val="18"/>
                <w:szCs w:val="18"/>
              </w:rPr>
              <w:t>XBRL Taxonomy Extension Labels Linkbase.</w:t>
            </w:r>
          </w:p>
        </w:tc>
        <w:tc>
          <w:tcPr>
            <w:tcW w:w="0" w:type="auto"/>
            <w:gridSpan w:val="3"/>
            <w:shd w:val="clear" w:color="auto" w:fill="FFFFFF"/>
            <w:tcMar>
              <w:top w:w="0" w:type="dxa"/>
              <w:left w:w="20" w:type="dxa"/>
              <w:bottom w:w="0" w:type="dxa"/>
              <w:right w:w="20" w:type="dxa"/>
            </w:tcMar>
            <w:vAlign w:val="center"/>
            <w:hideMark/>
          </w:tcPr>
          <w:p w14:paraId="177F580C" w14:textId="77777777" w:rsidR="00000000" w:rsidRDefault="009B6C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617059"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1FAB59"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FD44D5"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466E81"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0A1D83"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1AEB79" w14:textId="77777777" w:rsidR="00000000" w:rsidRDefault="009B6C69">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2FC88CB3" w14:textId="77777777" w:rsidR="00000000" w:rsidRDefault="009B6C69">
            <w:pPr>
              <w:spacing w:after="100"/>
              <w:jc w:val="center"/>
              <w:rPr>
                <w:rFonts w:eastAsia="Times New Roman"/>
              </w:rPr>
            </w:pPr>
            <w:r>
              <w:rPr>
                <w:rFonts w:eastAsia="Times New Roman"/>
                <w:color w:val="000000"/>
                <w:sz w:val="18"/>
                <w:szCs w:val="18"/>
              </w:rPr>
              <w:t>X</w:t>
            </w:r>
          </w:p>
        </w:tc>
      </w:tr>
      <w:tr w:rsidR="00000000" w14:paraId="6B11CB54" w14:textId="77777777">
        <w:trPr>
          <w:divId w:val="1834224998"/>
        </w:trPr>
        <w:tc>
          <w:tcPr>
            <w:tcW w:w="0" w:type="auto"/>
            <w:gridSpan w:val="3"/>
            <w:shd w:val="clear" w:color="auto" w:fill="CCEEFF"/>
            <w:tcMar>
              <w:top w:w="30" w:type="dxa"/>
              <w:left w:w="20" w:type="dxa"/>
              <w:bottom w:w="30" w:type="dxa"/>
              <w:right w:w="20" w:type="dxa"/>
            </w:tcMar>
            <w:hideMark/>
          </w:tcPr>
          <w:p w14:paraId="644D7A2E" w14:textId="77777777" w:rsidR="00000000" w:rsidRDefault="009B6C69">
            <w:pPr>
              <w:spacing w:after="100"/>
              <w:jc w:val="center"/>
              <w:rPr>
                <w:rFonts w:eastAsia="Times New Roman"/>
              </w:rPr>
            </w:pPr>
            <w:r>
              <w:rPr>
                <w:rFonts w:eastAsia="Times New Roman"/>
                <w:color w:val="000000"/>
                <w:sz w:val="18"/>
                <w:szCs w:val="18"/>
              </w:rPr>
              <w:t>101.PRE</w:t>
            </w:r>
          </w:p>
        </w:tc>
        <w:tc>
          <w:tcPr>
            <w:tcW w:w="0" w:type="auto"/>
            <w:gridSpan w:val="3"/>
            <w:shd w:val="clear" w:color="auto" w:fill="CCEEFF"/>
            <w:tcMar>
              <w:top w:w="30" w:type="dxa"/>
              <w:left w:w="20" w:type="dxa"/>
              <w:bottom w:w="30" w:type="dxa"/>
              <w:right w:w="20" w:type="dxa"/>
            </w:tcMar>
            <w:hideMark/>
          </w:tcPr>
          <w:p w14:paraId="0B5525AF"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14:paraId="5C935E6C" w14:textId="77777777" w:rsidR="00000000" w:rsidRDefault="009B6C69">
            <w:pPr>
              <w:spacing w:after="100"/>
              <w:divId w:val="1350834860"/>
              <w:rPr>
                <w:rFonts w:eastAsia="Times New Roman"/>
              </w:rPr>
            </w:pPr>
            <w:r>
              <w:rPr>
                <w:rFonts w:eastAsia="Times New Roman"/>
                <w:color w:val="000000"/>
                <w:sz w:val="20"/>
                <w:szCs w:val="20"/>
              </w:rPr>
              <w:t xml:space="preserve">Inline </w:t>
            </w:r>
            <w:r>
              <w:rPr>
                <w:rFonts w:eastAsia="Times New Roman"/>
                <w:color w:val="000000"/>
                <w:sz w:val="18"/>
                <w:szCs w:val="18"/>
              </w:rPr>
              <w:t>XBRL Taxonomy Extension Presentation Linkbase.</w:t>
            </w:r>
          </w:p>
        </w:tc>
        <w:tc>
          <w:tcPr>
            <w:tcW w:w="0" w:type="auto"/>
            <w:gridSpan w:val="3"/>
            <w:shd w:val="clear" w:color="auto" w:fill="CCEEFF"/>
            <w:tcMar>
              <w:top w:w="0" w:type="dxa"/>
              <w:left w:w="20" w:type="dxa"/>
              <w:bottom w:w="0" w:type="dxa"/>
              <w:right w:w="20" w:type="dxa"/>
            </w:tcMar>
            <w:vAlign w:val="center"/>
            <w:hideMark/>
          </w:tcPr>
          <w:p w14:paraId="1C9A49C0" w14:textId="77777777" w:rsidR="00000000" w:rsidRDefault="009B6C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0C0F88"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BCCADD"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BF8729"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B0E192"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CA884A"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DB483C" w14:textId="77777777" w:rsidR="00000000" w:rsidRDefault="009B6C69">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3D6F1F55" w14:textId="77777777" w:rsidR="00000000" w:rsidRDefault="009B6C69">
            <w:pPr>
              <w:spacing w:after="100"/>
              <w:jc w:val="center"/>
              <w:rPr>
                <w:rFonts w:eastAsia="Times New Roman"/>
              </w:rPr>
            </w:pPr>
            <w:r>
              <w:rPr>
                <w:rFonts w:eastAsia="Times New Roman"/>
                <w:color w:val="000000"/>
                <w:sz w:val="18"/>
                <w:szCs w:val="18"/>
              </w:rPr>
              <w:t>X</w:t>
            </w:r>
          </w:p>
        </w:tc>
      </w:tr>
      <w:tr w:rsidR="00000000" w14:paraId="6C57C689" w14:textId="77777777">
        <w:trPr>
          <w:divId w:val="1834224998"/>
        </w:trPr>
        <w:tc>
          <w:tcPr>
            <w:tcW w:w="0" w:type="auto"/>
            <w:gridSpan w:val="3"/>
            <w:shd w:val="clear" w:color="auto" w:fill="FFFFFF"/>
            <w:tcMar>
              <w:top w:w="30" w:type="dxa"/>
              <w:left w:w="20" w:type="dxa"/>
              <w:bottom w:w="30" w:type="dxa"/>
              <w:right w:w="20" w:type="dxa"/>
            </w:tcMar>
            <w:hideMark/>
          </w:tcPr>
          <w:p w14:paraId="24B25259" w14:textId="77777777" w:rsidR="00000000" w:rsidRDefault="009B6C69">
            <w:pPr>
              <w:spacing w:after="100"/>
              <w:jc w:val="center"/>
              <w:rPr>
                <w:rFonts w:eastAsia="Times New Roman"/>
              </w:rPr>
            </w:pPr>
            <w:r>
              <w:rPr>
                <w:rFonts w:eastAsia="Times New Roman"/>
                <w:color w:val="000000"/>
                <w:sz w:val="18"/>
                <w:szCs w:val="18"/>
              </w:rPr>
              <w:t>101.DEF</w:t>
            </w:r>
          </w:p>
        </w:tc>
        <w:tc>
          <w:tcPr>
            <w:tcW w:w="0" w:type="auto"/>
            <w:gridSpan w:val="3"/>
            <w:shd w:val="clear" w:color="auto" w:fill="FFFFFF"/>
            <w:tcMar>
              <w:top w:w="30" w:type="dxa"/>
              <w:left w:w="20" w:type="dxa"/>
              <w:bottom w:w="30" w:type="dxa"/>
              <w:right w:w="20" w:type="dxa"/>
            </w:tcMar>
            <w:hideMark/>
          </w:tcPr>
          <w:p w14:paraId="680DEB7C"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hideMark/>
          </w:tcPr>
          <w:p w14:paraId="790FD500" w14:textId="77777777" w:rsidR="00000000" w:rsidRDefault="009B6C69">
            <w:pPr>
              <w:spacing w:after="100"/>
              <w:divId w:val="1026564367"/>
              <w:rPr>
                <w:rFonts w:eastAsia="Times New Roman"/>
              </w:rPr>
            </w:pPr>
            <w:r>
              <w:rPr>
                <w:rFonts w:eastAsia="Times New Roman"/>
                <w:color w:val="000000"/>
                <w:sz w:val="20"/>
                <w:szCs w:val="20"/>
              </w:rPr>
              <w:t xml:space="preserve">Inline </w:t>
            </w:r>
            <w:r>
              <w:rPr>
                <w:rFonts w:eastAsia="Times New Roman"/>
                <w:color w:val="000000"/>
                <w:sz w:val="18"/>
                <w:szCs w:val="18"/>
              </w:rPr>
              <w:t>XBRL Taxonomy Extension Definition Linkbase.</w:t>
            </w:r>
          </w:p>
        </w:tc>
        <w:tc>
          <w:tcPr>
            <w:tcW w:w="0" w:type="auto"/>
            <w:gridSpan w:val="3"/>
            <w:shd w:val="clear" w:color="auto" w:fill="FFFFFF"/>
            <w:tcMar>
              <w:top w:w="0" w:type="dxa"/>
              <w:left w:w="20" w:type="dxa"/>
              <w:bottom w:w="0" w:type="dxa"/>
              <w:right w:w="20" w:type="dxa"/>
            </w:tcMar>
            <w:vAlign w:val="center"/>
            <w:hideMark/>
          </w:tcPr>
          <w:p w14:paraId="6F6B62D9" w14:textId="77777777" w:rsidR="00000000" w:rsidRDefault="009B6C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BC16CC"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C33C3F"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EAEFD7"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FFD25C"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3609A8"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1D6426" w14:textId="77777777" w:rsidR="00000000" w:rsidRDefault="009B6C69">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4597D1C8" w14:textId="77777777" w:rsidR="00000000" w:rsidRDefault="009B6C69">
            <w:pPr>
              <w:spacing w:after="100"/>
              <w:jc w:val="center"/>
              <w:rPr>
                <w:rFonts w:eastAsia="Times New Roman"/>
              </w:rPr>
            </w:pPr>
            <w:r>
              <w:rPr>
                <w:rFonts w:eastAsia="Times New Roman"/>
                <w:color w:val="000000"/>
                <w:sz w:val="18"/>
                <w:szCs w:val="18"/>
              </w:rPr>
              <w:t>X</w:t>
            </w:r>
          </w:p>
        </w:tc>
      </w:tr>
      <w:tr w:rsidR="00000000" w14:paraId="303931DE" w14:textId="77777777">
        <w:trPr>
          <w:divId w:val="1834224998"/>
        </w:trPr>
        <w:tc>
          <w:tcPr>
            <w:tcW w:w="0" w:type="auto"/>
            <w:gridSpan w:val="3"/>
            <w:shd w:val="clear" w:color="auto" w:fill="CCEEFF"/>
            <w:tcMar>
              <w:top w:w="30" w:type="dxa"/>
              <w:left w:w="20" w:type="dxa"/>
              <w:bottom w:w="30" w:type="dxa"/>
              <w:right w:w="20" w:type="dxa"/>
            </w:tcMar>
            <w:hideMark/>
          </w:tcPr>
          <w:p w14:paraId="7E6870A6" w14:textId="77777777" w:rsidR="00000000" w:rsidRDefault="009B6C69">
            <w:pPr>
              <w:spacing w:after="100"/>
              <w:jc w:val="center"/>
              <w:rPr>
                <w:rFonts w:eastAsia="Times New Roman"/>
              </w:rPr>
            </w:pPr>
            <w:r>
              <w:rPr>
                <w:rFonts w:eastAsia="Times New Roman"/>
                <w:color w:val="000000"/>
                <w:sz w:val="18"/>
                <w:szCs w:val="18"/>
              </w:rPr>
              <w:t>104</w:t>
            </w:r>
          </w:p>
        </w:tc>
        <w:tc>
          <w:tcPr>
            <w:tcW w:w="0" w:type="auto"/>
            <w:gridSpan w:val="3"/>
            <w:shd w:val="clear" w:color="auto" w:fill="CCEEFF"/>
            <w:tcMar>
              <w:top w:w="0" w:type="dxa"/>
              <w:left w:w="20" w:type="dxa"/>
              <w:bottom w:w="0" w:type="dxa"/>
              <w:right w:w="20" w:type="dxa"/>
            </w:tcMar>
            <w:vAlign w:val="center"/>
            <w:hideMark/>
          </w:tcPr>
          <w:p w14:paraId="07B68C51"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131A438" w14:textId="77777777" w:rsidR="00000000" w:rsidRDefault="009B6C69">
            <w:pPr>
              <w:spacing w:after="100"/>
              <w:rPr>
                <w:rFonts w:eastAsia="Times New Roman"/>
              </w:rPr>
            </w:pPr>
            <w:r>
              <w:rPr>
                <w:rFonts w:eastAsia="Times New Roman"/>
                <w:color w:val="000000"/>
                <w:sz w:val="18"/>
                <w:szCs w:val="18"/>
              </w:rPr>
              <w:t>Cover Page Interactive Data File (formatted as Inline XBRL and contained in Exhibit 101).</w:t>
            </w:r>
          </w:p>
        </w:tc>
        <w:tc>
          <w:tcPr>
            <w:tcW w:w="0" w:type="auto"/>
            <w:gridSpan w:val="3"/>
            <w:shd w:val="clear" w:color="auto" w:fill="CCEEFF"/>
            <w:tcMar>
              <w:top w:w="0" w:type="dxa"/>
              <w:left w:w="20" w:type="dxa"/>
              <w:bottom w:w="0" w:type="dxa"/>
              <w:right w:w="20" w:type="dxa"/>
            </w:tcMar>
            <w:vAlign w:val="center"/>
            <w:hideMark/>
          </w:tcPr>
          <w:p w14:paraId="6875B2EF" w14:textId="77777777" w:rsidR="00000000" w:rsidRDefault="009B6C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5E7CAE"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E1D5D5"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D5362D"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8C4878"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C501A0"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DC55C1"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D2A60D" w14:textId="77777777" w:rsidR="00000000" w:rsidRDefault="009B6C69">
            <w:pPr>
              <w:spacing w:after="100"/>
              <w:rPr>
                <w:rFonts w:eastAsia="Times New Roman"/>
                <w:sz w:val="20"/>
                <w:szCs w:val="20"/>
              </w:rPr>
            </w:pPr>
          </w:p>
        </w:tc>
      </w:tr>
    </w:tbl>
    <w:p w14:paraId="1D3ACFC4" w14:textId="77777777" w:rsidR="00000000" w:rsidRDefault="009B6C69">
      <w:pPr>
        <w:ind w:hanging="270"/>
        <w:divId w:val="507401594"/>
        <w:rPr>
          <w:rFonts w:eastAsia="Times New Roman"/>
        </w:rPr>
      </w:pPr>
      <w:r>
        <w:rPr>
          <w:rFonts w:eastAsia="Times New Roman"/>
          <w:color w:val="000000"/>
          <w:sz w:val="18"/>
          <w:szCs w:val="18"/>
        </w:rPr>
        <w:t>(1) We shall furnish supplementally a copy of any omitted schedule to the Commission upon request.</w:t>
      </w:r>
    </w:p>
    <w:p w14:paraId="74415BEE" w14:textId="77777777" w:rsidR="00000000" w:rsidRDefault="009B6C69">
      <w:pPr>
        <w:ind w:hanging="270"/>
        <w:divId w:val="1245334993"/>
        <w:rPr>
          <w:rFonts w:eastAsia="Times New Roman"/>
        </w:rPr>
      </w:pPr>
      <w:r>
        <w:rPr>
          <w:rFonts w:eastAsia="Times New Roman"/>
          <w:color w:val="000000"/>
          <w:sz w:val="18"/>
          <w:szCs w:val="18"/>
        </w:rPr>
        <w:t>(2) Indicates management contract or compensatory plan or arrangement required to be identified pursuant to Item 15(a).</w:t>
      </w:r>
    </w:p>
    <w:p w14:paraId="0A70AF7A" w14:textId="77777777" w:rsidR="00000000" w:rsidRDefault="009B6C69">
      <w:pPr>
        <w:divId w:val="1659268072"/>
        <w:rPr>
          <w:rFonts w:eastAsia="Times New Roman"/>
        </w:rPr>
      </w:pPr>
      <w:r>
        <w:rPr>
          <w:rFonts w:eastAsia="Times New Roman"/>
          <w:b/>
          <w:bCs/>
          <w:color w:val="000000"/>
          <w:sz w:val="20"/>
          <w:szCs w:val="20"/>
        </w:rPr>
        <w:t>Item 16. Form 10-K Summary</w:t>
      </w:r>
    </w:p>
    <w:p w14:paraId="20089218" w14:textId="77777777" w:rsidR="00000000" w:rsidRDefault="009B6C69">
      <w:pPr>
        <w:ind w:firstLine="360"/>
        <w:divId w:val="1431316259"/>
        <w:rPr>
          <w:rFonts w:eastAsia="Times New Roman"/>
        </w:rPr>
      </w:pPr>
      <w:r>
        <w:rPr>
          <w:rFonts w:eastAsia="Times New Roman"/>
          <w:color w:val="000000"/>
          <w:sz w:val="20"/>
          <w:szCs w:val="20"/>
        </w:rPr>
        <w:t>None.</w:t>
      </w:r>
    </w:p>
    <w:p w14:paraId="03D97418" w14:textId="77777777" w:rsidR="00000000" w:rsidRDefault="009B6C69">
      <w:pPr>
        <w:jc w:val="center"/>
        <w:divId w:val="87703611"/>
        <w:rPr>
          <w:rFonts w:eastAsia="Times New Roman"/>
        </w:rPr>
      </w:pPr>
      <w:r>
        <w:rPr>
          <w:rFonts w:eastAsia="Times New Roman"/>
          <w:color w:val="000000"/>
          <w:sz w:val="20"/>
          <w:szCs w:val="20"/>
        </w:rPr>
        <w:t>54</w:t>
      </w:r>
    </w:p>
    <w:p w14:paraId="48477A3C" w14:textId="77777777" w:rsidR="00000000" w:rsidRDefault="009B6C69">
      <w:pPr>
        <w:rPr>
          <w:rFonts w:eastAsia="Times New Roman"/>
        </w:rPr>
      </w:pPr>
      <w:r>
        <w:rPr>
          <w:rFonts w:eastAsia="Times New Roman"/>
        </w:rPr>
        <w:pict w14:anchorId="1FF829ED">
          <v:rect id="_x0000_i1078" style="width:0;height:1.5pt" o:hralign="center" o:hrstd="t" o:hr="t" fillcolor="#a0a0a0" stroked="f"/>
        </w:pict>
      </w:r>
    </w:p>
    <w:p w14:paraId="79292E81" w14:textId="77777777" w:rsidR="00000000" w:rsidRDefault="009B6C69">
      <w:pPr>
        <w:divId w:val="1089739640"/>
        <w:rPr>
          <w:rFonts w:eastAsia="Times New Roman"/>
        </w:rPr>
      </w:pPr>
    </w:p>
    <w:p w14:paraId="3BE9FB7B" w14:textId="77777777" w:rsidR="00000000" w:rsidRDefault="009B6C69">
      <w:pPr>
        <w:jc w:val="center"/>
        <w:divId w:val="471678518"/>
        <w:rPr>
          <w:rFonts w:eastAsia="Times New Roman"/>
        </w:rPr>
      </w:pPr>
      <w:r>
        <w:rPr>
          <w:rFonts w:eastAsia="Times New Roman"/>
          <w:b/>
          <w:bCs/>
          <w:color w:val="000000"/>
          <w:sz w:val="20"/>
          <w:szCs w:val="20"/>
        </w:rPr>
        <w:t>SIGNATURES</w:t>
      </w:r>
    </w:p>
    <w:p w14:paraId="1A6177D3" w14:textId="77777777" w:rsidR="00000000" w:rsidRDefault="009B6C69">
      <w:pPr>
        <w:ind w:firstLine="360"/>
        <w:divId w:val="672227671"/>
        <w:rPr>
          <w:rFonts w:eastAsia="Times New Roman"/>
        </w:rPr>
      </w:pPr>
      <w:r>
        <w:rPr>
          <w:rFonts w:eastAsia="Times New Roman"/>
          <w:color w:val="000000"/>
          <w:sz w:val="20"/>
          <w:szCs w:val="20"/>
        </w:rPr>
        <w:t>Pursuant to the requirements of Section </w:t>
      </w:r>
      <w:r>
        <w:rPr>
          <w:rFonts w:eastAsia="Times New Roman"/>
          <w:color w:val="000000"/>
          <w:sz w:val="20"/>
          <w:szCs w:val="20"/>
        </w:rPr>
        <w:t>13 or 15(d)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9"/>
        <w:gridCol w:w="4579"/>
        <w:gridCol w:w="36"/>
        <w:gridCol w:w="69"/>
        <w:gridCol w:w="290"/>
        <w:gridCol w:w="38"/>
        <w:gridCol w:w="69"/>
        <w:gridCol w:w="1328"/>
        <w:gridCol w:w="36"/>
        <w:gridCol w:w="69"/>
        <w:gridCol w:w="1687"/>
        <w:gridCol w:w="36"/>
      </w:tblGrid>
      <w:tr w:rsidR="00000000" w14:paraId="528D1CC1" w14:textId="77777777">
        <w:trPr>
          <w:divId w:val="344331865"/>
        </w:trPr>
        <w:tc>
          <w:tcPr>
            <w:tcW w:w="50" w:type="pct"/>
            <w:vAlign w:val="center"/>
            <w:hideMark/>
          </w:tcPr>
          <w:p w14:paraId="283EA0D6" w14:textId="77777777" w:rsidR="00000000" w:rsidRDefault="009B6C69">
            <w:pPr>
              <w:ind w:firstLine="360"/>
              <w:rPr>
                <w:rFonts w:eastAsia="Times New Roman"/>
              </w:rPr>
            </w:pPr>
          </w:p>
        </w:tc>
        <w:tc>
          <w:tcPr>
            <w:tcW w:w="2764" w:type="pct"/>
            <w:vAlign w:val="center"/>
            <w:hideMark/>
          </w:tcPr>
          <w:p w14:paraId="05ACFAA7" w14:textId="77777777" w:rsidR="00000000" w:rsidRDefault="009B6C69">
            <w:pPr>
              <w:spacing w:after="100"/>
              <w:rPr>
                <w:rFonts w:eastAsia="Times New Roman"/>
                <w:sz w:val="20"/>
                <w:szCs w:val="20"/>
              </w:rPr>
            </w:pPr>
          </w:p>
        </w:tc>
        <w:tc>
          <w:tcPr>
            <w:tcW w:w="5" w:type="pct"/>
            <w:vAlign w:val="center"/>
            <w:hideMark/>
          </w:tcPr>
          <w:p w14:paraId="58188207" w14:textId="77777777" w:rsidR="00000000" w:rsidRDefault="009B6C69">
            <w:pPr>
              <w:spacing w:after="100"/>
              <w:rPr>
                <w:rFonts w:eastAsia="Times New Roman"/>
                <w:sz w:val="20"/>
                <w:szCs w:val="20"/>
              </w:rPr>
            </w:pPr>
          </w:p>
        </w:tc>
        <w:tc>
          <w:tcPr>
            <w:tcW w:w="50" w:type="pct"/>
            <w:vAlign w:val="center"/>
            <w:hideMark/>
          </w:tcPr>
          <w:p w14:paraId="3F412A93" w14:textId="77777777" w:rsidR="00000000" w:rsidRDefault="009B6C69">
            <w:pPr>
              <w:spacing w:after="100"/>
              <w:rPr>
                <w:rFonts w:eastAsia="Times New Roman"/>
                <w:sz w:val="20"/>
                <w:szCs w:val="20"/>
              </w:rPr>
            </w:pPr>
          </w:p>
        </w:tc>
        <w:tc>
          <w:tcPr>
            <w:tcW w:w="183" w:type="pct"/>
            <w:vAlign w:val="center"/>
            <w:hideMark/>
          </w:tcPr>
          <w:p w14:paraId="420B0FAF" w14:textId="77777777" w:rsidR="00000000" w:rsidRDefault="009B6C69">
            <w:pPr>
              <w:spacing w:after="100"/>
              <w:rPr>
                <w:rFonts w:eastAsia="Times New Roman"/>
                <w:sz w:val="20"/>
                <w:szCs w:val="20"/>
              </w:rPr>
            </w:pPr>
          </w:p>
        </w:tc>
        <w:tc>
          <w:tcPr>
            <w:tcW w:w="5" w:type="pct"/>
            <w:vAlign w:val="center"/>
            <w:hideMark/>
          </w:tcPr>
          <w:p w14:paraId="3D6594F3" w14:textId="77777777" w:rsidR="00000000" w:rsidRDefault="009B6C69">
            <w:pPr>
              <w:spacing w:after="100"/>
              <w:rPr>
                <w:rFonts w:eastAsia="Times New Roman"/>
                <w:sz w:val="20"/>
                <w:szCs w:val="20"/>
              </w:rPr>
            </w:pPr>
          </w:p>
        </w:tc>
        <w:tc>
          <w:tcPr>
            <w:tcW w:w="50" w:type="pct"/>
            <w:vAlign w:val="center"/>
            <w:hideMark/>
          </w:tcPr>
          <w:p w14:paraId="7D100916" w14:textId="77777777" w:rsidR="00000000" w:rsidRDefault="009B6C69">
            <w:pPr>
              <w:spacing w:after="100"/>
              <w:rPr>
                <w:rFonts w:eastAsia="Times New Roman"/>
                <w:sz w:val="20"/>
                <w:szCs w:val="20"/>
              </w:rPr>
            </w:pPr>
          </w:p>
        </w:tc>
        <w:tc>
          <w:tcPr>
            <w:tcW w:w="808" w:type="pct"/>
            <w:vAlign w:val="center"/>
            <w:hideMark/>
          </w:tcPr>
          <w:p w14:paraId="6B3996E3" w14:textId="77777777" w:rsidR="00000000" w:rsidRDefault="009B6C69">
            <w:pPr>
              <w:spacing w:after="100"/>
              <w:rPr>
                <w:rFonts w:eastAsia="Times New Roman"/>
                <w:sz w:val="20"/>
                <w:szCs w:val="20"/>
              </w:rPr>
            </w:pPr>
          </w:p>
        </w:tc>
        <w:tc>
          <w:tcPr>
            <w:tcW w:w="5" w:type="pct"/>
            <w:vAlign w:val="center"/>
            <w:hideMark/>
          </w:tcPr>
          <w:p w14:paraId="1B5E7316" w14:textId="77777777" w:rsidR="00000000" w:rsidRDefault="009B6C69">
            <w:pPr>
              <w:spacing w:after="100"/>
              <w:rPr>
                <w:rFonts w:eastAsia="Times New Roman"/>
                <w:sz w:val="20"/>
                <w:szCs w:val="20"/>
              </w:rPr>
            </w:pPr>
          </w:p>
        </w:tc>
        <w:tc>
          <w:tcPr>
            <w:tcW w:w="50" w:type="pct"/>
            <w:vAlign w:val="center"/>
            <w:hideMark/>
          </w:tcPr>
          <w:p w14:paraId="1171C6C5" w14:textId="77777777" w:rsidR="00000000" w:rsidRDefault="009B6C69">
            <w:pPr>
              <w:spacing w:after="100"/>
              <w:rPr>
                <w:rFonts w:eastAsia="Times New Roman"/>
                <w:sz w:val="20"/>
                <w:szCs w:val="20"/>
              </w:rPr>
            </w:pPr>
          </w:p>
        </w:tc>
        <w:tc>
          <w:tcPr>
            <w:tcW w:w="1024" w:type="pct"/>
            <w:vAlign w:val="center"/>
            <w:hideMark/>
          </w:tcPr>
          <w:p w14:paraId="54E33ABF" w14:textId="77777777" w:rsidR="00000000" w:rsidRDefault="009B6C69">
            <w:pPr>
              <w:spacing w:after="100"/>
              <w:rPr>
                <w:rFonts w:eastAsia="Times New Roman"/>
                <w:sz w:val="20"/>
                <w:szCs w:val="20"/>
              </w:rPr>
            </w:pPr>
          </w:p>
        </w:tc>
        <w:tc>
          <w:tcPr>
            <w:tcW w:w="5" w:type="pct"/>
            <w:vAlign w:val="center"/>
            <w:hideMark/>
          </w:tcPr>
          <w:p w14:paraId="2C51A0A8" w14:textId="77777777" w:rsidR="00000000" w:rsidRDefault="009B6C69">
            <w:pPr>
              <w:spacing w:after="100"/>
              <w:rPr>
                <w:rFonts w:eastAsia="Times New Roman"/>
                <w:sz w:val="20"/>
                <w:szCs w:val="20"/>
              </w:rPr>
            </w:pPr>
          </w:p>
        </w:tc>
      </w:tr>
      <w:tr w:rsidR="00000000" w14:paraId="4F396D15" w14:textId="77777777">
        <w:trPr>
          <w:divId w:val="344331865"/>
          <w:trHeight w:val="300"/>
        </w:trPr>
        <w:tc>
          <w:tcPr>
            <w:tcW w:w="0" w:type="auto"/>
            <w:gridSpan w:val="3"/>
            <w:tcMar>
              <w:top w:w="0" w:type="dxa"/>
              <w:left w:w="20" w:type="dxa"/>
              <w:bottom w:w="0" w:type="dxa"/>
              <w:right w:w="20" w:type="dxa"/>
            </w:tcMar>
            <w:vAlign w:val="center"/>
            <w:hideMark/>
          </w:tcPr>
          <w:p w14:paraId="0A94FC25"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99DDBA"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DBEA94"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C330F2" w14:textId="77777777" w:rsidR="00000000" w:rsidRDefault="009B6C69">
            <w:pPr>
              <w:spacing w:after="100"/>
              <w:rPr>
                <w:rFonts w:eastAsia="Times New Roman"/>
                <w:sz w:val="20"/>
                <w:szCs w:val="20"/>
              </w:rPr>
            </w:pPr>
          </w:p>
        </w:tc>
      </w:tr>
      <w:tr w:rsidR="00000000" w14:paraId="1D262FF7" w14:textId="77777777">
        <w:trPr>
          <w:divId w:val="344331865"/>
        </w:trPr>
        <w:tc>
          <w:tcPr>
            <w:tcW w:w="0" w:type="auto"/>
            <w:gridSpan w:val="3"/>
            <w:tcMar>
              <w:top w:w="0" w:type="dxa"/>
              <w:left w:w="20" w:type="dxa"/>
              <w:bottom w:w="0" w:type="dxa"/>
              <w:right w:w="20" w:type="dxa"/>
            </w:tcMar>
            <w:vAlign w:val="center"/>
            <w:hideMark/>
          </w:tcPr>
          <w:p w14:paraId="691AAF2B" w14:textId="77777777" w:rsidR="00000000" w:rsidRDefault="009B6C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FBEFE15" w14:textId="77777777" w:rsidR="00000000" w:rsidRDefault="009B6C69">
            <w:pPr>
              <w:spacing w:after="100"/>
              <w:rPr>
                <w:rFonts w:eastAsia="Times New Roman"/>
              </w:rPr>
            </w:pPr>
            <w:r>
              <w:rPr>
                <w:rFonts w:eastAsia="Times New Roman"/>
                <w:color w:val="000000"/>
                <w:sz w:val="20"/>
                <w:szCs w:val="20"/>
              </w:rPr>
              <w:t>QUALCOMM Incorporated</w:t>
            </w:r>
          </w:p>
        </w:tc>
      </w:tr>
      <w:tr w:rsidR="00000000" w14:paraId="0F34DAC5" w14:textId="77777777">
        <w:trPr>
          <w:divId w:val="344331865"/>
          <w:trHeight w:val="300"/>
        </w:trPr>
        <w:tc>
          <w:tcPr>
            <w:tcW w:w="0" w:type="auto"/>
            <w:gridSpan w:val="3"/>
            <w:tcMar>
              <w:top w:w="0" w:type="dxa"/>
              <w:left w:w="20" w:type="dxa"/>
              <w:bottom w:w="0" w:type="dxa"/>
              <w:right w:w="20" w:type="dxa"/>
            </w:tcMar>
            <w:vAlign w:val="center"/>
            <w:hideMark/>
          </w:tcPr>
          <w:p w14:paraId="5D0AE361" w14:textId="77777777" w:rsidR="00000000" w:rsidRDefault="009B6C69">
            <w:pPr>
              <w:spacing w:after="100"/>
              <w:rPr>
                <w:rFonts w:eastAsia="Times New Roman"/>
              </w:rPr>
            </w:pPr>
          </w:p>
        </w:tc>
        <w:tc>
          <w:tcPr>
            <w:tcW w:w="0" w:type="auto"/>
            <w:gridSpan w:val="3"/>
            <w:tcMar>
              <w:top w:w="0" w:type="dxa"/>
              <w:left w:w="20" w:type="dxa"/>
              <w:bottom w:w="0" w:type="dxa"/>
              <w:right w:w="20" w:type="dxa"/>
            </w:tcMar>
            <w:vAlign w:val="center"/>
            <w:hideMark/>
          </w:tcPr>
          <w:p w14:paraId="05C1F97A" w14:textId="77777777" w:rsidR="00000000" w:rsidRDefault="009B6C69">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14:paraId="7D8C6CBF" w14:textId="77777777" w:rsidR="00000000" w:rsidRDefault="009B6C69">
            <w:pPr>
              <w:spacing w:after="100"/>
              <w:rPr>
                <w:rFonts w:eastAsia="Times New Roman"/>
                <w:sz w:val="20"/>
                <w:szCs w:val="20"/>
              </w:rPr>
            </w:pPr>
          </w:p>
        </w:tc>
      </w:tr>
      <w:tr w:rsidR="00000000" w14:paraId="6C51D4A8" w14:textId="77777777">
        <w:trPr>
          <w:divId w:val="344331865"/>
        </w:trPr>
        <w:tc>
          <w:tcPr>
            <w:tcW w:w="0" w:type="auto"/>
            <w:gridSpan w:val="3"/>
            <w:tcMar>
              <w:top w:w="30" w:type="dxa"/>
              <w:left w:w="20" w:type="dxa"/>
              <w:bottom w:w="30" w:type="dxa"/>
              <w:right w:w="20" w:type="dxa"/>
            </w:tcMar>
            <w:vAlign w:val="bottom"/>
            <w:hideMark/>
          </w:tcPr>
          <w:p w14:paraId="79B962F2" w14:textId="77777777" w:rsidR="00000000" w:rsidRDefault="009B6C69">
            <w:pPr>
              <w:spacing w:after="100"/>
              <w:divId w:val="1775662660"/>
              <w:rPr>
                <w:rFonts w:eastAsia="Times New Roman"/>
              </w:rPr>
            </w:pPr>
            <w:r>
              <w:rPr>
                <w:rFonts w:eastAsia="Times New Roman"/>
                <w:color w:val="000000"/>
                <w:sz w:val="20"/>
                <w:szCs w:val="20"/>
              </w:rPr>
              <w:t>November 2, 2022</w:t>
            </w:r>
          </w:p>
        </w:tc>
        <w:tc>
          <w:tcPr>
            <w:tcW w:w="0" w:type="auto"/>
            <w:gridSpan w:val="3"/>
            <w:tcMar>
              <w:top w:w="30" w:type="dxa"/>
              <w:left w:w="20" w:type="dxa"/>
              <w:bottom w:w="30" w:type="dxa"/>
              <w:right w:w="20" w:type="dxa"/>
            </w:tcMar>
            <w:hideMark/>
          </w:tcPr>
          <w:p w14:paraId="5815E4A2" w14:textId="77777777" w:rsidR="00000000" w:rsidRDefault="009B6C69">
            <w:pPr>
              <w:spacing w:after="100"/>
              <w:rPr>
                <w:rFonts w:eastAsia="Times New Roman"/>
              </w:rPr>
            </w:pPr>
            <w:r>
              <w:rPr>
                <w:rFonts w:eastAsia="Times New Roman"/>
                <w:color w:val="000000"/>
                <w:sz w:val="20"/>
                <w:szCs w:val="20"/>
              </w:rPr>
              <w:t>By</w:t>
            </w:r>
          </w:p>
        </w:tc>
        <w:tc>
          <w:tcPr>
            <w:tcW w:w="0" w:type="auto"/>
            <w:gridSpan w:val="6"/>
            <w:tcBorders>
              <w:bottom w:val="single" w:sz="8" w:space="0" w:color="000000"/>
            </w:tcBorders>
            <w:tcMar>
              <w:top w:w="30" w:type="dxa"/>
              <w:left w:w="20" w:type="dxa"/>
              <w:bottom w:w="30" w:type="dxa"/>
              <w:right w:w="20" w:type="dxa"/>
            </w:tcMar>
            <w:vAlign w:val="bottom"/>
            <w:hideMark/>
          </w:tcPr>
          <w:p w14:paraId="5AF10B78" w14:textId="77777777" w:rsidR="00000000" w:rsidRDefault="009B6C69">
            <w:pPr>
              <w:spacing w:after="100"/>
              <w:rPr>
                <w:rFonts w:eastAsia="Times New Roman"/>
              </w:rPr>
            </w:pPr>
            <w:r>
              <w:rPr>
                <w:rFonts w:eastAsia="Times New Roman"/>
                <w:color w:val="000000"/>
                <w:sz w:val="20"/>
                <w:szCs w:val="20"/>
              </w:rPr>
              <w:t>/s/ Cristiano R. Amon</w:t>
            </w:r>
          </w:p>
        </w:tc>
      </w:tr>
      <w:tr w:rsidR="00000000" w14:paraId="2B245651" w14:textId="77777777">
        <w:trPr>
          <w:divId w:val="344331865"/>
        </w:trPr>
        <w:tc>
          <w:tcPr>
            <w:tcW w:w="0" w:type="auto"/>
            <w:gridSpan w:val="3"/>
            <w:tcMar>
              <w:top w:w="0" w:type="dxa"/>
              <w:left w:w="20" w:type="dxa"/>
              <w:bottom w:w="0" w:type="dxa"/>
              <w:right w:w="20" w:type="dxa"/>
            </w:tcMar>
            <w:vAlign w:val="center"/>
            <w:hideMark/>
          </w:tcPr>
          <w:p w14:paraId="1A58179C" w14:textId="77777777" w:rsidR="00000000" w:rsidRDefault="009B6C69">
            <w:pPr>
              <w:spacing w:after="100"/>
              <w:rPr>
                <w:rFonts w:eastAsia="Times New Roman"/>
              </w:rPr>
            </w:pPr>
          </w:p>
        </w:tc>
        <w:tc>
          <w:tcPr>
            <w:tcW w:w="0" w:type="auto"/>
            <w:gridSpan w:val="3"/>
            <w:tcMar>
              <w:top w:w="0" w:type="dxa"/>
              <w:left w:w="20" w:type="dxa"/>
              <w:bottom w:w="0" w:type="dxa"/>
              <w:right w:w="20" w:type="dxa"/>
            </w:tcMar>
            <w:vAlign w:val="center"/>
            <w:hideMark/>
          </w:tcPr>
          <w:p w14:paraId="408E88C6" w14:textId="77777777" w:rsidR="00000000" w:rsidRDefault="009B6C69">
            <w:pPr>
              <w:spacing w:after="100"/>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14:paraId="3721EA3F" w14:textId="77777777" w:rsidR="00000000" w:rsidRDefault="009B6C69">
            <w:pPr>
              <w:spacing w:after="100"/>
              <w:rPr>
                <w:rFonts w:eastAsia="Times New Roman"/>
              </w:rPr>
            </w:pPr>
            <w:r>
              <w:rPr>
                <w:rFonts w:eastAsia="Times New Roman"/>
                <w:color w:val="000000"/>
                <w:sz w:val="20"/>
                <w:szCs w:val="20"/>
              </w:rPr>
              <w:t>Cristiano R. Amon</w:t>
            </w:r>
          </w:p>
        </w:tc>
      </w:tr>
      <w:tr w:rsidR="00000000" w14:paraId="288177C8" w14:textId="77777777">
        <w:trPr>
          <w:divId w:val="344331865"/>
        </w:trPr>
        <w:tc>
          <w:tcPr>
            <w:tcW w:w="0" w:type="auto"/>
            <w:gridSpan w:val="3"/>
            <w:tcMar>
              <w:top w:w="0" w:type="dxa"/>
              <w:left w:w="20" w:type="dxa"/>
              <w:bottom w:w="0" w:type="dxa"/>
              <w:right w:w="20" w:type="dxa"/>
            </w:tcMar>
            <w:vAlign w:val="center"/>
            <w:hideMark/>
          </w:tcPr>
          <w:p w14:paraId="2C103CB1" w14:textId="77777777" w:rsidR="00000000" w:rsidRDefault="009B6C69">
            <w:pPr>
              <w:spacing w:after="100"/>
              <w:rPr>
                <w:rFonts w:eastAsia="Times New Roman"/>
              </w:rPr>
            </w:pPr>
          </w:p>
        </w:tc>
        <w:tc>
          <w:tcPr>
            <w:tcW w:w="0" w:type="auto"/>
            <w:gridSpan w:val="3"/>
            <w:tcMar>
              <w:top w:w="0" w:type="dxa"/>
              <w:left w:w="20" w:type="dxa"/>
              <w:bottom w:w="0" w:type="dxa"/>
              <w:right w:w="20" w:type="dxa"/>
            </w:tcMar>
            <w:vAlign w:val="center"/>
            <w:hideMark/>
          </w:tcPr>
          <w:p w14:paraId="05F50EEC" w14:textId="77777777" w:rsidR="00000000" w:rsidRDefault="009B6C69">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14:paraId="254A2530" w14:textId="77777777" w:rsidR="00000000" w:rsidRDefault="009B6C69">
            <w:pPr>
              <w:spacing w:after="100"/>
              <w:rPr>
                <w:rFonts w:eastAsia="Times New Roman"/>
              </w:rPr>
            </w:pPr>
            <w:r>
              <w:rPr>
                <w:rFonts w:eastAsia="Times New Roman"/>
                <w:color w:val="000000"/>
                <w:sz w:val="20"/>
                <w:szCs w:val="20"/>
              </w:rPr>
              <w:t>President and Chief Executive Officer</w:t>
            </w:r>
          </w:p>
        </w:tc>
      </w:tr>
    </w:tbl>
    <w:p w14:paraId="09DD093A" w14:textId="77777777" w:rsidR="00000000" w:rsidRDefault="009B6C69">
      <w:pPr>
        <w:divId w:val="1566529118"/>
        <w:rPr>
          <w:rFonts w:eastAsia="Times New Roman"/>
        </w:rPr>
      </w:pPr>
    </w:p>
    <w:p w14:paraId="7FB7BA2D" w14:textId="77777777" w:rsidR="00000000" w:rsidRDefault="009B6C69">
      <w:pPr>
        <w:jc w:val="center"/>
        <w:divId w:val="1950232819"/>
        <w:rPr>
          <w:rFonts w:eastAsia="Times New Roman"/>
        </w:rPr>
      </w:pPr>
      <w:r>
        <w:rPr>
          <w:rFonts w:eastAsia="Times New Roman"/>
          <w:color w:val="000000"/>
          <w:sz w:val="20"/>
          <w:szCs w:val="20"/>
        </w:rPr>
        <w:t>55</w:t>
      </w:r>
    </w:p>
    <w:p w14:paraId="466E54D2" w14:textId="77777777" w:rsidR="00000000" w:rsidRDefault="009B6C69">
      <w:pPr>
        <w:rPr>
          <w:rFonts w:eastAsia="Times New Roman"/>
        </w:rPr>
      </w:pPr>
      <w:r>
        <w:rPr>
          <w:rFonts w:eastAsia="Times New Roman"/>
        </w:rPr>
        <w:pict w14:anchorId="0E6D2DA9">
          <v:rect id="_x0000_i1079" style="width:0;height:1.5pt" o:hralign="center" o:hrstd="t" o:hr="t" fillcolor="#a0a0a0" stroked="f"/>
        </w:pict>
      </w:r>
    </w:p>
    <w:p w14:paraId="11B8DB87" w14:textId="77777777" w:rsidR="00000000" w:rsidRDefault="009B6C69">
      <w:pPr>
        <w:divId w:val="820274588"/>
        <w:rPr>
          <w:rFonts w:eastAsia="Times New Roman"/>
        </w:rPr>
      </w:pPr>
    </w:p>
    <w:p w14:paraId="7BCA7858" w14:textId="77777777" w:rsidR="00000000" w:rsidRDefault="009B6C69">
      <w:pPr>
        <w:ind w:firstLine="360"/>
        <w:divId w:val="1722946825"/>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dates indicated:</w:t>
      </w:r>
    </w:p>
    <w:tbl>
      <w:tblPr>
        <w:tblW w:w="4813" w:type="pct"/>
        <w:tblCellMar>
          <w:top w:w="15" w:type="dxa"/>
          <w:left w:w="15" w:type="dxa"/>
          <w:bottom w:w="15" w:type="dxa"/>
          <w:right w:w="15" w:type="dxa"/>
        </w:tblCellMar>
        <w:tblLook w:val="04A0" w:firstRow="1" w:lastRow="0" w:firstColumn="1" w:lastColumn="0" w:noHBand="0" w:noVBand="1"/>
      </w:tblPr>
      <w:tblGrid>
        <w:gridCol w:w="55"/>
        <w:gridCol w:w="1863"/>
        <w:gridCol w:w="38"/>
        <w:gridCol w:w="36"/>
        <w:gridCol w:w="156"/>
        <w:gridCol w:w="36"/>
        <w:gridCol w:w="55"/>
        <w:gridCol w:w="3657"/>
        <w:gridCol w:w="37"/>
        <w:gridCol w:w="36"/>
        <w:gridCol w:w="169"/>
        <w:gridCol w:w="36"/>
        <w:gridCol w:w="56"/>
        <w:gridCol w:w="1729"/>
        <w:gridCol w:w="36"/>
      </w:tblGrid>
      <w:tr w:rsidR="00000000" w14:paraId="2946E47D" w14:textId="77777777">
        <w:trPr>
          <w:divId w:val="1722946825"/>
        </w:trPr>
        <w:tc>
          <w:tcPr>
            <w:tcW w:w="50" w:type="pct"/>
            <w:vAlign w:val="center"/>
            <w:hideMark/>
          </w:tcPr>
          <w:p w14:paraId="2177D1EA" w14:textId="77777777" w:rsidR="00000000" w:rsidRDefault="009B6C69">
            <w:pPr>
              <w:ind w:firstLine="360"/>
              <w:rPr>
                <w:rFonts w:eastAsia="Times New Roman"/>
              </w:rPr>
            </w:pPr>
          </w:p>
        </w:tc>
        <w:tc>
          <w:tcPr>
            <w:tcW w:w="1181" w:type="pct"/>
            <w:vAlign w:val="center"/>
            <w:hideMark/>
          </w:tcPr>
          <w:p w14:paraId="0CBCC0EC" w14:textId="77777777" w:rsidR="00000000" w:rsidRDefault="009B6C69">
            <w:pPr>
              <w:spacing w:after="100"/>
              <w:rPr>
                <w:rFonts w:eastAsia="Times New Roman"/>
                <w:sz w:val="20"/>
                <w:szCs w:val="20"/>
              </w:rPr>
            </w:pPr>
          </w:p>
        </w:tc>
        <w:tc>
          <w:tcPr>
            <w:tcW w:w="5" w:type="pct"/>
            <w:vAlign w:val="center"/>
            <w:hideMark/>
          </w:tcPr>
          <w:p w14:paraId="4041D914" w14:textId="77777777" w:rsidR="00000000" w:rsidRDefault="009B6C69">
            <w:pPr>
              <w:spacing w:after="100"/>
              <w:rPr>
                <w:rFonts w:eastAsia="Times New Roman"/>
                <w:sz w:val="20"/>
                <w:szCs w:val="20"/>
              </w:rPr>
            </w:pPr>
          </w:p>
        </w:tc>
        <w:tc>
          <w:tcPr>
            <w:tcW w:w="5" w:type="pct"/>
            <w:vAlign w:val="center"/>
            <w:hideMark/>
          </w:tcPr>
          <w:p w14:paraId="3931A8B6" w14:textId="77777777" w:rsidR="00000000" w:rsidRDefault="009B6C69">
            <w:pPr>
              <w:spacing w:after="100"/>
              <w:rPr>
                <w:rFonts w:eastAsia="Times New Roman"/>
                <w:sz w:val="20"/>
                <w:szCs w:val="20"/>
              </w:rPr>
            </w:pPr>
          </w:p>
        </w:tc>
        <w:tc>
          <w:tcPr>
            <w:tcW w:w="113" w:type="pct"/>
            <w:vAlign w:val="center"/>
            <w:hideMark/>
          </w:tcPr>
          <w:p w14:paraId="41221CCB" w14:textId="77777777" w:rsidR="00000000" w:rsidRDefault="009B6C69">
            <w:pPr>
              <w:spacing w:after="100"/>
              <w:rPr>
                <w:rFonts w:eastAsia="Times New Roman"/>
                <w:sz w:val="20"/>
                <w:szCs w:val="20"/>
              </w:rPr>
            </w:pPr>
          </w:p>
        </w:tc>
        <w:tc>
          <w:tcPr>
            <w:tcW w:w="5" w:type="pct"/>
            <w:vAlign w:val="center"/>
            <w:hideMark/>
          </w:tcPr>
          <w:p w14:paraId="54B766F2" w14:textId="77777777" w:rsidR="00000000" w:rsidRDefault="009B6C69">
            <w:pPr>
              <w:spacing w:after="100"/>
              <w:rPr>
                <w:rFonts w:eastAsia="Times New Roman"/>
                <w:sz w:val="20"/>
                <w:szCs w:val="20"/>
              </w:rPr>
            </w:pPr>
          </w:p>
        </w:tc>
        <w:tc>
          <w:tcPr>
            <w:tcW w:w="50" w:type="pct"/>
            <w:vAlign w:val="center"/>
            <w:hideMark/>
          </w:tcPr>
          <w:p w14:paraId="1AF52B88" w14:textId="77777777" w:rsidR="00000000" w:rsidRDefault="009B6C69">
            <w:pPr>
              <w:spacing w:after="100"/>
              <w:rPr>
                <w:rFonts w:eastAsia="Times New Roman"/>
                <w:sz w:val="20"/>
                <w:szCs w:val="20"/>
              </w:rPr>
            </w:pPr>
          </w:p>
        </w:tc>
        <w:tc>
          <w:tcPr>
            <w:tcW w:w="2302" w:type="pct"/>
            <w:vAlign w:val="center"/>
            <w:hideMark/>
          </w:tcPr>
          <w:p w14:paraId="4A93BD2C" w14:textId="77777777" w:rsidR="00000000" w:rsidRDefault="009B6C69">
            <w:pPr>
              <w:spacing w:after="100"/>
              <w:rPr>
                <w:rFonts w:eastAsia="Times New Roman"/>
                <w:sz w:val="20"/>
                <w:szCs w:val="20"/>
              </w:rPr>
            </w:pPr>
          </w:p>
        </w:tc>
        <w:tc>
          <w:tcPr>
            <w:tcW w:w="5" w:type="pct"/>
            <w:vAlign w:val="center"/>
            <w:hideMark/>
          </w:tcPr>
          <w:p w14:paraId="20CD26BD" w14:textId="77777777" w:rsidR="00000000" w:rsidRDefault="009B6C69">
            <w:pPr>
              <w:spacing w:after="100"/>
              <w:rPr>
                <w:rFonts w:eastAsia="Times New Roman"/>
                <w:sz w:val="20"/>
                <w:szCs w:val="20"/>
              </w:rPr>
            </w:pPr>
          </w:p>
        </w:tc>
        <w:tc>
          <w:tcPr>
            <w:tcW w:w="5" w:type="pct"/>
            <w:vAlign w:val="center"/>
            <w:hideMark/>
          </w:tcPr>
          <w:p w14:paraId="7953EDC2" w14:textId="77777777" w:rsidR="00000000" w:rsidRDefault="009B6C69">
            <w:pPr>
              <w:spacing w:after="100"/>
              <w:rPr>
                <w:rFonts w:eastAsia="Times New Roman"/>
                <w:sz w:val="20"/>
                <w:szCs w:val="20"/>
              </w:rPr>
            </w:pPr>
          </w:p>
        </w:tc>
        <w:tc>
          <w:tcPr>
            <w:tcW w:w="121" w:type="pct"/>
            <w:vAlign w:val="center"/>
            <w:hideMark/>
          </w:tcPr>
          <w:p w14:paraId="23D52829" w14:textId="77777777" w:rsidR="00000000" w:rsidRDefault="009B6C69">
            <w:pPr>
              <w:spacing w:after="100"/>
              <w:rPr>
                <w:rFonts w:eastAsia="Times New Roman"/>
                <w:sz w:val="20"/>
                <w:szCs w:val="20"/>
              </w:rPr>
            </w:pPr>
          </w:p>
        </w:tc>
        <w:tc>
          <w:tcPr>
            <w:tcW w:w="5" w:type="pct"/>
            <w:vAlign w:val="center"/>
            <w:hideMark/>
          </w:tcPr>
          <w:p w14:paraId="437269F6" w14:textId="77777777" w:rsidR="00000000" w:rsidRDefault="009B6C69">
            <w:pPr>
              <w:spacing w:after="100"/>
              <w:rPr>
                <w:rFonts w:eastAsia="Times New Roman"/>
                <w:sz w:val="20"/>
                <w:szCs w:val="20"/>
              </w:rPr>
            </w:pPr>
          </w:p>
        </w:tc>
        <w:tc>
          <w:tcPr>
            <w:tcW w:w="50" w:type="pct"/>
            <w:vAlign w:val="center"/>
            <w:hideMark/>
          </w:tcPr>
          <w:p w14:paraId="1757DDA2" w14:textId="77777777" w:rsidR="00000000" w:rsidRDefault="009B6C69">
            <w:pPr>
              <w:spacing w:after="100"/>
              <w:rPr>
                <w:rFonts w:eastAsia="Times New Roman"/>
                <w:sz w:val="20"/>
                <w:szCs w:val="20"/>
              </w:rPr>
            </w:pPr>
          </w:p>
        </w:tc>
        <w:tc>
          <w:tcPr>
            <w:tcW w:w="1096" w:type="pct"/>
            <w:vAlign w:val="center"/>
            <w:hideMark/>
          </w:tcPr>
          <w:p w14:paraId="20DE4C79" w14:textId="77777777" w:rsidR="00000000" w:rsidRDefault="009B6C69">
            <w:pPr>
              <w:spacing w:after="100"/>
              <w:rPr>
                <w:rFonts w:eastAsia="Times New Roman"/>
                <w:sz w:val="20"/>
                <w:szCs w:val="20"/>
              </w:rPr>
            </w:pPr>
          </w:p>
        </w:tc>
        <w:tc>
          <w:tcPr>
            <w:tcW w:w="5" w:type="pct"/>
            <w:vAlign w:val="center"/>
            <w:hideMark/>
          </w:tcPr>
          <w:p w14:paraId="0B286F6A" w14:textId="77777777" w:rsidR="00000000" w:rsidRDefault="009B6C69">
            <w:pPr>
              <w:spacing w:after="100"/>
              <w:rPr>
                <w:rFonts w:eastAsia="Times New Roman"/>
                <w:sz w:val="20"/>
                <w:szCs w:val="20"/>
              </w:rPr>
            </w:pPr>
          </w:p>
        </w:tc>
      </w:tr>
      <w:tr w:rsidR="00000000" w14:paraId="5526A80D" w14:textId="77777777">
        <w:trPr>
          <w:divId w:val="1722946825"/>
          <w:trHeight w:val="120"/>
        </w:trPr>
        <w:tc>
          <w:tcPr>
            <w:tcW w:w="0" w:type="auto"/>
            <w:gridSpan w:val="3"/>
            <w:tcMar>
              <w:top w:w="0" w:type="dxa"/>
              <w:left w:w="20" w:type="dxa"/>
              <w:bottom w:w="0" w:type="dxa"/>
              <w:right w:w="20" w:type="dxa"/>
            </w:tcMar>
            <w:vAlign w:val="center"/>
            <w:hideMark/>
          </w:tcPr>
          <w:p w14:paraId="1FB864FB"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06B54C"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65DC5C"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C36E4C"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6B158E" w14:textId="77777777" w:rsidR="00000000" w:rsidRDefault="009B6C69">
            <w:pPr>
              <w:spacing w:after="100"/>
              <w:rPr>
                <w:rFonts w:eastAsia="Times New Roman"/>
                <w:sz w:val="20"/>
                <w:szCs w:val="20"/>
              </w:rPr>
            </w:pPr>
          </w:p>
        </w:tc>
      </w:tr>
      <w:tr w:rsidR="00000000" w14:paraId="1CAD5E86" w14:textId="77777777">
        <w:trPr>
          <w:divId w:val="1722946825"/>
        </w:trPr>
        <w:tc>
          <w:tcPr>
            <w:tcW w:w="0" w:type="auto"/>
            <w:gridSpan w:val="3"/>
            <w:tcMar>
              <w:top w:w="30" w:type="dxa"/>
              <w:left w:w="20" w:type="dxa"/>
              <w:bottom w:w="30" w:type="dxa"/>
              <w:right w:w="20" w:type="dxa"/>
            </w:tcMar>
            <w:vAlign w:val="bottom"/>
            <w:hideMark/>
          </w:tcPr>
          <w:p w14:paraId="4709CECB" w14:textId="77777777" w:rsidR="00000000" w:rsidRDefault="009B6C69">
            <w:pPr>
              <w:spacing w:after="100"/>
              <w:jc w:val="center"/>
              <w:rPr>
                <w:rFonts w:eastAsia="Times New Roman"/>
              </w:rPr>
            </w:pPr>
            <w:r>
              <w:rPr>
                <w:rFonts w:eastAsia="Times New Roman"/>
                <w:b/>
                <w:bCs/>
                <w:color w:val="000000"/>
                <w:sz w:val="18"/>
                <w:szCs w:val="18"/>
              </w:rPr>
              <w:t>Signature</w:t>
            </w:r>
          </w:p>
        </w:tc>
        <w:tc>
          <w:tcPr>
            <w:tcW w:w="0" w:type="auto"/>
            <w:gridSpan w:val="3"/>
            <w:tcMar>
              <w:top w:w="0" w:type="dxa"/>
              <w:left w:w="20" w:type="dxa"/>
              <w:bottom w:w="0" w:type="dxa"/>
              <w:right w:w="20" w:type="dxa"/>
            </w:tcMar>
            <w:vAlign w:val="center"/>
            <w:hideMark/>
          </w:tcPr>
          <w:p w14:paraId="5E4F13F1"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ABCE85C" w14:textId="77777777" w:rsidR="00000000" w:rsidRDefault="009B6C69">
            <w:pPr>
              <w:spacing w:after="100"/>
              <w:jc w:val="center"/>
              <w:rPr>
                <w:rFonts w:eastAsia="Times New Roman"/>
              </w:rPr>
            </w:pPr>
            <w:r>
              <w:rPr>
                <w:rFonts w:eastAsia="Times New Roman"/>
                <w:b/>
                <w:bCs/>
                <w:color w:val="000000"/>
                <w:sz w:val="18"/>
                <w:szCs w:val="18"/>
              </w:rPr>
              <w:t>Title</w:t>
            </w:r>
          </w:p>
        </w:tc>
        <w:tc>
          <w:tcPr>
            <w:tcW w:w="0" w:type="auto"/>
            <w:gridSpan w:val="3"/>
            <w:tcMar>
              <w:top w:w="0" w:type="dxa"/>
              <w:left w:w="20" w:type="dxa"/>
              <w:bottom w:w="0" w:type="dxa"/>
              <w:right w:w="20" w:type="dxa"/>
            </w:tcMar>
            <w:vAlign w:val="center"/>
            <w:hideMark/>
          </w:tcPr>
          <w:p w14:paraId="5C2AC2CC"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F8000D8" w14:textId="77777777" w:rsidR="00000000" w:rsidRDefault="009B6C69">
            <w:pPr>
              <w:spacing w:after="100"/>
              <w:jc w:val="center"/>
              <w:rPr>
                <w:rFonts w:eastAsia="Times New Roman"/>
              </w:rPr>
            </w:pPr>
            <w:r>
              <w:rPr>
                <w:rFonts w:eastAsia="Times New Roman"/>
                <w:b/>
                <w:bCs/>
                <w:color w:val="000000"/>
                <w:sz w:val="18"/>
                <w:szCs w:val="18"/>
              </w:rPr>
              <w:t>Date</w:t>
            </w:r>
          </w:p>
        </w:tc>
      </w:tr>
      <w:tr w:rsidR="00000000" w14:paraId="558C3388" w14:textId="77777777">
        <w:trPr>
          <w:divId w:val="1722946825"/>
        </w:trPr>
        <w:tc>
          <w:tcPr>
            <w:tcW w:w="0" w:type="auto"/>
            <w:gridSpan w:val="3"/>
            <w:tcBorders>
              <w:top w:val="single" w:sz="8" w:space="0" w:color="000000"/>
            </w:tcBorders>
            <w:tcMar>
              <w:top w:w="30" w:type="dxa"/>
              <w:left w:w="20" w:type="dxa"/>
              <w:bottom w:w="30" w:type="dxa"/>
              <w:right w:w="20" w:type="dxa"/>
            </w:tcMar>
            <w:vAlign w:val="bottom"/>
            <w:hideMark/>
          </w:tcPr>
          <w:p w14:paraId="420FFE7D" w14:textId="77777777" w:rsidR="00000000" w:rsidRDefault="009B6C69">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7AA2EA02" w14:textId="77777777" w:rsidR="00000000" w:rsidRDefault="009B6C69">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6F83E72"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806EAA" w14:textId="77777777" w:rsidR="00000000" w:rsidRDefault="009B6C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6221BAB" w14:textId="77777777" w:rsidR="00000000" w:rsidRDefault="009B6C69">
            <w:pPr>
              <w:spacing w:after="100"/>
              <w:rPr>
                <w:rFonts w:eastAsia="Times New Roman"/>
                <w:sz w:val="20"/>
                <w:szCs w:val="20"/>
              </w:rPr>
            </w:pPr>
          </w:p>
        </w:tc>
      </w:tr>
      <w:tr w:rsidR="00000000" w14:paraId="73B9AC4B" w14:textId="77777777">
        <w:trPr>
          <w:divId w:val="1722946825"/>
        </w:trPr>
        <w:tc>
          <w:tcPr>
            <w:tcW w:w="0" w:type="auto"/>
            <w:gridSpan w:val="3"/>
            <w:tcMar>
              <w:top w:w="30" w:type="dxa"/>
              <w:left w:w="20" w:type="dxa"/>
              <w:bottom w:w="30" w:type="dxa"/>
              <w:right w:w="20" w:type="dxa"/>
            </w:tcMar>
            <w:vAlign w:val="bottom"/>
            <w:hideMark/>
          </w:tcPr>
          <w:p w14:paraId="7EA1BC06" w14:textId="77777777" w:rsidR="00000000" w:rsidRDefault="009B6C69">
            <w:pPr>
              <w:spacing w:after="100"/>
              <w:jc w:val="center"/>
              <w:rPr>
                <w:rFonts w:eastAsia="Times New Roman"/>
              </w:rPr>
            </w:pPr>
            <w:r>
              <w:rPr>
                <w:rFonts w:eastAsia="Times New Roman"/>
                <w:color w:val="000000"/>
                <w:sz w:val="18"/>
                <w:szCs w:val="18"/>
              </w:rPr>
              <w:t>/s/ Cristiano R. Amon</w:t>
            </w:r>
          </w:p>
        </w:tc>
        <w:tc>
          <w:tcPr>
            <w:tcW w:w="0" w:type="auto"/>
            <w:gridSpan w:val="3"/>
            <w:tcMar>
              <w:top w:w="0" w:type="dxa"/>
              <w:left w:w="20" w:type="dxa"/>
              <w:bottom w:w="0" w:type="dxa"/>
              <w:right w:w="20" w:type="dxa"/>
            </w:tcMar>
            <w:vAlign w:val="center"/>
            <w:hideMark/>
          </w:tcPr>
          <w:p w14:paraId="1DB7274C"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66B3E7E" w14:textId="77777777" w:rsidR="00000000" w:rsidRDefault="009B6C69">
            <w:pPr>
              <w:spacing w:after="100"/>
              <w:jc w:val="center"/>
              <w:rPr>
                <w:rFonts w:eastAsia="Times New Roman"/>
              </w:rPr>
            </w:pPr>
            <w:r>
              <w:rPr>
                <w:rFonts w:eastAsia="Times New Roman"/>
                <w:color w:val="000000"/>
                <w:sz w:val="18"/>
                <w:szCs w:val="18"/>
              </w:rPr>
              <w:t>President and Chief Executive Officer, and Director</w:t>
            </w:r>
          </w:p>
        </w:tc>
        <w:tc>
          <w:tcPr>
            <w:tcW w:w="0" w:type="auto"/>
            <w:gridSpan w:val="3"/>
            <w:tcMar>
              <w:top w:w="0" w:type="dxa"/>
              <w:left w:w="20" w:type="dxa"/>
              <w:bottom w:w="0" w:type="dxa"/>
              <w:right w:w="20" w:type="dxa"/>
            </w:tcMar>
            <w:vAlign w:val="center"/>
            <w:hideMark/>
          </w:tcPr>
          <w:p w14:paraId="2B491DE0"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F0BD366" w14:textId="77777777" w:rsidR="00000000" w:rsidRDefault="009B6C69">
            <w:pPr>
              <w:spacing w:after="100"/>
              <w:jc w:val="center"/>
              <w:rPr>
                <w:rFonts w:eastAsia="Times New Roman"/>
              </w:rPr>
            </w:pPr>
            <w:r>
              <w:rPr>
                <w:rFonts w:eastAsia="Times New Roman"/>
                <w:color w:val="000000"/>
                <w:sz w:val="18"/>
                <w:szCs w:val="18"/>
              </w:rPr>
              <w:t>November 2, 2022</w:t>
            </w:r>
          </w:p>
        </w:tc>
      </w:tr>
      <w:tr w:rsidR="00000000" w14:paraId="6A9729F7" w14:textId="77777777">
        <w:trPr>
          <w:divId w:val="1722946825"/>
        </w:trPr>
        <w:tc>
          <w:tcPr>
            <w:tcW w:w="0" w:type="auto"/>
            <w:gridSpan w:val="3"/>
            <w:tcBorders>
              <w:top w:val="single" w:sz="8" w:space="0" w:color="000000"/>
            </w:tcBorders>
            <w:tcMar>
              <w:top w:w="30" w:type="dxa"/>
              <w:left w:w="20" w:type="dxa"/>
              <w:bottom w:w="30" w:type="dxa"/>
              <w:right w:w="20" w:type="dxa"/>
            </w:tcMar>
            <w:vAlign w:val="bottom"/>
            <w:hideMark/>
          </w:tcPr>
          <w:p w14:paraId="3513BAF3" w14:textId="77777777" w:rsidR="00000000" w:rsidRDefault="009B6C69">
            <w:pPr>
              <w:spacing w:after="100"/>
              <w:jc w:val="center"/>
              <w:rPr>
                <w:rFonts w:eastAsia="Times New Roman"/>
              </w:rPr>
            </w:pPr>
            <w:r>
              <w:rPr>
                <w:rFonts w:eastAsia="Times New Roman"/>
                <w:color w:val="000000"/>
                <w:sz w:val="18"/>
                <w:szCs w:val="18"/>
              </w:rPr>
              <w:t>Cristiano R. Amon</w:t>
            </w:r>
          </w:p>
        </w:tc>
        <w:tc>
          <w:tcPr>
            <w:tcW w:w="0" w:type="auto"/>
            <w:gridSpan w:val="3"/>
            <w:tcMar>
              <w:top w:w="0" w:type="dxa"/>
              <w:left w:w="20" w:type="dxa"/>
              <w:bottom w:w="0" w:type="dxa"/>
              <w:right w:w="20" w:type="dxa"/>
            </w:tcMar>
            <w:vAlign w:val="center"/>
            <w:hideMark/>
          </w:tcPr>
          <w:p w14:paraId="50F7BFF0"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B8B34DA" w14:textId="77777777" w:rsidR="00000000" w:rsidRDefault="009B6C69">
            <w:pPr>
              <w:spacing w:after="100"/>
              <w:jc w:val="center"/>
              <w:rPr>
                <w:rFonts w:eastAsia="Times New Roman"/>
              </w:rPr>
            </w:pPr>
            <w:r>
              <w:rPr>
                <w:rFonts w:eastAsia="Times New Roman"/>
                <w:color w:val="000000"/>
                <w:sz w:val="18"/>
                <w:szCs w:val="18"/>
              </w:rPr>
              <w:t>(Principal Executive Officer)</w:t>
            </w:r>
          </w:p>
        </w:tc>
        <w:tc>
          <w:tcPr>
            <w:tcW w:w="0" w:type="auto"/>
            <w:gridSpan w:val="3"/>
            <w:tcMar>
              <w:top w:w="0" w:type="dxa"/>
              <w:left w:w="20" w:type="dxa"/>
              <w:bottom w:w="0" w:type="dxa"/>
              <w:right w:w="20" w:type="dxa"/>
            </w:tcMar>
            <w:vAlign w:val="center"/>
            <w:hideMark/>
          </w:tcPr>
          <w:p w14:paraId="367760CB" w14:textId="77777777" w:rsidR="00000000" w:rsidRDefault="009B6C6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CC91E2B" w14:textId="77777777" w:rsidR="00000000" w:rsidRDefault="009B6C69">
            <w:pPr>
              <w:spacing w:after="100"/>
              <w:rPr>
                <w:rFonts w:eastAsia="Times New Roman"/>
                <w:sz w:val="20"/>
                <w:szCs w:val="20"/>
              </w:rPr>
            </w:pPr>
          </w:p>
        </w:tc>
      </w:tr>
      <w:tr w:rsidR="00000000" w14:paraId="12F9AD54" w14:textId="77777777">
        <w:trPr>
          <w:divId w:val="1722946825"/>
        </w:trPr>
        <w:tc>
          <w:tcPr>
            <w:tcW w:w="0" w:type="auto"/>
            <w:gridSpan w:val="3"/>
            <w:tcMar>
              <w:top w:w="30" w:type="dxa"/>
              <w:left w:w="20" w:type="dxa"/>
              <w:bottom w:w="30" w:type="dxa"/>
              <w:right w:w="20" w:type="dxa"/>
            </w:tcMar>
            <w:vAlign w:val="bottom"/>
            <w:hideMark/>
          </w:tcPr>
          <w:p w14:paraId="4431DA79" w14:textId="77777777" w:rsidR="00000000" w:rsidRDefault="009B6C69">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47972375"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C380EA2" w14:textId="77777777" w:rsidR="00000000" w:rsidRDefault="009B6C69">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5D960922"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FE9449A" w14:textId="77777777" w:rsidR="00000000" w:rsidRDefault="009B6C69">
            <w:pPr>
              <w:spacing w:after="100"/>
              <w:jc w:val="center"/>
              <w:rPr>
                <w:rFonts w:eastAsia="Times New Roman"/>
              </w:rPr>
            </w:pPr>
            <w:r>
              <w:rPr>
                <w:rFonts w:eastAsia="Times New Roman"/>
                <w:color w:val="000000"/>
                <w:sz w:val="18"/>
                <w:szCs w:val="18"/>
              </w:rPr>
              <w:t> </w:t>
            </w:r>
          </w:p>
        </w:tc>
      </w:tr>
      <w:tr w:rsidR="00000000" w14:paraId="1F4D489E" w14:textId="77777777">
        <w:trPr>
          <w:divId w:val="1722946825"/>
        </w:trPr>
        <w:tc>
          <w:tcPr>
            <w:tcW w:w="0" w:type="auto"/>
            <w:gridSpan w:val="3"/>
            <w:tcMar>
              <w:top w:w="30" w:type="dxa"/>
              <w:left w:w="20" w:type="dxa"/>
              <w:bottom w:w="30" w:type="dxa"/>
              <w:right w:w="20" w:type="dxa"/>
            </w:tcMar>
            <w:vAlign w:val="bottom"/>
            <w:hideMark/>
          </w:tcPr>
          <w:p w14:paraId="0F7B19C7" w14:textId="77777777" w:rsidR="00000000" w:rsidRDefault="009B6C69">
            <w:pPr>
              <w:spacing w:after="100"/>
              <w:jc w:val="center"/>
              <w:rPr>
                <w:rFonts w:eastAsia="Times New Roman"/>
              </w:rPr>
            </w:pPr>
            <w:r>
              <w:rPr>
                <w:rFonts w:eastAsia="Times New Roman"/>
                <w:color w:val="000000"/>
                <w:sz w:val="18"/>
                <w:szCs w:val="18"/>
              </w:rPr>
              <w:t>/s/ Akash Palkhiwala</w:t>
            </w:r>
          </w:p>
        </w:tc>
        <w:tc>
          <w:tcPr>
            <w:tcW w:w="0" w:type="auto"/>
            <w:gridSpan w:val="3"/>
            <w:tcMar>
              <w:top w:w="0" w:type="dxa"/>
              <w:left w:w="20" w:type="dxa"/>
              <w:bottom w:w="0" w:type="dxa"/>
              <w:right w:w="20" w:type="dxa"/>
            </w:tcMar>
            <w:vAlign w:val="center"/>
            <w:hideMark/>
          </w:tcPr>
          <w:p w14:paraId="0098ABDB"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C05ABC0" w14:textId="77777777" w:rsidR="00000000" w:rsidRDefault="009B6C69">
            <w:pPr>
              <w:spacing w:after="100"/>
              <w:jc w:val="center"/>
              <w:rPr>
                <w:rFonts w:eastAsia="Times New Roman"/>
              </w:rPr>
            </w:pPr>
            <w:r>
              <w:rPr>
                <w:rFonts w:eastAsia="Times New Roman"/>
                <w:color w:val="000000"/>
                <w:sz w:val="18"/>
                <w:szCs w:val="18"/>
              </w:rPr>
              <w:t>Chief Financial Officer</w:t>
            </w:r>
          </w:p>
        </w:tc>
        <w:tc>
          <w:tcPr>
            <w:tcW w:w="0" w:type="auto"/>
            <w:gridSpan w:val="3"/>
            <w:tcMar>
              <w:top w:w="0" w:type="dxa"/>
              <w:left w:w="20" w:type="dxa"/>
              <w:bottom w:w="0" w:type="dxa"/>
              <w:right w:w="20" w:type="dxa"/>
            </w:tcMar>
            <w:vAlign w:val="center"/>
            <w:hideMark/>
          </w:tcPr>
          <w:p w14:paraId="009AD1A0"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E68A34B" w14:textId="77777777" w:rsidR="00000000" w:rsidRDefault="009B6C69">
            <w:pPr>
              <w:spacing w:after="100"/>
              <w:jc w:val="center"/>
              <w:rPr>
                <w:rFonts w:eastAsia="Times New Roman"/>
              </w:rPr>
            </w:pPr>
            <w:r>
              <w:rPr>
                <w:rFonts w:eastAsia="Times New Roman"/>
                <w:color w:val="000000"/>
                <w:sz w:val="18"/>
                <w:szCs w:val="18"/>
              </w:rPr>
              <w:t>November 2, 2022</w:t>
            </w:r>
          </w:p>
        </w:tc>
      </w:tr>
      <w:tr w:rsidR="00000000" w14:paraId="52BF0A02" w14:textId="77777777">
        <w:trPr>
          <w:divId w:val="1722946825"/>
        </w:trPr>
        <w:tc>
          <w:tcPr>
            <w:tcW w:w="0" w:type="auto"/>
            <w:gridSpan w:val="3"/>
            <w:tcBorders>
              <w:top w:val="single" w:sz="8" w:space="0" w:color="000000"/>
            </w:tcBorders>
            <w:tcMar>
              <w:top w:w="30" w:type="dxa"/>
              <w:left w:w="20" w:type="dxa"/>
              <w:bottom w:w="30" w:type="dxa"/>
              <w:right w:w="20" w:type="dxa"/>
            </w:tcMar>
            <w:vAlign w:val="bottom"/>
            <w:hideMark/>
          </w:tcPr>
          <w:p w14:paraId="72E7A891" w14:textId="77777777" w:rsidR="00000000" w:rsidRDefault="009B6C69">
            <w:pPr>
              <w:spacing w:after="100"/>
              <w:jc w:val="center"/>
              <w:rPr>
                <w:rFonts w:eastAsia="Times New Roman"/>
              </w:rPr>
            </w:pPr>
            <w:r>
              <w:rPr>
                <w:rFonts w:eastAsia="Times New Roman"/>
                <w:color w:val="000000"/>
                <w:sz w:val="18"/>
                <w:szCs w:val="18"/>
              </w:rPr>
              <w:t>Akash Palkhiwala</w:t>
            </w:r>
          </w:p>
        </w:tc>
        <w:tc>
          <w:tcPr>
            <w:tcW w:w="0" w:type="auto"/>
            <w:gridSpan w:val="3"/>
            <w:tcMar>
              <w:top w:w="0" w:type="dxa"/>
              <w:left w:w="20" w:type="dxa"/>
              <w:bottom w:w="0" w:type="dxa"/>
              <w:right w:w="20" w:type="dxa"/>
            </w:tcMar>
            <w:vAlign w:val="center"/>
            <w:hideMark/>
          </w:tcPr>
          <w:p w14:paraId="3C3AB458"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3255C93" w14:textId="77777777" w:rsidR="00000000" w:rsidRDefault="009B6C69">
            <w:pPr>
              <w:spacing w:after="100"/>
              <w:jc w:val="center"/>
              <w:rPr>
                <w:rFonts w:eastAsia="Times New Roman"/>
              </w:rPr>
            </w:pPr>
            <w:r>
              <w:rPr>
                <w:rFonts w:eastAsia="Times New Roman"/>
                <w:color w:val="000000"/>
                <w:sz w:val="18"/>
                <w:szCs w:val="18"/>
              </w:rPr>
              <w:t>(Principal Financial Officer)</w:t>
            </w:r>
          </w:p>
        </w:tc>
        <w:tc>
          <w:tcPr>
            <w:tcW w:w="0" w:type="auto"/>
            <w:gridSpan w:val="3"/>
            <w:tcMar>
              <w:top w:w="0" w:type="dxa"/>
              <w:left w:w="20" w:type="dxa"/>
              <w:bottom w:w="0" w:type="dxa"/>
              <w:right w:w="20" w:type="dxa"/>
            </w:tcMar>
            <w:vAlign w:val="center"/>
            <w:hideMark/>
          </w:tcPr>
          <w:p w14:paraId="3B5D4D9E" w14:textId="77777777" w:rsidR="00000000" w:rsidRDefault="009B6C6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577748D" w14:textId="77777777" w:rsidR="00000000" w:rsidRDefault="009B6C69">
            <w:pPr>
              <w:spacing w:after="100"/>
              <w:rPr>
                <w:rFonts w:eastAsia="Times New Roman"/>
                <w:sz w:val="20"/>
                <w:szCs w:val="20"/>
              </w:rPr>
            </w:pPr>
          </w:p>
        </w:tc>
      </w:tr>
      <w:tr w:rsidR="00000000" w14:paraId="5348E525" w14:textId="77777777">
        <w:trPr>
          <w:divId w:val="1722946825"/>
        </w:trPr>
        <w:tc>
          <w:tcPr>
            <w:tcW w:w="0" w:type="auto"/>
            <w:gridSpan w:val="3"/>
            <w:tcMar>
              <w:top w:w="30" w:type="dxa"/>
              <w:left w:w="20" w:type="dxa"/>
              <w:bottom w:w="30" w:type="dxa"/>
              <w:right w:w="20" w:type="dxa"/>
            </w:tcMar>
            <w:vAlign w:val="bottom"/>
            <w:hideMark/>
          </w:tcPr>
          <w:p w14:paraId="05EFBED4" w14:textId="77777777" w:rsidR="00000000" w:rsidRDefault="009B6C69">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59788529"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F994DEF" w14:textId="77777777" w:rsidR="00000000" w:rsidRDefault="009B6C69">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374FB413"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7BC0643" w14:textId="77777777" w:rsidR="00000000" w:rsidRDefault="009B6C69">
            <w:pPr>
              <w:spacing w:after="100"/>
              <w:jc w:val="center"/>
              <w:rPr>
                <w:rFonts w:eastAsia="Times New Roman"/>
              </w:rPr>
            </w:pPr>
            <w:r>
              <w:rPr>
                <w:rFonts w:eastAsia="Times New Roman"/>
                <w:color w:val="000000"/>
                <w:sz w:val="18"/>
                <w:szCs w:val="18"/>
              </w:rPr>
              <w:t> </w:t>
            </w:r>
          </w:p>
        </w:tc>
      </w:tr>
      <w:tr w:rsidR="00000000" w14:paraId="52EFD1A6" w14:textId="77777777">
        <w:trPr>
          <w:divId w:val="1722946825"/>
        </w:trPr>
        <w:tc>
          <w:tcPr>
            <w:tcW w:w="0" w:type="auto"/>
            <w:gridSpan w:val="3"/>
            <w:tcMar>
              <w:top w:w="30" w:type="dxa"/>
              <w:left w:w="20" w:type="dxa"/>
              <w:bottom w:w="30" w:type="dxa"/>
              <w:right w:w="20" w:type="dxa"/>
            </w:tcMar>
            <w:vAlign w:val="bottom"/>
            <w:hideMark/>
          </w:tcPr>
          <w:p w14:paraId="2E8BAE1C" w14:textId="77777777" w:rsidR="00000000" w:rsidRDefault="009B6C69">
            <w:pPr>
              <w:spacing w:after="100"/>
              <w:jc w:val="center"/>
              <w:rPr>
                <w:rFonts w:eastAsia="Times New Roman"/>
              </w:rPr>
            </w:pPr>
            <w:r>
              <w:rPr>
                <w:rFonts w:eastAsia="Times New Roman"/>
                <w:color w:val="000000"/>
                <w:sz w:val="18"/>
                <w:szCs w:val="18"/>
              </w:rPr>
              <w:t>/s/ Erin Polek</w:t>
            </w:r>
          </w:p>
        </w:tc>
        <w:tc>
          <w:tcPr>
            <w:tcW w:w="0" w:type="auto"/>
            <w:gridSpan w:val="3"/>
            <w:tcMar>
              <w:top w:w="0" w:type="dxa"/>
              <w:left w:w="20" w:type="dxa"/>
              <w:bottom w:w="0" w:type="dxa"/>
              <w:right w:w="20" w:type="dxa"/>
            </w:tcMar>
            <w:vAlign w:val="center"/>
            <w:hideMark/>
          </w:tcPr>
          <w:p w14:paraId="3FA330B4"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2903CA2" w14:textId="77777777" w:rsidR="00000000" w:rsidRDefault="009B6C69">
            <w:pPr>
              <w:spacing w:after="100"/>
              <w:jc w:val="center"/>
              <w:rPr>
                <w:rFonts w:eastAsia="Times New Roman"/>
              </w:rPr>
            </w:pPr>
            <w:r>
              <w:rPr>
                <w:rFonts w:eastAsia="Times New Roman"/>
                <w:color w:val="000000"/>
                <w:sz w:val="18"/>
                <w:szCs w:val="18"/>
              </w:rPr>
              <w:t>Senior Vice President, Corporate Controller and Chief Accounting Officer</w:t>
            </w:r>
          </w:p>
        </w:tc>
        <w:tc>
          <w:tcPr>
            <w:tcW w:w="0" w:type="auto"/>
            <w:gridSpan w:val="3"/>
            <w:tcMar>
              <w:top w:w="0" w:type="dxa"/>
              <w:left w:w="20" w:type="dxa"/>
              <w:bottom w:w="0" w:type="dxa"/>
              <w:right w:w="20" w:type="dxa"/>
            </w:tcMar>
            <w:vAlign w:val="center"/>
            <w:hideMark/>
          </w:tcPr>
          <w:p w14:paraId="22730B7D"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28C7EF8" w14:textId="77777777" w:rsidR="00000000" w:rsidRDefault="009B6C69">
            <w:pPr>
              <w:spacing w:after="100"/>
              <w:jc w:val="center"/>
              <w:rPr>
                <w:rFonts w:eastAsia="Times New Roman"/>
              </w:rPr>
            </w:pPr>
            <w:r>
              <w:rPr>
                <w:rFonts w:eastAsia="Times New Roman"/>
                <w:color w:val="000000"/>
                <w:sz w:val="18"/>
                <w:szCs w:val="18"/>
              </w:rPr>
              <w:t>November 2, 2022</w:t>
            </w:r>
          </w:p>
        </w:tc>
      </w:tr>
      <w:tr w:rsidR="00000000" w14:paraId="7BD4407E" w14:textId="77777777">
        <w:trPr>
          <w:divId w:val="1722946825"/>
        </w:trPr>
        <w:tc>
          <w:tcPr>
            <w:tcW w:w="0" w:type="auto"/>
            <w:gridSpan w:val="3"/>
            <w:tcBorders>
              <w:top w:val="single" w:sz="8" w:space="0" w:color="000000"/>
            </w:tcBorders>
            <w:tcMar>
              <w:top w:w="30" w:type="dxa"/>
              <w:left w:w="20" w:type="dxa"/>
              <w:bottom w:w="30" w:type="dxa"/>
              <w:right w:w="20" w:type="dxa"/>
            </w:tcMar>
            <w:vAlign w:val="bottom"/>
            <w:hideMark/>
          </w:tcPr>
          <w:p w14:paraId="554ABA2D" w14:textId="77777777" w:rsidR="00000000" w:rsidRDefault="009B6C69">
            <w:pPr>
              <w:spacing w:after="100"/>
              <w:jc w:val="center"/>
              <w:rPr>
                <w:rFonts w:eastAsia="Times New Roman"/>
              </w:rPr>
            </w:pPr>
            <w:r>
              <w:rPr>
                <w:rFonts w:eastAsia="Times New Roman"/>
                <w:color w:val="000000"/>
                <w:sz w:val="18"/>
                <w:szCs w:val="18"/>
              </w:rPr>
              <w:t>Erin Polek</w:t>
            </w:r>
          </w:p>
        </w:tc>
        <w:tc>
          <w:tcPr>
            <w:tcW w:w="0" w:type="auto"/>
            <w:gridSpan w:val="3"/>
            <w:tcMar>
              <w:top w:w="0" w:type="dxa"/>
              <w:left w:w="20" w:type="dxa"/>
              <w:bottom w:w="0" w:type="dxa"/>
              <w:right w:w="20" w:type="dxa"/>
            </w:tcMar>
            <w:vAlign w:val="center"/>
            <w:hideMark/>
          </w:tcPr>
          <w:p w14:paraId="2ED52744"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2502A27" w14:textId="77777777" w:rsidR="00000000" w:rsidRDefault="009B6C69">
            <w:pPr>
              <w:spacing w:after="100"/>
              <w:jc w:val="center"/>
              <w:rPr>
                <w:rFonts w:eastAsia="Times New Roman"/>
              </w:rPr>
            </w:pPr>
            <w:r>
              <w:rPr>
                <w:rFonts w:eastAsia="Times New Roman"/>
                <w:color w:val="000000"/>
                <w:sz w:val="18"/>
                <w:szCs w:val="18"/>
              </w:rPr>
              <w:t>(Principal Accounting Officer)</w:t>
            </w:r>
          </w:p>
        </w:tc>
        <w:tc>
          <w:tcPr>
            <w:tcW w:w="0" w:type="auto"/>
            <w:gridSpan w:val="3"/>
            <w:tcMar>
              <w:top w:w="0" w:type="dxa"/>
              <w:left w:w="20" w:type="dxa"/>
              <w:bottom w:w="0" w:type="dxa"/>
              <w:right w:w="20" w:type="dxa"/>
            </w:tcMar>
            <w:vAlign w:val="center"/>
            <w:hideMark/>
          </w:tcPr>
          <w:p w14:paraId="186DFAD4" w14:textId="77777777" w:rsidR="00000000" w:rsidRDefault="009B6C6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E3C56A1" w14:textId="77777777" w:rsidR="00000000" w:rsidRDefault="009B6C69">
            <w:pPr>
              <w:spacing w:after="100"/>
              <w:rPr>
                <w:rFonts w:eastAsia="Times New Roman"/>
                <w:sz w:val="20"/>
                <w:szCs w:val="20"/>
              </w:rPr>
            </w:pPr>
          </w:p>
        </w:tc>
      </w:tr>
      <w:tr w:rsidR="00000000" w14:paraId="536B70A7" w14:textId="77777777">
        <w:trPr>
          <w:divId w:val="1722946825"/>
          <w:trHeight w:val="180"/>
        </w:trPr>
        <w:tc>
          <w:tcPr>
            <w:tcW w:w="0" w:type="auto"/>
            <w:gridSpan w:val="3"/>
            <w:tcMar>
              <w:top w:w="0" w:type="dxa"/>
              <w:left w:w="20" w:type="dxa"/>
              <w:bottom w:w="0" w:type="dxa"/>
              <w:right w:w="20" w:type="dxa"/>
            </w:tcMar>
            <w:vAlign w:val="center"/>
            <w:hideMark/>
          </w:tcPr>
          <w:p w14:paraId="18BB1218"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B1E0FC"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10FB36"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823462"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2097C6" w14:textId="77777777" w:rsidR="00000000" w:rsidRDefault="009B6C69">
            <w:pPr>
              <w:spacing w:after="100"/>
              <w:rPr>
                <w:rFonts w:eastAsia="Times New Roman"/>
                <w:sz w:val="20"/>
                <w:szCs w:val="20"/>
              </w:rPr>
            </w:pPr>
          </w:p>
        </w:tc>
      </w:tr>
      <w:tr w:rsidR="00000000" w14:paraId="3F77AC3B" w14:textId="77777777">
        <w:trPr>
          <w:divId w:val="1722946825"/>
        </w:trPr>
        <w:tc>
          <w:tcPr>
            <w:tcW w:w="0" w:type="auto"/>
            <w:gridSpan w:val="3"/>
            <w:tcMar>
              <w:top w:w="30" w:type="dxa"/>
              <w:left w:w="20" w:type="dxa"/>
              <w:bottom w:w="30" w:type="dxa"/>
              <w:right w:w="20" w:type="dxa"/>
            </w:tcMar>
            <w:vAlign w:val="bottom"/>
            <w:hideMark/>
          </w:tcPr>
          <w:p w14:paraId="5BCD9BD2" w14:textId="77777777" w:rsidR="00000000" w:rsidRDefault="009B6C69">
            <w:pPr>
              <w:spacing w:after="100"/>
              <w:jc w:val="center"/>
              <w:rPr>
                <w:rFonts w:eastAsia="Times New Roman"/>
              </w:rPr>
            </w:pPr>
            <w:r>
              <w:rPr>
                <w:rFonts w:eastAsia="Times New Roman"/>
                <w:color w:val="000000"/>
                <w:sz w:val="18"/>
                <w:szCs w:val="18"/>
              </w:rPr>
              <w:t>/s/ Sylvia Acevedo</w:t>
            </w:r>
          </w:p>
        </w:tc>
        <w:tc>
          <w:tcPr>
            <w:tcW w:w="0" w:type="auto"/>
            <w:gridSpan w:val="3"/>
            <w:tcMar>
              <w:top w:w="0" w:type="dxa"/>
              <w:left w:w="20" w:type="dxa"/>
              <w:bottom w:w="0" w:type="dxa"/>
              <w:right w:w="20" w:type="dxa"/>
            </w:tcMar>
            <w:vAlign w:val="center"/>
            <w:hideMark/>
          </w:tcPr>
          <w:p w14:paraId="79DFA95E"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4717270" w14:textId="77777777" w:rsidR="00000000" w:rsidRDefault="009B6C69">
            <w:pPr>
              <w:spacing w:after="100"/>
              <w:jc w:val="cente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14:paraId="5F3FECC1"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26A9F8D" w14:textId="77777777" w:rsidR="00000000" w:rsidRDefault="009B6C69">
            <w:pPr>
              <w:spacing w:after="100"/>
              <w:jc w:val="center"/>
              <w:rPr>
                <w:rFonts w:eastAsia="Times New Roman"/>
              </w:rPr>
            </w:pPr>
            <w:r>
              <w:rPr>
                <w:rFonts w:eastAsia="Times New Roman"/>
                <w:color w:val="000000"/>
                <w:sz w:val="18"/>
                <w:szCs w:val="18"/>
              </w:rPr>
              <w:t>November 2, 2022</w:t>
            </w:r>
          </w:p>
        </w:tc>
      </w:tr>
      <w:tr w:rsidR="00000000" w14:paraId="3D4902FE" w14:textId="77777777">
        <w:trPr>
          <w:divId w:val="1722946825"/>
        </w:trPr>
        <w:tc>
          <w:tcPr>
            <w:tcW w:w="0" w:type="auto"/>
            <w:gridSpan w:val="3"/>
            <w:tcBorders>
              <w:top w:val="single" w:sz="8" w:space="0" w:color="000000"/>
            </w:tcBorders>
            <w:tcMar>
              <w:top w:w="30" w:type="dxa"/>
              <w:left w:w="20" w:type="dxa"/>
              <w:bottom w:w="30" w:type="dxa"/>
              <w:right w:w="20" w:type="dxa"/>
            </w:tcMar>
            <w:vAlign w:val="bottom"/>
            <w:hideMark/>
          </w:tcPr>
          <w:p w14:paraId="6D171C43" w14:textId="77777777" w:rsidR="00000000" w:rsidRDefault="009B6C69">
            <w:pPr>
              <w:spacing w:after="100"/>
              <w:jc w:val="center"/>
              <w:rPr>
                <w:rFonts w:eastAsia="Times New Roman"/>
              </w:rPr>
            </w:pPr>
            <w:r>
              <w:rPr>
                <w:rFonts w:eastAsia="Times New Roman"/>
                <w:color w:val="000000"/>
                <w:sz w:val="18"/>
                <w:szCs w:val="18"/>
              </w:rPr>
              <w:t>Sylvia Acevedo</w:t>
            </w:r>
          </w:p>
        </w:tc>
        <w:tc>
          <w:tcPr>
            <w:tcW w:w="0" w:type="auto"/>
            <w:gridSpan w:val="3"/>
            <w:tcMar>
              <w:top w:w="0" w:type="dxa"/>
              <w:left w:w="20" w:type="dxa"/>
              <w:bottom w:w="0" w:type="dxa"/>
              <w:right w:w="20" w:type="dxa"/>
            </w:tcMar>
            <w:vAlign w:val="center"/>
            <w:hideMark/>
          </w:tcPr>
          <w:p w14:paraId="2AA42576" w14:textId="77777777" w:rsidR="00000000" w:rsidRDefault="009B6C6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63DE1BA"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098FCF"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DEE01F" w14:textId="77777777" w:rsidR="00000000" w:rsidRDefault="009B6C69">
            <w:pPr>
              <w:spacing w:after="100"/>
              <w:rPr>
                <w:rFonts w:eastAsia="Times New Roman"/>
                <w:sz w:val="20"/>
                <w:szCs w:val="20"/>
              </w:rPr>
            </w:pPr>
          </w:p>
        </w:tc>
      </w:tr>
      <w:tr w:rsidR="00000000" w14:paraId="5A580195" w14:textId="77777777">
        <w:trPr>
          <w:divId w:val="1722946825"/>
          <w:trHeight w:val="240"/>
        </w:trPr>
        <w:tc>
          <w:tcPr>
            <w:tcW w:w="0" w:type="auto"/>
            <w:gridSpan w:val="3"/>
            <w:tcMar>
              <w:top w:w="0" w:type="dxa"/>
              <w:left w:w="20" w:type="dxa"/>
              <w:bottom w:w="0" w:type="dxa"/>
              <w:right w:w="20" w:type="dxa"/>
            </w:tcMar>
            <w:vAlign w:val="center"/>
            <w:hideMark/>
          </w:tcPr>
          <w:p w14:paraId="35049C52"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EDCBA9"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AACC04"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618314"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EE76FF" w14:textId="77777777" w:rsidR="00000000" w:rsidRDefault="009B6C69">
            <w:pPr>
              <w:spacing w:after="100"/>
              <w:rPr>
                <w:rFonts w:eastAsia="Times New Roman"/>
                <w:sz w:val="20"/>
                <w:szCs w:val="20"/>
              </w:rPr>
            </w:pPr>
          </w:p>
        </w:tc>
      </w:tr>
      <w:tr w:rsidR="00000000" w14:paraId="2739D98C" w14:textId="77777777">
        <w:trPr>
          <w:divId w:val="1722946825"/>
        </w:trPr>
        <w:tc>
          <w:tcPr>
            <w:tcW w:w="0" w:type="auto"/>
            <w:gridSpan w:val="3"/>
            <w:tcMar>
              <w:top w:w="30" w:type="dxa"/>
              <w:left w:w="20" w:type="dxa"/>
              <w:bottom w:w="30" w:type="dxa"/>
              <w:right w:w="20" w:type="dxa"/>
            </w:tcMar>
            <w:vAlign w:val="bottom"/>
            <w:hideMark/>
          </w:tcPr>
          <w:p w14:paraId="7D418F03" w14:textId="77777777" w:rsidR="00000000" w:rsidRDefault="009B6C69">
            <w:pPr>
              <w:spacing w:after="100"/>
              <w:jc w:val="center"/>
              <w:rPr>
                <w:rFonts w:eastAsia="Times New Roman"/>
              </w:rPr>
            </w:pPr>
            <w:r>
              <w:rPr>
                <w:rFonts w:eastAsia="Times New Roman"/>
                <w:color w:val="000000"/>
                <w:sz w:val="18"/>
                <w:szCs w:val="18"/>
              </w:rPr>
              <w:t>/s/ Mark Fields</w:t>
            </w:r>
          </w:p>
        </w:tc>
        <w:tc>
          <w:tcPr>
            <w:tcW w:w="0" w:type="auto"/>
            <w:gridSpan w:val="3"/>
            <w:tcMar>
              <w:top w:w="0" w:type="dxa"/>
              <w:left w:w="20" w:type="dxa"/>
              <w:bottom w:w="0" w:type="dxa"/>
              <w:right w:w="20" w:type="dxa"/>
            </w:tcMar>
            <w:vAlign w:val="center"/>
            <w:hideMark/>
          </w:tcPr>
          <w:p w14:paraId="571856C8"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BC617B0" w14:textId="77777777" w:rsidR="00000000" w:rsidRDefault="009B6C69">
            <w:pPr>
              <w:spacing w:after="100"/>
              <w:jc w:val="cente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14:paraId="59879D64"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2ADF918" w14:textId="77777777" w:rsidR="00000000" w:rsidRDefault="009B6C69">
            <w:pPr>
              <w:spacing w:after="100"/>
              <w:jc w:val="center"/>
              <w:rPr>
                <w:rFonts w:eastAsia="Times New Roman"/>
              </w:rPr>
            </w:pPr>
            <w:r>
              <w:rPr>
                <w:rFonts w:eastAsia="Times New Roman"/>
                <w:color w:val="000000"/>
                <w:sz w:val="18"/>
                <w:szCs w:val="18"/>
              </w:rPr>
              <w:t>November 2, 2022</w:t>
            </w:r>
          </w:p>
        </w:tc>
      </w:tr>
      <w:tr w:rsidR="00000000" w14:paraId="6C5FD879" w14:textId="77777777">
        <w:trPr>
          <w:divId w:val="1722946825"/>
        </w:trPr>
        <w:tc>
          <w:tcPr>
            <w:tcW w:w="0" w:type="auto"/>
            <w:gridSpan w:val="3"/>
            <w:tcBorders>
              <w:top w:val="single" w:sz="8" w:space="0" w:color="000000"/>
            </w:tcBorders>
            <w:tcMar>
              <w:top w:w="30" w:type="dxa"/>
              <w:left w:w="20" w:type="dxa"/>
              <w:bottom w:w="30" w:type="dxa"/>
              <w:right w:w="20" w:type="dxa"/>
            </w:tcMar>
            <w:vAlign w:val="bottom"/>
            <w:hideMark/>
          </w:tcPr>
          <w:p w14:paraId="715BA2CD" w14:textId="77777777" w:rsidR="00000000" w:rsidRDefault="009B6C69">
            <w:pPr>
              <w:spacing w:after="100"/>
              <w:jc w:val="center"/>
              <w:rPr>
                <w:rFonts w:eastAsia="Times New Roman"/>
              </w:rPr>
            </w:pPr>
            <w:r>
              <w:rPr>
                <w:rFonts w:eastAsia="Times New Roman"/>
                <w:color w:val="000000"/>
                <w:sz w:val="18"/>
                <w:szCs w:val="18"/>
              </w:rPr>
              <w:t>Mark Fields</w:t>
            </w:r>
          </w:p>
        </w:tc>
        <w:tc>
          <w:tcPr>
            <w:tcW w:w="0" w:type="auto"/>
            <w:gridSpan w:val="3"/>
            <w:tcMar>
              <w:top w:w="0" w:type="dxa"/>
              <w:left w:w="20" w:type="dxa"/>
              <w:bottom w:w="0" w:type="dxa"/>
              <w:right w:w="20" w:type="dxa"/>
            </w:tcMar>
            <w:vAlign w:val="center"/>
            <w:hideMark/>
          </w:tcPr>
          <w:p w14:paraId="63819598" w14:textId="77777777" w:rsidR="00000000" w:rsidRDefault="009B6C6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D54E39F"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AD512F"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104CD1" w14:textId="77777777" w:rsidR="00000000" w:rsidRDefault="009B6C69">
            <w:pPr>
              <w:spacing w:after="100"/>
              <w:rPr>
                <w:rFonts w:eastAsia="Times New Roman"/>
                <w:sz w:val="20"/>
                <w:szCs w:val="20"/>
              </w:rPr>
            </w:pPr>
          </w:p>
        </w:tc>
      </w:tr>
      <w:tr w:rsidR="00000000" w14:paraId="4A07E412" w14:textId="77777777">
        <w:trPr>
          <w:divId w:val="1722946825"/>
        </w:trPr>
        <w:tc>
          <w:tcPr>
            <w:tcW w:w="0" w:type="auto"/>
            <w:gridSpan w:val="3"/>
            <w:tcMar>
              <w:top w:w="0" w:type="dxa"/>
              <w:left w:w="20" w:type="dxa"/>
              <w:bottom w:w="0" w:type="dxa"/>
              <w:right w:w="20" w:type="dxa"/>
            </w:tcMar>
            <w:vAlign w:val="center"/>
            <w:hideMark/>
          </w:tcPr>
          <w:p w14:paraId="34007F09"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165776"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E25FF83" w14:textId="77777777" w:rsidR="00000000" w:rsidRDefault="009B6C69">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12C846E5"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8546DE0" w14:textId="77777777" w:rsidR="00000000" w:rsidRDefault="009B6C69">
            <w:pPr>
              <w:spacing w:after="100"/>
              <w:jc w:val="center"/>
              <w:rPr>
                <w:rFonts w:eastAsia="Times New Roman"/>
              </w:rPr>
            </w:pPr>
            <w:r>
              <w:rPr>
                <w:rFonts w:eastAsia="Times New Roman"/>
                <w:color w:val="000000"/>
                <w:sz w:val="18"/>
                <w:szCs w:val="18"/>
              </w:rPr>
              <w:t> </w:t>
            </w:r>
          </w:p>
        </w:tc>
      </w:tr>
      <w:tr w:rsidR="00000000" w14:paraId="2CD51F6E" w14:textId="77777777">
        <w:trPr>
          <w:divId w:val="1722946825"/>
        </w:trPr>
        <w:tc>
          <w:tcPr>
            <w:tcW w:w="0" w:type="auto"/>
            <w:gridSpan w:val="3"/>
            <w:tcMar>
              <w:top w:w="30" w:type="dxa"/>
              <w:left w:w="20" w:type="dxa"/>
              <w:bottom w:w="30" w:type="dxa"/>
              <w:right w:w="20" w:type="dxa"/>
            </w:tcMar>
            <w:vAlign w:val="bottom"/>
            <w:hideMark/>
          </w:tcPr>
          <w:p w14:paraId="2BC55B22" w14:textId="77777777" w:rsidR="00000000" w:rsidRDefault="009B6C69">
            <w:pPr>
              <w:spacing w:after="100"/>
              <w:jc w:val="center"/>
              <w:rPr>
                <w:rFonts w:eastAsia="Times New Roman"/>
              </w:rPr>
            </w:pPr>
            <w:r>
              <w:rPr>
                <w:rFonts w:eastAsia="Times New Roman"/>
                <w:color w:val="000000"/>
                <w:sz w:val="18"/>
                <w:szCs w:val="18"/>
              </w:rPr>
              <w:t>/s/ Jeffrey W. Henderson</w:t>
            </w:r>
          </w:p>
        </w:tc>
        <w:tc>
          <w:tcPr>
            <w:tcW w:w="0" w:type="auto"/>
            <w:gridSpan w:val="3"/>
            <w:tcMar>
              <w:top w:w="0" w:type="dxa"/>
              <w:left w:w="20" w:type="dxa"/>
              <w:bottom w:w="0" w:type="dxa"/>
              <w:right w:w="20" w:type="dxa"/>
            </w:tcMar>
            <w:vAlign w:val="center"/>
            <w:hideMark/>
          </w:tcPr>
          <w:p w14:paraId="4D4603F6"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212E1B1" w14:textId="77777777" w:rsidR="00000000" w:rsidRDefault="009B6C69">
            <w:pPr>
              <w:spacing w:after="100"/>
              <w:jc w:val="cente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14:paraId="7968F74C"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AE4210F" w14:textId="77777777" w:rsidR="00000000" w:rsidRDefault="009B6C69">
            <w:pPr>
              <w:spacing w:after="100"/>
              <w:jc w:val="center"/>
              <w:rPr>
                <w:rFonts w:eastAsia="Times New Roman"/>
              </w:rPr>
            </w:pPr>
            <w:r>
              <w:rPr>
                <w:rFonts w:eastAsia="Times New Roman"/>
                <w:color w:val="000000"/>
                <w:sz w:val="18"/>
                <w:szCs w:val="18"/>
              </w:rPr>
              <w:t>November 2, 2022</w:t>
            </w:r>
          </w:p>
        </w:tc>
      </w:tr>
      <w:tr w:rsidR="00000000" w14:paraId="3FA0BC3F" w14:textId="77777777">
        <w:trPr>
          <w:divId w:val="1722946825"/>
        </w:trPr>
        <w:tc>
          <w:tcPr>
            <w:tcW w:w="0" w:type="auto"/>
            <w:gridSpan w:val="3"/>
            <w:tcBorders>
              <w:top w:val="single" w:sz="8" w:space="0" w:color="000000"/>
            </w:tcBorders>
            <w:tcMar>
              <w:top w:w="30" w:type="dxa"/>
              <w:left w:w="20" w:type="dxa"/>
              <w:bottom w:w="30" w:type="dxa"/>
              <w:right w:w="20" w:type="dxa"/>
            </w:tcMar>
            <w:vAlign w:val="bottom"/>
            <w:hideMark/>
          </w:tcPr>
          <w:p w14:paraId="072396C8" w14:textId="77777777" w:rsidR="00000000" w:rsidRDefault="009B6C69">
            <w:pPr>
              <w:spacing w:after="100"/>
              <w:jc w:val="center"/>
              <w:rPr>
                <w:rFonts w:eastAsia="Times New Roman"/>
              </w:rPr>
            </w:pPr>
            <w:r>
              <w:rPr>
                <w:rFonts w:eastAsia="Times New Roman"/>
                <w:color w:val="000000"/>
                <w:sz w:val="18"/>
                <w:szCs w:val="18"/>
              </w:rPr>
              <w:t>Jeffrey W. Henderson</w:t>
            </w:r>
          </w:p>
        </w:tc>
        <w:tc>
          <w:tcPr>
            <w:tcW w:w="0" w:type="auto"/>
            <w:gridSpan w:val="3"/>
            <w:tcMar>
              <w:top w:w="0" w:type="dxa"/>
              <w:left w:w="20" w:type="dxa"/>
              <w:bottom w:w="0" w:type="dxa"/>
              <w:right w:w="20" w:type="dxa"/>
            </w:tcMar>
            <w:vAlign w:val="center"/>
            <w:hideMark/>
          </w:tcPr>
          <w:p w14:paraId="7B5C25A2" w14:textId="77777777" w:rsidR="00000000" w:rsidRDefault="009B6C6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91CB3C9"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29EA47"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0D91D7" w14:textId="77777777" w:rsidR="00000000" w:rsidRDefault="009B6C69">
            <w:pPr>
              <w:spacing w:after="100"/>
              <w:rPr>
                <w:rFonts w:eastAsia="Times New Roman"/>
                <w:sz w:val="20"/>
                <w:szCs w:val="20"/>
              </w:rPr>
            </w:pPr>
          </w:p>
        </w:tc>
      </w:tr>
      <w:tr w:rsidR="00000000" w14:paraId="3A7C2830" w14:textId="77777777">
        <w:trPr>
          <w:divId w:val="1722946825"/>
          <w:trHeight w:val="240"/>
        </w:trPr>
        <w:tc>
          <w:tcPr>
            <w:tcW w:w="0" w:type="auto"/>
            <w:gridSpan w:val="3"/>
            <w:tcMar>
              <w:top w:w="0" w:type="dxa"/>
              <w:left w:w="20" w:type="dxa"/>
              <w:bottom w:w="0" w:type="dxa"/>
              <w:right w:w="20" w:type="dxa"/>
            </w:tcMar>
            <w:vAlign w:val="center"/>
            <w:hideMark/>
          </w:tcPr>
          <w:p w14:paraId="1462A03F"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AA3ED2"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38BF06"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0546FC"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810A7C" w14:textId="77777777" w:rsidR="00000000" w:rsidRDefault="009B6C69">
            <w:pPr>
              <w:spacing w:after="100"/>
              <w:rPr>
                <w:rFonts w:eastAsia="Times New Roman"/>
                <w:sz w:val="20"/>
                <w:szCs w:val="20"/>
              </w:rPr>
            </w:pPr>
          </w:p>
        </w:tc>
      </w:tr>
      <w:tr w:rsidR="00000000" w14:paraId="5FD34E30" w14:textId="77777777">
        <w:trPr>
          <w:divId w:val="1722946825"/>
        </w:trPr>
        <w:tc>
          <w:tcPr>
            <w:tcW w:w="0" w:type="auto"/>
            <w:gridSpan w:val="3"/>
            <w:tcMar>
              <w:top w:w="30" w:type="dxa"/>
              <w:left w:w="20" w:type="dxa"/>
              <w:bottom w:w="30" w:type="dxa"/>
              <w:right w:w="20" w:type="dxa"/>
            </w:tcMar>
            <w:vAlign w:val="bottom"/>
            <w:hideMark/>
          </w:tcPr>
          <w:p w14:paraId="481E9DEB" w14:textId="77777777" w:rsidR="00000000" w:rsidRDefault="009B6C69">
            <w:pPr>
              <w:spacing w:after="100"/>
              <w:jc w:val="center"/>
              <w:rPr>
                <w:rFonts w:eastAsia="Times New Roman"/>
              </w:rPr>
            </w:pPr>
            <w:r>
              <w:rPr>
                <w:rFonts w:eastAsia="Times New Roman"/>
                <w:color w:val="000000"/>
                <w:sz w:val="18"/>
                <w:szCs w:val="18"/>
              </w:rPr>
              <w:t>/s/ Gregory N. Johnson</w:t>
            </w:r>
          </w:p>
        </w:tc>
        <w:tc>
          <w:tcPr>
            <w:tcW w:w="0" w:type="auto"/>
            <w:gridSpan w:val="3"/>
            <w:tcMar>
              <w:top w:w="0" w:type="dxa"/>
              <w:left w:w="20" w:type="dxa"/>
              <w:bottom w:w="0" w:type="dxa"/>
              <w:right w:w="20" w:type="dxa"/>
            </w:tcMar>
            <w:vAlign w:val="center"/>
            <w:hideMark/>
          </w:tcPr>
          <w:p w14:paraId="599D0A19"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8995717" w14:textId="77777777" w:rsidR="00000000" w:rsidRDefault="009B6C69">
            <w:pPr>
              <w:spacing w:after="100"/>
              <w:jc w:val="cente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14:paraId="2DAF10C8"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0239336" w14:textId="77777777" w:rsidR="00000000" w:rsidRDefault="009B6C69">
            <w:pPr>
              <w:spacing w:after="100"/>
              <w:jc w:val="center"/>
              <w:rPr>
                <w:rFonts w:eastAsia="Times New Roman"/>
              </w:rPr>
            </w:pPr>
            <w:r>
              <w:rPr>
                <w:rFonts w:eastAsia="Times New Roman"/>
                <w:color w:val="000000"/>
                <w:sz w:val="18"/>
                <w:szCs w:val="18"/>
              </w:rPr>
              <w:t>November 2, 2022</w:t>
            </w:r>
          </w:p>
        </w:tc>
      </w:tr>
      <w:tr w:rsidR="00000000" w14:paraId="1209A641" w14:textId="77777777">
        <w:trPr>
          <w:divId w:val="1722946825"/>
        </w:trPr>
        <w:tc>
          <w:tcPr>
            <w:tcW w:w="0" w:type="auto"/>
            <w:gridSpan w:val="3"/>
            <w:tcBorders>
              <w:top w:val="single" w:sz="8" w:space="0" w:color="000000"/>
            </w:tcBorders>
            <w:tcMar>
              <w:top w:w="30" w:type="dxa"/>
              <w:left w:w="20" w:type="dxa"/>
              <w:bottom w:w="30" w:type="dxa"/>
              <w:right w:w="20" w:type="dxa"/>
            </w:tcMar>
            <w:vAlign w:val="bottom"/>
            <w:hideMark/>
          </w:tcPr>
          <w:p w14:paraId="486B83E5" w14:textId="77777777" w:rsidR="00000000" w:rsidRDefault="009B6C69">
            <w:pPr>
              <w:spacing w:after="100"/>
              <w:jc w:val="center"/>
              <w:rPr>
                <w:rFonts w:eastAsia="Times New Roman"/>
              </w:rPr>
            </w:pPr>
            <w:r>
              <w:rPr>
                <w:rFonts w:eastAsia="Times New Roman"/>
                <w:color w:val="000000"/>
                <w:sz w:val="18"/>
                <w:szCs w:val="18"/>
              </w:rPr>
              <w:t>Gregory N. Johnson</w:t>
            </w:r>
          </w:p>
        </w:tc>
        <w:tc>
          <w:tcPr>
            <w:tcW w:w="0" w:type="auto"/>
            <w:gridSpan w:val="3"/>
            <w:tcMar>
              <w:top w:w="0" w:type="dxa"/>
              <w:left w:w="20" w:type="dxa"/>
              <w:bottom w:w="0" w:type="dxa"/>
              <w:right w:w="20" w:type="dxa"/>
            </w:tcMar>
            <w:vAlign w:val="center"/>
            <w:hideMark/>
          </w:tcPr>
          <w:p w14:paraId="5FAFB6B7" w14:textId="77777777" w:rsidR="00000000" w:rsidRDefault="009B6C6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301721A"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8357AB"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C6F749" w14:textId="77777777" w:rsidR="00000000" w:rsidRDefault="009B6C69">
            <w:pPr>
              <w:spacing w:after="100"/>
              <w:rPr>
                <w:rFonts w:eastAsia="Times New Roman"/>
                <w:sz w:val="20"/>
                <w:szCs w:val="20"/>
              </w:rPr>
            </w:pPr>
          </w:p>
        </w:tc>
      </w:tr>
      <w:tr w:rsidR="00000000" w14:paraId="42C3D2EC" w14:textId="77777777">
        <w:trPr>
          <w:divId w:val="1722946825"/>
        </w:trPr>
        <w:tc>
          <w:tcPr>
            <w:tcW w:w="0" w:type="auto"/>
            <w:gridSpan w:val="3"/>
            <w:tcMar>
              <w:top w:w="0" w:type="dxa"/>
              <w:left w:w="20" w:type="dxa"/>
              <w:bottom w:w="0" w:type="dxa"/>
              <w:right w:w="20" w:type="dxa"/>
            </w:tcMar>
            <w:vAlign w:val="center"/>
            <w:hideMark/>
          </w:tcPr>
          <w:p w14:paraId="173BD353"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26C41B"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33E3F6A" w14:textId="77777777" w:rsidR="00000000" w:rsidRDefault="009B6C69">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061385E0"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60396FA" w14:textId="77777777" w:rsidR="00000000" w:rsidRDefault="009B6C69">
            <w:pPr>
              <w:spacing w:after="100"/>
              <w:jc w:val="center"/>
              <w:rPr>
                <w:rFonts w:eastAsia="Times New Roman"/>
              </w:rPr>
            </w:pPr>
            <w:r>
              <w:rPr>
                <w:rFonts w:eastAsia="Times New Roman"/>
                <w:color w:val="000000"/>
                <w:sz w:val="18"/>
                <w:szCs w:val="18"/>
              </w:rPr>
              <w:t> </w:t>
            </w:r>
          </w:p>
        </w:tc>
      </w:tr>
      <w:tr w:rsidR="00000000" w14:paraId="7656FED9" w14:textId="77777777">
        <w:trPr>
          <w:divId w:val="1722946825"/>
        </w:trPr>
        <w:tc>
          <w:tcPr>
            <w:tcW w:w="0" w:type="auto"/>
            <w:gridSpan w:val="3"/>
            <w:tcMar>
              <w:top w:w="30" w:type="dxa"/>
              <w:left w:w="20" w:type="dxa"/>
              <w:bottom w:w="30" w:type="dxa"/>
              <w:right w:w="20" w:type="dxa"/>
            </w:tcMar>
            <w:vAlign w:val="bottom"/>
            <w:hideMark/>
          </w:tcPr>
          <w:p w14:paraId="6D7F77AE" w14:textId="77777777" w:rsidR="00000000" w:rsidRDefault="009B6C69">
            <w:pPr>
              <w:spacing w:after="100"/>
              <w:jc w:val="center"/>
              <w:rPr>
                <w:rFonts w:eastAsia="Times New Roman"/>
              </w:rPr>
            </w:pPr>
            <w:r>
              <w:rPr>
                <w:rFonts w:eastAsia="Times New Roman"/>
                <w:color w:val="000000"/>
                <w:sz w:val="18"/>
                <w:szCs w:val="18"/>
              </w:rPr>
              <w:t>/s/ Ann M. Livermore</w:t>
            </w:r>
          </w:p>
        </w:tc>
        <w:tc>
          <w:tcPr>
            <w:tcW w:w="0" w:type="auto"/>
            <w:gridSpan w:val="3"/>
            <w:tcMar>
              <w:top w:w="0" w:type="dxa"/>
              <w:left w:w="20" w:type="dxa"/>
              <w:bottom w:w="0" w:type="dxa"/>
              <w:right w:w="20" w:type="dxa"/>
            </w:tcMar>
            <w:vAlign w:val="center"/>
            <w:hideMark/>
          </w:tcPr>
          <w:p w14:paraId="4E1F4725"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0F936E0" w14:textId="77777777" w:rsidR="00000000" w:rsidRDefault="009B6C69">
            <w:pPr>
              <w:spacing w:after="100"/>
              <w:jc w:val="cente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14:paraId="13BB0073"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80D03CA" w14:textId="77777777" w:rsidR="00000000" w:rsidRDefault="009B6C69">
            <w:pPr>
              <w:spacing w:after="100"/>
              <w:jc w:val="center"/>
              <w:rPr>
                <w:rFonts w:eastAsia="Times New Roman"/>
              </w:rPr>
            </w:pPr>
            <w:r>
              <w:rPr>
                <w:rFonts w:eastAsia="Times New Roman"/>
                <w:color w:val="000000"/>
                <w:sz w:val="18"/>
                <w:szCs w:val="18"/>
              </w:rPr>
              <w:t>November 2, 2022</w:t>
            </w:r>
          </w:p>
        </w:tc>
      </w:tr>
      <w:tr w:rsidR="00000000" w14:paraId="262DC579" w14:textId="77777777">
        <w:trPr>
          <w:divId w:val="1722946825"/>
        </w:trPr>
        <w:tc>
          <w:tcPr>
            <w:tcW w:w="0" w:type="auto"/>
            <w:gridSpan w:val="3"/>
            <w:tcBorders>
              <w:top w:val="single" w:sz="8" w:space="0" w:color="000000"/>
            </w:tcBorders>
            <w:tcMar>
              <w:top w:w="30" w:type="dxa"/>
              <w:left w:w="20" w:type="dxa"/>
              <w:bottom w:w="30" w:type="dxa"/>
              <w:right w:w="20" w:type="dxa"/>
            </w:tcMar>
            <w:vAlign w:val="bottom"/>
            <w:hideMark/>
          </w:tcPr>
          <w:p w14:paraId="027BB9F4" w14:textId="77777777" w:rsidR="00000000" w:rsidRDefault="009B6C69">
            <w:pPr>
              <w:spacing w:after="100"/>
              <w:jc w:val="center"/>
              <w:rPr>
                <w:rFonts w:eastAsia="Times New Roman"/>
              </w:rPr>
            </w:pPr>
            <w:r>
              <w:rPr>
                <w:rFonts w:eastAsia="Times New Roman"/>
                <w:color w:val="000000"/>
                <w:sz w:val="18"/>
                <w:szCs w:val="18"/>
              </w:rPr>
              <w:t>Ann M. Livermore</w:t>
            </w:r>
          </w:p>
        </w:tc>
        <w:tc>
          <w:tcPr>
            <w:tcW w:w="0" w:type="auto"/>
            <w:gridSpan w:val="3"/>
            <w:tcMar>
              <w:top w:w="0" w:type="dxa"/>
              <w:left w:w="20" w:type="dxa"/>
              <w:bottom w:w="0" w:type="dxa"/>
              <w:right w:w="20" w:type="dxa"/>
            </w:tcMar>
            <w:vAlign w:val="center"/>
            <w:hideMark/>
          </w:tcPr>
          <w:p w14:paraId="5F998780" w14:textId="77777777" w:rsidR="00000000" w:rsidRDefault="009B6C6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FF02CBF"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F14D70"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34A86A" w14:textId="77777777" w:rsidR="00000000" w:rsidRDefault="009B6C69">
            <w:pPr>
              <w:spacing w:after="100"/>
              <w:rPr>
                <w:rFonts w:eastAsia="Times New Roman"/>
                <w:sz w:val="20"/>
                <w:szCs w:val="20"/>
              </w:rPr>
            </w:pPr>
          </w:p>
        </w:tc>
      </w:tr>
      <w:tr w:rsidR="00000000" w14:paraId="3A47C741" w14:textId="77777777">
        <w:trPr>
          <w:divId w:val="1722946825"/>
          <w:trHeight w:val="240"/>
        </w:trPr>
        <w:tc>
          <w:tcPr>
            <w:tcW w:w="0" w:type="auto"/>
            <w:gridSpan w:val="3"/>
            <w:tcMar>
              <w:top w:w="0" w:type="dxa"/>
              <w:left w:w="20" w:type="dxa"/>
              <w:bottom w:w="0" w:type="dxa"/>
              <w:right w:w="20" w:type="dxa"/>
            </w:tcMar>
            <w:vAlign w:val="center"/>
            <w:hideMark/>
          </w:tcPr>
          <w:p w14:paraId="44FD7A10"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40A01D"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4B4C62"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BE08E5"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680300" w14:textId="77777777" w:rsidR="00000000" w:rsidRDefault="009B6C69">
            <w:pPr>
              <w:spacing w:after="100"/>
              <w:rPr>
                <w:rFonts w:eastAsia="Times New Roman"/>
                <w:sz w:val="20"/>
                <w:szCs w:val="20"/>
              </w:rPr>
            </w:pPr>
          </w:p>
        </w:tc>
      </w:tr>
      <w:tr w:rsidR="00000000" w14:paraId="74D747FF" w14:textId="77777777">
        <w:trPr>
          <w:divId w:val="1722946825"/>
        </w:trPr>
        <w:tc>
          <w:tcPr>
            <w:tcW w:w="0" w:type="auto"/>
            <w:gridSpan w:val="3"/>
            <w:tcMar>
              <w:top w:w="30" w:type="dxa"/>
              <w:left w:w="20" w:type="dxa"/>
              <w:bottom w:w="30" w:type="dxa"/>
              <w:right w:w="20" w:type="dxa"/>
            </w:tcMar>
            <w:vAlign w:val="bottom"/>
            <w:hideMark/>
          </w:tcPr>
          <w:p w14:paraId="6EB3E18D" w14:textId="77777777" w:rsidR="00000000" w:rsidRDefault="009B6C69">
            <w:pPr>
              <w:spacing w:after="100"/>
              <w:jc w:val="center"/>
              <w:rPr>
                <w:rFonts w:eastAsia="Times New Roman"/>
              </w:rPr>
            </w:pPr>
            <w:r>
              <w:rPr>
                <w:rFonts w:eastAsia="Times New Roman"/>
                <w:color w:val="000000"/>
                <w:sz w:val="18"/>
                <w:szCs w:val="18"/>
              </w:rPr>
              <w:t>/s/ Mark D. McLaughlin</w:t>
            </w:r>
          </w:p>
        </w:tc>
        <w:tc>
          <w:tcPr>
            <w:tcW w:w="0" w:type="auto"/>
            <w:gridSpan w:val="3"/>
            <w:tcMar>
              <w:top w:w="0" w:type="dxa"/>
              <w:left w:w="20" w:type="dxa"/>
              <w:bottom w:w="0" w:type="dxa"/>
              <w:right w:w="20" w:type="dxa"/>
            </w:tcMar>
            <w:vAlign w:val="center"/>
            <w:hideMark/>
          </w:tcPr>
          <w:p w14:paraId="05E0CF5E"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C80076B" w14:textId="77777777" w:rsidR="00000000" w:rsidRDefault="009B6C69">
            <w:pPr>
              <w:spacing w:after="100"/>
              <w:jc w:val="center"/>
              <w:rPr>
                <w:rFonts w:eastAsia="Times New Roman"/>
              </w:rPr>
            </w:pPr>
            <w:r>
              <w:rPr>
                <w:rFonts w:eastAsia="Times New Roman"/>
                <w:color w:val="000000"/>
                <w:sz w:val="18"/>
                <w:szCs w:val="18"/>
              </w:rPr>
              <w:t>Chair of the Board</w:t>
            </w:r>
          </w:p>
        </w:tc>
        <w:tc>
          <w:tcPr>
            <w:tcW w:w="0" w:type="auto"/>
            <w:gridSpan w:val="3"/>
            <w:tcMar>
              <w:top w:w="0" w:type="dxa"/>
              <w:left w:w="20" w:type="dxa"/>
              <w:bottom w:w="0" w:type="dxa"/>
              <w:right w:w="20" w:type="dxa"/>
            </w:tcMar>
            <w:vAlign w:val="center"/>
            <w:hideMark/>
          </w:tcPr>
          <w:p w14:paraId="76A9452C"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6CF96C1" w14:textId="77777777" w:rsidR="00000000" w:rsidRDefault="009B6C69">
            <w:pPr>
              <w:spacing w:after="100"/>
              <w:jc w:val="center"/>
              <w:rPr>
                <w:rFonts w:eastAsia="Times New Roman"/>
              </w:rPr>
            </w:pPr>
            <w:r>
              <w:rPr>
                <w:rFonts w:eastAsia="Times New Roman"/>
                <w:color w:val="000000"/>
                <w:sz w:val="18"/>
                <w:szCs w:val="18"/>
              </w:rPr>
              <w:t>November 2, 2022</w:t>
            </w:r>
          </w:p>
        </w:tc>
      </w:tr>
      <w:tr w:rsidR="00000000" w14:paraId="6EA46FD8" w14:textId="77777777">
        <w:trPr>
          <w:divId w:val="1722946825"/>
        </w:trPr>
        <w:tc>
          <w:tcPr>
            <w:tcW w:w="0" w:type="auto"/>
            <w:gridSpan w:val="3"/>
            <w:tcBorders>
              <w:top w:val="single" w:sz="8" w:space="0" w:color="000000"/>
            </w:tcBorders>
            <w:tcMar>
              <w:top w:w="30" w:type="dxa"/>
              <w:left w:w="20" w:type="dxa"/>
              <w:bottom w:w="30" w:type="dxa"/>
              <w:right w:w="20" w:type="dxa"/>
            </w:tcMar>
            <w:vAlign w:val="bottom"/>
            <w:hideMark/>
          </w:tcPr>
          <w:p w14:paraId="01F1F255" w14:textId="77777777" w:rsidR="00000000" w:rsidRDefault="009B6C69">
            <w:pPr>
              <w:spacing w:after="100"/>
              <w:jc w:val="center"/>
              <w:rPr>
                <w:rFonts w:eastAsia="Times New Roman"/>
              </w:rPr>
            </w:pPr>
            <w:r>
              <w:rPr>
                <w:rFonts w:eastAsia="Times New Roman"/>
                <w:color w:val="000000"/>
                <w:sz w:val="18"/>
                <w:szCs w:val="18"/>
              </w:rPr>
              <w:t>Mark D. McLaughlin</w:t>
            </w:r>
          </w:p>
        </w:tc>
        <w:tc>
          <w:tcPr>
            <w:tcW w:w="0" w:type="auto"/>
            <w:gridSpan w:val="3"/>
            <w:tcMar>
              <w:top w:w="0" w:type="dxa"/>
              <w:left w:w="20" w:type="dxa"/>
              <w:bottom w:w="0" w:type="dxa"/>
              <w:right w:w="20" w:type="dxa"/>
            </w:tcMar>
            <w:vAlign w:val="center"/>
            <w:hideMark/>
          </w:tcPr>
          <w:p w14:paraId="39EA618C" w14:textId="77777777" w:rsidR="00000000" w:rsidRDefault="009B6C6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FAD1A51"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D779D4"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69A325" w14:textId="77777777" w:rsidR="00000000" w:rsidRDefault="009B6C69">
            <w:pPr>
              <w:spacing w:after="100"/>
              <w:rPr>
                <w:rFonts w:eastAsia="Times New Roman"/>
                <w:sz w:val="20"/>
                <w:szCs w:val="20"/>
              </w:rPr>
            </w:pPr>
          </w:p>
        </w:tc>
      </w:tr>
      <w:tr w:rsidR="00000000" w14:paraId="35D8870E" w14:textId="77777777">
        <w:trPr>
          <w:divId w:val="1722946825"/>
          <w:trHeight w:val="240"/>
        </w:trPr>
        <w:tc>
          <w:tcPr>
            <w:tcW w:w="0" w:type="auto"/>
            <w:gridSpan w:val="3"/>
            <w:tcMar>
              <w:top w:w="0" w:type="dxa"/>
              <w:left w:w="20" w:type="dxa"/>
              <w:bottom w:w="0" w:type="dxa"/>
              <w:right w:w="20" w:type="dxa"/>
            </w:tcMar>
            <w:vAlign w:val="center"/>
            <w:hideMark/>
          </w:tcPr>
          <w:p w14:paraId="3563B485"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112051"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11A0A3"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4C658E"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E0D857" w14:textId="77777777" w:rsidR="00000000" w:rsidRDefault="009B6C69">
            <w:pPr>
              <w:spacing w:after="100"/>
              <w:rPr>
                <w:rFonts w:eastAsia="Times New Roman"/>
                <w:sz w:val="20"/>
                <w:szCs w:val="20"/>
              </w:rPr>
            </w:pPr>
          </w:p>
        </w:tc>
      </w:tr>
      <w:tr w:rsidR="00000000" w14:paraId="2E34E262" w14:textId="77777777">
        <w:trPr>
          <w:divId w:val="1722946825"/>
        </w:trPr>
        <w:tc>
          <w:tcPr>
            <w:tcW w:w="0" w:type="auto"/>
            <w:gridSpan w:val="3"/>
            <w:tcMar>
              <w:top w:w="30" w:type="dxa"/>
              <w:left w:w="20" w:type="dxa"/>
              <w:bottom w:w="30" w:type="dxa"/>
              <w:right w:w="20" w:type="dxa"/>
            </w:tcMar>
            <w:vAlign w:val="bottom"/>
            <w:hideMark/>
          </w:tcPr>
          <w:p w14:paraId="4EC1EAE5" w14:textId="77777777" w:rsidR="00000000" w:rsidRDefault="009B6C69">
            <w:pPr>
              <w:spacing w:after="100"/>
              <w:jc w:val="center"/>
              <w:rPr>
                <w:rFonts w:eastAsia="Times New Roman"/>
              </w:rPr>
            </w:pPr>
            <w:r>
              <w:rPr>
                <w:rFonts w:eastAsia="Times New Roman"/>
                <w:color w:val="000000"/>
                <w:sz w:val="18"/>
                <w:szCs w:val="18"/>
              </w:rPr>
              <w:t>/s/ Jamie S. Miller</w:t>
            </w:r>
          </w:p>
        </w:tc>
        <w:tc>
          <w:tcPr>
            <w:tcW w:w="0" w:type="auto"/>
            <w:gridSpan w:val="3"/>
            <w:tcMar>
              <w:top w:w="0" w:type="dxa"/>
              <w:left w:w="20" w:type="dxa"/>
              <w:bottom w:w="0" w:type="dxa"/>
              <w:right w:w="20" w:type="dxa"/>
            </w:tcMar>
            <w:vAlign w:val="center"/>
            <w:hideMark/>
          </w:tcPr>
          <w:p w14:paraId="005D1F9F"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F92D4BB" w14:textId="77777777" w:rsidR="00000000" w:rsidRDefault="009B6C69">
            <w:pPr>
              <w:spacing w:after="100"/>
              <w:jc w:val="cente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14:paraId="0EF7C5BB"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26956D4" w14:textId="77777777" w:rsidR="00000000" w:rsidRDefault="009B6C69">
            <w:pPr>
              <w:spacing w:after="100"/>
              <w:jc w:val="center"/>
              <w:rPr>
                <w:rFonts w:eastAsia="Times New Roman"/>
              </w:rPr>
            </w:pPr>
            <w:r>
              <w:rPr>
                <w:rFonts w:eastAsia="Times New Roman"/>
                <w:color w:val="000000"/>
                <w:sz w:val="18"/>
                <w:szCs w:val="18"/>
              </w:rPr>
              <w:t>November 2, 2022</w:t>
            </w:r>
          </w:p>
        </w:tc>
      </w:tr>
      <w:tr w:rsidR="00000000" w14:paraId="19CFDFCB" w14:textId="77777777">
        <w:trPr>
          <w:divId w:val="1722946825"/>
        </w:trPr>
        <w:tc>
          <w:tcPr>
            <w:tcW w:w="0" w:type="auto"/>
            <w:gridSpan w:val="3"/>
            <w:tcBorders>
              <w:top w:val="single" w:sz="8" w:space="0" w:color="000000"/>
            </w:tcBorders>
            <w:tcMar>
              <w:top w:w="30" w:type="dxa"/>
              <w:left w:w="20" w:type="dxa"/>
              <w:bottom w:w="30" w:type="dxa"/>
              <w:right w:w="20" w:type="dxa"/>
            </w:tcMar>
            <w:vAlign w:val="bottom"/>
            <w:hideMark/>
          </w:tcPr>
          <w:p w14:paraId="3DDD8DB6" w14:textId="77777777" w:rsidR="00000000" w:rsidRDefault="009B6C69">
            <w:pPr>
              <w:spacing w:after="100"/>
              <w:jc w:val="center"/>
              <w:rPr>
                <w:rFonts w:eastAsia="Times New Roman"/>
              </w:rPr>
            </w:pPr>
            <w:r>
              <w:rPr>
                <w:rFonts w:eastAsia="Times New Roman"/>
                <w:color w:val="000000"/>
                <w:sz w:val="18"/>
                <w:szCs w:val="18"/>
              </w:rPr>
              <w:t>Jamie S. Miller</w:t>
            </w:r>
          </w:p>
        </w:tc>
        <w:tc>
          <w:tcPr>
            <w:tcW w:w="0" w:type="auto"/>
            <w:gridSpan w:val="3"/>
            <w:tcMar>
              <w:top w:w="0" w:type="dxa"/>
              <w:left w:w="20" w:type="dxa"/>
              <w:bottom w:w="0" w:type="dxa"/>
              <w:right w:w="20" w:type="dxa"/>
            </w:tcMar>
            <w:vAlign w:val="center"/>
            <w:hideMark/>
          </w:tcPr>
          <w:p w14:paraId="77925D39" w14:textId="77777777" w:rsidR="00000000" w:rsidRDefault="009B6C6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50F594E"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E1DA14"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781BD1" w14:textId="77777777" w:rsidR="00000000" w:rsidRDefault="009B6C69">
            <w:pPr>
              <w:spacing w:after="100"/>
              <w:rPr>
                <w:rFonts w:eastAsia="Times New Roman"/>
                <w:sz w:val="20"/>
                <w:szCs w:val="20"/>
              </w:rPr>
            </w:pPr>
          </w:p>
        </w:tc>
      </w:tr>
      <w:tr w:rsidR="00000000" w14:paraId="0F878DC9" w14:textId="77777777">
        <w:trPr>
          <w:divId w:val="1722946825"/>
        </w:trPr>
        <w:tc>
          <w:tcPr>
            <w:tcW w:w="0" w:type="auto"/>
            <w:gridSpan w:val="3"/>
            <w:tcMar>
              <w:top w:w="30" w:type="dxa"/>
              <w:left w:w="20" w:type="dxa"/>
              <w:bottom w:w="30" w:type="dxa"/>
              <w:right w:w="20" w:type="dxa"/>
            </w:tcMar>
            <w:vAlign w:val="bottom"/>
            <w:hideMark/>
          </w:tcPr>
          <w:p w14:paraId="56C9316E" w14:textId="77777777" w:rsidR="00000000" w:rsidRDefault="009B6C69">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7F7A3C1F"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F617870" w14:textId="77777777" w:rsidR="00000000" w:rsidRDefault="009B6C69">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295607E0"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478F623" w14:textId="77777777" w:rsidR="00000000" w:rsidRDefault="009B6C69">
            <w:pPr>
              <w:spacing w:after="100"/>
              <w:jc w:val="center"/>
              <w:rPr>
                <w:rFonts w:eastAsia="Times New Roman"/>
              </w:rPr>
            </w:pPr>
            <w:r>
              <w:rPr>
                <w:rFonts w:eastAsia="Times New Roman"/>
                <w:color w:val="000000"/>
                <w:sz w:val="18"/>
                <w:szCs w:val="18"/>
              </w:rPr>
              <w:t> </w:t>
            </w:r>
          </w:p>
        </w:tc>
      </w:tr>
      <w:tr w:rsidR="00000000" w14:paraId="0B47ABFF" w14:textId="77777777">
        <w:trPr>
          <w:divId w:val="1722946825"/>
        </w:trPr>
        <w:tc>
          <w:tcPr>
            <w:tcW w:w="0" w:type="auto"/>
            <w:gridSpan w:val="3"/>
            <w:tcMar>
              <w:top w:w="30" w:type="dxa"/>
              <w:left w:w="20" w:type="dxa"/>
              <w:bottom w:w="30" w:type="dxa"/>
              <w:right w:w="20" w:type="dxa"/>
            </w:tcMar>
            <w:vAlign w:val="bottom"/>
            <w:hideMark/>
          </w:tcPr>
          <w:p w14:paraId="5E570F2A" w14:textId="77777777" w:rsidR="00000000" w:rsidRDefault="009B6C69">
            <w:pPr>
              <w:spacing w:after="100"/>
              <w:jc w:val="center"/>
              <w:rPr>
                <w:rFonts w:eastAsia="Times New Roman"/>
              </w:rPr>
            </w:pPr>
            <w:r>
              <w:rPr>
                <w:rFonts w:eastAsia="Times New Roman"/>
                <w:color w:val="000000"/>
                <w:sz w:val="18"/>
                <w:szCs w:val="18"/>
              </w:rPr>
              <w:t>/s/ Irene B. Rosenfeld</w:t>
            </w:r>
          </w:p>
        </w:tc>
        <w:tc>
          <w:tcPr>
            <w:tcW w:w="0" w:type="auto"/>
            <w:gridSpan w:val="3"/>
            <w:tcMar>
              <w:top w:w="0" w:type="dxa"/>
              <w:left w:w="20" w:type="dxa"/>
              <w:bottom w:w="0" w:type="dxa"/>
              <w:right w:w="20" w:type="dxa"/>
            </w:tcMar>
            <w:vAlign w:val="center"/>
            <w:hideMark/>
          </w:tcPr>
          <w:p w14:paraId="4CEDB279"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5E49B3B" w14:textId="77777777" w:rsidR="00000000" w:rsidRDefault="009B6C69">
            <w:pPr>
              <w:spacing w:after="100"/>
              <w:jc w:val="cente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14:paraId="3E240704"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72E0377" w14:textId="77777777" w:rsidR="00000000" w:rsidRDefault="009B6C69">
            <w:pPr>
              <w:spacing w:after="100"/>
              <w:jc w:val="center"/>
              <w:rPr>
                <w:rFonts w:eastAsia="Times New Roman"/>
              </w:rPr>
            </w:pPr>
            <w:r>
              <w:rPr>
                <w:rFonts w:eastAsia="Times New Roman"/>
                <w:color w:val="000000"/>
                <w:sz w:val="18"/>
                <w:szCs w:val="18"/>
              </w:rPr>
              <w:t>November 2, 2022</w:t>
            </w:r>
          </w:p>
        </w:tc>
      </w:tr>
      <w:tr w:rsidR="00000000" w14:paraId="05E8CA42" w14:textId="77777777">
        <w:trPr>
          <w:divId w:val="1722946825"/>
        </w:trPr>
        <w:tc>
          <w:tcPr>
            <w:tcW w:w="0" w:type="auto"/>
            <w:gridSpan w:val="3"/>
            <w:tcBorders>
              <w:top w:val="single" w:sz="8" w:space="0" w:color="000000"/>
            </w:tcBorders>
            <w:tcMar>
              <w:top w:w="30" w:type="dxa"/>
              <w:left w:w="20" w:type="dxa"/>
              <w:bottom w:w="30" w:type="dxa"/>
              <w:right w:w="20" w:type="dxa"/>
            </w:tcMar>
            <w:vAlign w:val="bottom"/>
            <w:hideMark/>
          </w:tcPr>
          <w:p w14:paraId="579E1F37" w14:textId="77777777" w:rsidR="00000000" w:rsidRDefault="009B6C69">
            <w:pPr>
              <w:spacing w:after="100"/>
              <w:jc w:val="center"/>
              <w:rPr>
                <w:rFonts w:eastAsia="Times New Roman"/>
              </w:rPr>
            </w:pPr>
            <w:r>
              <w:rPr>
                <w:rFonts w:eastAsia="Times New Roman"/>
                <w:color w:val="000000"/>
                <w:sz w:val="18"/>
                <w:szCs w:val="18"/>
              </w:rPr>
              <w:t>Irene B. Rosenfeld</w:t>
            </w:r>
          </w:p>
        </w:tc>
        <w:tc>
          <w:tcPr>
            <w:tcW w:w="0" w:type="auto"/>
            <w:gridSpan w:val="3"/>
            <w:tcMar>
              <w:top w:w="0" w:type="dxa"/>
              <w:left w:w="20" w:type="dxa"/>
              <w:bottom w:w="0" w:type="dxa"/>
              <w:right w:w="20" w:type="dxa"/>
            </w:tcMar>
            <w:vAlign w:val="center"/>
            <w:hideMark/>
          </w:tcPr>
          <w:p w14:paraId="6820690E" w14:textId="77777777" w:rsidR="00000000" w:rsidRDefault="009B6C6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E6B2364"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397CFC"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7C983A" w14:textId="77777777" w:rsidR="00000000" w:rsidRDefault="009B6C69">
            <w:pPr>
              <w:spacing w:after="100"/>
              <w:rPr>
                <w:rFonts w:eastAsia="Times New Roman"/>
                <w:sz w:val="20"/>
                <w:szCs w:val="20"/>
              </w:rPr>
            </w:pPr>
          </w:p>
        </w:tc>
      </w:tr>
      <w:tr w:rsidR="00000000" w14:paraId="6CA32C3F" w14:textId="77777777">
        <w:trPr>
          <w:divId w:val="1722946825"/>
          <w:trHeight w:val="240"/>
        </w:trPr>
        <w:tc>
          <w:tcPr>
            <w:tcW w:w="0" w:type="auto"/>
            <w:gridSpan w:val="3"/>
            <w:tcMar>
              <w:top w:w="0" w:type="dxa"/>
              <w:left w:w="20" w:type="dxa"/>
              <w:bottom w:w="0" w:type="dxa"/>
              <w:right w:w="20" w:type="dxa"/>
            </w:tcMar>
            <w:vAlign w:val="center"/>
            <w:hideMark/>
          </w:tcPr>
          <w:p w14:paraId="4EA3E9A4"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47241B"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40C606"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F9A015"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7F2B0C" w14:textId="77777777" w:rsidR="00000000" w:rsidRDefault="009B6C69">
            <w:pPr>
              <w:spacing w:after="100"/>
              <w:rPr>
                <w:rFonts w:eastAsia="Times New Roman"/>
                <w:sz w:val="20"/>
                <w:szCs w:val="20"/>
              </w:rPr>
            </w:pPr>
          </w:p>
        </w:tc>
      </w:tr>
      <w:tr w:rsidR="00000000" w14:paraId="74201E28" w14:textId="77777777">
        <w:trPr>
          <w:divId w:val="1722946825"/>
        </w:trPr>
        <w:tc>
          <w:tcPr>
            <w:tcW w:w="0" w:type="auto"/>
            <w:gridSpan w:val="3"/>
            <w:tcMar>
              <w:top w:w="30" w:type="dxa"/>
              <w:left w:w="20" w:type="dxa"/>
              <w:bottom w:w="30" w:type="dxa"/>
              <w:right w:w="20" w:type="dxa"/>
            </w:tcMar>
            <w:vAlign w:val="bottom"/>
            <w:hideMark/>
          </w:tcPr>
          <w:p w14:paraId="4AE55244" w14:textId="77777777" w:rsidR="00000000" w:rsidRDefault="009B6C69">
            <w:pPr>
              <w:spacing w:after="100"/>
              <w:jc w:val="center"/>
              <w:rPr>
                <w:rFonts w:eastAsia="Times New Roman"/>
              </w:rPr>
            </w:pPr>
            <w:r>
              <w:rPr>
                <w:rFonts w:eastAsia="Times New Roman"/>
                <w:color w:val="000000"/>
                <w:sz w:val="18"/>
                <w:szCs w:val="18"/>
              </w:rPr>
              <w:t>/s/ Kornelis (Neil) Smit</w:t>
            </w:r>
          </w:p>
        </w:tc>
        <w:tc>
          <w:tcPr>
            <w:tcW w:w="0" w:type="auto"/>
            <w:gridSpan w:val="3"/>
            <w:tcMar>
              <w:top w:w="0" w:type="dxa"/>
              <w:left w:w="20" w:type="dxa"/>
              <w:bottom w:w="0" w:type="dxa"/>
              <w:right w:w="20" w:type="dxa"/>
            </w:tcMar>
            <w:vAlign w:val="center"/>
            <w:hideMark/>
          </w:tcPr>
          <w:p w14:paraId="5A91CB66"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634F9F3" w14:textId="77777777" w:rsidR="00000000" w:rsidRDefault="009B6C69">
            <w:pPr>
              <w:spacing w:after="100"/>
              <w:jc w:val="cente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14:paraId="59659659"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945C194" w14:textId="77777777" w:rsidR="00000000" w:rsidRDefault="009B6C69">
            <w:pPr>
              <w:spacing w:after="100"/>
              <w:jc w:val="center"/>
              <w:rPr>
                <w:rFonts w:eastAsia="Times New Roman"/>
              </w:rPr>
            </w:pPr>
            <w:r>
              <w:rPr>
                <w:rFonts w:eastAsia="Times New Roman"/>
                <w:color w:val="000000"/>
                <w:sz w:val="18"/>
                <w:szCs w:val="18"/>
              </w:rPr>
              <w:t>November 2, 2022</w:t>
            </w:r>
          </w:p>
        </w:tc>
      </w:tr>
      <w:tr w:rsidR="00000000" w14:paraId="5042FE19" w14:textId="77777777">
        <w:trPr>
          <w:divId w:val="1722946825"/>
        </w:trPr>
        <w:tc>
          <w:tcPr>
            <w:tcW w:w="0" w:type="auto"/>
            <w:gridSpan w:val="3"/>
            <w:tcBorders>
              <w:top w:val="single" w:sz="8" w:space="0" w:color="000000"/>
            </w:tcBorders>
            <w:tcMar>
              <w:top w:w="30" w:type="dxa"/>
              <w:left w:w="20" w:type="dxa"/>
              <w:bottom w:w="30" w:type="dxa"/>
              <w:right w:w="20" w:type="dxa"/>
            </w:tcMar>
            <w:vAlign w:val="bottom"/>
            <w:hideMark/>
          </w:tcPr>
          <w:p w14:paraId="0F31EB1B" w14:textId="77777777" w:rsidR="00000000" w:rsidRDefault="009B6C69">
            <w:pPr>
              <w:spacing w:after="100"/>
              <w:jc w:val="center"/>
              <w:rPr>
                <w:rFonts w:eastAsia="Times New Roman"/>
              </w:rPr>
            </w:pPr>
            <w:r>
              <w:rPr>
                <w:rFonts w:eastAsia="Times New Roman"/>
                <w:color w:val="000000"/>
                <w:sz w:val="18"/>
                <w:szCs w:val="18"/>
              </w:rPr>
              <w:t>Kornelis (Neil) Smit</w:t>
            </w:r>
          </w:p>
        </w:tc>
        <w:tc>
          <w:tcPr>
            <w:tcW w:w="0" w:type="auto"/>
            <w:gridSpan w:val="3"/>
            <w:tcMar>
              <w:top w:w="0" w:type="dxa"/>
              <w:left w:w="20" w:type="dxa"/>
              <w:bottom w:w="0" w:type="dxa"/>
              <w:right w:w="20" w:type="dxa"/>
            </w:tcMar>
            <w:vAlign w:val="center"/>
            <w:hideMark/>
          </w:tcPr>
          <w:p w14:paraId="091526FB" w14:textId="77777777" w:rsidR="00000000" w:rsidRDefault="009B6C6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B851931"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243483"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FF328C" w14:textId="77777777" w:rsidR="00000000" w:rsidRDefault="009B6C69">
            <w:pPr>
              <w:spacing w:after="100"/>
              <w:rPr>
                <w:rFonts w:eastAsia="Times New Roman"/>
                <w:sz w:val="20"/>
                <w:szCs w:val="20"/>
              </w:rPr>
            </w:pPr>
          </w:p>
        </w:tc>
      </w:tr>
      <w:tr w:rsidR="00000000" w14:paraId="0FAB365D" w14:textId="77777777">
        <w:trPr>
          <w:divId w:val="1722946825"/>
          <w:trHeight w:val="240"/>
        </w:trPr>
        <w:tc>
          <w:tcPr>
            <w:tcW w:w="0" w:type="auto"/>
            <w:gridSpan w:val="3"/>
            <w:tcMar>
              <w:top w:w="0" w:type="dxa"/>
              <w:left w:w="20" w:type="dxa"/>
              <w:bottom w:w="0" w:type="dxa"/>
              <w:right w:w="20" w:type="dxa"/>
            </w:tcMar>
            <w:vAlign w:val="center"/>
            <w:hideMark/>
          </w:tcPr>
          <w:p w14:paraId="351AEBBC"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D25F4A"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9E8B79"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5988E2"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E51D8B" w14:textId="77777777" w:rsidR="00000000" w:rsidRDefault="009B6C69">
            <w:pPr>
              <w:spacing w:after="100"/>
              <w:rPr>
                <w:rFonts w:eastAsia="Times New Roman"/>
                <w:sz w:val="20"/>
                <w:szCs w:val="20"/>
              </w:rPr>
            </w:pPr>
          </w:p>
        </w:tc>
      </w:tr>
      <w:tr w:rsidR="00000000" w14:paraId="58218DA3" w14:textId="77777777">
        <w:trPr>
          <w:divId w:val="1722946825"/>
        </w:trPr>
        <w:tc>
          <w:tcPr>
            <w:tcW w:w="0" w:type="auto"/>
            <w:gridSpan w:val="3"/>
            <w:tcMar>
              <w:top w:w="30" w:type="dxa"/>
              <w:left w:w="20" w:type="dxa"/>
              <w:bottom w:w="30" w:type="dxa"/>
              <w:right w:w="20" w:type="dxa"/>
            </w:tcMar>
            <w:vAlign w:val="bottom"/>
            <w:hideMark/>
          </w:tcPr>
          <w:p w14:paraId="36515199" w14:textId="77777777" w:rsidR="00000000" w:rsidRDefault="009B6C69">
            <w:pPr>
              <w:spacing w:after="100"/>
              <w:jc w:val="center"/>
              <w:rPr>
                <w:rFonts w:eastAsia="Times New Roman"/>
              </w:rPr>
            </w:pPr>
            <w:r>
              <w:rPr>
                <w:rFonts w:eastAsia="Times New Roman"/>
                <w:color w:val="000000"/>
                <w:sz w:val="18"/>
                <w:szCs w:val="18"/>
              </w:rPr>
              <w:t>/s/ Jean-Pascal Tricoire</w:t>
            </w:r>
          </w:p>
        </w:tc>
        <w:tc>
          <w:tcPr>
            <w:tcW w:w="0" w:type="auto"/>
            <w:gridSpan w:val="3"/>
            <w:tcMar>
              <w:top w:w="0" w:type="dxa"/>
              <w:left w:w="20" w:type="dxa"/>
              <w:bottom w:w="0" w:type="dxa"/>
              <w:right w:w="20" w:type="dxa"/>
            </w:tcMar>
            <w:vAlign w:val="center"/>
            <w:hideMark/>
          </w:tcPr>
          <w:p w14:paraId="68B41CD1"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0C26DA4" w14:textId="77777777" w:rsidR="00000000" w:rsidRDefault="009B6C69">
            <w:pPr>
              <w:spacing w:after="100"/>
              <w:jc w:val="cente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14:paraId="1DF5261D"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0C3F1D6" w14:textId="77777777" w:rsidR="00000000" w:rsidRDefault="009B6C69">
            <w:pPr>
              <w:spacing w:after="100"/>
              <w:jc w:val="center"/>
              <w:rPr>
                <w:rFonts w:eastAsia="Times New Roman"/>
              </w:rPr>
            </w:pPr>
            <w:r>
              <w:rPr>
                <w:rFonts w:eastAsia="Times New Roman"/>
                <w:color w:val="000000"/>
                <w:sz w:val="18"/>
                <w:szCs w:val="18"/>
              </w:rPr>
              <w:t>November 2, 2022</w:t>
            </w:r>
          </w:p>
        </w:tc>
      </w:tr>
      <w:tr w:rsidR="00000000" w14:paraId="7440CA32" w14:textId="77777777">
        <w:trPr>
          <w:divId w:val="1722946825"/>
        </w:trPr>
        <w:tc>
          <w:tcPr>
            <w:tcW w:w="0" w:type="auto"/>
            <w:gridSpan w:val="3"/>
            <w:tcBorders>
              <w:top w:val="single" w:sz="8" w:space="0" w:color="000000"/>
            </w:tcBorders>
            <w:tcMar>
              <w:top w:w="30" w:type="dxa"/>
              <w:left w:w="20" w:type="dxa"/>
              <w:bottom w:w="30" w:type="dxa"/>
              <w:right w:w="20" w:type="dxa"/>
            </w:tcMar>
            <w:vAlign w:val="bottom"/>
            <w:hideMark/>
          </w:tcPr>
          <w:p w14:paraId="1A437976" w14:textId="77777777" w:rsidR="00000000" w:rsidRDefault="009B6C69">
            <w:pPr>
              <w:spacing w:after="100"/>
              <w:jc w:val="center"/>
              <w:rPr>
                <w:rFonts w:eastAsia="Times New Roman"/>
              </w:rPr>
            </w:pPr>
            <w:r>
              <w:rPr>
                <w:rFonts w:eastAsia="Times New Roman"/>
                <w:color w:val="000000"/>
                <w:sz w:val="18"/>
                <w:szCs w:val="18"/>
              </w:rPr>
              <w:t>Jean-Pascal Tricoire</w:t>
            </w:r>
          </w:p>
        </w:tc>
        <w:tc>
          <w:tcPr>
            <w:tcW w:w="0" w:type="auto"/>
            <w:gridSpan w:val="3"/>
            <w:tcMar>
              <w:top w:w="0" w:type="dxa"/>
              <w:left w:w="20" w:type="dxa"/>
              <w:bottom w:w="0" w:type="dxa"/>
              <w:right w:w="20" w:type="dxa"/>
            </w:tcMar>
            <w:vAlign w:val="center"/>
            <w:hideMark/>
          </w:tcPr>
          <w:p w14:paraId="29977624" w14:textId="77777777" w:rsidR="00000000" w:rsidRDefault="009B6C6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29C077D"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D81A08"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6B73A8" w14:textId="77777777" w:rsidR="00000000" w:rsidRDefault="009B6C69">
            <w:pPr>
              <w:spacing w:after="100"/>
              <w:rPr>
                <w:rFonts w:eastAsia="Times New Roman"/>
                <w:sz w:val="20"/>
                <w:szCs w:val="20"/>
              </w:rPr>
            </w:pPr>
          </w:p>
        </w:tc>
      </w:tr>
      <w:tr w:rsidR="00000000" w14:paraId="513BB307" w14:textId="77777777">
        <w:trPr>
          <w:divId w:val="1722946825"/>
        </w:trPr>
        <w:tc>
          <w:tcPr>
            <w:tcW w:w="0" w:type="auto"/>
            <w:gridSpan w:val="3"/>
            <w:tcMar>
              <w:top w:w="30" w:type="dxa"/>
              <w:left w:w="20" w:type="dxa"/>
              <w:bottom w:w="30" w:type="dxa"/>
              <w:right w:w="20" w:type="dxa"/>
            </w:tcMar>
            <w:vAlign w:val="bottom"/>
            <w:hideMark/>
          </w:tcPr>
          <w:p w14:paraId="7499DC05" w14:textId="77777777" w:rsidR="00000000" w:rsidRDefault="009B6C69">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4D9A8F65"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D7BFEF7" w14:textId="77777777" w:rsidR="00000000" w:rsidRDefault="009B6C69">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58F12B70"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71C3C22" w14:textId="77777777" w:rsidR="00000000" w:rsidRDefault="009B6C69">
            <w:pPr>
              <w:spacing w:after="100"/>
              <w:jc w:val="center"/>
              <w:rPr>
                <w:rFonts w:eastAsia="Times New Roman"/>
              </w:rPr>
            </w:pPr>
            <w:r>
              <w:rPr>
                <w:rFonts w:eastAsia="Times New Roman"/>
                <w:color w:val="000000"/>
                <w:sz w:val="18"/>
                <w:szCs w:val="18"/>
              </w:rPr>
              <w:t> </w:t>
            </w:r>
          </w:p>
        </w:tc>
      </w:tr>
      <w:tr w:rsidR="00000000" w14:paraId="5D919404" w14:textId="77777777">
        <w:trPr>
          <w:divId w:val="1722946825"/>
        </w:trPr>
        <w:tc>
          <w:tcPr>
            <w:tcW w:w="0" w:type="auto"/>
            <w:gridSpan w:val="3"/>
            <w:tcMar>
              <w:top w:w="30" w:type="dxa"/>
              <w:left w:w="20" w:type="dxa"/>
              <w:bottom w:w="30" w:type="dxa"/>
              <w:right w:w="20" w:type="dxa"/>
            </w:tcMar>
            <w:vAlign w:val="bottom"/>
            <w:hideMark/>
          </w:tcPr>
          <w:p w14:paraId="7A4FE2BD" w14:textId="77777777" w:rsidR="00000000" w:rsidRDefault="009B6C69">
            <w:pPr>
              <w:spacing w:after="100"/>
              <w:jc w:val="center"/>
              <w:rPr>
                <w:rFonts w:eastAsia="Times New Roman"/>
              </w:rPr>
            </w:pPr>
            <w:r>
              <w:rPr>
                <w:rFonts w:eastAsia="Times New Roman"/>
                <w:color w:val="000000"/>
                <w:sz w:val="18"/>
                <w:szCs w:val="18"/>
              </w:rPr>
              <w:t>/s/ Anthony J. Vinciquerra</w:t>
            </w:r>
          </w:p>
        </w:tc>
        <w:tc>
          <w:tcPr>
            <w:tcW w:w="0" w:type="auto"/>
            <w:gridSpan w:val="3"/>
            <w:tcMar>
              <w:top w:w="0" w:type="dxa"/>
              <w:left w:w="20" w:type="dxa"/>
              <w:bottom w:w="0" w:type="dxa"/>
              <w:right w:w="20" w:type="dxa"/>
            </w:tcMar>
            <w:vAlign w:val="center"/>
            <w:hideMark/>
          </w:tcPr>
          <w:p w14:paraId="65BA6CA3"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BE68C58" w14:textId="77777777" w:rsidR="00000000" w:rsidRDefault="009B6C69">
            <w:pPr>
              <w:spacing w:after="100"/>
              <w:jc w:val="cente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14:paraId="16A2F1B9"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4201350" w14:textId="77777777" w:rsidR="00000000" w:rsidRDefault="009B6C69">
            <w:pPr>
              <w:spacing w:after="100"/>
              <w:jc w:val="center"/>
              <w:rPr>
                <w:rFonts w:eastAsia="Times New Roman"/>
              </w:rPr>
            </w:pPr>
            <w:r>
              <w:rPr>
                <w:rFonts w:eastAsia="Times New Roman"/>
                <w:color w:val="000000"/>
                <w:sz w:val="18"/>
                <w:szCs w:val="18"/>
              </w:rPr>
              <w:t>November 2, 2022</w:t>
            </w:r>
          </w:p>
        </w:tc>
      </w:tr>
      <w:tr w:rsidR="00000000" w14:paraId="340DAD77" w14:textId="77777777">
        <w:trPr>
          <w:divId w:val="1722946825"/>
        </w:trPr>
        <w:tc>
          <w:tcPr>
            <w:tcW w:w="0" w:type="auto"/>
            <w:gridSpan w:val="3"/>
            <w:tcBorders>
              <w:top w:val="single" w:sz="8" w:space="0" w:color="000000"/>
            </w:tcBorders>
            <w:tcMar>
              <w:top w:w="30" w:type="dxa"/>
              <w:left w:w="20" w:type="dxa"/>
              <w:bottom w:w="30" w:type="dxa"/>
              <w:right w:w="20" w:type="dxa"/>
            </w:tcMar>
            <w:vAlign w:val="bottom"/>
            <w:hideMark/>
          </w:tcPr>
          <w:p w14:paraId="34E840E2" w14:textId="77777777" w:rsidR="00000000" w:rsidRDefault="009B6C69">
            <w:pPr>
              <w:spacing w:after="100"/>
              <w:jc w:val="center"/>
              <w:rPr>
                <w:rFonts w:eastAsia="Times New Roman"/>
              </w:rPr>
            </w:pPr>
            <w:r>
              <w:rPr>
                <w:rFonts w:eastAsia="Times New Roman"/>
                <w:color w:val="000000"/>
                <w:sz w:val="18"/>
                <w:szCs w:val="18"/>
              </w:rPr>
              <w:t>Anthony J. Vinciquerra</w:t>
            </w:r>
          </w:p>
        </w:tc>
        <w:tc>
          <w:tcPr>
            <w:tcW w:w="0" w:type="auto"/>
            <w:gridSpan w:val="3"/>
            <w:tcMar>
              <w:top w:w="0" w:type="dxa"/>
              <w:left w:w="20" w:type="dxa"/>
              <w:bottom w:w="0" w:type="dxa"/>
              <w:right w:w="20" w:type="dxa"/>
            </w:tcMar>
            <w:vAlign w:val="center"/>
            <w:hideMark/>
          </w:tcPr>
          <w:p w14:paraId="4D0DF95D" w14:textId="77777777" w:rsidR="00000000" w:rsidRDefault="009B6C6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C2447C4"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E20206"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744F29" w14:textId="77777777" w:rsidR="00000000" w:rsidRDefault="009B6C69">
            <w:pPr>
              <w:spacing w:after="100"/>
              <w:rPr>
                <w:rFonts w:eastAsia="Times New Roman"/>
                <w:sz w:val="20"/>
                <w:szCs w:val="20"/>
              </w:rPr>
            </w:pPr>
          </w:p>
        </w:tc>
      </w:tr>
      <w:tr w:rsidR="00000000" w14:paraId="209F5ACE" w14:textId="77777777">
        <w:trPr>
          <w:divId w:val="1722946825"/>
          <w:trHeight w:val="240"/>
        </w:trPr>
        <w:tc>
          <w:tcPr>
            <w:tcW w:w="0" w:type="auto"/>
            <w:gridSpan w:val="3"/>
            <w:tcMar>
              <w:top w:w="0" w:type="dxa"/>
              <w:left w:w="20" w:type="dxa"/>
              <w:bottom w:w="0" w:type="dxa"/>
              <w:right w:w="20" w:type="dxa"/>
            </w:tcMar>
            <w:vAlign w:val="center"/>
            <w:hideMark/>
          </w:tcPr>
          <w:p w14:paraId="0BC47258"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6351B8"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42B8B7"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B51926"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92AA63" w14:textId="77777777" w:rsidR="00000000" w:rsidRDefault="009B6C69">
            <w:pPr>
              <w:spacing w:after="100"/>
              <w:rPr>
                <w:rFonts w:eastAsia="Times New Roman"/>
                <w:sz w:val="20"/>
                <w:szCs w:val="20"/>
              </w:rPr>
            </w:pPr>
          </w:p>
        </w:tc>
      </w:tr>
      <w:tr w:rsidR="00000000" w14:paraId="160015F3" w14:textId="77777777">
        <w:trPr>
          <w:divId w:val="1722946825"/>
          <w:trHeight w:val="240"/>
        </w:trPr>
        <w:tc>
          <w:tcPr>
            <w:tcW w:w="0" w:type="auto"/>
            <w:gridSpan w:val="3"/>
            <w:tcMar>
              <w:top w:w="0" w:type="dxa"/>
              <w:left w:w="20" w:type="dxa"/>
              <w:bottom w:w="0" w:type="dxa"/>
              <w:right w:w="20" w:type="dxa"/>
            </w:tcMar>
            <w:vAlign w:val="center"/>
            <w:hideMark/>
          </w:tcPr>
          <w:p w14:paraId="1C6B4537"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4B012E"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793661"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27D398"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ED5C6F" w14:textId="77777777" w:rsidR="00000000" w:rsidRDefault="009B6C69">
            <w:pPr>
              <w:spacing w:after="100"/>
              <w:rPr>
                <w:rFonts w:eastAsia="Times New Roman"/>
                <w:sz w:val="20"/>
                <w:szCs w:val="20"/>
              </w:rPr>
            </w:pPr>
          </w:p>
        </w:tc>
      </w:tr>
      <w:tr w:rsidR="00000000" w14:paraId="2797F89C" w14:textId="77777777">
        <w:trPr>
          <w:divId w:val="1722946825"/>
          <w:trHeight w:val="240"/>
        </w:trPr>
        <w:tc>
          <w:tcPr>
            <w:tcW w:w="0" w:type="auto"/>
            <w:gridSpan w:val="3"/>
            <w:tcMar>
              <w:top w:w="0" w:type="dxa"/>
              <w:left w:w="20" w:type="dxa"/>
              <w:bottom w:w="0" w:type="dxa"/>
              <w:right w:w="20" w:type="dxa"/>
            </w:tcMar>
            <w:vAlign w:val="center"/>
            <w:hideMark/>
          </w:tcPr>
          <w:p w14:paraId="1C56B610"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9352C9"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DBD418"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6465D9"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A41A75" w14:textId="77777777" w:rsidR="00000000" w:rsidRDefault="009B6C69">
            <w:pPr>
              <w:spacing w:after="100"/>
              <w:rPr>
                <w:rFonts w:eastAsia="Times New Roman"/>
                <w:sz w:val="20"/>
                <w:szCs w:val="20"/>
              </w:rPr>
            </w:pPr>
          </w:p>
        </w:tc>
      </w:tr>
      <w:tr w:rsidR="00000000" w14:paraId="5387D281" w14:textId="77777777">
        <w:trPr>
          <w:divId w:val="1722946825"/>
          <w:trHeight w:val="240"/>
        </w:trPr>
        <w:tc>
          <w:tcPr>
            <w:tcW w:w="0" w:type="auto"/>
            <w:gridSpan w:val="3"/>
            <w:tcMar>
              <w:top w:w="0" w:type="dxa"/>
              <w:left w:w="20" w:type="dxa"/>
              <w:bottom w:w="0" w:type="dxa"/>
              <w:right w:w="20" w:type="dxa"/>
            </w:tcMar>
            <w:vAlign w:val="center"/>
            <w:hideMark/>
          </w:tcPr>
          <w:p w14:paraId="0C294720"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9A50EC"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1F2D5A"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1B9157"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A38090" w14:textId="77777777" w:rsidR="00000000" w:rsidRDefault="009B6C69">
            <w:pPr>
              <w:spacing w:after="100"/>
              <w:rPr>
                <w:rFonts w:eastAsia="Times New Roman"/>
                <w:sz w:val="20"/>
                <w:szCs w:val="20"/>
              </w:rPr>
            </w:pPr>
          </w:p>
        </w:tc>
      </w:tr>
      <w:tr w:rsidR="00000000" w14:paraId="2AF30123" w14:textId="77777777">
        <w:trPr>
          <w:divId w:val="1722946825"/>
          <w:trHeight w:val="240"/>
        </w:trPr>
        <w:tc>
          <w:tcPr>
            <w:tcW w:w="0" w:type="auto"/>
            <w:gridSpan w:val="3"/>
            <w:tcMar>
              <w:top w:w="0" w:type="dxa"/>
              <w:left w:w="20" w:type="dxa"/>
              <w:bottom w:w="0" w:type="dxa"/>
              <w:right w:w="20" w:type="dxa"/>
            </w:tcMar>
            <w:vAlign w:val="center"/>
            <w:hideMark/>
          </w:tcPr>
          <w:p w14:paraId="1CA36F90"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FBB2D7"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08BF8B"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A8FE60"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33A2A2" w14:textId="77777777" w:rsidR="00000000" w:rsidRDefault="009B6C69">
            <w:pPr>
              <w:spacing w:after="100"/>
              <w:rPr>
                <w:rFonts w:eastAsia="Times New Roman"/>
                <w:sz w:val="20"/>
                <w:szCs w:val="20"/>
              </w:rPr>
            </w:pPr>
          </w:p>
        </w:tc>
      </w:tr>
      <w:tr w:rsidR="00000000" w14:paraId="22DA6D8F" w14:textId="77777777">
        <w:trPr>
          <w:divId w:val="1722946825"/>
          <w:trHeight w:val="240"/>
        </w:trPr>
        <w:tc>
          <w:tcPr>
            <w:tcW w:w="0" w:type="auto"/>
            <w:gridSpan w:val="3"/>
            <w:tcMar>
              <w:top w:w="0" w:type="dxa"/>
              <w:left w:w="20" w:type="dxa"/>
              <w:bottom w:w="0" w:type="dxa"/>
              <w:right w:w="20" w:type="dxa"/>
            </w:tcMar>
            <w:vAlign w:val="center"/>
            <w:hideMark/>
          </w:tcPr>
          <w:p w14:paraId="477F5EED"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698150"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92C462"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84DA36"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B43823" w14:textId="77777777" w:rsidR="00000000" w:rsidRDefault="009B6C69">
            <w:pPr>
              <w:spacing w:after="100"/>
              <w:rPr>
                <w:rFonts w:eastAsia="Times New Roman"/>
                <w:sz w:val="20"/>
                <w:szCs w:val="20"/>
              </w:rPr>
            </w:pPr>
          </w:p>
        </w:tc>
      </w:tr>
    </w:tbl>
    <w:p w14:paraId="30A9CE6F" w14:textId="77777777" w:rsidR="00000000" w:rsidRDefault="009B6C69">
      <w:pPr>
        <w:jc w:val="center"/>
        <w:divId w:val="52315638"/>
        <w:rPr>
          <w:rFonts w:eastAsia="Times New Roman"/>
        </w:rPr>
      </w:pPr>
      <w:r>
        <w:rPr>
          <w:rFonts w:eastAsia="Times New Roman"/>
          <w:color w:val="000000"/>
          <w:sz w:val="20"/>
          <w:szCs w:val="20"/>
        </w:rPr>
        <w:t>56</w:t>
      </w:r>
    </w:p>
    <w:p w14:paraId="7D6136BC" w14:textId="77777777" w:rsidR="00000000" w:rsidRDefault="009B6C69">
      <w:pPr>
        <w:rPr>
          <w:rFonts w:eastAsia="Times New Roman"/>
        </w:rPr>
      </w:pPr>
      <w:r>
        <w:rPr>
          <w:rFonts w:eastAsia="Times New Roman"/>
        </w:rPr>
        <w:pict w14:anchorId="0D7D6797">
          <v:rect id="_x0000_i1080" style="width:0;height:1.5pt" o:hralign="center" o:hrstd="t" o:hr="t" fillcolor="#a0a0a0" stroked="f"/>
        </w:pict>
      </w:r>
    </w:p>
    <w:p w14:paraId="157DD644" w14:textId="77777777" w:rsidR="00000000" w:rsidRDefault="009B6C69">
      <w:pPr>
        <w:divId w:val="938416749"/>
        <w:rPr>
          <w:rFonts w:eastAsia="Times New Roman"/>
        </w:rPr>
      </w:pPr>
    </w:p>
    <w:p w14:paraId="1791ADDF" w14:textId="77777777" w:rsidR="00000000" w:rsidRDefault="009B6C69">
      <w:pPr>
        <w:jc w:val="center"/>
        <w:rPr>
          <w:rFonts w:eastAsia="Times New Roman"/>
        </w:rPr>
      </w:pPr>
      <w:r>
        <w:rPr>
          <w:rFonts w:eastAsia="Times New Roman"/>
          <w:b/>
          <w:bCs/>
          <w:color w:val="000000"/>
          <w:sz w:val="20"/>
          <w:szCs w:val="20"/>
        </w:rPr>
        <w:t>Report of Independent Registered Public Accounting Firm</w:t>
      </w:r>
    </w:p>
    <w:p w14:paraId="4AC7FC35" w14:textId="77777777" w:rsidR="00000000" w:rsidRDefault="009B6C69">
      <w:pPr>
        <w:divId w:val="734083869"/>
        <w:rPr>
          <w:rFonts w:eastAsia="Times New Roman"/>
        </w:rPr>
      </w:pPr>
    </w:p>
    <w:p w14:paraId="75235FEE" w14:textId="77777777" w:rsidR="00000000" w:rsidRDefault="009B6C69">
      <w:pPr>
        <w:divId w:val="1747535177"/>
        <w:rPr>
          <w:rFonts w:eastAsia="Times New Roman"/>
        </w:rPr>
      </w:pPr>
      <w:r>
        <w:rPr>
          <w:rFonts w:eastAsia="Times New Roman"/>
          <w:color w:val="000000"/>
          <w:sz w:val="20"/>
          <w:szCs w:val="20"/>
        </w:rPr>
        <w:t>To the Board of Directors and Stockholders of QUALCOMM Incorporated</w:t>
      </w:r>
    </w:p>
    <w:p w14:paraId="69243621" w14:textId="77777777" w:rsidR="00000000" w:rsidRDefault="009B6C69">
      <w:pPr>
        <w:divId w:val="629164582"/>
        <w:rPr>
          <w:rFonts w:eastAsia="Times New Roman"/>
        </w:rPr>
      </w:pPr>
      <w:r>
        <w:rPr>
          <w:rFonts w:eastAsia="Times New Roman"/>
          <w:b/>
          <w:bCs/>
          <w:i/>
          <w:iCs/>
          <w:color w:val="000000"/>
          <w:sz w:val="20"/>
          <w:szCs w:val="20"/>
        </w:rPr>
        <w:t>Opinions on the Financial Statements and Internal Control over Financial Reporting</w:t>
      </w:r>
    </w:p>
    <w:p w14:paraId="2D3D75D1" w14:textId="77777777" w:rsidR="00000000" w:rsidRDefault="009B6C69">
      <w:pPr>
        <w:divId w:val="1050423770"/>
        <w:rPr>
          <w:rFonts w:eastAsia="Times New Roman"/>
        </w:rPr>
      </w:pPr>
      <w:r>
        <w:rPr>
          <w:rFonts w:eastAsia="Times New Roman"/>
          <w:color w:val="000000"/>
          <w:sz w:val="20"/>
          <w:szCs w:val="20"/>
        </w:rPr>
        <w:t>We have a</w:t>
      </w:r>
      <w:r>
        <w:rPr>
          <w:rFonts w:eastAsia="Times New Roman"/>
          <w:color w:val="000000"/>
          <w:sz w:val="20"/>
          <w:szCs w:val="20"/>
        </w:rPr>
        <w:t>udited the accompanying consolidated balance sheets of QUALCOMM Incorporated and its subsidiaries (the “Company”) as of September 25, 2022 and September 26, 2021, and the related consolidated statements of operations, comprehensive income, stockholders’ eq</w:t>
      </w:r>
      <w:r>
        <w:rPr>
          <w:rFonts w:eastAsia="Times New Roman"/>
          <w:color w:val="000000"/>
          <w:sz w:val="20"/>
          <w:szCs w:val="20"/>
        </w:rPr>
        <w:t xml:space="preserve">uity and cash flows for each of the three years in the period ended September 25, 2022, including the related notes and financial statement schedule listed in the index appearing under Item 15(a)(2) (collectively referred to as the “consolidated financial </w:t>
      </w:r>
      <w:r>
        <w:rPr>
          <w:rFonts w:eastAsia="Times New Roman"/>
          <w:color w:val="000000"/>
          <w:sz w:val="20"/>
          <w:szCs w:val="20"/>
        </w:rPr>
        <w:t xml:space="preserve">statements”). We also have audited the Company's internal control over financial reporting as of September 25, 2022, based on criteria established in </w:t>
      </w:r>
      <w:r>
        <w:rPr>
          <w:rFonts w:eastAsia="Times New Roman"/>
          <w:i/>
          <w:iCs/>
          <w:color w:val="000000"/>
          <w:sz w:val="20"/>
          <w:szCs w:val="20"/>
        </w:rPr>
        <w:t>Internal Control - Integrated Framework</w:t>
      </w:r>
      <w:r>
        <w:rPr>
          <w:rFonts w:eastAsia="Times New Roman"/>
          <w:color w:val="000000"/>
          <w:sz w:val="20"/>
          <w:szCs w:val="20"/>
        </w:rPr>
        <w:t xml:space="preserve"> (2013) issued by the Committee of Sponsoring Organizations of the </w:t>
      </w:r>
      <w:r>
        <w:rPr>
          <w:rFonts w:eastAsia="Times New Roman"/>
          <w:color w:val="000000"/>
          <w:sz w:val="20"/>
          <w:szCs w:val="20"/>
        </w:rPr>
        <w:t>Treadway Commission (COSO).</w:t>
      </w:r>
    </w:p>
    <w:p w14:paraId="29DDA6FF" w14:textId="77777777" w:rsidR="00000000" w:rsidRDefault="009B6C69">
      <w:pPr>
        <w:divId w:val="569583429"/>
        <w:rPr>
          <w:rFonts w:eastAsia="Times New Roman"/>
        </w:rPr>
      </w:pPr>
      <w:r>
        <w:rPr>
          <w:rFonts w:eastAsia="Times New Roman"/>
          <w:color w:val="000000"/>
          <w:sz w:val="20"/>
          <w:szCs w:val="20"/>
        </w:rPr>
        <w:t>In our opinion, the consolidated financial statements referred to above present fairly, in all material respects, the financial position of the Company as of September 25, 2022 and September 26, 2021, and the results of its oper</w:t>
      </w:r>
      <w:r>
        <w:rPr>
          <w:rFonts w:eastAsia="Times New Roman"/>
          <w:color w:val="000000"/>
          <w:sz w:val="20"/>
          <w:szCs w:val="20"/>
        </w:rPr>
        <w:t>ations and its cash flows for each of the three years in the period ended September 25, 2022 in conformity with accounting principles generally accepted in the United States of America. Also in our opinion, the Company maintained, in all material respects,</w:t>
      </w:r>
      <w:r>
        <w:rPr>
          <w:rFonts w:eastAsia="Times New Roman"/>
          <w:color w:val="000000"/>
          <w:sz w:val="20"/>
          <w:szCs w:val="20"/>
        </w:rPr>
        <w:t xml:space="preserve"> effective internal control over financial reporting as of September 25, 2022, based on criteria established in </w:t>
      </w:r>
      <w:r>
        <w:rPr>
          <w:rFonts w:eastAsia="Times New Roman"/>
          <w:i/>
          <w:iCs/>
          <w:color w:val="000000"/>
          <w:sz w:val="20"/>
          <w:szCs w:val="20"/>
        </w:rPr>
        <w:t>Internal Control - Integrated Framework</w:t>
      </w:r>
      <w:r>
        <w:rPr>
          <w:rFonts w:eastAsia="Times New Roman"/>
          <w:color w:val="000000"/>
          <w:sz w:val="20"/>
          <w:szCs w:val="20"/>
        </w:rPr>
        <w:t xml:space="preserve"> (2013) issued by the COSO.</w:t>
      </w:r>
    </w:p>
    <w:p w14:paraId="375C56D5" w14:textId="77777777" w:rsidR="00000000" w:rsidRDefault="009B6C69">
      <w:pPr>
        <w:divId w:val="443114969"/>
        <w:rPr>
          <w:rFonts w:eastAsia="Times New Roman"/>
        </w:rPr>
      </w:pPr>
      <w:r>
        <w:rPr>
          <w:rFonts w:eastAsia="Times New Roman"/>
          <w:b/>
          <w:bCs/>
          <w:i/>
          <w:iCs/>
          <w:color w:val="000000"/>
          <w:sz w:val="20"/>
          <w:szCs w:val="20"/>
        </w:rPr>
        <w:t>Basis for Opinions</w:t>
      </w:r>
    </w:p>
    <w:p w14:paraId="6C7C0D2E" w14:textId="77777777" w:rsidR="00000000" w:rsidRDefault="009B6C69">
      <w:pPr>
        <w:divId w:val="1236938732"/>
        <w:rPr>
          <w:rFonts w:eastAsia="Times New Roman"/>
        </w:rPr>
      </w:pPr>
      <w:r>
        <w:rPr>
          <w:rFonts w:eastAsia="Times New Roman"/>
          <w:color w:val="000000"/>
          <w:sz w:val="20"/>
          <w:szCs w:val="20"/>
        </w:rPr>
        <w:t>The Company's management is responsible for these consolid</w:t>
      </w:r>
      <w:r>
        <w:rPr>
          <w:rFonts w:eastAsia="Times New Roman"/>
          <w:color w:val="000000"/>
          <w:sz w:val="20"/>
          <w:szCs w:val="20"/>
        </w:rPr>
        <w:t>ated financial statements, for maintaining effective internal control over financial reporting, and for its assessment of the effectiveness of internal control over financial reporting, included in Management’s Report on Internal Control over Financial Rep</w:t>
      </w:r>
      <w:r>
        <w:rPr>
          <w:rFonts w:eastAsia="Times New Roman"/>
          <w:color w:val="000000"/>
          <w:sz w:val="20"/>
          <w:szCs w:val="20"/>
        </w:rPr>
        <w:t>orting appearing under Item 9A. Our responsibility is to express opinions on the Company’s consolidated financial statements and on the Company's internal control over financial reporting based on our audits. We are a public accounting firm registered with</w:t>
      </w:r>
      <w:r>
        <w:rPr>
          <w:rFonts w:eastAsia="Times New Roman"/>
          <w:color w:val="000000"/>
          <w:sz w:val="20"/>
          <w:szCs w:val="20"/>
        </w:rPr>
        <w:t xml:space="preserve"> the Public Company Accounting Oversight Board (United States) (PCAOB) and are required to be independent with respect to the Company in accordance with the U.S. federal securities laws and the applicable rules and regulations of the Securities and Exchang</w:t>
      </w:r>
      <w:r>
        <w:rPr>
          <w:rFonts w:eastAsia="Times New Roman"/>
          <w:color w:val="000000"/>
          <w:sz w:val="20"/>
          <w:szCs w:val="20"/>
        </w:rPr>
        <w:t>e Commission and the PCAOB.</w:t>
      </w:r>
    </w:p>
    <w:p w14:paraId="6E129BD0" w14:textId="77777777" w:rsidR="00000000" w:rsidRDefault="009B6C69">
      <w:pPr>
        <w:divId w:val="2080132241"/>
        <w:rPr>
          <w:rFonts w:eastAsia="Times New Roman"/>
        </w:rPr>
      </w:pPr>
      <w:r>
        <w:rPr>
          <w:rFonts w:eastAsia="Times New Roman"/>
          <w:color w:val="000000"/>
          <w:sz w:val="20"/>
          <w:szCs w:val="20"/>
        </w:rPr>
        <w:t>We conducted our audits in accordance with the standards of the PCAOB. Those standards require that we plan and perform the audits to obtain reasonable assurance about whether the consolidated financial statements are free of ma</w:t>
      </w:r>
      <w:r>
        <w:rPr>
          <w:rFonts w:eastAsia="Times New Roman"/>
          <w:color w:val="000000"/>
          <w:sz w:val="20"/>
          <w:szCs w:val="20"/>
        </w:rPr>
        <w:t>terial misstatement, whether due to error or fraud, and whether effective internal control over financial reporting was maintained in all material respects.</w:t>
      </w:r>
    </w:p>
    <w:p w14:paraId="5AF06F60" w14:textId="77777777" w:rsidR="00000000" w:rsidRDefault="009B6C69">
      <w:pPr>
        <w:divId w:val="2104833147"/>
        <w:rPr>
          <w:rFonts w:eastAsia="Times New Roman"/>
        </w:rPr>
      </w:pPr>
      <w:r>
        <w:rPr>
          <w:rFonts w:eastAsia="Times New Roman"/>
          <w:color w:val="000000"/>
          <w:sz w:val="20"/>
          <w:szCs w:val="20"/>
        </w:rPr>
        <w:t>Our audits of the consolidated financial statements included performing procedures to assess the ri</w:t>
      </w:r>
      <w:r>
        <w:rPr>
          <w:rFonts w:eastAsia="Times New Roman"/>
          <w:color w:val="000000"/>
          <w:sz w:val="20"/>
          <w:szCs w:val="20"/>
        </w:rPr>
        <w:t>sks of material misstatement of the consolidated financial statements, whether due to error or fraud, and performing procedures that respond to those risks. Such procedures included examining, on a test basis, evidence regarding the amounts and disclosures</w:t>
      </w:r>
      <w:r>
        <w:rPr>
          <w:rFonts w:eastAsia="Times New Roman"/>
          <w:color w:val="000000"/>
          <w:sz w:val="20"/>
          <w:szCs w:val="20"/>
        </w:rPr>
        <w:t xml:space="preserve"> in the consolidated financial statements. Our audits also included evaluating the accounting principles used and significant estimates made by management, as well as evaluating the overall presentation of the consolidated financial statements. Our audit o</w:t>
      </w:r>
      <w:r>
        <w:rPr>
          <w:rFonts w:eastAsia="Times New Roman"/>
          <w:color w:val="000000"/>
          <w:sz w:val="20"/>
          <w:szCs w:val="20"/>
        </w:rPr>
        <w:t xml:space="preserve">f internal control over financial reporting included obtaining an understanding of internal control over financial reporting, assessing the risk that a material weakness exists, and testing and evaluating the design and operating effectiveness of internal </w:t>
      </w:r>
      <w:r>
        <w:rPr>
          <w:rFonts w:eastAsia="Times New Roman"/>
          <w:color w:val="000000"/>
          <w:sz w:val="20"/>
          <w:szCs w:val="20"/>
        </w:rPr>
        <w:t>control based on the assessed risk. Our audits also included performing such other procedures as we considered necessary in the circumstances. We believe that our audits provide a reasonable basis for our opinions.</w:t>
      </w:r>
    </w:p>
    <w:p w14:paraId="54ED969B" w14:textId="77777777" w:rsidR="00000000" w:rsidRDefault="009B6C69">
      <w:pPr>
        <w:divId w:val="1939211740"/>
        <w:rPr>
          <w:rFonts w:eastAsia="Times New Roman"/>
        </w:rPr>
      </w:pPr>
      <w:r>
        <w:rPr>
          <w:rFonts w:eastAsia="Times New Roman"/>
          <w:b/>
          <w:bCs/>
          <w:i/>
          <w:iCs/>
          <w:color w:val="000000"/>
          <w:sz w:val="20"/>
          <w:szCs w:val="20"/>
        </w:rPr>
        <w:t>Definition and Limitations of Internal Co</w:t>
      </w:r>
      <w:r>
        <w:rPr>
          <w:rFonts w:eastAsia="Times New Roman"/>
          <w:b/>
          <w:bCs/>
          <w:i/>
          <w:iCs/>
          <w:color w:val="000000"/>
          <w:sz w:val="20"/>
          <w:szCs w:val="20"/>
        </w:rPr>
        <w:t>ntrol over Financial Reporting</w:t>
      </w:r>
    </w:p>
    <w:p w14:paraId="39B7A541" w14:textId="77777777" w:rsidR="00000000" w:rsidRDefault="009B6C69">
      <w:pPr>
        <w:divId w:val="1170827165"/>
        <w:rPr>
          <w:rFonts w:eastAsia="Times New Roman"/>
        </w:rPr>
      </w:pPr>
      <w:r>
        <w:rPr>
          <w:rFonts w:eastAsia="Times New Roman"/>
          <w:color w:val="000000"/>
          <w:sz w:val="20"/>
          <w:szCs w:val="20"/>
        </w:rPr>
        <w:t>A company’s internal control over financial reporting is a process designed to provide reasonable assurance regarding the reliability of financial reporting and the preparation of financial statements for external purposes in</w:t>
      </w:r>
      <w:r>
        <w:rPr>
          <w:rFonts w:eastAsia="Times New Roman"/>
          <w:color w:val="000000"/>
          <w:sz w:val="20"/>
          <w:szCs w:val="20"/>
        </w:rPr>
        <w:t xml:space="preserve"> accordance with generally accepted accounting principles. A company’s internal control over financial reporting includes those policies and procedures that (i) pertain to the maintenance of records that, in reasonable detail, accurately and fairly reflect</w:t>
      </w:r>
      <w:r>
        <w:rPr>
          <w:rFonts w:eastAsia="Times New Roman"/>
          <w:color w:val="000000"/>
          <w:sz w:val="20"/>
          <w:szCs w:val="20"/>
        </w:rPr>
        <w:t xml:space="preserve"> the transactions and dispositions of the assets of the company; (ii) provide reasonable assurance that transactions are recorded as necessary to permit preparation of financial statements in accordance with generally accepted accounting principles, and th</w:t>
      </w:r>
      <w:r>
        <w:rPr>
          <w:rFonts w:eastAsia="Times New Roman"/>
          <w:color w:val="000000"/>
          <w:sz w:val="20"/>
          <w:szCs w:val="20"/>
        </w:rPr>
        <w:t xml:space="preserve">at receipts and expenditures of the company are being made only in accordance with authorizations of management and directors of the company; and (iii) provide reasonable assurance regarding prevention or timely detection of unauthorized acquisition, use, </w:t>
      </w:r>
      <w:r>
        <w:rPr>
          <w:rFonts w:eastAsia="Times New Roman"/>
          <w:color w:val="000000"/>
          <w:sz w:val="20"/>
          <w:szCs w:val="20"/>
        </w:rPr>
        <w:t>or disposition of the company’s assets that could have a material effect on the financial statements.</w:t>
      </w:r>
    </w:p>
    <w:p w14:paraId="554B8C7F" w14:textId="77777777" w:rsidR="00000000" w:rsidRDefault="009B6C69">
      <w:pPr>
        <w:divId w:val="425805368"/>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w:t>
      </w:r>
      <w:r>
        <w:rPr>
          <w:rFonts w:eastAsia="Times New Roman"/>
          <w:color w:val="000000"/>
          <w:sz w:val="20"/>
          <w:szCs w:val="20"/>
        </w:rPr>
        <w:t>n of effectiveness to future periods are subject to the risk that controls may become inadequate because of changes in conditions, or that the degree of compliance with the policies or procedures may deteriorate.</w:t>
      </w:r>
    </w:p>
    <w:p w14:paraId="4E59D4D4" w14:textId="77777777" w:rsidR="00000000" w:rsidRDefault="009B6C69">
      <w:pPr>
        <w:divId w:val="1561091489"/>
        <w:rPr>
          <w:rFonts w:eastAsia="Times New Roman"/>
        </w:rPr>
      </w:pPr>
      <w:r>
        <w:rPr>
          <w:rFonts w:eastAsia="Times New Roman"/>
          <w:b/>
          <w:bCs/>
          <w:i/>
          <w:iCs/>
          <w:color w:val="000000"/>
          <w:sz w:val="20"/>
          <w:szCs w:val="20"/>
        </w:rPr>
        <w:t>Critical Audit Matters</w:t>
      </w:r>
    </w:p>
    <w:p w14:paraId="6746AA0C" w14:textId="77777777" w:rsidR="00000000" w:rsidRDefault="009B6C69">
      <w:pPr>
        <w:divId w:val="2139178602"/>
        <w:rPr>
          <w:rFonts w:eastAsia="Times New Roman"/>
        </w:rPr>
      </w:pPr>
      <w:r>
        <w:rPr>
          <w:rFonts w:eastAsia="Times New Roman"/>
          <w:color w:val="000000"/>
          <w:sz w:val="20"/>
          <w:szCs w:val="20"/>
        </w:rPr>
        <w:t xml:space="preserve">The critical audit matter communicated below is a matter arising from the current period audit of the consolidated financial statements that was communicated or required to be communicated to the audit committee and that (i) relates </w:t>
      </w:r>
      <w:r>
        <w:rPr>
          <w:rFonts w:eastAsia="Times New Roman"/>
          <w:color w:val="000000"/>
          <w:sz w:val="20"/>
          <w:szCs w:val="20"/>
        </w:rPr>
        <w:t>to accounts or disclosures that are material to the consolidated financial statements and (ii) involved our especially challenging, subjective, or complex judgments. The communication of critical audit matters does not alter in any way our opinion on the c</w:t>
      </w:r>
      <w:r>
        <w:rPr>
          <w:rFonts w:eastAsia="Times New Roman"/>
          <w:color w:val="000000"/>
          <w:sz w:val="20"/>
          <w:szCs w:val="20"/>
        </w:rPr>
        <w:t xml:space="preserve">onsolidated </w:t>
      </w:r>
    </w:p>
    <w:p w14:paraId="1CF670D1" w14:textId="77777777" w:rsidR="00000000" w:rsidRDefault="009B6C69">
      <w:pPr>
        <w:jc w:val="center"/>
        <w:divId w:val="1710379486"/>
        <w:rPr>
          <w:rFonts w:eastAsia="Times New Roman"/>
        </w:rPr>
      </w:pPr>
      <w:r>
        <w:rPr>
          <w:rFonts w:eastAsia="Times New Roman"/>
          <w:color w:val="000000"/>
          <w:sz w:val="20"/>
          <w:szCs w:val="20"/>
        </w:rPr>
        <w:t>F-1</w:t>
      </w:r>
    </w:p>
    <w:p w14:paraId="3552CF54" w14:textId="77777777" w:rsidR="00000000" w:rsidRDefault="009B6C69">
      <w:pPr>
        <w:rPr>
          <w:rFonts w:eastAsia="Times New Roman"/>
        </w:rPr>
      </w:pPr>
      <w:r>
        <w:rPr>
          <w:rFonts w:eastAsia="Times New Roman"/>
        </w:rPr>
        <w:pict w14:anchorId="1EFBD25E">
          <v:rect id="_x0000_i1081" style="width:0;height:1.5pt" o:hralign="center" o:hrstd="t" o:hr="t" fillcolor="#a0a0a0" stroked="f"/>
        </w:pict>
      </w:r>
    </w:p>
    <w:p w14:paraId="44E89558" w14:textId="77777777" w:rsidR="00000000" w:rsidRDefault="009B6C69">
      <w:pPr>
        <w:divId w:val="1526407392"/>
        <w:rPr>
          <w:rFonts w:eastAsia="Times New Roman"/>
        </w:rPr>
      </w:pPr>
    </w:p>
    <w:p w14:paraId="29B623EB" w14:textId="77777777" w:rsidR="00000000" w:rsidRDefault="009B6C69">
      <w:pPr>
        <w:divId w:val="1402368731"/>
        <w:rPr>
          <w:rFonts w:eastAsia="Times New Roman"/>
        </w:rPr>
      </w:pPr>
      <w:r>
        <w:rPr>
          <w:rFonts w:eastAsia="Times New Roman"/>
          <w:color w:val="000000"/>
          <w:sz w:val="20"/>
          <w:szCs w:val="20"/>
        </w:rPr>
        <w:t>financial statements, taken as a whole, and we are not, by communicating the critical audit matter below, providing a separate opinion on the critical audit matter or on the accounts or disclosures to</w:t>
      </w:r>
      <w:r>
        <w:rPr>
          <w:rFonts w:eastAsia="Times New Roman"/>
          <w:color w:val="000000"/>
          <w:sz w:val="20"/>
          <w:szCs w:val="20"/>
        </w:rPr>
        <w:t xml:space="preserve"> which it relates.</w:t>
      </w:r>
    </w:p>
    <w:p w14:paraId="4B8CA4C5" w14:textId="77777777" w:rsidR="00000000" w:rsidRDefault="009B6C69">
      <w:pPr>
        <w:divId w:val="1809860245"/>
        <w:rPr>
          <w:rFonts w:eastAsia="Times New Roman"/>
        </w:rPr>
      </w:pPr>
      <w:r>
        <w:rPr>
          <w:rFonts w:eastAsia="Times New Roman"/>
          <w:i/>
          <w:iCs/>
          <w:color w:val="000000"/>
          <w:sz w:val="20"/>
          <w:szCs w:val="20"/>
        </w:rPr>
        <w:t>Revenue Recognition – Qualcomm CDMA Technologies (QCT) Customer Incentive Arrangements</w:t>
      </w:r>
    </w:p>
    <w:p w14:paraId="6D99EE75" w14:textId="77777777" w:rsidR="00000000" w:rsidRDefault="009B6C69">
      <w:pPr>
        <w:divId w:val="1488087448"/>
        <w:rPr>
          <w:rFonts w:eastAsia="Times New Roman"/>
        </w:rPr>
      </w:pPr>
      <w:r>
        <w:rPr>
          <w:rFonts w:eastAsia="Times New Roman"/>
          <w:color w:val="000000"/>
          <w:sz w:val="20"/>
          <w:szCs w:val="20"/>
        </w:rPr>
        <w:t xml:space="preserve">As described in Notes 1 and 2 to the consolidated financial statements, the Company’s QCT segment, which recorded revenues of $37.7 billion in fiscal </w:t>
      </w:r>
      <w:r>
        <w:rPr>
          <w:rFonts w:eastAsia="Times New Roman"/>
          <w:color w:val="000000"/>
          <w:sz w:val="20"/>
          <w:szCs w:val="20"/>
        </w:rPr>
        <w:t>2022, records reductions to revenues for customer incentive arrangements, including volume-related and other pricing rebates and cost reimbursements for marketing and other activities involving certain products and technologies, in the period that the rela</w:t>
      </w:r>
      <w:r>
        <w:rPr>
          <w:rFonts w:eastAsia="Times New Roman"/>
          <w:color w:val="000000"/>
          <w:sz w:val="20"/>
          <w:szCs w:val="20"/>
        </w:rPr>
        <w:t>ted revenues are earned. For certain QCT customer incentive arrangements, there is complexity in applying certain contractual terms to determine the amount recorded as a reduction to revenues. The amounts accrued for customer incentive arrangements are rec</w:t>
      </w:r>
      <w:r>
        <w:rPr>
          <w:rFonts w:eastAsia="Times New Roman"/>
          <w:color w:val="000000"/>
          <w:sz w:val="20"/>
          <w:szCs w:val="20"/>
        </w:rPr>
        <w:t>orded as a reduction to accounts receivable, net or as other current liabilities based on whether the Company has the intent and contractual right of offset. Certain amounts recorded as a reduction to revenues for customer incentive arrangements are consid</w:t>
      </w:r>
      <w:r>
        <w:rPr>
          <w:rFonts w:eastAsia="Times New Roman"/>
          <w:color w:val="000000"/>
          <w:sz w:val="20"/>
          <w:szCs w:val="20"/>
        </w:rPr>
        <w:t>ered variable consideration and are included in the transaction price primarily based on estimating the most likely amount expected to be provided to the customer.</w:t>
      </w:r>
    </w:p>
    <w:p w14:paraId="455DF6FD" w14:textId="77777777" w:rsidR="00000000" w:rsidRDefault="009B6C69">
      <w:pPr>
        <w:divId w:val="393084932"/>
        <w:rPr>
          <w:rFonts w:eastAsia="Times New Roman"/>
        </w:rPr>
      </w:pPr>
      <w:r>
        <w:rPr>
          <w:rFonts w:eastAsia="Times New Roman"/>
          <w:color w:val="000000"/>
          <w:sz w:val="20"/>
          <w:szCs w:val="20"/>
        </w:rPr>
        <w:t>The principal considerations for our determination that performing procedures relating to re</w:t>
      </w:r>
      <w:r>
        <w:rPr>
          <w:rFonts w:eastAsia="Times New Roman"/>
          <w:color w:val="000000"/>
          <w:sz w:val="20"/>
          <w:szCs w:val="20"/>
        </w:rPr>
        <w:t>venue recognition of QCT customer incentive arrangements is a critical audit matter are the significant audit effort in performing procedures and evaluating audit evidence obtained related to the completeness and accuracy of reductions to QCT revenues reco</w:t>
      </w:r>
      <w:r>
        <w:rPr>
          <w:rFonts w:eastAsia="Times New Roman"/>
          <w:color w:val="000000"/>
          <w:sz w:val="20"/>
          <w:szCs w:val="20"/>
        </w:rPr>
        <w:t>gnized.</w:t>
      </w:r>
    </w:p>
    <w:p w14:paraId="40D924BF" w14:textId="77777777" w:rsidR="00000000" w:rsidRDefault="009B6C69">
      <w:pPr>
        <w:divId w:val="584992428"/>
        <w:rPr>
          <w:rFonts w:eastAsia="Times New Roman"/>
        </w:rPr>
      </w:pPr>
      <w:r>
        <w:rPr>
          <w:rFonts w:eastAsia="Times New Roman"/>
          <w:color w:val="000000"/>
          <w:sz w:val="20"/>
          <w:szCs w:val="20"/>
        </w:rPr>
        <w:t xml:space="preserve">Addressing the matter involved performing procedures and evaluating audit evidence in connection with forming our overall opinion on the consolidated financial statements. These procedures included testing the effectiveness of controls relating to </w:t>
      </w:r>
      <w:r>
        <w:rPr>
          <w:rFonts w:eastAsia="Times New Roman"/>
          <w:color w:val="000000"/>
          <w:sz w:val="20"/>
          <w:szCs w:val="20"/>
        </w:rPr>
        <w:t>management’s review of and accounting for QCT customer incentive arrangements as well as controls relating to management’s review over the completeness and accuracy of reductions to revenues in fiscal 2022 and accruals for customer incentive arrangements a</w:t>
      </w:r>
      <w:r>
        <w:rPr>
          <w:rFonts w:eastAsia="Times New Roman"/>
          <w:color w:val="000000"/>
          <w:sz w:val="20"/>
          <w:szCs w:val="20"/>
        </w:rPr>
        <w:t>s of the balance sheet date. These procedures also included, among others, testing the completeness and accuracy of reductions to revenues and accruals for QCT customer incentive arrangements recorded in the consolidated financial statements, and recalcula</w:t>
      </w:r>
      <w:r>
        <w:rPr>
          <w:rFonts w:eastAsia="Times New Roman"/>
          <w:color w:val="000000"/>
          <w:sz w:val="20"/>
          <w:szCs w:val="20"/>
        </w:rPr>
        <w:t>ting, on a test basis, reductions to revenues and accruals for QCT customer incentive arrangements based upon customer-specific contractual terms.</w:t>
      </w:r>
    </w:p>
    <w:p w14:paraId="65638F3F" w14:textId="77777777" w:rsidR="00000000" w:rsidRDefault="009B6C69">
      <w:pPr>
        <w:divId w:val="1107887631"/>
        <w:rPr>
          <w:rFonts w:eastAsia="Times New Roman"/>
        </w:rPr>
      </w:pPr>
    </w:p>
    <w:p w14:paraId="377B5840" w14:textId="77777777" w:rsidR="00000000" w:rsidRDefault="009B6C69">
      <w:pPr>
        <w:divId w:val="1982490710"/>
        <w:rPr>
          <w:rFonts w:eastAsia="Times New Roman"/>
        </w:rPr>
      </w:pPr>
    </w:p>
    <w:p w14:paraId="11F56C77" w14:textId="77777777" w:rsidR="00000000" w:rsidRDefault="009B6C69">
      <w:pPr>
        <w:divId w:val="1381324136"/>
        <w:rPr>
          <w:rFonts w:eastAsia="Times New Roman"/>
        </w:rPr>
      </w:pPr>
      <w:r>
        <w:rPr>
          <w:rFonts w:eastAsia="Times New Roman"/>
          <w:color w:val="000000"/>
          <w:sz w:val="20"/>
          <w:szCs w:val="20"/>
        </w:rPr>
        <w:t>/s/ PricewaterhouseCoopers LLP</w:t>
      </w:r>
    </w:p>
    <w:p w14:paraId="0F4EC336" w14:textId="77777777" w:rsidR="00000000" w:rsidRDefault="009B6C69">
      <w:pPr>
        <w:divId w:val="157157262"/>
        <w:rPr>
          <w:rFonts w:eastAsia="Times New Roman"/>
        </w:rPr>
      </w:pPr>
    </w:p>
    <w:p w14:paraId="5BA3A803" w14:textId="77777777" w:rsidR="00000000" w:rsidRDefault="009B6C69">
      <w:pPr>
        <w:divId w:val="1719553151"/>
        <w:rPr>
          <w:rFonts w:eastAsia="Times New Roman"/>
        </w:rPr>
      </w:pPr>
      <w:r>
        <w:rPr>
          <w:rFonts w:eastAsia="Times New Roman"/>
          <w:color w:val="000000"/>
          <w:sz w:val="20"/>
          <w:szCs w:val="20"/>
        </w:rPr>
        <w:t>San Diego, California</w:t>
      </w:r>
    </w:p>
    <w:p w14:paraId="30715A2D" w14:textId="77777777" w:rsidR="00000000" w:rsidRDefault="009B6C69">
      <w:pPr>
        <w:divId w:val="1062412290"/>
        <w:rPr>
          <w:rFonts w:eastAsia="Times New Roman"/>
        </w:rPr>
      </w:pPr>
      <w:r>
        <w:rPr>
          <w:rFonts w:eastAsia="Times New Roman"/>
          <w:color w:val="000000"/>
          <w:sz w:val="20"/>
          <w:szCs w:val="20"/>
        </w:rPr>
        <w:t>November 2, 2022</w:t>
      </w:r>
    </w:p>
    <w:p w14:paraId="079D3715" w14:textId="77777777" w:rsidR="00000000" w:rsidRDefault="009B6C69">
      <w:pPr>
        <w:divId w:val="267083662"/>
        <w:rPr>
          <w:rFonts w:eastAsia="Times New Roman"/>
        </w:rPr>
      </w:pPr>
      <w:r>
        <w:rPr>
          <w:rFonts w:eastAsia="Times New Roman"/>
          <w:color w:val="000000"/>
          <w:sz w:val="20"/>
          <w:szCs w:val="20"/>
        </w:rPr>
        <w:t>We have served as the Company’s auditor since 1985.</w:t>
      </w:r>
    </w:p>
    <w:p w14:paraId="3556E617" w14:textId="77777777" w:rsidR="00000000" w:rsidRDefault="009B6C69">
      <w:pPr>
        <w:jc w:val="center"/>
        <w:divId w:val="2003003065"/>
        <w:rPr>
          <w:rFonts w:eastAsia="Times New Roman"/>
        </w:rPr>
      </w:pPr>
      <w:r>
        <w:rPr>
          <w:rFonts w:eastAsia="Times New Roman"/>
          <w:color w:val="000000"/>
          <w:sz w:val="20"/>
          <w:szCs w:val="20"/>
        </w:rPr>
        <w:t>F-2</w:t>
      </w:r>
    </w:p>
    <w:p w14:paraId="61C5C271" w14:textId="77777777" w:rsidR="00000000" w:rsidRDefault="009B6C69">
      <w:pPr>
        <w:rPr>
          <w:rFonts w:eastAsia="Times New Roman"/>
        </w:rPr>
      </w:pPr>
      <w:r>
        <w:rPr>
          <w:rFonts w:eastAsia="Times New Roman"/>
        </w:rPr>
        <w:pict w14:anchorId="3DC210B4">
          <v:rect id="_x0000_i1082" style="width:0;height:1.5pt" o:hralign="center" o:hrstd="t" o:hr="t" fillcolor="#a0a0a0" stroked="f"/>
        </w:pict>
      </w:r>
    </w:p>
    <w:p w14:paraId="7AC14AD4" w14:textId="77777777" w:rsidR="00000000" w:rsidRDefault="009B6C69">
      <w:pPr>
        <w:divId w:val="601570545"/>
        <w:rPr>
          <w:rFonts w:eastAsia="Times New Roman"/>
        </w:rPr>
      </w:pPr>
    </w:p>
    <w:p w14:paraId="6460A8CA" w14:textId="77777777" w:rsidR="00000000" w:rsidRDefault="009B6C69">
      <w:pPr>
        <w:jc w:val="center"/>
        <w:rPr>
          <w:rFonts w:eastAsia="Times New Roman"/>
        </w:rPr>
      </w:pPr>
      <w:r>
        <w:rPr>
          <w:rFonts w:eastAsia="Times New Roman"/>
          <w:b/>
          <w:bCs/>
          <w:color w:val="000000"/>
          <w:sz w:val="18"/>
          <w:szCs w:val="18"/>
        </w:rPr>
        <w:t>QUALCOMM Incorporated</w:t>
      </w:r>
    </w:p>
    <w:p w14:paraId="6B383E4C" w14:textId="77777777" w:rsidR="00000000" w:rsidRDefault="009B6C69">
      <w:pPr>
        <w:jc w:val="center"/>
        <w:rPr>
          <w:rFonts w:eastAsia="Times New Roman"/>
        </w:rPr>
      </w:pPr>
      <w:r>
        <w:rPr>
          <w:rFonts w:eastAsia="Times New Roman"/>
          <w:b/>
          <w:bCs/>
          <w:color w:val="000000"/>
          <w:sz w:val="18"/>
          <w:szCs w:val="18"/>
        </w:rPr>
        <w:t xml:space="preserve">CONSOLIDATED BALANCE SHEETS </w:t>
      </w:r>
    </w:p>
    <w:p w14:paraId="67BADF8B" w14:textId="77777777" w:rsidR="00000000" w:rsidRDefault="009B6C69">
      <w:pPr>
        <w:jc w:val="center"/>
        <w:rPr>
          <w:rFonts w:eastAsia="Times New Roman"/>
        </w:rPr>
      </w:pPr>
      <w:r>
        <w:rPr>
          <w:rFonts w:eastAsia="Times New Roman"/>
          <w:b/>
          <w:bCs/>
          <w:color w:val="000000"/>
          <w:sz w:val="18"/>
          <w:szCs w:val="18"/>
        </w:rPr>
        <w:t>(In millions, except par value amounts)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43"/>
        <w:gridCol w:w="6098"/>
        <w:gridCol w:w="41"/>
        <w:gridCol w:w="111"/>
        <w:gridCol w:w="869"/>
        <w:gridCol w:w="36"/>
        <w:gridCol w:w="36"/>
        <w:gridCol w:w="36"/>
        <w:gridCol w:w="36"/>
        <w:gridCol w:w="111"/>
        <w:gridCol w:w="840"/>
        <w:gridCol w:w="36"/>
      </w:tblGrid>
      <w:tr w:rsidR="00000000" w14:paraId="32F4C602" w14:textId="77777777">
        <w:trPr>
          <w:jc w:val="center"/>
        </w:trPr>
        <w:tc>
          <w:tcPr>
            <w:tcW w:w="50" w:type="pct"/>
            <w:vAlign w:val="center"/>
            <w:hideMark/>
          </w:tcPr>
          <w:p w14:paraId="071ED41B" w14:textId="77777777" w:rsidR="00000000" w:rsidRDefault="009B6C69">
            <w:pPr>
              <w:jc w:val="center"/>
              <w:rPr>
                <w:rFonts w:eastAsia="Times New Roman"/>
              </w:rPr>
            </w:pPr>
          </w:p>
        </w:tc>
        <w:tc>
          <w:tcPr>
            <w:tcW w:w="3700" w:type="pct"/>
            <w:vAlign w:val="center"/>
            <w:hideMark/>
          </w:tcPr>
          <w:p w14:paraId="44BBC5E8" w14:textId="77777777" w:rsidR="00000000" w:rsidRDefault="009B6C69">
            <w:pPr>
              <w:spacing w:after="100"/>
              <w:rPr>
                <w:rFonts w:eastAsia="Times New Roman"/>
                <w:sz w:val="20"/>
                <w:szCs w:val="20"/>
              </w:rPr>
            </w:pPr>
          </w:p>
        </w:tc>
        <w:tc>
          <w:tcPr>
            <w:tcW w:w="5" w:type="pct"/>
            <w:vAlign w:val="center"/>
            <w:hideMark/>
          </w:tcPr>
          <w:p w14:paraId="72A434AA" w14:textId="77777777" w:rsidR="00000000" w:rsidRDefault="009B6C69">
            <w:pPr>
              <w:spacing w:after="100"/>
              <w:rPr>
                <w:rFonts w:eastAsia="Times New Roman"/>
                <w:sz w:val="20"/>
                <w:szCs w:val="20"/>
              </w:rPr>
            </w:pPr>
          </w:p>
        </w:tc>
        <w:tc>
          <w:tcPr>
            <w:tcW w:w="50" w:type="pct"/>
            <w:vAlign w:val="center"/>
            <w:hideMark/>
          </w:tcPr>
          <w:p w14:paraId="2085405E" w14:textId="77777777" w:rsidR="00000000" w:rsidRDefault="009B6C69">
            <w:pPr>
              <w:spacing w:after="100"/>
              <w:rPr>
                <w:rFonts w:eastAsia="Times New Roman"/>
                <w:sz w:val="20"/>
                <w:szCs w:val="20"/>
              </w:rPr>
            </w:pPr>
          </w:p>
        </w:tc>
        <w:tc>
          <w:tcPr>
            <w:tcW w:w="548" w:type="pct"/>
            <w:vAlign w:val="center"/>
            <w:hideMark/>
          </w:tcPr>
          <w:p w14:paraId="33030B20" w14:textId="77777777" w:rsidR="00000000" w:rsidRDefault="009B6C69">
            <w:pPr>
              <w:spacing w:after="100"/>
              <w:rPr>
                <w:rFonts w:eastAsia="Times New Roman"/>
                <w:sz w:val="20"/>
                <w:szCs w:val="20"/>
              </w:rPr>
            </w:pPr>
          </w:p>
        </w:tc>
        <w:tc>
          <w:tcPr>
            <w:tcW w:w="5" w:type="pct"/>
            <w:vAlign w:val="center"/>
            <w:hideMark/>
          </w:tcPr>
          <w:p w14:paraId="16CE8E37" w14:textId="77777777" w:rsidR="00000000" w:rsidRDefault="009B6C69">
            <w:pPr>
              <w:spacing w:after="100"/>
              <w:rPr>
                <w:rFonts w:eastAsia="Times New Roman"/>
                <w:sz w:val="20"/>
                <w:szCs w:val="20"/>
              </w:rPr>
            </w:pPr>
          </w:p>
        </w:tc>
        <w:tc>
          <w:tcPr>
            <w:tcW w:w="5" w:type="pct"/>
            <w:vAlign w:val="center"/>
            <w:hideMark/>
          </w:tcPr>
          <w:p w14:paraId="0D328151" w14:textId="77777777" w:rsidR="00000000" w:rsidRDefault="009B6C69">
            <w:pPr>
              <w:spacing w:after="100"/>
              <w:rPr>
                <w:rFonts w:eastAsia="Times New Roman"/>
                <w:sz w:val="20"/>
                <w:szCs w:val="20"/>
              </w:rPr>
            </w:pPr>
          </w:p>
        </w:tc>
        <w:tc>
          <w:tcPr>
            <w:tcW w:w="27" w:type="pct"/>
            <w:vAlign w:val="center"/>
            <w:hideMark/>
          </w:tcPr>
          <w:p w14:paraId="6597AFC7" w14:textId="77777777" w:rsidR="00000000" w:rsidRDefault="009B6C69">
            <w:pPr>
              <w:spacing w:after="100"/>
              <w:rPr>
                <w:rFonts w:eastAsia="Times New Roman"/>
                <w:sz w:val="20"/>
                <w:szCs w:val="20"/>
              </w:rPr>
            </w:pPr>
          </w:p>
        </w:tc>
        <w:tc>
          <w:tcPr>
            <w:tcW w:w="5" w:type="pct"/>
            <w:vAlign w:val="center"/>
            <w:hideMark/>
          </w:tcPr>
          <w:p w14:paraId="073F5DB5" w14:textId="77777777" w:rsidR="00000000" w:rsidRDefault="009B6C69">
            <w:pPr>
              <w:spacing w:after="100"/>
              <w:rPr>
                <w:rFonts w:eastAsia="Times New Roman"/>
                <w:sz w:val="20"/>
                <w:szCs w:val="20"/>
              </w:rPr>
            </w:pPr>
          </w:p>
        </w:tc>
        <w:tc>
          <w:tcPr>
            <w:tcW w:w="50" w:type="pct"/>
            <w:vAlign w:val="center"/>
            <w:hideMark/>
          </w:tcPr>
          <w:p w14:paraId="24FA9843" w14:textId="77777777" w:rsidR="00000000" w:rsidRDefault="009B6C69">
            <w:pPr>
              <w:spacing w:after="100"/>
              <w:rPr>
                <w:rFonts w:eastAsia="Times New Roman"/>
                <w:sz w:val="20"/>
                <w:szCs w:val="20"/>
              </w:rPr>
            </w:pPr>
          </w:p>
        </w:tc>
        <w:tc>
          <w:tcPr>
            <w:tcW w:w="548" w:type="pct"/>
            <w:vAlign w:val="center"/>
            <w:hideMark/>
          </w:tcPr>
          <w:p w14:paraId="3CAFFBF6" w14:textId="77777777" w:rsidR="00000000" w:rsidRDefault="009B6C69">
            <w:pPr>
              <w:spacing w:after="100"/>
              <w:rPr>
                <w:rFonts w:eastAsia="Times New Roman"/>
                <w:sz w:val="20"/>
                <w:szCs w:val="20"/>
              </w:rPr>
            </w:pPr>
          </w:p>
        </w:tc>
        <w:tc>
          <w:tcPr>
            <w:tcW w:w="5" w:type="pct"/>
            <w:vAlign w:val="center"/>
            <w:hideMark/>
          </w:tcPr>
          <w:p w14:paraId="4661D9FE" w14:textId="77777777" w:rsidR="00000000" w:rsidRDefault="009B6C69">
            <w:pPr>
              <w:spacing w:after="100"/>
              <w:rPr>
                <w:rFonts w:eastAsia="Times New Roman"/>
                <w:sz w:val="20"/>
                <w:szCs w:val="20"/>
              </w:rPr>
            </w:pPr>
          </w:p>
        </w:tc>
      </w:tr>
      <w:tr w:rsidR="00000000" w14:paraId="7C06A422" w14:textId="77777777">
        <w:trPr>
          <w:jc w:val="center"/>
        </w:trPr>
        <w:tc>
          <w:tcPr>
            <w:tcW w:w="0" w:type="auto"/>
            <w:gridSpan w:val="3"/>
            <w:tcMar>
              <w:top w:w="0" w:type="dxa"/>
              <w:left w:w="20" w:type="dxa"/>
              <w:bottom w:w="0" w:type="dxa"/>
              <w:right w:w="20" w:type="dxa"/>
            </w:tcMar>
            <w:vAlign w:val="center"/>
            <w:hideMark/>
          </w:tcPr>
          <w:p w14:paraId="735D014E" w14:textId="77777777" w:rsidR="00000000" w:rsidRDefault="009B6C69">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52081195" w14:textId="77777777" w:rsidR="00000000" w:rsidRDefault="009B6C69">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14:paraId="1A9771E6" w14:textId="77777777" w:rsidR="00000000" w:rsidRDefault="009B6C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EF94631" w14:textId="77777777" w:rsidR="00000000" w:rsidRDefault="009B6C69">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r>
      <w:tr w:rsidR="00000000" w14:paraId="42C0CA3B" w14:textId="77777777">
        <w:trPr>
          <w:jc w:val="center"/>
        </w:trPr>
        <w:tc>
          <w:tcPr>
            <w:tcW w:w="0" w:type="auto"/>
            <w:gridSpan w:val="12"/>
            <w:tcMar>
              <w:top w:w="30" w:type="dxa"/>
              <w:left w:w="20" w:type="dxa"/>
              <w:bottom w:w="30" w:type="dxa"/>
              <w:right w:w="20" w:type="dxa"/>
            </w:tcMar>
            <w:vAlign w:val="bottom"/>
            <w:hideMark/>
          </w:tcPr>
          <w:p w14:paraId="25D3A07E" w14:textId="77777777" w:rsidR="00000000" w:rsidRDefault="009B6C69">
            <w:pPr>
              <w:spacing w:after="100"/>
              <w:jc w:val="center"/>
              <w:rPr>
                <w:rFonts w:eastAsia="Times New Roman"/>
              </w:rPr>
            </w:pPr>
            <w:r>
              <w:rPr>
                <w:rFonts w:eastAsia="Times New Roman"/>
                <w:b/>
                <w:bCs/>
                <w:color w:val="000000"/>
                <w:sz w:val="18"/>
                <w:szCs w:val="18"/>
              </w:rPr>
              <w:t>ASSETS</w:t>
            </w:r>
          </w:p>
        </w:tc>
      </w:tr>
      <w:tr w:rsidR="00000000" w14:paraId="3E7E58F3" w14:textId="77777777">
        <w:trPr>
          <w:jc w:val="center"/>
        </w:trPr>
        <w:tc>
          <w:tcPr>
            <w:tcW w:w="0" w:type="auto"/>
            <w:gridSpan w:val="3"/>
            <w:tcMar>
              <w:top w:w="30" w:type="dxa"/>
              <w:left w:w="20" w:type="dxa"/>
              <w:bottom w:w="30" w:type="dxa"/>
              <w:right w:w="20" w:type="dxa"/>
            </w:tcMar>
            <w:vAlign w:val="bottom"/>
            <w:hideMark/>
          </w:tcPr>
          <w:p w14:paraId="791B05B5" w14:textId="77777777" w:rsidR="00000000" w:rsidRDefault="009B6C69">
            <w:pPr>
              <w:spacing w:after="100"/>
              <w:rPr>
                <w:rFonts w:eastAsia="Times New Roman"/>
              </w:rPr>
            </w:pPr>
            <w:r>
              <w:rPr>
                <w:rFonts w:eastAsia="Times New Roman"/>
                <w:color w:val="000000"/>
                <w:sz w:val="18"/>
                <w:szCs w:val="18"/>
              </w:rPr>
              <w:t>Current assets:</w:t>
            </w:r>
          </w:p>
        </w:tc>
        <w:tc>
          <w:tcPr>
            <w:tcW w:w="0" w:type="auto"/>
            <w:gridSpan w:val="3"/>
            <w:tcMar>
              <w:top w:w="30" w:type="dxa"/>
              <w:left w:w="20" w:type="dxa"/>
              <w:bottom w:w="30" w:type="dxa"/>
              <w:right w:w="20" w:type="dxa"/>
            </w:tcMar>
            <w:vAlign w:val="bottom"/>
            <w:hideMark/>
          </w:tcPr>
          <w:p w14:paraId="1CB6ED83" w14:textId="77777777" w:rsidR="00000000" w:rsidRDefault="009B6C6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30C27EB3" w14:textId="77777777" w:rsidR="00000000" w:rsidRDefault="009B6C69">
            <w:pPr>
              <w:spacing w:after="100"/>
              <w:rPr>
                <w:rFonts w:eastAsia="Times New Roman"/>
              </w:rPr>
            </w:pPr>
          </w:p>
        </w:tc>
        <w:tc>
          <w:tcPr>
            <w:tcW w:w="0" w:type="auto"/>
            <w:gridSpan w:val="3"/>
            <w:tcMar>
              <w:top w:w="30" w:type="dxa"/>
              <w:left w:w="20" w:type="dxa"/>
              <w:bottom w:w="30" w:type="dxa"/>
              <w:right w:w="20" w:type="dxa"/>
            </w:tcMar>
            <w:vAlign w:val="bottom"/>
            <w:hideMark/>
          </w:tcPr>
          <w:p w14:paraId="30837723" w14:textId="77777777" w:rsidR="00000000" w:rsidRDefault="009B6C69">
            <w:pPr>
              <w:spacing w:after="100"/>
              <w:rPr>
                <w:rFonts w:eastAsia="Times New Roman"/>
              </w:rPr>
            </w:pPr>
            <w:r>
              <w:rPr>
                <w:rFonts w:eastAsia="Times New Roman"/>
                <w:color w:val="000000"/>
                <w:sz w:val="18"/>
                <w:szCs w:val="18"/>
              </w:rPr>
              <w:t> </w:t>
            </w:r>
          </w:p>
        </w:tc>
      </w:tr>
      <w:tr w:rsidR="00000000" w14:paraId="28D4F33E" w14:textId="77777777">
        <w:trPr>
          <w:jc w:val="center"/>
        </w:trPr>
        <w:tc>
          <w:tcPr>
            <w:tcW w:w="0" w:type="auto"/>
            <w:gridSpan w:val="3"/>
            <w:shd w:val="clear" w:color="auto" w:fill="CCEEFF"/>
            <w:tcMar>
              <w:top w:w="30" w:type="dxa"/>
              <w:left w:w="155" w:type="dxa"/>
              <w:bottom w:w="30" w:type="dxa"/>
              <w:right w:w="20" w:type="dxa"/>
            </w:tcMar>
            <w:vAlign w:val="bottom"/>
            <w:hideMark/>
          </w:tcPr>
          <w:p w14:paraId="102736F3" w14:textId="77777777" w:rsidR="00000000" w:rsidRDefault="009B6C69">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14:paraId="4B73C57E"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36C5BF9" w14:textId="77777777" w:rsidR="00000000" w:rsidRDefault="009B6C69">
            <w:pPr>
              <w:spacing w:after="100"/>
              <w:jc w:val="right"/>
              <w:rPr>
                <w:rFonts w:eastAsia="Times New Roman"/>
              </w:rPr>
            </w:pPr>
            <w:r>
              <w:rPr>
                <w:rFonts w:eastAsia="Times New Roman"/>
                <w:color w:val="000000"/>
                <w:sz w:val="18"/>
                <w:szCs w:val="18"/>
              </w:rPr>
              <w:t>2,773 </w:t>
            </w:r>
          </w:p>
        </w:tc>
        <w:tc>
          <w:tcPr>
            <w:tcW w:w="0" w:type="auto"/>
            <w:shd w:val="clear" w:color="auto" w:fill="CCEEFF"/>
            <w:tcMar>
              <w:top w:w="30" w:type="dxa"/>
              <w:left w:w="0" w:type="dxa"/>
              <w:bottom w:w="30" w:type="dxa"/>
              <w:right w:w="20" w:type="dxa"/>
            </w:tcMar>
            <w:vAlign w:val="bottom"/>
            <w:hideMark/>
          </w:tcPr>
          <w:p w14:paraId="5F113A32"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F268BB"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8A89C3D"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77E7C85" w14:textId="77777777" w:rsidR="00000000" w:rsidRDefault="009B6C69">
            <w:pPr>
              <w:spacing w:after="100"/>
              <w:jc w:val="right"/>
              <w:rPr>
                <w:rFonts w:eastAsia="Times New Roman"/>
              </w:rPr>
            </w:pPr>
            <w:r>
              <w:rPr>
                <w:rFonts w:eastAsia="Times New Roman"/>
                <w:color w:val="000000"/>
                <w:sz w:val="18"/>
                <w:szCs w:val="18"/>
              </w:rPr>
              <w:t>7,116 </w:t>
            </w:r>
          </w:p>
        </w:tc>
        <w:tc>
          <w:tcPr>
            <w:tcW w:w="0" w:type="auto"/>
            <w:shd w:val="clear" w:color="auto" w:fill="CCEEFF"/>
            <w:tcMar>
              <w:top w:w="30" w:type="dxa"/>
              <w:left w:w="0" w:type="dxa"/>
              <w:bottom w:w="30" w:type="dxa"/>
              <w:right w:w="20" w:type="dxa"/>
            </w:tcMar>
            <w:vAlign w:val="bottom"/>
            <w:hideMark/>
          </w:tcPr>
          <w:p w14:paraId="6A7BC22C" w14:textId="77777777" w:rsidR="00000000" w:rsidRDefault="009B6C69">
            <w:pPr>
              <w:spacing w:after="100"/>
              <w:jc w:val="right"/>
              <w:rPr>
                <w:rFonts w:eastAsia="Times New Roman"/>
              </w:rPr>
            </w:pPr>
          </w:p>
        </w:tc>
      </w:tr>
      <w:tr w:rsidR="00000000" w14:paraId="23BD821B" w14:textId="77777777">
        <w:trPr>
          <w:jc w:val="center"/>
        </w:trPr>
        <w:tc>
          <w:tcPr>
            <w:tcW w:w="0" w:type="auto"/>
            <w:gridSpan w:val="3"/>
            <w:shd w:val="clear" w:color="auto" w:fill="FFFFFF"/>
            <w:tcMar>
              <w:top w:w="30" w:type="dxa"/>
              <w:left w:w="155" w:type="dxa"/>
              <w:bottom w:w="30" w:type="dxa"/>
              <w:right w:w="20" w:type="dxa"/>
            </w:tcMar>
            <w:vAlign w:val="bottom"/>
            <w:hideMark/>
          </w:tcPr>
          <w:p w14:paraId="0C846286" w14:textId="77777777" w:rsidR="00000000" w:rsidRDefault="009B6C69">
            <w:pPr>
              <w:spacing w:after="100"/>
              <w:rPr>
                <w:rFonts w:eastAsia="Times New Roman"/>
              </w:rPr>
            </w:pPr>
            <w:r>
              <w:rPr>
                <w:rFonts w:eastAsia="Times New Roman"/>
                <w:color w:val="000000"/>
                <w:sz w:val="18"/>
                <w:szCs w:val="18"/>
              </w:rPr>
              <w:t>Marketable securities</w:t>
            </w:r>
          </w:p>
        </w:tc>
        <w:tc>
          <w:tcPr>
            <w:tcW w:w="0" w:type="auto"/>
            <w:gridSpan w:val="2"/>
            <w:shd w:val="clear" w:color="auto" w:fill="FFFFFF"/>
            <w:tcMar>
              <w:top w:w="30" w:type="dxa"/>
              <w:left w:w="20" w:type="dxa"/>
              <w:bottom w:w="30" w:type="dxa"/>
              <w:right w:w="0" w:type="dxa"/>
            </w:tcMar>
            <w:vAlign w:val="bottom"/>
            <w:hideMark/>
          </w:tcPr>
          <w:p w14:paraId="4DC46FB8" w14:textId="77777777" w:rsidR="00000000" w:rsidRDefault="009B6C69">
            <w:pPr>
              <w:spacing w:after="100"/>
              <w:jc w:val="right"/>
              <w:rPr>
                <w:rFonts w:eastAsia="Times New Roman"/>
              </w:rPr>
            </w:pPr>
            <w:r>
              <w:rPr>
                <w:rFonts w:eastAsia="Times New Roman"/>
                <w:color w:val="000000"/>
                <w:sz w:val="18"/>
                <w:szCs w:val="18"/>
              </w:rPr>
              <w:t>3,609 </w:t>
            </w:r>
          </w:p>
        </w:tc>
        <w:tc>
          <w:tcPr>
            <w:tcW w:w="0" w:type="auto"/>
            <w:shd w:val="clear" w:color="auto" w:fill="FFFFFF"/>
            <w:tcMar>
              <w:top w:w="30" w:type="dxa"/>
              <w:left w:w="0" w:type="dxa"/>
              <w:bottom w:w="30" w:type="dxa"/>
              <w:right w:w="20" w:type="dxa"/>
            </w:tcMar>
            <w:vAlign w:val="bottom"/>
            <w:hideMark/>
          </w:tcPr>
          <w:p w14:paraId="03FEB2CD"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1E047D"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9F1B15" w14:textId="77777777" w:rsidR="00000000" w:rsidRDefault="009B6C69">
            <w:pPr>
              <w:spacing w:after="100"/>
              <w:jc w:val="right"/>
              <w:rPr>
                <w:rFonts w:eastAsia="Times New Roman"/>
              </w:rPr>
            </w:pPr>
            <w:r>
              <w:rPr>
                <w:rFonts w:eastAsia="Times New Roman"/>
                <w:color w:val="000000"/>
                <w:sz w:val="18"/>
                <w:szCs w:val="18"/>
              </w:rPr>
              <w:t>5,298 </w:t>
            </w:r>
          </w:p>
        </w:tc>
        <w:tc>
          <w:tcPr>
            <w:tcW w:w="0" w:type="auto"/>
            <w:shd w:val="clear" w:color="auto" w:fill="FFFFFF"/>
            <w:tcMar>
              <w:top w:w="30" w:type="dxa"/>
              <w:left w:w="0" w:type="dxa"/>
              <w:bottom w:w="30" w:type="dxa"/>
              <w:right w:w="20" w:type="dxa"/>
            </w:tcMar>
            <w:vAlign w:val="bottom"/>
            <w:hideMark/>
          </w:tcPr>
          <w:p w14:paraId="69DECF24" w14:textId="77777777" w:rsidR="00000000" w:rsidRDefault="009B6C69">
            <w:pPr>
              <w:spacing w:after="100"/>
              <w:jc w:val="right"/>
              <w:rPr>
                <w:rFonts w:eastAsia="Times New Roman"/>
              </w:rPr>
            </w:pPr>
          </w:p>
        </w:tc>
      </w:tr>
      <w:tr w:rsidR="00000000" w14:paraId="2C5BF213" w14:textId="77777777">
        <w:trPr>
          <w:jc w:val="center"/>
        </w:trPr>
        <w:tc>
          <w:tcPr>
            <w:tcW w:w="0" w:type="auto"/>
            <w:gridSpan w:val="3"/>
            <w:shd w:val="clear" w:color="auto" w:fill="CCEEFF"/>
            <w:tcMar>
              <w:top w:w="30" w:type="dxa"/>
              <w:left w:w="155" w:type="dxa"/>
              <w:bottom w:w="30" w:type="dxa"/>
              <w:right w:w="20" w:type="dxa"/>
            </w:tcMar>
            <w:vAlign w:val="bottom"/>
            <w:hideMark/>
          </w:tcPr>
          <w:p w14:paraId="3834FA1C" w14:textId="77777777" w:rsidR="00000000" w:rsidRDefault="009B6C69">
            <w:pPr>
              <w:spacing w:after="100"/>
              <w:rPr>
                <w:rFonts w:eastAsia="Times New Roman"/>
              </w:rPr>
            </w:pPr>
            <w:r>
              <w:rPr>
                <w:rFonts w:eastAsia="Times New Roman"/>
                <w:color w:val="000000"/>
                <w:sz w:val="18"/>
                <w:szCs w:val="18"/>
              </w:rPr>
              <w:t>Accounts receivable, net</w:t>
            </w:r>
          </w:p>
        </w:tc>
        <w:tc>
          <w:tcPr>
            <w:tcW w:w="0" w:type="auto"/>
            <w:gridSpan w:val="2"/>
            <w:shd w:val="clear" w:color="auto" w:fill="CCEEFF"/>
            <w:tcMar>
              <w:top w:w="30" w:type="dxa"/>
              <w:left w:w="20" w:type="dxa"/>
              <w:bottom w:w="30" w:type="dxa"/>
              <w:right w:w="0" w:type="dxa"/>
            </w:tcMar>
            <w:vAlign w:val="bottom"/>
            <w:hideMark/>
          </w:tcPr>
          <w:p w14:paraId="636BD5C4" w14:textId="77777777" w:rsidR="00000000" w:rsidRDefault="009B6C69">
            <w:pPr>
              <w:spacing w:after="100"/>
              <w:jc w:val="right"/>
              <w:rPr>
                <w:rFonts w:eastAsia="Times New Roman"/>
              </w:rPr>
            </w:pPr>
            <w:r>
              <w:rPr>
                <w:rFonts w:eastAsia="Times New Roman"/>
                <w:color w:val="000000"/>
                <w:sz w:val="18"/>
                <w:szCs w:val="18"/>
              </w:rPr>
              <w:t>5,643 </w:t>
            </w:r>
          </w:p>
        </w:tc>
        <w:tc>
          <w:tcPr>
            <w:tcW w:w="0" w:type="auto"/>
            <w:shd w:val="clear" w:color="auto" w:fill="CCEEFF"/>
            <w:tcMar>
              <w:top w:w="30" w:type="dxa"/>
              <w:left w:w="0" w:type="dxa"/>
              <w:bottom w:w="30" w:type="dxa"/>
              <w:right w:w="20" w:type="dxa"/>
            </w:tcMar>
            <w:vAlign w:val="bottom"/>
            <w:hideMark/>
          </w:tcPr>
          <w:p w14:paraId="3AF4B8F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699441"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69735B" w14:textId="77777777" w:rsidR="00000000" w:rsidRDefault="009B6C69">
            <w:pPr>
              <w:spacing w:after="100"/>
              <w:jc w:val="right"/>
              <w:rPr>
                <w:rFonts w:eastAsia="Times New Roman"/>
              </w:rPr>
            </w:pPr>
            <w:r>
              <w:rPr>
                <w:rFonts w:eastAsia="Times New Roman"/>
                <w:color w:val="000000"/>
                <w:sz w:val="18"/>
                <w:szCs w:val="18"/>
              </w:rPr>
              <w:t>3,579 </w:t>
            </w:r>
          </w:p>
        </w:tc>
        <w:tc>
          <w:tcPr>
            <w:tcW w:w="0" w:type="auto"/>
            <w:shd w:val="clear" w:color="auto" w:fill="CCEEFF"/>
            <w:tcMar>
              <w:top w:w="30" w:type="dxa"/>
              <w:left w:w="0" w:type="dxa"/>
              <w:bottom w:w="30" w:type="dxa"/>
              <w:right w:w="20" w:type="dxa"/>
            </w:tcMar>
            <w:vAlign w:val="bottom"/>
            <w:hideMark/>
          </w:tcPr>
          <w:p w14:paraId="627B398E" w14:textId="77777777" w:rsidR="00000000" w:rsidRDefault="009B6C69">
            <w:pPr>
              <w:spacing w:after="100"/>
              <w:jc w:val="right"/>
              <w:rPr>
                <w:rFonts w:eastAsia="Times New Roman"/>
              </w:rPr>
            </w:pPr>
          </w:p>
        </w:tc>
      </w:tr>
      <w:tr w:rsidR="00000000" w14:paraId="31BCA7F9" w14:textId="77777777">
        <w:trPr>
          <w:jc w:val="center"/>
        </w:trPr>
        <w:tc>
          <w:tcPr>
            <w:tcW w:w="0" w:type="auto"/>
            <w:gridSpan w:val="3"/>
            <w:shd w:val="clear" w:color="auto" w:fill="FFFFFF"/>
            <w:tcMar>
              <w:top w:w="30" w:type="dxa"/>
              <w:left w:w="155" w:type="dxa"/>
              <w:bottom w:w="30" w:type="dxa"/>
              <w:right w:w="20" w:type="dxa"/>
            </w:tcMar>
            <w:vAlign w:val="bottom"/>
            <w:hideMark/>
          </w:tcPr>
          <w:p w14:paraId="5E62958C" w14:textId="77777777" w:rsidR="00000000" w:rsidRDefault="009B6C69">
            <w:pPr>
              <w:spacing w:after="100"/>
              <w:rPr>
                <w:rFonts w:eastAsia="Times New Roman"/>
              </w:rPr>
            </w:pPr>
            <w:r>
              <w:rPr>
                <w:rFonts w:eastAsia="Times New Roman"/>
                <w:color w:val="000000"/>
                <w:sz w:val="18"/>
                <w:szCs w:val="18"/>
              </w:rPr>
              <w:t>Inventories</w:t>
            </w:r>
          </w:p>
        </w:tc>
        <w:tc>
          <w:tcPr>
            <w:tcW w:w="0" w:type="auto"/>
            <w:gridSpan w:val="2"/>
            <w:shd w:val="clear" w:color="auto" w:fill="FFFFFF"/>
            <w:tcMar>
              <w:top w:w="30" w:type="dxa"/>
              <w:left w:w="20" w:type="dxa"/>
              <w:bottom w:w="30" w:type="dxa"/>
              <w:right w:w="0" w:type="dxa"/>
            </w:tcMar>
            <w:vAlign w:val="bottom"/>
            <w:hideMark/>
          </w:tcPr>
          <w:p w14:paraId="0710031D" w14:textId="77777777" w:rsidR="00000000" w:rsidRDefault="009B6C69">
            <w:pPr>
              <w:spacing w:after="100"/>
              <w:jc w:val="right"/>
              <w:rPr>
                <w:rFonts w:eastAsia="Times New Roman"/>
              </w:rPr>
            </w:pPr>
            <w:r>
              <w:rPr>
                <w:rFonts w:eastAsia="Times New Roman"/>
                <w:color w:val="000000"/>
                <w:sz w:val="18"/>
                <w:szCs w:val="18"/>
              </w:rPr>
              <w:t>6,341 </w:t>
            </w:r>
          </w:p>
        </w:tc>
        <w:tc>
          <w:tcPr>
            <w:tcW w:w="0" w:type="auto"/>
            <w:shd w:val="clear" w:color="auto" w:fill="FFFFFF"/>
            <w:tcMar>
              <w:top w:w="30" w:type="dxa"/>
              <w:left w:w="0" w:type="dxa"/>
              <w:bottom w:w="30" w:type="dxa"/>
              <w:right w:w="20" w:type="dxa"/>
            </w:tcMar>
            <w:vAlign w:val="bottom"/>
            <w:hideMark/>
          </w:tcPr>
          <w:p w14:paraId="0C542E8E"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AA7D9"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55F465" w14:textId="77777777" w:rsidR="00000000" w:rsidRDefault="009B6C69">
            <w:pPr>
              <w:spacing w:after="100"/>
              <w:jc w:val="right"/>
              <w:rPr>
                <w:rFonts w:eastAsia="Times New Roman"/>
              </w:rPr>
            </w:pPr>
            <w:r>
              <w:rPr>
                <w:rFonts w:eastAsia="Times New Roman"/>
                <w:color w:val="000000"/>
                <w:sz w:val="18"/>
                <w:szCs w:val="18"/>
              </w:rPr>
              <w:t>3,228 </w:t>
            </w:r>
          </w:p>
        </w:tc>
        <w:tc>
          <w:tcPr>
            <w:tcW w:w="0" w:type="auto"/>
            <w:shd w:val="clear" w:color="auto" w:fill="FFFFFF"/>
            <w:tcMar>
              <w:top w:w="30" w:type="dxa"/>
              <w:left w:w="0" w:type="dxa"/>
              <w:bottom w:w="30" w:type="dxa"/>
              <w:right w:w="20" w:type="dxa"/>
            </w:tcMar>
            <w:vAlign w:val="bottom"/>
            <w:hideMark/>
          </w:tcPr>
          <w:p w14:paraId="4A8D81E2" w14:textId="77777777" w:rsidR="00000000" w:rsidRDefault="009B6C69">
            <w:pPr>
              <w:spacing w:after="100"/>
              <w:jc w:val="right"/>
              <w:rPr>
                <w:rFonts w:eastAsia="Times New Roman"/>
              </w:rPr>
            </w:pPr>
          </w:p>
        </w:tc>
      </w:tr>
      <w:tr w:rsidR="00000000" w14:paraId="19B2C089" w14:textId="77777777">
        <w:trPr>
          <w:jc w:val="center"/>
        </w:trPr>
        <w:tc>
          <w:tcPr>
            <w:tcW w:w="0" w:type="auto"/>
            <w:gridSpan w:val="3"/>
            <w:shd w:val="clear" w:color="auto" w:fill="CCEEFF"/>
            <w:tcMar>
              <w:top w:w="30" w:type="dxa"/>
              <w:left w:w="155" w:type="dxa"/>
              <w:bottom w:w="30" w:type="dxa"/>
              <w:right w:w="20" w:type="dxa"/>
            </w:tcMar>
            <w:vAlign w:val="bottom"/>
            <w:hideMark/>
          </w:tcPr>
          <w:p w14:paraId="2D84D260" w14:textId="77777777" w:rsidR="00000000" w:rsidRDefault="009B6C69">
            <w:pPr>
              <w:spacing w:after="100"/>
              <w:rPr>
                <w:rFonts w:eastAsia="Times New Roman"/>
              </w:rPr>
            </w:pPr>
            <w:r>
              <w:rPr>
                <w:rFonts w:eastAsia="Times New Roman"/>
                <w:color w:val="000000"/>
                <w:sz w:val="18"/>
                <w:szCs w:val="18"/>
              </w:rPr>
              <w:t>Held for sale assets</w:t>
            </w:r>
          </w:p>
        </w:tc>
        <w:tc>
          <w:tcPr>
            <w:tcW w:w="0" w:type="auto"/>
            <w:gridSpan w:val="2"/>
            <w:shd w:val="clear" w:color="auto" w:fill="CCEEFF"/>
            <w:tcMar>
              <w:top w:w="30" w:type="dxa"/>
              <w:left w:w="20" w:type="dxa"/>
              <w:bottom w:w="30" w:type="dxa"/>
              <w:right w:w="0" w:type="dxa"/>
            </w:tcMar>
            <w:vAlign w:val="bottom"/>
            <w:hideMark/>
          </w:tcPr>
          <w:p w14:paraId="5B877B53" w14:textId="77777777" w:rsidR="00000000" w:rsidRDefault="009B6C69">
            <w:pPr>
              <w:spacing w:after="100"/>
              <w:jc w:val="right"/>
              <w:rPr>
                <w:rFonts w:eastAsia="Times New Roman"/>
              </w:rPr>
            </w:pPr>
            <w:r>
              <w:rPr>
                <w:rFonts w:eastAsia="Times New Roman"/>
                <w:color w:val="000000"/>
                <w:sz w:val="18"/>
                <w:szCs w:val="18"/>
              </w:rPr>
              <w:t>733 </w:t>
            </w:r>
          </w:p>
        </w:tc>
        <w:tc>
          <w:tcPr>
            <w:tcW w:w="0" w:type="auto"/>
            <w:shd w:val="clear" w:color="auto" w:fill="CCEEFF"/>
            <w:tcMar>
              <w:top w:w="30" w:type="dxa"/>
              <w:left w:w="0" w:type="dxa"/>
              <w:bottom w:w="30" w:type="dxa"/>
              <w:right w:w="20" w:type="dxa"/>
            </w:tcMar>
            <w:vAlign w:val="bottom"/>
            <w:hideMark/>
          </w:tcPr>
          <w:p w14:paraId="7792FFC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6C8E2D"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97366E"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C0FEAE2" w14:textId="77777777" w:rsidR="00000000" w:rsidRDefault="009B6C69">
            <w:pPr>
              <w:spacing w:after="100"/>
              <w:jc w:val="right"/>
              <w:rPr>
                <w:rFonts w:eastAsia="Times New Roman"/>
              </w:rPr>
            </w:pPr>
          </w:p>
        </w:tc>
      </w:tr>
      <w:tr w:rsidR="00000000" w14:paraId="027F15C8" w14:textId="77777777">
        <w:trPr>
          <w:jc w:val="center"/>
        </w:trPr>
        <w:tc>
          <w:tcPr>
            <w:tcW w:w="0" w:type="auto"/>
            <w:gridSpan w:val="3"/>
            <w:shd w:val="clear" w:color="auto" w:fill="FFFFFF"/>
            <w:tcMar>
              <w:top w:w="30" w:type="dxa"/>
              <w:left w:w="155" w:type="dxa"/>
              <w:bottom w:w="30" w:type="dxa"/>
              <w:right w:w="20" w:type="dxa"/>
            </w:tcMar>
            <w:vAlign w:val="bottom"/>
            <w:hideMark/>
          </w:tcPr>
          <w:p w14:paraId="799118D7" w14:textId="77777777" w:rsidR="00000000" w:rsidRDefault="009B6C69">
            <w:pPr>
              <w:spacing w:after="100"/>
              <w:rPr>
                <w:rFonts w:eastAsia="Times New Roman"/>
              </w:rPr>
            </w:pPr>
            <w:r>
              <w:rPr>
                <w:rFonts w:eastAsia="Times New Roman"/>
                <w:color w:val="000000"/>
                <w:sz w:val="18"/>
                <w:szCs w:val="18"/>
              </w:rPr>
              <w:t>Other current assets</w:t>
            </w:r>
          </w:p>
        </w:tc>
        <w:tc>
          <w:tcPr>
            <w:tcW w:w="0" w:type="auto"/>
            <w:gridSpan w:val="2"/>
            <w:shd w:val="clear" w:color="auto" w:fill="FFFFFF"/>
            <w:tcMar>
              <w:top w:w="30" w:type="dxa"/>
              <w:left w:w="20" w:type="dxa"/>
              <w:bottom w:w="30" w:type="dxa"/>
              <w:right w:w="0" w:type="dxa"/>
            </w:tcMar>
            <w:vAlign w:val="bottom"/>
            <w:hideMark/>
          </w:tcPr>
          <w:p w14:paraId="4E72DE79" w14:textId="77777777" w:rsidR="00000000" w:rsidRDefault="009B6C69">
            <w:pPr>
              <w:spacing w:after="100"/>
              <w:jc w:val="right"/>
              <w:rPr>
                <w:rFonts w:eastAsia="Times New Roman"/>
              </w:rPr>
            </w:pPr>
            <w:r>
              <w:rPr>
                <w:rFonts w:eastAsia="Times New Roman"/>
                <w:color w:val="000000"/>
                <w:sz w:val="18"/>
                <w:szCs w:val="18"/>
              </w:rPr>
              <w:t>1,625 </w:t>
            </w:r>
          </w:p>
        </w:tc>
        <w:tc>
          <w:tcPr>
            <w:tcW w:w="0" w:type="auto"/>
            <w:shd w:val="clear" w:color="auto" w:fill="FFFFFF"/>
            <w:tcMar>
              <w:top w:w="30" w:type="dxa"/>
              <w:left w:w="0" w:type="dxa"/>
              <w:bottom w:w="30" w:type="dxa"/>
              <w:right w:w="20" w:type="dxa"/>
            </w:tcMar>
            <w:vAlign w:val="bottom"/>
            <w:hideMark/>
          </w:tcPr>
          <w:p w14:paraId="27CDB73A"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AFBCC"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9A7EC6" w14:textId="77777777" w:rsidR="00000000" w:rsidRDefault="009B6C69">
            <w:pPr>
              <w:spacing w:after="100"/>
              <w:jc w:val="right"/>
              <w:rPr>
                <w:rFonts w:eastAsia="Times New Roman"/>
              </w:rPr>
            </w:pPr>
            <w:r>
              <w:rPr>
                <w:rFonts w:eastAsia="Times New Roman"/>
                <w:color w:val="000000"/>
                <w:sz w:val="18"/>
                <w:szCs w:val="18"/>
              </w:rPr>
              <w:t>854 </w:t>
            </w:r>
          </w:p>
        </w:tc>
        <w:tc>
          <w:tcPr>
            <w:tcW w:w="0" w:type="auto"/>
            <w:shd w:val="clear" w:color="auto" w:fill="FFFFFF"/>
            <w:tcMar>
              <w:top w:w="30" w:type="dxa"/>
              <w:left w:w="0" w:type="dxa"/>
              <w:bottom w:w="30" w:type="dxa"/>
              <w:right w:w="20" w:type="dxa"/>
            </w:tcMar>
            <w:vAlign w:val="bottom"/>
            <w:hideMark/>
          </w:tcPr>
          <w:p w14:paraId="5DFE5E93" w14:textId="77777777" w:rsidR="00000000" w:rsidRDefault="009B6C69">
            <w:pPr>
              <w:spacing w:after="100"/>
              <w:jc w:val="right"/>
              <w:rPr>
                <w:rFonts w:eastAsia="Times New Roman"/>
              </w:rPr>
            </w:pPr>
          </w:p>
        </w:tc>
      </w:tr>
      <w:tr w:rsidR="00000000" w14:paraId="25832007" w14:textId="77777777">
        <w:trPr>
          <w:jc w:val="center"/>
        </w:trPr>
        <w:tc>
          <w:tcPr>
            <w:tcW w:w="0" w:type="auto"/>
            <w:gridSpan w:val="3"/>
            <w:shd w:val="clear" w:color="auto" w:fill="CCEEFF"/>
            <w:tcMar>
              <w:top w:w="30" w:type="dxa"/>
              <w:left w:w="380" w:type="dxa"/>
              <w:bottom w:w="30" w:type="dxa"/>
              <w:right w:w="20" w:type="dxa"/>
            </w:tcMar>
            <w:vAlign w:val="bottom"/>
            <w:hideMark/>
          </w:tcPr>
          <w:p w14:paraId="60734E1B" w14:textId="77777777" w:rsidR="00000000" w:rsidRDefault="009B6C69">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884158" w14:textId="77777777" w:rsidR="00000000" w:rsidRDefault="009B6C69">
            <w:pPr>
              <w:spacing w:after="100"/>
              <w:jc w:val="right"/>
              <w:rPr>
                <w:rFonts w:eastAsia="Times New Roman"/>
              </w:rPr>
            </w:pPr>
            <w:r>
              <w:rPr>
                <w:rFonts w:eastAsia="Times New Roman"/>
                <w:color w:val="000000"/>
                <w:sz w:val="18"/>
                <w:szCs w:val="18"/>
              </w:rPr>
              <w:t>20,724 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3FAE2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08D833"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5AE1B0" w14:textId="77777777" w:rsidR="00000000" w:rsidRDefault="009B6C69">
            <w:pPr>
              <w:spacing w:after="100"/>
              <w:jc w:val="right"/>
              <w:rPr>
                <w:rFonts w:eastAsia="Times New Roman"/>
              </w:rPr>
            </w:pPr>
            <w:r>
              <w:rPr>
                <w:rFonts w:eastAsia="Times New Roman"/>
                <w:color w:val="000000"/>
                <w:sz w:val="18"/>
                <w:szCs w:val="18"/>
              </w:rPr>
              <w:t>20,075 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90F7E8" w14:textId="77777777" w:rsidR="00000000" w:rsidRDefault="009B6C69">
            <w:pPr>
              <w:spacing w:after="100"/>
              <w:jc w:val="right"/>
              <w:rPr>
                <w:rFonts w:eastAsia="Times New Roman"/>
              </w:rPr>
            </w:pPr>
          </w:p>
        </w:tc>
      </w:tr>
      <w:tr w:rsidR="00000000" w14:paraId="7F1713FE" w14:textId="77777777">
        <w:trPr>
          <w:jc w:val="center"/>
        </w:trPr>
        <w:tc>
          <w:tcPr>
            <w:tcW w:w="0" w:type="auto"/>
            <w:gridSpan w:val="3"/>
            <w:vAlign w:val="center"/>
            <w:hideMark/>
          </w:tcPr>
          <w:p w14:paraId="32706E7B" w14:textId="77777777" w:rsidR="00000000" w:rsidRDefault="009B6C69">
            <w:pPr>
              <w:spacing w:after="100"/>
              <w:jc w:val="right"/>
              <w:rPr>
                <w:rFonts w:eastAsia="Times New Roman"/>
                <w:sz w:val="20"/>
                <w:szCs w:val="20"/>
              </w:rPr>
            </w:pPr>
          </w:p>
        </w:tc>
        <w:tc>
          <w:tcPr>
            <w:tcW w:w="0" w:type="auto"/>
            <w:gridSpan w:val="3"/>
            <w:vAlign w:val="center"/>
            <w:hideMark/>
          </w:tcPr>
          <w:p w14:paraId="1E4B3888" w14:textId="77777777" w:rsidR="00000000" w:rsidRDefault="009B6C69">
            <w:pPr>
              <w:spacing w:after="100"/>
              <w:rPr>
                <w:rFonts w:eastAsia="Times New Roman"/>
                <w:sz w:val="20"/>
                <w:szCs w:val="20"/>
              </w:rPr>
            </w:pPr>
          </w:p>
        </w:tc>
        <w:tc>
          <w:tcPr>
            <w:tcW w:w="0" w:type="auto"/>
            <w:gridSpan w:val="3"/>
            <w:vAlign w:val="center"/>
            <w:hideMark/>
          </w:tcPr>
          <w:p w14:paraId="46C476B3" w14:textId="77777777" w:rsidR="00000000" w:rsidRDefault="009B6C69">
            <w:pPr>
              <w:spacing w:after="100"/>
              <w:rPr>
                <w:rFonts w:eastAsia="Times New Roman"/>
                <w:sz w:val="20"/>
                <w:szCs w:val="20"/>
              </w:rPr>
            </w:pPr>
          </w:p>
        </w:tc>
        <w:tc>
          <w:tcPr>
            <w:tcW w:w="0" w:type="auto"/>
            <w:gridSpan w:val="3"/>
            <w:vAlign w:val="center"/>
            <w:hideMark/>
          </w:tcPr>
          <w:p w14:paraId="7A0A7AD4" w14:textId="77777777" w:rsidR="00000000" w:rsidRDefault="009B6C69">
            <w:pPr>
              <w:spacing w:after="100"/>
              <w:rPr>
                <w:rFonts w:eastAsia="Times New Roman"/>
                <w:sz w:val="20"/>
                <w:szCs w:val="20"/>
              </w:rPr>
            </w:pPr>
          </w:p>
        </w:tc>
      </w:tr>
      <w:tr w:rsidR="00000000" w14:paraId="27C39437" w14:textId="77777777">
        <w:trPr>
          <w:jc w:val="center"/>
        </w:trPr>
        <w:tc>
          <w:tcPr>
            <w:tcW w:w="0" w:type="auto"/>
            <w:gridSpan w:val="3"/>
            <w:shd w:val="clear" w:color="auto" w:fill="FFFFFF"/>
            <w:tcMar>
              <w:top w:w="30" w:type="dxa"/>
              <w:left w:w="20" w:type="dxa"/>
              <w:bottom w:w="30" w:type="dxa"/>
              <w:right w:w="20" w:type="dxa"/>
            </w:tcMar>
            <w:vAlign w:val="bottom"/>
            <w:hideMark/>
          </w:tcPr>
          <w:p w14:paraId="3366F694" w14:textId="77777777" w:rsidR="00000000" w:rsidRDefault="009B6C69">
            <w:pPr>
              <w:spacing w:after="100"/>
              <w:rPr>
                <w:rFonts w:eastAsia="Times New Roman"/>
              </w:rPr>
            </w:pPr>
            <w:r>
              <w:rPr>
                <w:rFonts w:eastAsia="Times New Roman"/>
                <w:color w:val="000000"/>
                <w:sz w:val="18"/>
                <w:szCs w:val="18"/>
              </w:rPr>
              <w:t>Deferred tax assets</w:t>
            </w:r>
          </w:p>
        </w:tc>
        <w:tc>
          <w:tcPr>
            <w:tcW w:w="0" w:type="auto"/>
            <w:gridSpan w:val="2"/>
            <w:shd w:val="clear" w:color="auto" w:fill="FFFFFF"/>
            <w:tcMar>
              <w:top w:w="30" w:type="dxa"/>
              <w:left w:w="20" w:type="dxa"/>
              <w:bottom w:w="30" w:type="dxa"/>
              <w:right w:w="0" w:type="dxa"/>
            </w:tcMar>
            <w:vAlign w:val="bottom"/>
            <w:hideMark/>
          </w:tcPr>
          <w:p w14:paraId="100E569F" w14:textId="77777777" w:rsidR="00000000" w:rsidRDefault="009B6C69">
            <w:pPr>
              <w:spacing w:after="100"/>
              <w:jc w:val="right"/>
              <w:rPr>
                <w:rFonts w:eastAsia="Times New Roman"/>
              </w:rPr>
            </w:pPr>
            <w:r>
              <w:rPr>
                <w:rFonts w:eastAsia="Times New Roman"/>
                <w:color w:val="000000"/>
                <w:sz w:val="18"/>
                <w:szCs w:val="18"/>
              </w:rPr>
              <w:t>1,803 </w:t>
            </w:r>
          </w:p>
        </w:tc>
        <w:tc>
          <w:tcPr>
            <w:tcW w:w="0" w:type="auto"/>
            <w:shd w:val="clear" w:color="auto" w:fill="FFFFFF"/>
            <w:tcMar>
              <w:top w:w="30" w:type="dxa"/>
              <w:left w:w="0" w:type="dxa"/>
              <w:bottom w:w="30" w:type="dxa"/>
              <w:right w:w="20" w:type="dxa"/>
            </w:tcMar>
            <w:vAlign w:val="bottom"/>
            <w:hideMark/>
          </w:tcPr>
          <w:p w14:paraId="111DD6D9"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C80871"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F8A713" w14:textId="77777777" w:rsidR="00000000" w:rsidRDefault="009B6C69">
            <w:pPr>
              <w:spacing w:after="100"/>
              <w:jc w:val="right"/>
              <w:rPr>
                <w:rFonts w:eastAsia="Times New Roman"/>
              </w:rPr>
            </w:pPr>
            <w:r>
              <w:rPr>
                <w:rFonts w:eastAsia="Times New Roman"/>
                <w:color w:val="000000"/>
                <w:sz w:val="18"/>
                <w:szCs w:val="18"/>
              </w:rPr>
              <w:t>1,591 </w:t>
            </w:r>
          </w:p>
        </w:tc>
        <w:tc>
          <w:tcPr>
            <w:tcW w:w="0" w:type="auto"/>
            <w:shd w:val="clear" w:color="auto" w:fill="FFFFFF"/>
            <w:tcMar>
              <w:top w:w="30" w:type="dxa"/>
              <w:left w:w="0" w:type="dxa"/>
              <w:bottom w:w="30" w:type="dxa"/>
              <w:right w:w="20" w:type="dxa"/>
            </w:tcMar>
            <w:vAlign w:val="bottom"/>
            <w:hideMark/>
          </w:tcPr>
          <w:p w14:paraId="622E5D71" w14:textId="77777777" w:rsidR="00000000" w:rsidRDefault="009B6C69">
            <w:pPr>
              <w:spacing w:after="100"/>
              <w:jc w:val="right"/>
              <w:rPr>
                <w:rFonts w:eastAsia="Times New Roman"/>
              </w:rPr>
            </w:pPr>
          </w:p>
        </w:tc>
      </w:tr>
      <w:tr w:rsidR="00000000" w14:paraId="03E671BB" w14:textId="77777777">
        <w:trPr>
          <w:jc w:val="center"/>
        </w:trPr>
        <w:tc>
          <w:tcPr>
            <w:tcW w:w="0" w:type="auto"/>
            <w:gridSpan w:val="3"/>
            <w:shd w:val="clear" w:color="auto" w:fill="CCEEFF"/>
            <w:tcMar>
              <w:top w:w="30" w:type="dxa"/>
              <w:left w:w="20" w:type="dxa"/>
              <w:bottom w:w="30" w:type="dxa"/>
              <w:right w:w="20" w:type="dxa"/>
            </w:tcMar>
            <w:vAlign w:val="bottom"/>
            <w:hideMark/>
          </w:tcPr>
          <w:p w14:paraId="1519C57E" w14:textId="77777777" w:rsidR="00000000" w:rsidRDefault="009B6C69">
            <w:pPr>
              <w:spacing w:after="100"/>
              <w:rPr>
                <w:rFonts w:eastAsia="Times New Roman"/>
              </w:rPr>
            </w:pPr>
            <w:r>
              <w:rPr>
                <w:rFonts w:eastAsia="Times New Roman"/>
                <w:color w:val="000000"/>
                <w:sz w:val="18"/>
                <w:szCs w:val="18"/>
              </w:rPr>
              <w:t>Property, plant and equipment, net</w:t>
            </w:r>
          </w:p>
        </w:tc>
        <w:tc>
          <w:tcPr>
            <w:tcW w:w="0" w:type="auto"/>
            <w:gridSpan w:val="2"/>
            <w:shd w:val="clear" w:color="auto" w:fill="CCEEFF"/>
            <w:tcMar>
              <w:top w:w="30" w:type="dxa"/>
              <w:left w:w="20" w:type="dxa"/>
              <w:bottom w:w="30" w:type="dxa"/>
              <w:right w:w="0" w:type="dxa"/>
            </w:tcMar>
            <w:vAlign w:val="bottom"/>
            <w:hideMark/>
          </w:tcPr>
          <w:p w14:paraId="18BA3F81" w14:textId="77777777" w:rsidR="00000000" w:rsidRDefault="009B6C69">
            <w:pPr>
              <w:spacing w:after="100"/>
              <w:jc w:val="right"/>
              <w:rPr>
                <w:rFonts w:eastAsia="Times New Roman"/>
              </w:rPr>
            </w:pPr>
            <w:r>
              <w:rPr>
                <w:rFonts w:eastAsia="Times New Roman"/>
                <w:color w:val="000000"/>
                <w:sz w:val="18"/>
                <w:szCs w:val="18"/>
              </w:rPr>
              <w:t>5,168 </w:t>
            </w:r>
          </w:p>
        </w:tc>
        <w:tc>
          <w:tcPr>
            <w:tcW w:w="0" w:type="auto"/>
            <w:shd w:val="clear" w:color="auto" w:fill="CCEEFF"/>
            <w:tcMar>
              <w:top w:w="30" w:type="dxa"/>
              <w:left w:w="0" w:type="dxa"/>
              <w:bottom w:w="30" w:type="dxa"/>
              <w:right w:w="20" w:type="dxa"/>
            </w:tcMar>
            <w:vAlign w:val="bottom"/>
            <w:hideMark/>
          </w:tcPr>
          <w:p w14:paraId="3C22EB5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AB3A48"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E78F2F" w14:textId="77777777" w:rsidR="00000000" w:rsidRDefault="009B6C69">
            <w:pPr>
              <w:spacing w:after="100"/>
              <w:jc w:val="right"/>
              <w:rPr>
                <w:rFonts w:eastAsia="Times New Roman"/>
              </w:rPr>
            </w:pPr>
            <w:r>
              <w:rPr>
                <w:rFonts w:eastAsia="Times New Roman"/>
                <w:color w:val="000000"/>
                <w:sz w:val="18"/>
                <w:szCs w:val="18"/>
              </w:rPr>
              <w:t>4,559 </w:t>
            </w:r>
          </w:p>
        </w:tc>
        <w:tc>
          <w:tcPr>
            <w:tcW w:w="0" w:type="auto"/>
            <w:shd w:val="clear" w:color="auto" w:fill="CCEEFF"/>
            <w:tcMar>
              <w:top w:w="30" w:type="dxa"/>
              <w:left w:w="0" w:type="dxa"/>
              <w:bottom w:w="30" w:type="dxa"/>
              <w:right w:w="20" w:type="dxa"/>
            </w:tcMar>
            <w:vAlign w:val="bottom"/>
            <w:hideMark/>
          </w:tcPr>
          <w:p w14:paraId="576CCC4C" w14:textId="77777777" w:rsidR="00000000" w:rsidRDefault="009B6C69">
            <w:pPr>
              <w:spacing w:after="100"/>
              <w:jc w:val="right"/>
              <w:rPr>
                <w:rFonts w:eastAsia="Times New Roman"/>
              </w:rPr>
            </w:pPr>
          </w:p>
        </w:tc>
      </w:tr>
      <w:tr w:rsidR="00000000" w14:paraId="2437D85C" w14:textId="77777777">
        <w:trPr>
          <w:jc w:val="center"/>
        </w:trPr>
        <w:tc>
          <w:tcPr>
            <w:tcW w:w="0" w:type="auto"/>
            <w:gridSpan w:val="3"/>
            <w:shd w:val="clear" w:color="auto" w:fill="FFFFFF"/>
            <w:tcMar>
              <w:top w:w="30" w:type="dxa"/>
              <w:left w:w="20" w:type="dxa"/>
              <w:bottom w:w="30" w:type="dxa"/>
              <w:right w:w="20" w:type="dxa"/>
            </w:tcMar>
            <w:vAlign w:val="bottom"/>
            <w:hideMark/>
          </w:tcPr>
          <w:p w14:paraId="3AA5B88C" w14:textId="77777777" w:rsidR="00000000" w:rsidRDefault="009B6C69">
            <w:pPr>
              <w:spacing w:after="100"/>
              <w:rPr>
                <w:rFonts w:eastAsia="Times New Roman"/>
              </w:rPr>
            </w:pPr>
            <w:r>
              <w:rPr>
                <w:rFonts w:eastAsia="Times New Roman"/>
                <w:color w:val="000000"/>
                <w:sz w:val="18"/>
                <w:szCs w:val="18"/>
              </w:rPr>
              <w:t>Goodwill</w:t>
            </w:r>
          </w:p>
        </w:tc>
        <w:tc>
          <w:tcPr>
            <w:tcW w:w="0" w:type="auto"/>
            <w:gridSpan w:val="2"/>
            <w:shd w:val="clear" w:color="auto" w:fill="FFFFFF"/>
            <w:tcMar>
              <w:top w:w="30" w:type="dxa"/>
              <w:left w:w="20" w:type="dxa"/>
              <w:bottom w:w="30" w:type="dxa"/>
              <w:right w:w="0" w:type="dxa"/>
            </w:tcMar>
            <w:vAlign w:val="bottom"/>
            <w:hideMark/>
          </w:tcPr>
          <w:p w14:paraId="02A5B3BF" w14:textId="77777777" w:rsidR="00000000" w:rsidRDefault="009B6C69">
            <w:pPr>
              <w:spacing w:after="100"/>
              <w:jc w:val="right"/>
              <w:rPr>
                <w:rFonts w:eastAsia="Times New Roman"/>
              </w:rPr>
            </w:pPr>
            <w:r>
              <w:rPr>
                <w:rFonts w:eastAsia="Times New Roman"/>
                <w:color w:val="000000"/>
                <w:sz w:val="18"/>
                <w:szCs w:val="18"/>
              </w:rPr>
              <w:t>10,508 </w:t>
            </w:r>
          </w:p>
        </w:tc>
        <w:tc>
          <w:tcPr>
            <w:tcW w:w="0" w:type="auto"/>
            <w:shd w:val="clear" w:color="auto" w:fill="FFFFFF"/>
            <w:tcMar>
              <w:top w:w="30" w:type="dxa"/>
              <w:left w:w="0" w:type="dxa"/>
              <w:bottom w:w="30" w:type="dxa"/>
              <w:right w:w="20" w:type="dxa"/>
            </w:tcMar>
            <w:vAlign w:val="bottom"/>
            <w:hideMark/>
          </w:tcPr>
          <w:p w14:paraId="29ED548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D12E25"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E3FD29" w14:textId="77777777" w:rsidR="00000000" w:rsidRDefault="009B6C69">
            <w:pPr>
              <w:spacing w:after="100"/>
              <w:jc w:val="right"/>
              <w:rPr>
                <w:rFonts w:eastAsia="Times New Roman"/>
              </w:rPr>
            </w:pPr>
            <w:r>
              <w:rPr>
                <w:rFonts w:eastAsia="Times New Roman"/>
                <w:color w:val="000000"/>
                <w:sz w:val="18"/>
                <w:szCs w:val="18"/>
              </w:rPr>
              <w:t>7,246 </w:t>
            </w:r>
          </w:p>
        </w:tc>
        <w:tc>
          <w:tcPr>
            <w:tcW w:w="0" w:type="auto"/>
            <w:shd w:val="clear" w:color="auto" w:fill="FFFFFF"/>
            <w:tcMar>
              <w:top w:w="30" w:type="dxa"/>
              <w:left w:w="0" w:type="dxa"/>
              <w:bottom w:w="30" w:type="dxa"/>
              <w:right w:w="20" w:type="dxa"/>
            </w:tcMar>
            <w:vAlign w:val="bottom"/>
            <w:hideMark/>
          </w:tcPr>
          <w:p w14:paraId="1C73DED2" w14:textId="77777777" w:rsidR="00000000" w:rsidRDefault="009B6C69">
            <w:pPr>
              <w:spacing w:after="100"/>
              <w:jc w:val="right"/>
              <w:rPr>
                <w:rFonts w:eastAsia="Times New Roman"/>
              </w:rPr>
            </w:pPr>
          </w:p>
        </w:tc>
      </w:tr>
      <w:tr w:rsidR="00000000" w14:paraId="1FA34FB8" w14:textId="77777777">
        <w:trPr>
          <w:jc w:val="center"/>
        </w:trPr>
        <w:tc>
          <w:tcPr>
            <w:tcW w:w="0" w:type="auto"/>
            <w:gridSpan w:val="3"/>
            <w:shd w:val="clear" w:color="auto" w:fill="CCEEFF"/>
            <w:tcMar>
              <w:top w:w="30" w:type="dxa"/>
              <w:left w:w="20" w:type="dxa"/>
              <w:bottom w:w="30" w:type="dxa"/>
              <w:right w:w="20" w:type="dxa"/>
            </w:tcMar>
            <w:vAlign w:val="bottom"/>
            <w:hideMark/>
          </w:tcPr>
          <w:p w14:paraId="0D74127F" w14:textId="77777777" w:rsidR="00000000" w:rsidRDefault="009B6C69">
            <w:pPr>
              <w:spacing w:after="100"/>
              <w:rPr>
                <w:rFonts w:eastAsia="Times New Roman"/>
              </w:rPr>
            </w:pPr>
            <w:r>
              <w:rPr>
                <w:rFonts w:eastAsia="Times New Roman"/>
                <w:color w:val="000000"/>
                <w:sz w:val="18"/>
                <w:szCs w:val="18"/>
              </w:rPr>
              <w:t>Other intangible assets, net</w:t>
            </w:r>
          </w:p>
        </w:tc>
        <w:tc>
          <w:tcPr>
            <w:tcW w:w="0" w:type="auto"/>
            <w:gridSpan w:val="2"/>
            <w:shd w:val="clear" w:color="auto" w:fill="CCEEFF"/>
            <w:tcMar>
              <w:top w:w="30" w:type="dxa"/>
              <w:left w:w="20" w:type="dxa"/>
              <w:bottom w:w="30" w:type="dxa"/>
              <w:right w:w="0" w:type="dxa"/>
            </w:tcMar>
            <w:vAlign w:val="bottom"/>
            <w:hideMark/>
          </w:tcPr>
          <w:p w14:paraId="38F65A25" w14:textId="77777777" w:rsidR="00000000" w:rsidRDefault="009B6C69">
            <w:pPr>
              <w:spacing w:after="100"/>
              <w:jc w:val="right"/>
              <w:rPr>
                <w:rFonts w:eastAsia="Times New Roman"/>
              </w:rPr>
            </w:pPr>
            <w:r>
              <w:rPr>
                <w:rFonts w:eastAsia="Times New Roman"/>
                <w:color w:val="000000"/>
                <w:sz w:val="18"/>
                <w:szCs w:val="18"/>
              </w:rPr>
              <w:t>1,882 </w:t>
            </w:r>
          </w:p>
        </w:tc>
        <w:tc>
          <w:tcPr>
            <w:tcW w:w="0" w:type="auto"/>
            <w:shd w:val="clear" w:color="auto" w:fill="CCEEFF"/>
            <w:tcMar>
              <w:top w:w="30" w:type="dxa"/>
              <w:left w:w="0" w:type="dxa"/>
              <w:bottom w:w="30" w:type="dxa"/>
              <w:right w:w="20" w:type="dxa"/>
            </w:tcMar>
            <w:vAlign w:val="bottom"/>
            <w:hideMark/>
          </w:tcPr>
          <w:p w14:paraId="5DED0645"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16742F"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74173A" w14:textId="77777777" w:rsidR="00000000" w:rsidRDefault="009B6C69">
            <w:pPr>
              <w:spacing w:after="100"/>
              <w:jc w:val="right"/>
              <w:rPr>
                <w:rFonts w:eastAsia="Times New Roman"/>
              </w:rPr>
            </w:pPr>
            <w:r>
              <w:rPr>
                <w:rFonts w:eastAsia="Times New Roman"/>
                <w:color w:val="000000"/>
                <w:sz w:val="18"/>
                <w:szCs w:val="18"/>
              </w:rPr>
              <w:t>1,458 </w:t>
            </w:r>
          </w:p>
        </w:tc>
        <w:tc>
          <w:tcPr>
            <w:tcW w:w="0" w:type="auto"/>
            <w:shd w:val="clear" w:color="auto" w:fill="CCEEFF"/>
            <w:tcMar>
              <w:top w:w="30" w:type="dxa"/>
              <w:left w:w="0" w:type="dxa"/>
              <w:bottom w:w="30" w:type="dxa"/>
              <w:right w:w="20" w:type="dxa"/>
            </w:tcMar>
            <w:vAlign w:val="bottom"/>
            <w:hideMark/>
          </w:tcPr>
          <w:p w14:paraId="09ABD1FB" w14:textId="77777777" w:rsidR="00000000" w:rsidRDefault="009B6C69">
            <w:pPr>
              <w:spacing w:after="100"/>
              <w:jc w:val="right"/>
              <w:rPr>
                <w:rFonts w:eastAsia="Times New Roman"/>
              </w:rPr>
            </w:pPr>
          </w:p>
        </w:tc>
      </w:tr>
      <w:tr w:rsidR="00000000" w14:paraId="619D2DBD" w14:textId="77777777">
        <w:trPr>
          <w:jc w:val="center"/>
        </w:trPr>
        <w:tc>
          <w:tcPr>
            <w:tcW w:w="0" w:type="auto"/>
            <w:gridSpan w:val="3"/>
            <w:shd w:val="clear" w:color="auto" w:fill="FFFFFF"/>
            <w:tcMar>
              <w:top w:w="30" w:type="dxa"/>
              <w:left w:w="20" w:type="dxa"/>
              <w:bottom w:w="30" w:type="dxa"/>
              <w:right w:w="20" w:type="dxa"/>
            </w:tcMar>
            <w:vAlign w:val="bottom"/>
            <w:hideMark/>
          </w:tcPr>
          <w:p w14:paraId="57360EE6" w14:textId="77777777" w:rsidR="00000000" w:rsidRDefault="009B6C69">
            <w:pPr>
              <w:spacing w:after="100"/>
              <w:rPr>
                <w:rFonts w:eastAsia="Times New Roman"/>
              </w:rPr>
            </w:pPr>
            <w:r>
              <w:rPr>
                <w:rFonts w:eastAsia="Times New Roman"/>
                <w:color w:val="000000"/>
                <w:sz w:val="18"/>
                <w:szCs w:val="18"/>
              </w:rPr>
              <w:t>Held for sale assets</w:t>
            </w:r>
          </w:p>
        </w:tc>
        <w:tc>
          <w:tcPr>
            <w:tcW w:w="0" w:type="auto"/>
            <w:gridSpan w:val="2"/>
            <w:shd w:val="clear" w:color="auto" w:fill="FFFFFF"/>
            <w:tcMar>
              <w:top w:w="30" w:type="dxa"/>
              <w:left w:w="20" w:type="dxa"/>
              <w:bottom w:w="30" w:type="dxa"/>
              <w:right w:w="0" w:type="dxa"/>
            </w:tcMar>
            <w:vAlign w:val="bottom"/>
            <w:hideMark/>
          </w:tcPr>
          <w:p w14:paraId="4FE66B37" w14:textId="77777777" w:rsidR="00000000" w:rsidRDefault="009B6C69">
            <w:pPr>
              <w:spacing w:after="100"/>
              <w:jc w:val="right"/>
              <w:rPr>
                <w:rFonts w:eastAsia="Times New Roman"/>
              </w:rPr>
            </w:pPr>
            <w:r>
              <w:rPr>
                <w:rFonts w:eastAsia="Times New Roman"/>
                <w:color w:val="000000"/>
                <w:sz w:val="18"/>
                <w:szCs w:val="18"/>
              </w:rPr>
              <w:t>1,200 </w:t>
            </w:r>
          </w:p>
        </w:tc>
        <w:tc>
          <w:tcPr>
            <w:tcW w:w="0" w:type="auto"/>
            <w:shd w:val="clear" w:color="auto" w:fill="FFFFFF"/>
            <w:tcMar>
              <w:top w:w="30" w:type="dxa"/>
              <w:left w:w="0" w:type="dxa"/>
              <w:bottom w:w="30" w:type="dxa"/>
              <w:right w:w="20" w:type="dxa"/>
            </w:tcMar>
            <w:vAlign w:val="bottom"/>
            <w:hideMark/>
          </w:tcPr>
          <w:p w14:paraId="55ABF8C4"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736499"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E722EB"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83342F8" w14:textId="77777777" w:rsidR="00000000" w:rsidRDefault="009B6C69">
            <w:pPr>
              <w:spacing w:after="100"/>
              <w:jc w:val="right"/>
              <w:rPr>
                <w:rFonts w:eastAsia="Times New Roman"/>
              </w:rPr>
            </w:pPr>
          </w:p>
        </w:tc>
      </w:tr>
      <w:tr w:rsidR="00000000" w14:paraId="37A1275F" w14:textId="77777777">
        <w:trPr>
          <w:jc w:val="center"/>
        </w:trPr>
        <w:tc>
          <w:tcPr>
            <w:tcW w:w="0" w:type="auto"/>
            <w:gridSpan w:val="3"/>
            <w:shd w:val="clear" w:color="auto" w:fill="CCEEFF"/>
            <w:tcMar>
              <w:top w:w="30" w:type="dxa"/>
              <w:left w:w="20" w:type="dxa"/>
              <w:bottom w:w="30" w:type="dxa"/>
              <w:right w:w="20" w:type="dxa"/>
            </w:tcMar>
            <w:vAlign w:val="bottom"/>
            <w:hideMark/>
          </w:tcPr>
          <w:p w14:paraId="65F08FFD" w14:textId="77777777" w:rsidR="00000000" w:rsidRDefault="009B6C69">
            <w:pPr>
              <w:spacing w:after="100"/>
              <w:rPr>
                <w:rFonts w:eastAsia="Times New Roman"/>
              </w:rPr>
            </w:pPr>
            <w:r>
              <w:rPr>
                <w:rFonts w:eastAsia="Times New Roman"/>
                <w:color w:val="000000"/>
                <w:sz w:val="18"/>
                <w:szCs w:val="18"/>
              </w:rPr>
              <w:t>Other assets</w:t>
            </w:r>
          </w:p>
        </w:tc>
        <w:tc>
          <w:tcPr>
            <w:tcW w:w="0" w:type="auto"/>
            <w:gridSpan w:val="2"/>
            <w:shd w:val="clear" w:color="auto" w:fill="CCEEFF"/>
            <w:tcMar>
              <w:top w:w="30" w:type="dxa"/>
              <w:left w:w="20" w:type="dxa"/>
              <w:bottom w:w="30" w:type="dxa"/>
              <w:right w:w="0" w:type="dxa"/>
            </w:tcMar>
            <w:vAlign w:val="bottom"/>
            <w:hideMark/>
          </w:tcPr>
          <w:p w14:paraId="58D0BF11" w14:textId="77777777" w:rsidR="00000000" w:rsidRDefault="009B6C69">
            <w:pPr>
              <w:spacing w:after="100"/>
              <w:jc w:val="right"/>
              <w:rPr>
                <w:rFonts w:eastAsia="Times New Roman"/>
              </w:rPr>
            </w:pPr>
            <w:r>
              <w:rPr>
                <w:rFonts w:eastAsia="Times New Roman"/>
                <w:color w:val="000000"/>
                <w:sz w:val="18"/>
                <w:szCs w:val="18"/>
              </w:rPr>
              <w:t>7,729 </w:t>
            </w:r>
          </w:p>
        </w:tc>
        <w:tc>
          <w:tcPr>
            <w:tcW w:w="0" w:type="auto"/>
            <w:shd w:val="clear" w:color="auto" w:fill="CCEEFF"/>
            <w:tcMar>
              <w:top w:w="30" w:type="dxa"/>
              <w:left w:w="0" w:type="dxa"/>
              <w:bottom w:w="30" w:type="dxa"/>
              <w:right w:w="20" w:type="dxa"/>
            </w:tcMar>
            <w:vAlign w:val="bottom"/>
            <w:hideMark/>
          </w:tcPr>
          <w:p w14:paraId="5B3EC71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67B37E"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5D93DC" w14:textId="77777777" w:rsidR="00000000" w:rsidRDefault="009B6C69">
            <w:pPr>
              <w:spacing w:after="100"/>
              <w:jc w:val="right"/>
              <w:rPr>
                <w:rFonts w:eastAsia="Times New Roman"/>
              </w:rPr>
            </w:pPr>
            <w:r>
              <w:rPr>
                <w:rFonts w:eastAsia="Times New Roman"/>
                <w:color w:val="000000"/>
                <w:sz w:val="18"/>
                <w:szCs w:val="18"/>
              </w:rPr>
              <w:t>6,311 </w:t>
            </w:r>
          </w:p>
        </w:tc>
        <w:tc>
          <w:tcPr>
            <w:tcW w:w="0" w:type="auto"/>
            <w:shd w:val="clear" w:color="auto" w:fill="CCEEFF"/>
            <w:tcMar>
              <w:top w:w="30" w:type="dxa"/>
              <w:left w:w="0" w:type="dxa"/>
              <w:bottom w:w="30" w:type="dxa"/>
              <w:right w:w="20" w:type="dxa"/>
            </w:tcMar>
            <w:vAlign w:val="bottom"/>
            <w:hideMark/>
          </w:tcPr>
          <w:p w14:paraId="33FE2368" w14:textId="77777777" w:rsidR="00000000" w:rsidRDefault="009B6C69">
            <w:pPr>
              <w:spacing w:after="100"/>
              <w:jc w:val="right"/>
              <w:rPr>
                <w:rFonts w:eastAsia="Times New Roman"/>
              </w:rPr>
            </w:pPr>
          </w:p>
        </w:tc>
      </w:tr>
      <w:tr w:rsidR="00000000" w14:paraId="74679510" w14:textId="77777777">
        <w:trPr>
          <w:jc w:val="center"/>
        </w:trPr>
        <w:tc>
          <w:tcPr>
            <w:tcW w:w="0" w:type="auto"/>
            <w:gridSpan w:val="3"/>
            <w:shd w:val="clear" w:color="auto" w:fill="FFFFFF"/>
            <w:tcMar>
              <w:top w:w="30" w:type="dxa"/>
              <w:left w:w="380" w:type="dxa"/>
              <w:bottom w:w="30" w:type="dxa"/>
              <w:right w:w="20" w:type="dxa"/>
            </w:tcMar>
            <w:vAlign w:val="bottom"/>
            <w:hideMark/>
          </w:tcPr>
          <w:p w14:paraId="3C703224" w14:textId="77777777" w:rsidR="00000000" w:rsidRDefault="009B6C69">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740659F"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C8756BC" w14:textId="77777777" w:rsidR="00000000" w:rsidRDefault="009B6C69">
            <w:pPr>
              <w:spacing w:after="100"/>
              <w:jc w:val="right"/>
              <w:rPr>
                <w:rFonts w:eastAsia="Times New Roman"/>
              </w:rPr>
            </w:pPr>
            <w:r>
              <w:rPr>
                <w:rFonts w:eastAsia="Times New Roman"/>
                <w:color w:val="000000"/>
                <w:sz w:val="18"/>
                <w:szCs w:val="18"/>
              </w:rPr>
              <w:t>49,014 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173933"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FA1745"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D5B7F52"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A302AAE" w14:textId="77777777" w:rsidR="00000000" w:rsidRDefault="009B6C69">
            <w:pPr>
              <w:spacing w:after="100"/>
              <w:jc w:val="right"/>
              <w:rPr>
                <w:rFonts w:eastAsia="Times New Roman"/>
              </w:rPr>
            </w:pPr>
            <w:r>
              <w:rPr>
                <w:rFonts w:eastAsia="Times New Roman"/>
                <w:color w:val="000000"/>
                <w:sz w:val="18"/>
                <w:szCs w:val="18"/>
              </w:rPr>
              <w:t>41,240 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E23067" w14:textId="77777777" w:rsidR="00000000" w:rsidRDefault="009B6C69">
            <w:pPr>
              <w:spacing w:after="100"/>
              <w:jc w:val="right"/>
              <w:rPr>
                <w:rFonts w:eastAsia="Times New Roman"/>
              </w:rPr>
            </w:pPr>
          </w:p>
        </w:tc>
      </w:tr>
      <w:tr w:rsidR="00000000" w14:paraId="64A7037F" w14:textId="77777777">
        <w:trPr>
          <w:trHeight w:val="240"/>
          <w:jc w:val="center"/>
        </w:trPr>
        <w:tc>
          <w:tcPr>
            <w:tcW w:w="0" w:type="auto"/>
            <w:gridSpan w:val="3"/>
            <w:tcMar>
              <w:top w:w="0" w:type="dxa"/>
              <w:left w:w="20" w:type="dxa"/>
              <w:bottom w:w="0" w:type="dxa"/>
              <w:right w:w="20" w:type="dxa"/>
            </w:tcMar>
            <w:vAlign w:val="center"/>
            <w:hideMark/>
          </w:tcPr>
          <w:p w14:paraId="44CE891D" w14:textId="77777777" w:rsidR="00000000" w:rsidRDefault="009B6C69">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26EF294"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5CF7D3" w14:textId="77777777" w:rsidR="00000000" w:rsidRDefault="009B6C6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A9C2E3F" w14:textId="77777777" w:rsidR="00000000" w:rsidRDefault="009B6C69">
            <w:pPr>
              <w:spacing w:after="100"/>
              <w:rPr>
                <w:rFonts w:eastAsia="Times New Roman"/>
                <w:sz w:val="20"/>
                <w:szCs w:val="20"/>
              </w:rPr>
            </w:pPr>
          </w:p>
        </w:tc>
      </w:tr>
      <w:tr w:rsidR="00000000" w14:paraId="4570BEDE" w14:textId="77777777">
        <w:trPr>
          <w:jc w:val="center"/>
        </w:trPr>
        <w:tc>
          <w:tcPr>
            <w:tcW w:w="0" w:type="auto"/>
            <w:gridSpan w:val="12"/>
            <w:tcMar>
              <w:top w:w="30" w:type="dxa"/>
              <w:left w:w="20" w:type="dxa"/>
              <w:bottom w:w="30" w:type="dxa"/>
              <w:right w:w="20" w:type="dxa"/>
            </w:tcMar>
            <w:vAlign w:val="bottom"/>
            <w:hideMark/>
          </w:tcPr>
          <w:p w14:paraId="763E0C74" w14:textId="77777777" w:rsidR="00000000" w:rsidRDefault="009B6C69">
            <w:pPr>
              <w:spacing w:after="100"/>
              <w:jc w:val="center"/>
              <w:rPr>
                <w:rFonts w:eastAsia="Times New Roman"/>
              </w:rPr>
            </w:pPr>
            <w:r>
              <w:rPr>
                <w:rFonts w:eastAsia="Times New Roman"/>
                <w:b/>
                <w:bCs/>
                <w:color w:val="000000"/>
                <w:sz w:val="18"/>
                <w:szCs w:val="18"/>
              </w:rPr>
              <w:t>LIABILITIES AND STOCKHOLDERS’ EQUITY</w:t>
            </w:r>
          </w:p>
        </w:tc>
      </w:tr>
      <w:tr w:rsidR="00000000" w14:paraId="32624F8F" w14:textId="77777777">
        <w:trPr>
          <w:jc w:val="center"/>
        </w:trPr>
        <w:tc>
          <w:tcPr>
            <w:tcW w:w="0" w:type="auto"/>
            <w:gridSpan w:val="3"/>
            <w:tcMar>
              <w:top w:w="30" w:type="dxa"/>
              <w:left w:w="20" w:type="dxa"/>
              <w:bottom w:w="30" w:type="dxa"/>
              <w:right w:w="20" w:type="dxa"/>
            </w:tcMar>
            <w:vAlign w:val="bottom"/>
            <w:hideMark/>
          </w:tcPr>
          <w:p w14:paraId="115726E3" w14:textId="77777777" w:rsidR="00000000" w:rsidRDefault="009B6C69">
            <w:pPr>
              <w:spacing w:after="100"/>
              <w:rPr>
                <w:rFonts w:eastAsia="Times New Roman"/>
              </w:rPr>
            </w:pPr>
            <w:r>
              <w:rPr>
                <w:rFonts w:eastAsia="Times New Roman"/>
                <w:color w:val="000000"/>
                <w:sz w:val="18"/>
                <w:szCs w:val="18"/>
              </w:rPr>
              <w:t>Current liabilities:</w:t>
            </w:r>
          </w:p>
        </w:tc>
        <w:tc>
          <w:tcPr>
            <w:tcW w:w="0" w:type="auto"/>
            <w:gridSpan w:val="3"/>
            <w:tcMar>
              <w:top w:w="30" w:type="dxa"/>
              <w:left w:w="20" w:type="dxa"/>
              <w:bottom w:w="30" w:type="dxa"/>
              <w:right w:w="20" w:type="dxa"/>
            </w:tcMar>
            <w:vAlign w:val="bottom"/>
            <w:hideMark/>
          </w:tcPr>
          <w:p w14:paraId="577B9CF1" w14:textId="77777777" w:rsidR="00000000" w:rsidRDefault="009B6C6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3C40B885" w14:textId="77777777" w:rsidR="00000000" w:rsidRDefault="009B6C69">
            <w:pPr>
              <w:spacing w:after="100"/>
              <w:rPr>
                <w:rFonts w:eastAsia="Times New Roman"/>
              </w:rPr>
            </w:pPr>
          </w:p>
        </w:tc>
        <w:tc>
          <w:tcPr>
            <w:tcW w:w="0" w:type="auto"/>
            <w:gridSpan w:val="3"/>
            <w:tcMar>
              <w:top w:w="30" w:type="dxa"/>
              <w:left w:w="20" w:type="dxa"/>
              <w:bottom w:w="30" w:type="dxa"/>
              <w:right w:w="20" w:type="dxa"/>
            </w:tcMar>
            <w:vAlign w:val="bottom"/>
            <w:hideMark/>
          </w:tcPr>
          <w:p w14:paraId="19F3A088" w14:textId="77777777" w:rsidR="00000000" w:rsidRDefault="009B6C69">
            <w:pPr>
              <w:spacing w:after="100"/>
              <w:rPr>
                <w:rFonts w:eastAsia="Times New Roman"/>
              </w:rPr>
            </w:pPr>
            <w:r>
              <w:rPr>
                <w:rFonts w:eastAsia="Times New Roman"/>
                <w:color w:val="000000"/>
                <w:sz w:val="18"/>
                <w:szCs w:val="18"/>
              </w:rPr>
              <w:t> </w:t>
            </w:r>
          </w:p>
        </w:tc>
      </w:tr>
      <w:tr w:rsidR="00000000" w14:paraId="22F83A19" w14:textId="77777777">
        <w:trPr>
          <w:jc w:val="center"/>
        </w:trPr>
        <w:tc>
          <w:tcPr>
            <w:tcW w:w="0" w:type="auto"/>
            <w:gridSpan w:val="3"/>
            <w:shd w:val="clear" w:color="auto" w:fill="CCEEFF"/>
            <w:tcMar>
              <w:top w:w="30" w:type="dxa"/>
              <w:left w:w="155" w:type="dxa"/>
              <w:bottom w:w="30" w:type="dxa"/>
              <w:right w:w="20" w:type="dxa"/>
            </w:tcMar>
            <w:vAlign w:val="bottom"/>
            <w:hideMark/>
          </w:tcPr>
          <w:p w14:paraId="0092E5BD" w14:textId="77777777" w:rsidR="00000000" w:rsidRDefault="009B6C69">
            <w:pPr>
              <w:spacing w:after="100"/>
              <w:rPr>
                <w:rFonts w:eastAsia="Times New Roman"/>
              </w:rPr>
            </w:pPr>
            <w:r>
              <w:rPr>
                <w:rFonts w:eastAsia="Times New Roman"/>
                <w:color w:val="000000"/>
                <w:sz w:val="18"/>
                <w:szCs w:val="18"/>
              </w:rPr>
              <w:t>Trade accounts payable</w:t>
            </w:r>
          </w:p>
        </w:tc>
        <w:tc>
          <w:tcPr>
            <w:tcW w:w="0" w:type="auto"/>
            <w:shd w:val="clear" w:color="auto" w:fill="CCEEFF"/>
            <w:tcMar>
              <w:top w:w="30" w:type="dxa"/>
              <w:left w:w="20" w:type="dxa"/>
              <w:bottom w:w="30" w:type="dxa"/>
              <w:right w:w="0" w:type="dxa"/>
            </w:tcMar>
            <w:vAlign w:val="bottom"/>
            <w:hideMark/>
          </w:tcPr>
          <w:p w14:paraId="1E842D66"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FCE5C33" w14:textId="77777777" w:rsidR="00000000" w:rsidRDefault="009B6C69">
            <w:pPr>
              <w:spacing w:after="100"/>
              <w:jc w:val="right"/>
              <w:rPr>
                <w:rFonts w:eastAsia="Times New Roman"/>
              </w:rPr>
            </w:pPr>
            <w:r>
              <w:rPr>
                <w:rFonts w:eastAsia="Times New Roman"/>
                <w:color w:val="000000"/>
                <w:sz w:val="18"/>
                <w:szCs w:val="18"/>
              </w:rPr>
              <w:t>3,796 </w:t>
            </w:r>
          </w:p>
        </w:tc>
        <w:tc>
          <w:tcPr>
            <w:tcW w:w="0" w:type="auto"/>
            <w:shd w:val="clear" w:color="auto" w:fill="CCEEFF"/>
            <w:tcMar>
              <w:top w:w="30" w:type="dxa"/>
              <w:left w:w="0" w:type="dxa"/>
              <w:bottom w:w="30" w:type="dxa"/>
              <w:right w:w="20" w:type="dxa"/>
            </w:tcMar>
            <w:vAlign w:val="bottom"/>
            <w:hideMark/>
          </w:tcPr>
          <w:p w14:paraId="3AB3F412"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A7291D"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E0F775"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08206A4" w14:textId="77777777" w:rsidR="00000000" w:rsidRDefault="009B6C69">
            <w:pPr>
              <w:spacing w:after="100"/>
              <w:jc w:val="right"/>
              <w:rPr>
                <w:rFonts w:eastAsia="Times New Roman"/>
              </w:rPr>
            </w:pPr>
            <w:r>
              <w:rPr>
                <w:rFonts w:eastAsia="Times New Roman"/>
                <w:color w:val="000000"/>
                <w:sz w:val="18"/>
                <w:szCs w:val="18"/>
              </w:rPr>
              <w:t>2,750 </w:t>
            </w:r>
          </w:p>
        </w:tc>
        <w:tc>
          <w:tcPr>
            <w:tcW w:w="0" w:type="auto"/>
            <w:shd w:val="clear" w:color="auto" w:fill="CCEEFF"/>
            <w:tcMar>
              <w:top w:w="30" w:type="dxa"/>
              <w:left w:w="0" w:type="dxa"/>
              <w:bottom w:w="30" w:type="dxa"/>
              <w:right w:w="20" w:type="dxa"/>
            </w:tcMar>
            <w:vAlign w:val="bottom"/>
            <w:hideMark/>
          </w:tcPr>
          <w:p w14:paraId="574591D3" w14:textId="77777777" w:rsidR="00000000" w:rsidRDefault="009B6C69">
            <w:pPr>
              <w:spacing w:after="100"/>
              <w:jc w:val="right"/>
              <w:rPr>
                <w:rFonts w:eastAsia="Times New Roman"/>
              </w:rPr>
            </w:pPr>
          </w:p>
        </w:tc>
      </w:tr>
      <w:tr w:rsidR="00000000" w14:paraId="5AB3E498" w14:textId="77777777">
        <w:trPr>
          <w:jc w:val="center"/>
        </w:trPr>
        <w:tc>
          <w:tcPr>
            <w:tcW w:w="0" w:type="auto"/>
            <w:gridSpan w:val="3"/>
            <w:shd w:val="clear" w:color="auto" w:fill="FFFFFF"/>
            <w:tcMar>
              <w:top w:w="30" w:type="dxa"/>
              <w:left w:w="155" w:type="dxa"/>
              <w:bottom w:w="30" w:type="dxa"/>
              <w:right w:w="20" w:type="dxa"/>
            </w:tcMar>
            <w:vAlign w:val="bottom"/>
            <w:hideMark/>
          </w:tcPr>
          <w:p w14:paraId="27D9A0E2" w14:textId="77777777" w:rsidR="00000000" w:rsidRDefault="009B6C69">
            <w:pPr>
              <w:spacing w:after="100"/>
              <w:rPr>
                <w:rFonts w:eastAsia="Times New Roman"/>
              </w:rPr>
            </w:pPr>
            <w:r>
              <w:rPr>
                <w:rFonts w:eastAsia="Times New Roman"/>
                <w:color w:val="000000"/>
                <w:sz w:val="18"/>
                <w:szCs w:val="18"/>
              </w:rPr>
              <w:t>Payroll and other benefits related liabilities</w:t>
            </w:r>
          </w:p>
        </w:tc>
        <w:tc>
          <w:tcPr>
            <w:tcW w:w="0" w:type="auto"/>
            <w:gridSpan w:val="2"/>
            <w:shd w:val="clear" w:color="auto" w:fill="FFFFFF"/>
            <w:tcMar>
              <w:top w:w="30" w:type="dxa"/>
              <w:left w:w="20" w:type="dxa"/>
              <w:bottom w:w="30" w:type="dxa"/>
              <w:right w:w="0" w:type="dxa"/>
            </w:tcMar>
            <w:vAlign w:val="bottom"/>
            <w:hideMark/>
          </w:tcPr>
          <w:p w14:paraId="62FDC2BC" w14:textId="77777777" w:rsidR="00000000" w:rsidRDefault="009B6C69">
            <w:pPr>
              <w:spacing w:after="100"/>
              <w:jc w:val="right"/>
              <w:rPr>
                <w:rFonts w:eastAsia="Times New Roman"/>
              </w:rPr>
            </w:pPr>
            <w:r>
              <w:rPr>
                <w:rFonts w:eastAsia="Times New Roman"/>
                <w:color w:val="000000"/>
                <w:sz w:val="18"/>
                <w:szCs w:val="18"/>
              </w:rPr>
              <w:t>1,486 </w:t>
            </w:r>
          </w:p>
        </w:tc>
        <w:tc>
          <w:tcPr>
            <w:tcW w:w="0" w:type="auto"/>
            <w:shd w:val="clear" w:color="auto" w:fill="FFFFFF"/>
            <w:tcMar>
              <w:top w:w="30" w:type="dxa"/>
              <w:left w:w="0" w:type="dxa"/>
              <w:bottom w:w="30" w:type="dxa"/>
              <w:right w:w="20" w:type="dxa"/>
            </w:tcMar>
            <w:vAlign w:val="bottom"/>
            <w:hideMark/>
          </w:tcPr>
          <w:p w14:paraId="3C248ED3"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87F709"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1D11ED" w14:textId="77777777" w:rsidR="00000000" w:rsidRDefault="009B6C69">
            <w:pPr>
              <w:spacing w:after="100"/>
              <w:jc w:val="right"/>
              <w:rPr>
                <w:rFonts w:eastAsia="Times New Roman"/>
              </w:rPr>
            </w:pPr>
            <w:r>
              <w:rPr>
                <w:rFonts w:eastAsia="Times New Roman"/>
                <w:color w:val="000000"/>
                <w:sz w:val="18"/>
                <w:szCs w:val="18"/>
              </w:rPr>
              <w:t>1,531 </w:t>
            </w:r>
          </w:p>
        </w:tc>
        <w:tc>
          <w:tcPr>
            <w:tcW w:w="0" w:type="auto"/>
            <w:shd w:val="clear" w:color="auto" w:fill="FFFFFF"/>
            <w:tcMar>
              <w:top w:w="30" w:type="dxa"/>
              <w:left w:w="0" w:type="dxa"/>
              <w:bottom w:w="30" w:type="dxa"/>
              <w:right w:w="20" w:type="dxa"/>
            </w:tcMar>
            <w:vAlign w:val="bottom"/>
            <w:hideMark/>
          </w:tcPr>
          <w:p w14:paraId="4E457C07" w14:textId="77777777" w:rsidR="00000000" w:rsidRDefault="009B6C69">
            <w:pPr>
              <w:spacing w:after="100"/>
              <w:jc w:val="right"/>
              <w:rPr>
                <w:rFonts w:eastAsia="Times New Roman"/>
              </w:rPr>
            </w:pPr>
          </w:p>
        </w:tc>
      </w:tr>
      <w:tr w:rsidR="00000000" w14:paraId="4240C356" w14:textId="77777777">
        <w:trPr>
          <w:jc w:val="center"/>
        </w:trPr>
        <w:tc>
          <w:tcPr>
            <w:tcW w:w="0" w:type="auto"/>
            <w:gridSpan w:val="3"/>
            <w:shd w:val="clear" w:color="auto" w:fill="CCEEFF"/>
            <w:tcMar>
              <w:top w:w="30" w:type="dxa"/>
              <w:left w:w="155" w:type="dxa"/>
              <w:bottom w:w="30" w:type="dxa"/>
              <w:right w:w="20" w:type="dxa"/>
            </w:tcMar>
            <w:vAlign w:val="bottom"/>
            <w:hideMark/>
          </w:tcPr>
          <w:p w14:paraId="42558312" w14:textId="77777777" w:rsidR="00000000" w:rsidRDefault="009B6C69">
            <w:pPr>
              <w:spacing w:after="100"/>
              <w:rPr>
                <w:rFonts w:eastAsia="Times New Roman"/>
              </w:rPr>
            </w:pPr>
            <w:r>
              <w:rPr>
                <w:rFonts w:eastAsia="Times New Roman"/>
                <w:color w:val="000000"/>
                <w:sz w:val="18"/>
                <w:szCs w:val="18"/>
              </w:rPr>
              <w:t>Unearned revenues</w:t>
            </w:r>
          </w:p>
        </w:tc>
        <w:tc>
          <w:tcPr>
            <w:tcW w:w="0" w:type="auto"/>
            <w:gridSpan w:val="2"/>
            <w:shd w:val="clear" w:color="auto" w:fill="CCEEFF"/>
            <w:tcMar>
              <w:top w:w="30" w:type="dxa"/>
              <w:left w:w="20" w:type="dxa"/>
              <w:bottom w:w="30" w:type="dxa"/>
              <w:right w:w="0" w:type="dxa"/>
            </w:tcMar>
            <w:vAlign w:val="bottom"/>
            <w:hideMark/>
          </w:tcPr>
          <w:p w14:paraId="659219EF" w14:textId="77777777" w:rsidR="00000000" w:rsidRDefault="009B6C69">
            <w:pPr>
              <w:spacing w:after="100"/>
              <w:jc w:val="right"/>
              <w:rPr>
                <w:rFonts w:eastAsia="Times New Roman"/>
              </w:rPr>
            </w:pPr>
            <w:r>
              <w:rPr>
                <w:rFonts w:eastAsia="Times New Roman"/>
                <w:color w:val="000000"/>
                <w:sz w:val="18"/>
                <w:szCs w:val="18"/>
              </w:rPr>
              <w:t>369 </w:t>
            </w:r>
          </w:p>
        </w:tc>
        <w:tc>
          <w:tcPr>
            <w:tcW w:w="0" w:type="auto"/>
            <w:shd w:val="clear" w:color="auto" w:fill="CCEEFF"/>
            <w:tcMar>
              <w:top w:w="30" w:type="dxa"/>
              <w:left w:w="0" w:type="dxa"/>
              <w:bottom w:w="30" w:type="dxa"/>
              <w:right w:w="20" w:type="dxa"/>
            </w:tcMar>
            <w:vAlign w:val="bottom"/>
            <w:hideMark/>
          </w:tcPr>
          <w:p w14:paraId="30F9E235"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67D2CF"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0F3AF3" w14:textId="77777777" w:rsidR="00000000" w:rsidRDefault="009B6C69">
            <w:pPr>
              <w:spacing w:after="100"/>
              <w:jc w:val="right"/>
              <w:rPr>
                <w:rFonts w:eastAsia="Times New Roman"/>
              </w:rPr>
            </w:pPr>
            <w:r>
              <w:rPr>
                <w:rFonts w:eastAsia="Times New Roman"/>
                <w:color w:val="000000"/>
                <w:sz w:val="18"/>
                <w:szCs w:val="18"/>
              </w:rPr>
              <w:t>612 </w:t>
            </w:r>
          </w:p>
        </w:tc>
        <w:tc>
          <w:tcPr>
            <w:tcW w:w="0" w:type="auto"/>
            <w:shd w:val="clear" w:color="auto" w:fill="CCEEFF"/>
            <w:tcMar>
              <w:top w:w="30" w:type="dxa"/>
              <w:left w:w="0" w:type="dxa"/>
              <w:bottom w:w="30" w:type="dxa"/>
              <w:right w:w="20" w:type="dxa"/>
            </w:tcMar>
            <w:vAlign w:val="bottom"/>
            <w:hideMark/>
          </w:tcPr>
          <w:p w14:paraId="4A55378C" w14:textId="77777777" w:rsidR="00000000" w:rsidRDefault="009B6C69">
            <w:pPr>
              <w:spacing w:after="100"/>
              <w:jc w:val="right"/>
              <w:rPr>
                <w:rFonts w:eastAsia="Times New Roman"/>
              </w:rPr>
            </w:pPr>
          </w:p>
        </w:tc>
      </w:tr>
      <w:tr w:rsidR="00000000" w14:paraId="6CBEFFC6" w14:textId="77777777">
        <w:trPr>
          <w:jc w:val="center"/>
        </w:trPr>
        <w:tc>
          <w:tcPr>
            <w:tcW w:w="0" w:type="auto"/>
            <w:gridSpan w:val="3"/>
            <w:shd w:val="clear" w:color="auto" w:fill="FFFFFF"/>
            <w:tcMar>
              <w:top w:w="30" w:type="dxa"/>
              <w:left w:w="155" w:type="dxa"/>
              <w:bottom w:w="30" w:type="dxa"/>
              <w:right w:w="20" w:type="dxa"/>
            </w:tcMar>
            <w:vAlign w:val="bottom"/>
            <w:hideMark/>
          </w:tcPr>
          <w:p w14:paraId="49928D0A" w14:textId="77777777" w:rsidR="00000000" w:rsidRDefault="009B6C69">
            <w:pPr>
              <w:spacing w:after="100"/>
              <w:rPr>
                <w:rFonts w:eastAsia="Times New Roman"/>
              </w:rPr>
            </w:pPr>
            <w:r>
              <w:rPr>
                <w:rFonts w:eastAsia="Times New Roman"/>
                <w:color w:val="000000"/>
                <w:sz w:val="18"/>
                <w:szCs w:val="18"/>
              </w:rPr>
              <w:t>Short-term debt</w:t>
            </w:r>
          </w:p>
        </w:tc>
        <w:tc>
          <w:tcPr>
            <w:tcW w:w="0" w:type="auto"/>
            <w:gridSpan w:val="2"/>
            <w:shd w:val="clear" w:color="auto" w:fill="FFFFFF"/>
            <w:tcMar>
              <w:top w:w="30" w:type="dxa"/>
              <w:left w:w="20" w:type="dxa"/>
              <w:bottom w:w="30" w:type="dxa"/>
              <w:right w:w="0" w:type="dxa"/>
            </w:tcMar>
            <w:vAlign w:val="bottom"/>
            <w:hideMark/>
          </w:tcPr>
          <w:p w14:paraId="16398776" w14:textId="77777777" w:rsidR="00000000" w:rsidRDefault="009B6C69">
            <w:pPr>
              <w:spacing w:after="100"/>
              <w:jc w:val="right"/>
              <w:rPr>
                <w:rFonts w:eastAsia="Times New Roman"/>
              </w:rPr>
            </w:pPr>
            <w:r>
              <w:rPr>
                <w:rFonts w:eastAsia="Times New Roman"/>
                <w:color w:val="000000"/>
                <w:sz w:val="18"/>
                <w:szCs w:val="18"/>
              </w:rPr>
              <w:t>1,945 </w:t>
            </w:r>
          </w:p>
        </w:tc>
        <w:tc>
          <w:tcPr>
            <w:tcW w:w="0" w:type="auto"/>
            <w:shd w:val="clear" w:color="auto" w:fill="FFFFFF"/>
            <w:tcMar>
              <w:top w:w="30" w:type="dxa"/>
              <w:left w:w="0" w:type="dxa"/>
              <w:bottom w:w="30" w:type="dxa"/>
              <w:right w:w="20" w:type="dxa"/>
            </w:tcMar>
            <w:vAlign w:val="bottom"/>
            <w:hideMark/>
          </w:tcPr>
          <w:p w14:paraId="380E70A4"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0414F4"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A49228" w14:textId="77777777" w:rsidR="00000000" w:rsidRDefault="009B6C69">
            <w:pPr>
              <w:spacing w:after="100"/>
              <w:jc w:val="right"/>
              <w:rPr>
                <w:rFonts w:eastAsia="Times New Roman"/>
              </w:rPr>
            </w:pPr>
            <w:r>
              <w:rPr>
                <w:rFonts w:eastAsia="Times New Roman"/>
                <w:color w:val="000000"/>
                <w:sz w:val="18"/>
                <w:szCs w:val="18"/>
              </w:rPr>
              <w:t>2,044 </w:t>
            </w:r>
          </w:p>
        </w:tc>
        <w:tc>
          <w:tcPr>
            <w:tcW w:w="0" w:type="auto"/>
            <w:shd w:val="clear" w:color="auto" w:fill="FFFFFF"/>
            <w:tcMar>
              <w:top w:w="30" w:type="dxa"/>
              <w:left w:w="0" w:type="dxa"/>
              <w:bottom w:w="30" w:type="dxa"/>
              <w:right w:w="20" w:type="dxa"/>
            </w:tcMar>
            <w:vAlign w:val="bottom"/>
            <w:hideMark/>
          </w:tcPr>
          <w:p w14:paraId="0487E73F" w14:textId="77777777" w:rsidR="00000000" w:rsidRDefault="009B6C69">
            <w:pPr>
              <w:spacing w:after="100"/>
              <w:jc w:val="right"/>
              <w:rPr>
                <w:rFonts w:eastAsia="Times New Roman"/>
              </w:rPr>
            </w:pPr>
          </w:p>
        </w:tc>
      </w:tr>
      <w:tr w:rsidR="00000000" w14:paraId="098707BC" w14:textId="77777777">
        <w:trPr>
          <w:jc w:val="center"/>
        </w:trPr>
        <w:tc>
          <w:tcPr>
            <w:tcW w:w="0" w:type="auto"/>
            <w:gridSpan w:val="3"/>
            <w:vAlign w:val="center"/>
            <w:hideMark/>
          </w:tcPr>
          <w:p w14:paraId="76674F5B" w14:textId="77777777" w:rsidR="00000000" w:rsidRDefault="009B6C69">
            <w:pPr>
              <w:spacing w:after="100"/>
              <w:jc w:val="right"/>
              <w:rPr>
                <w:rFonts w:eastAsia="Times New Roman"/>
                <w:sz w:val="20"/>
                <w:szCs w:val="20"/>
              </w:rPr>
            </w:pPr>
          </w:p>
        </w:tc>
        <w:tc>
          <w:tcPr>
            <w:tcW w:w="0" w:type="auto"/>
            <w:gridSpan w:val="3"/>
            <w:vAlign w:val="center"/>
            <w:hideMark/>
          </w:tcPr>
          <w:p w14:paraId="745C3CC8" w14:textId="77777777" w:rsidR="00000000" w:rsidRDefault="009B6C69">
            <w:pPr>
              <w:spacing w:after="100"/>
              <w:rPr>
                <w:rFonts w:eastAsia="Times New Roman"/>
                <w:sz w:val="20"/>
                <w:szCs w:val="20"/>
              </w:rPr>
            </w:pPr>
          </w:p>
        </w:tc>
        <w:tc>
          <w:tcPr>
            <w:tcW w:w="0" w:type="auto"/>
            <w:gridSpan w:val="3"/>
            <w:vAlign w:val="center"/>
            <w:hideMark/>
          </w:tcPr>
          <w:p w14:paraId="1194C610" w14:textId="77777777" w:rsidR="00000000" w:rsidRDefault="009B6C69">
            <w:pPr>
              <w:spacing w:after="100"/>
              <w:rPr>
                <w:rFonts w:eastAsia="Times New Roman"/>
                <w:sz w:val="20"/>
                <w:szCs w:val="20"/>
              </w:rPr>
            </w:pPr>
          </w:p>
        </w:tc>
        <w:tc>
          <w:tcPr>
            <w:tcW w:w="0" w:type="auto"/>
            <w:gridSpan w:val="3"/>
            <w:vAlign w:val="center"/>
            <w:hideMark/>
          </w:tcPr>
          <w:p w14:paraId="137EFB9A" w14:textId="77777777" w:rsidR="00000000" w:rsidRDefault="009B6C69">
            <w:pPr>
              <w:spacing w:after="100"/>
              <w:rPr>
                <w:rFonts w:eastAsia="Times New Roman"/>
                <w:sz w:val="20"/>
                <w:szCs w:val="20"/>
              </w:rPr>
            </w:pPr>
          </w:p>
        </w:tc>
      </w:tr>
      <w:tr w:rsidR="00000000" w14:paraId="087F11B5" w14:textId="77777777">
        <w:trPr>
          <w:jc w:val="center"/>
        </w:trPr>
        <w:tc>
          <w:tcPr>
            <w:tcW w:w="0" w:type="auto"/>
            <w:gridSpan w:val="3"/>
            <w:shd w:val="clear" w:color="auto" w:fill="CCEEFF"/>
            <w:tcMar>
              <w:top w:w="30" w:type="dxa"/>
              <w:left w:w="155" w:type="dxa"/>
              <w:bottom w:w="30" w:type="dxa"/>
              <w:right w:w="20" w:type="dxa"/>
            </w:tcMar>
            <w:vAlign w:val="bottom"/>
            <w:hideMark/>
          </w:tcPr>
          <w:p w14:paraId="1C406109" w14:textId="77777777" w:rsidR="00000000" w:rsidRDefault="009B6C69">
            <w:pPr>
              <w:spacing w:after="100"/>
              <w:rPr>
                <w:rFonts w:eastAsia="Times New Roman"/>
              </w:rPr>
            </w:pPr>
            <w:r>
              <w:rPr>
                <w:rFonts w:eastAsia="Times New Roman"/>
                <w:color w:val="000000"/>
                <w:sz w:val="18"/>
                <w:szCs w:val="18"/>
              </w:rPr>
              <w:t>Held for sale liabilities</w:t>
            </w:r>
          </w:p>
        </w:tc>
        <w:tc>
          <w:tcPr>
            <w:tcW w:w="0" w:type="auto"/>
            <w:gridSpan w:val="2"/>
            <w:shd w:val="clear" w:color="auto" w:fill="CCEEFF"/>
            <w:tcMar>
              <w:top w:w="30" w:type="dxa"/>
              <w:left w:w="20" w:type="dxa"/>
              <w:bottom w:w="30" w:type="dxa"/>
              <w:right w:w="0" w:type="dxa"/>
            </w:tcMar>
            <w:vAlign w:val="bottom"/>
            <w:hideMark/>
          </w:tcPr>
          <w:p w14:paraId="6CD75069" w14:textId="77777777" w:rsidR="00000000" w:rsidRDefault="009B6C69">
            <w:pPr>
              <w:spacing w:after="100"/>
              <w:jc w:val="right"/>
              <w:rPr>
                <w:rFonts w:eastAsia="Times New Roman"/>
              </w:rPr>
            </w:pPr>
            <w:r>
              <w:rPr>
                <w:rFonts w:eastAsia="Times New Roman"/>
                <w:color w:val="000000"/>
                <w:sz w:val="18"/>
                <w:szCs w:val="18"/>
              </w:rPr>
              <w:t>581 </w:t>
            </w:r>
          </w:p>
        </w:tc>
        <w:tc>
          <w:tcPr>
            <w:tcW w:w="0" w:type="auto"/>
            <w:shd w:val="clear" w:color="auto" w:fill="CCEEFF"/>
            <w:tcMar>
              <w:top w:w="30" w:type="dxa"/>
              <w:left w:w="0" w:type="dxa"/>
              <w:bottom w:w="30" w:type="dxa"/>
              <w:right w:w="20" w:type="dxa"/>
            </w:tcMar>
            <w:vAlign w:val="bottom"/>
            <w:hideMark/>
          </w:tcPr>
          <w:p w14:paraId="1B34CA8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4B472F"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F6A640"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654A65D" w14:textId="77777777" w:rsidR="00000000" w:rsidRDefault="009B6C69">
            <w:pPr>
              <w:spacing w:after="100"/>
              <w:jc w:val="right"/>
              <w:rPr>
                <w:rFonts w:eastAsia="Times New Roman"/>
              </w:rPr>
            </w:pPr>
          </w:p>
        </w:tc>
      </w:tr>
      <w:tr w:rsidR="00000000" w14:paraId="0AD4007B" w14:textId="77777777">
        <w:trPr>
          <w:jc w:val="center"/>
        </w:trPr>
        <w:tc>
          <w:tcPr>
            <w:tcW w:w="0" w:type="auto"/>
            <w:gridSpan w:val="3"/>
            <w:shd w:val="clear" w:color="auto" w:fill="FFFFFF"/>
            <w:tcMar>
              <w:top w:w="30" w:type="dxa"/>
              <w:left w:w="155" w:type="dxa"/>
              <w:bottom w:w="30" w:type="dxa"/>
              <w:right w:w="20" w:type="dxa"/>
            </w:tcMar>
            <w:vAlign w:val="bottom"/>
            <w:hideMark/>
          </w:tcPr>
          <w:p w14:paraId="0DD71104" w14:textId="77777777" w:rsidR="00000000" w:rsidRDefault="009B6C69">
            <w:pPr>
              <w:spacing w:after="100"/>
              <w:rPr>
                <w:rFonts w:eastAsia="Times New Roman"/>
              </w:rPr>
            </w:pPr>
            <w:r>
              <w:rPr>
                <w:rFonts w:eastAsia="Times New Roman"/>
                <w:color w:val="000000"/>
                <w:sz w:val="18"/>
                <w:szCs w:val="18"/>
              </w:rPr>
              <w:t>Other current liabilities</w:t>
            </w:r>
          </w:p>
        </w:tc>
        <w:tc>
          <w:tcPr>
            <w:tcW w:w="0" w:type="auto"/>
            <w:gridSpan w:val="2"/>
            <w:shd w:val="clear" w:color="auto" w:fill="FFFFFF"/>
            <w:tcMar>
              <w:top w:w="30" w:type="dxa"/>
              <w:left w:w="20" w:type="dxa"/>
              <w:bottom w:w="30" w:type="dxa"/>
              <w:right w:w="0" w:type="dxa"/>
            </w:tcMar>
            <w:vAlign w:val="bottom"/>
            <w:hideMark/>
          </w:tcPr>
          <w:p w14:paraId="0EB48C24" w14:textId="77777777" w:rsidR="00000000" w:rsidRDefault="009B6C69">
            <w:pPr>
              <w:spacing w:after="100"/>
              <w:jc w:val="right"/>
              <w:rPr>
                <w:rFonts w:eastAsia="Times New Roman"/>
              </w:rPr>
            </w:pPr>
            <w:r>
              <w:rPr>
                <w:rFonts w:eastAsia="Times New Roman"/>
                <w:color w:val="000000"/>
                <w:sz w:val="18"/>
                <w:szCs w:val="18"/>
              </w:rPr>
              <w:t>3,689 </w:t>
            </w:r>
          </w:p>
        </w:tc>
        <w:tc>
          <w:tcPr>
            <w:tcW w:w="0" w:type="auto"/>
            <w:shd w:val="clear" w:color="auto" w:fill="FFFFFF"/>
            <w:tcMar>
              <w:top w:w="30" w:type="dxa"/>
              <w:left w:w="0" w:type="dxa"/>
              <w:bottom w:w="30" w:type="dxa"/>
              <w:right w:w="20" w:type="dxa"/>
            </w:tcMar>
            <w:vAlign w:val="bottom"/>
            <w:hideMark/>
          </w:tcPr>
          <w:p w14:paraId="3F70F1B5"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F5822B"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8FAE85" w14:textId="77777777" w:rsidR="00000000" w:rsidRDefault="009B6C69">
            <w:pPr>
              <w:spacing w:after="100"/>
              <w:jc w:val="right"/>
              <w:rPr>
                <w:rFonts w:eastAsia="Times New Roman"/>
              </w:rPr>
            </w:pPr>
            <w:r>
              <w:rPr>
                <w:rFonts w:eastAsia="Times New Roman"/>
                <w:color w:val="000000"/>
                <w:sz w:val="18"/>
                <w:szCs w:val="18"/>
              </w:rPr>
              <w:t>5,014 </w:t>
            </w:r>
          </w:p>
        </w:tc>
        <w:tc>
          <w:tcPr>
            <w:tcW w:w="0" w:type="auto"/>
            <w:shd w:val="clear" w:color="auto" w:fill="FFFFFF"/>
            <w:tcMar>
              <w:top w:w="30" w:type="dxa"/>
              <w:left w:w="0" w:type="dxa"/>
              <w:bottom w:w="30" w:type="dxa"/>
              <w:right w:w="20" w:type="dxa"/>
            </w:tcMar>
            <w:vAlign w:val="bottom"/>
            <w:hideMark/>
          </w:tcPr>
          <w:p w14:paraId="0E270ABF" w14:textId="77777777" w:rsidR="00000000" w:rsidRDefault="009B6C69">
            <w:pPr>
              <w:spacing w:after="100"/>
              <w:jc w:val="right"/>
              <w:rPr>
                <w:rFonts w:eastAsia="Times New Roman"/>
              </w:rPr>
            </w:pPr>
          </w:p>
        </w:tc>
      </w:tr>
      <w:tr w:rsidR="00000000" w14:paraId="606557F0" w14:textId="77777777">
        <w:trPr>
          <w:jc w:val="center"/>
        </w:trPr>
        <w:tc>
          <w:tcPr>
            <w:tcW w:w="0" w:type="auto"/>
            <w:gridSpan w:val="3"/>
            <w:shd w:val="clear" w:color="auto" w:fill="CCEEFF"/>
            <w:tcMar>
              <w:top w:w="30" w:type="dxa"/>
              <w:left w:w="380" w:type="dxa"/>
              <w:bottom w:w="30" w:type="dxa"/>
              <w:right w:w="20" w:type="dxa"/>
            </w:tcMar>
            <w:vAlign w:val="bottom"/>
            <w:hideMark/>
          </w:tcPr>
          <w:p w14:paraId="02231FEA" w14:textId="77777777" w:rsidR="00000000" w:rsidRDefault="009B6C69">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8C1473" w14:textId="77777777" w:rsidR="00000000" w:rsidRDefault="009B6C69">
            <w:pPr>
              <w:spacing w:after="100"/>
              <w:jc w:val="right"/>
              <w:rPr>
                <w:rFonts w:eastAsia="Times New Roman"/>
              </w:rPr>
            </w:pPr>
            <w:r>
              <w:rPr>
                <w:rFonts w:eastAsia="Times New Roman"/>
                <w:color w:val="000000"/>
                <w:sz w:val="18"/>
                <w:szCs w:val="18"/>
              </w:rPr>
              <w:t>11,866 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F93B59"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69F53"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FAEC65" w14:textId="77777777" w:rsidR="00000000" w:rsidRDefault="009B6C69">
            <w:pPr>
              <w:spacing w:after="100"/>
              <w:jc w:val="right"/>
              <w:rPr>
                <w:rFonts w:eastAsia="Times New Roman"/>
              </w:rPr>
            </w:pPr>
            <w:r>
              <w:rPr>
                <w:rFonts w:eastAsia="Times New Roman"/>
                <w:color w:val="000000"/>
                <w:sz w:val="18"/>
                <w:szCs w:val="18"/>
              </w:rPr>
              <w:t>11,951 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4BD635" w14:textId="77777777" w:rsidR="00000000" w:rsidRDefault="009B6C69">
            <w:pPr>
              <w:spacing w:after="100"/>
              <w:jc w:val="right"/>
              <w:rPr>
                <w:rFonts w:eastAsia="Times New Roman"/>
              </w:rPr>
            </w:pPr>
          </w:p>
        </w:tc>
      </w:tr>
      <w:tr w:rsidR="00000000" w14:paraId="2367B6E5" w14:textId="77777777">
        <w:trPr>
          <w:jc w:val="center"/>
        </w:trPr>
        <w:tc>
          <w:tcPr>
            <w:tcW w:w="0" w:type="auto"/>
            <w:gridSpan w:val="3"/>
            <w:shd w:val="clear" w:color="auto" w:fill="FFFFFF"/>
            <w:tcMar>
              <w:top w:w="30" w:type="dxa"/>
              <w:left w:w="20" w:type="dxa"/>
              <w:bottom w:w="30" w:type="dxa"/>
              <w:right w:w="20" w:type="dxa"/>
            </w:tcMar>
            <w:vAlign w:val="bottom"/>
            <w:hideMark/>
          </w:tcPr>
          <w:p w14:paraId="2AEB843B" w14:textId="77777777" w:rsidR="00000000" w:rsidRDefault="009B6C69">
            <w:pPr>
              <w:spacing w:after="100"/>
              <w:rPr>
                <w:rFonts w:eastAsia="Times New Roman"/>
              </w:rPr>
            </w:pPr>
            <w:r>
              <w:rPr>
                <w:rFonts w:eastAsia="Times New Roman"/>
                <w:color w:val="000000"/>
                <w:sz w:val="18"/>
                <w:szCs w:val="18"/>
              </w:rPr>
              <w:t>Unearned revenues</w:t>
            </w:r>
          </w:p>
        </w:tc>
        <w:tc>
          <w:tcPr>
            <w:tcW w:w="0" w:type="auto"/>
            <w:gridSpan w:val="2"/>
            <w:shd w:val="clear" w:color="auto" w:fill="FFFFFF"/>
            <w:tcMar>
              <w:top w:w="30" w:type="dxa"/>
              <w:left w:w="20" w:type="dxa"/>
              <w:bottom w:w="30" w:type="dxa"/>
              <w:right w:w="0" w:type="dxa"/>
            </w:tcMar>
            <w:vAlign w:val="bottom"/>
            <w:hideMark/>
          </w:tcPr>
          <w:p w14:paraId="283C9072" w14:textId="77777777" w:rsidR="00000000" w:rsidRDefault="009B6C69">
            <w:pPr>
              <w:spacing w:after="100"/>
              <w:jc w:val="right"/>
              <w:rPr>
                <w:rFonts w:eastAsia="Times New Roman"/>
              </w:rPr>
            </w:pPr>
            <w:r>
              <w:rPr>
                <w:rFonts w:eastAsia="Times New Roman"/>
                <w:color w:val="000000"/>
                <w:sz w:val="18"/>
                <w:szCs w:val="18"/>
              </w:rPr>
              <w:t>144 </w:t>
            </w:r>
          </w:p>
        </w:tc>
        <w:tc>
          <w:tcPr>
            <w:tcW w:w="0" w:type="auto"/>
            <w:shd w:val="clear" w:color="auto" w:fill="FFFFFF"/>
            <w:tcMar>
              <w:top w:w="30" w:type="dxa"/>
              <w:left w:w="0" w:type="dxa"/>
              <w:bottom w:w="30" w:type="dxa"/>
              <w:right w:w="20" w:type="dxa"/>
            </w:tcMar>
            <w:vAlign w:val="bottom"/>
            <w:hideMark/>
          </w:tcPr>
          <w:p w14:paraId="367E240E"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3A013C"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4E0D99" w14:textId="77777777" w:rsidR="00000000" w:rsidRDefault="009B6C69">
            <w:pPr>
              <w:spacing w:after="100"/>
              <w:jc w:val="right"/>
              <w:rPr>
                <w:rFonts w:eastAsia="Times New Roman"/>
              </w:rPr>
            </w:pPr>
            <w:r>
              <w:rPr>
                <w:rFonts w:eastAsia="Times New Roman"/>
                <w:color w:val="000000"/>
                <w:sz w:val="18"/>
                <w:szCs w:val="18"/>
              </w:rPr>
              <w:t>364 </w:t>
            </w:r>
          </w:p>
        </w:tc>
        <w:tc>
          <w:tcPr>
            <w:tcW w:w="0" w:type="auto"/>
            <w:shd w:val="clear" w:color="auto" w:fill="FFFFFF"/>
            <w:tcMar>
              <w:top w:w="30" w:type="dxa"/>
              <w:left w:w="0" w:type="dxa"/>
              <w:bottom w:w="30" w:type="dxa"/>
              <w:right w:w="20" w:type="dxa"/>
            </w:tcMar>
            <w:vAlign w:val="bottom"/>
            <w:hideMark/>
          </w:tcPr>
          <w:p w14:paraId="096C8645" w14:textId="77777777" w:rsidR="00000000" w:rsidRDefault="009B6C69">
            <w:pPr>
              <w:spacing w:after="100"/>
              <w:jc w:val="right"/>
              <w:rPr>
                <w:rFonts w:eastAsia="Times New Roman"/>
              </w:rPr>
            </w:pPr>
          </w:p>
        </w:tc>
      </w:tr>
      <w:tr w:rsidR="00000000" w14:paraId="588C5980" w14:textId="77777777">
        <w:trPr>
          <w:jc w:val="center"/>
        </w:trPr>
        <w:tc>
          <w:tcPr>
            <w:tcW w:w="0" w:type="auto"/>
            <w:gridSpan w:val="3"/>
            <w:shd w:val="clear" w:color="auto" w:fill="CCEEFF"/>
            <w:tcMar>
              <w:top w:w="30" w:type="dxa"/>
              <w:left w:w="20" w:type="dxa"/>
              <w:bottom w:w="30" w:type="dxa"/>
              <w:right w:w="20" w:type="dxa"/>
            </w:tcMar>
            <w:vAlign w:val="bottom"/>
            <w:hideMark/>
          </w:tcPr>
          <w:p w14:paraId="5CE04103" w14:textId="77777777" w:rsidR="00000000" w:rsidRDefault="009B6C69">
            <w:pPr>
              <w:spacing w:after="100"/>
              <w:rPr>
                <w:rFonts w:eastAsia="Times New Roman"/>
              </w:rPr>
            </w:pPr>
            <w:r>
              <w:rPr>
                <w:rFonts w:eastAsia="Times New Roman"/>
                <w:color w:val="000000"/>
                <w:sz w:val="18"/>
                <w:szCs w:val="18"/>
              </w:rPr>
              <w:t>Income taxes payable</w:t>
            </w:r>
          </w:p>
        </w:tc>
        <w:tc>
          <w:tcPr>
            <w:tcW w:w="0" w:type="auto"/>
            <w:gridSpan w:val="2"/>
            <w:shd w:val="clear" w:color="auto" w:fill="CCEEFF"/>
            <w:tcMar>
              <w:top w:w="30" w:type="dxa"/>
              <w:left w:w="20" w:type="dxa"/>
              <w:bottom w:w="30" w:type="dxa"/>
              <w:right w:w="0" w:type="dxa"/>
            </w:tcMar>
            <w:vAlign w:val="bottom"/>
            <w:hideMark/>
          </w:tcPr>
          <w:p w14:paraId="222AF76B" w14:textId="77777777" w:rsidR="00000000" w:rsidRDefault="009B6C69">
            <w:pPr>
              <w:spacing w:after="100"/>
              <w:jc w:val="right"/>
              <w:rPr>
                <w:rFonts w:eastAsia="Times New Roman"/>
              </w:rPr>
            </w:pPr>
            <w:r>
              <w:rPr>
                <w:rFonts w:eastAsia="Times New Roman"/>
                <w:color w:val="000000"/>
                <w:sz w:val="18"/>
                <w:szCs w:val="18"/>
              </w:rPr>
              <w:t>1,472 </w:t>
            </w:r>
          </w:p>
        </w:tc>
        <w:tc>
          <w:tcPr>
            <w:tcW w:w="0" w:type="auto"/>
            <w:shd w:val="clear" w:color="auto" w:fill="CCEEFF"/>
            <w:tcMar>
              <w:top w:w="30" w:type="dxa"/>
              <w:left w:w="0" w:type="dxa"/>
              <w:bottom w:w="30" w:type="dxa"/>
              <w:right w:w="20" w:type="dxa"/>
            </w:tcMar>
            <w:vAlign w:val="bottom"/>
            <w:hideMark/>
          </w:tcPr>
          <w:p w14:paraId="656289DA"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4F6310"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9821BF" w14:textId="77777777" w:rsidR="00000000" w:rsidRDefault="009B6C69">
            <w:pPr>
              <w:spacing w:after="100"/>
              <w:jc w:val="right"/>
              <w:rPr>
                <w:rFonts w:eastAsia="Times New Roman"/>
              </w:rPr>
            </w:pPr>
            <w:r>
              <w:rPr>
                <w:rFonts w:eastAsia="Times New Roman"/>
                <w:color w:val="000000"/>
                <w:sz w:val="18"/>
                <w:szCs w:val="18"/>
              </w:rPr>
              <w:t>1,713 </w:t>
            </w:r>
          </w:p>
        </w:tc>
        <w:tc>
          <w:tcPr>
            <w:tcW w:w="0" w:type="auto"/>
            <w:shd w:val="clear" w:color="auto" w:fill="CCEEFF"/>
            <w:tcMar>
              <w:top w:w="30" w:type="dxa"/>
              <w:left w:w="0" w:type="dxa"/>
              <w:bottom w:w="30" w:type="dxa"/>
              <w:right w:w="20" w:type="dxa"/>
            </w:tcMar>
            <w:vAlign w:val="bottom"/>
            <w:hideMark/>
          </w:tcPr>
          <w:p w14:paraId="77537A6B" w14:textId="77777777" w:rsidR="00000000" w:rsidRDefault="009B6C69">
            <w:pPr>
              <w:spacing w:after="100"/>
              <w:jc w:val="right"/>
              <w:rPr>
                <w:rFonts w:eastAsia="Times New Roman"/>
              </w:rPr>
            </w:pPr>
          </w:p>
        </w:tc>
      </w:tr>
      <w:tr w:rsidR="00000000" w14:paraId="4FEED3E3" w14:textId="77777777">
        <w:trPr>
          <w:jc w:val="center"/>
        </w:trPr>
        <w:tc>
          <w:tcPr>
            <w:tcW w:w="0" w:type="auto"/>
            <w:gridSpan w:val="3"/>
            <w:shd w:val="clear" w:color="auto" w:fill="FFFFFF"/>
            <w:tcMar>
              <w:top w:w="30" w:type="dxa"/>
              <w:left w:w="20" w:type="dxa"/>
              <w:bottom w:w="30" w:type="dxa"/>
              <w:right w:w="20" w:type="dxa"/>
            </w:tcMar>
            <w:vAlign w:val="bottom"/>
            <w:hideMark/>
          </w:tcPr>
          <w:p w14:paraId="1B525C71" w14:textId="77777777" w:rsidR="00000000" w:rsidRDefault="009B6C69">
            <w:pPr>
              <w:spacing w:after="100"/>
              <w:rPr>
                <w:rFonts w:eastAsia="Times New Roman"/>
              </w:rPr>
            </w:pPr>
            <w:r>
              <w:rPr>
                <w:rFonts w:eastAsia="Times New Roman"/>
                <w:color w:val="000000"/>
                <w:sz w:val="18"/>
                <w:szCs w:val="18"/>
              </w:rPr>
              <w:t>Long-term debt</w:t>
            </w:r>
          </w:p>
        </w:tc>
        <w:tc>
          <w:tcPr>
            <w:tcW w:w="0" w:type="auto"/>
            <w:gridSpan w:val="2"/>
            <w:shd w:val="clear" w:color="auto" w:fill="FFFFFF"/>
            <w:tcMar>
              <w:top w:w="30" w:type="dxa"/>
              <w:left w:w="20" w:type="dxa"/>
              <w:bottom w:w="30" w:type="dxa"/>
              <w:right w:w="0" w:type="dxa"/>
            </w:tcMar>
            <w:vAlign w:val="bottom"/>
            <w:hideMark/>
          </w:tcPr>
          <w:p w14:paraId="41B125D4" w14:textId="77777777" w:rsidR="00000000" w:rsidRDefault="009B6C69">
            <w:pPr>
              <w:spacing w:after="100"/>
              <w:jc w:val="right"/>
              <w:rPr>
                <w:rFonts w:eastAsia="Times New Roman"/>
              </w:rPr>
            </w:pPr>
            <w:r>
              <w:rPr>
                <w:rFonts w:eastAsia="Times New Roman"/>
                <w:color w:val="000000"/>
                <w:sz w:val="18"/>
                <w:szCs w:val="18"/>
              </w:rPr>
              <w:t>13,537 </w:t>
            </w:r>
          </w:p>
        </w:tc>
        <w:tc>
          <w:tcPr>
            <w:tcW w:w="0" w:type="auto"/>
            <w:shd w:val="clear" w:color="auto" w:fill="FFFFFF"/>
            <w:tcMar>
              <w:top w:w="30" w:type="dxa"/>
              <w:left w:w="0" w:type="dxa"/>
              <w:bottom w:w="30" w:type="dxa"/>
              <w:right w:w="20" w:type="dxa"/>
            </w:tcMar>
            <w:vAlign w:val="bottom"/>
            <w:hideMark/>
          </w:tcPr>
          <w:p w14:paraId="44051A7F"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D643DF"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F66B4C" w14:textId="77777777" w:rsidR="00000000" w:rsidRDefault="009B6C69">
            <w:pPr>
              <w:spacing w:after="100"/>
              <w:jc w:val="right"/>
              <w:rPr>
                <w:rFonts w:eastAsia="Times New Roman"/>
              </w:rPr>
            </w:pPr>
            <w:r>
              <w:rPr>
                <w:rFonts w:eastAsia="Times New Roman"/>
                <w:color w:val="000000"/>
                <w:sz w:val="18"/>
                <w:szCs w:val="18"/>
              </w:rPr>
              <w:t>13,701 </w:t>
            </w:r>
          </w:p>
        </w:tc>
        <w:tc>
          <w:tcPr>
            <w:tcW w:w="0" w:type="auto"/>
            <w:shd w:val="clear" w:color="auto" w:fill="FFFFFF"/>
            <w:tcMar>
              <w:top w:w="30" w:type="dxa"/>
              <w:left w:w="0" w:type="dxa"/>
              <w:bottom w:w="30" w:type="dxa"/>
              <w:right w:w="20" w:type="dxa"/>
            </w:tcMar>
            <w:vAlign w:val="bottom"/>
            <w:hideMark/>
          </w:tcPr>
          <w:p w14:paraId="487F1FAC" w14:textId="77777777" w:rsidR="00000000" w:rsidRDefault="009B6C69">
            <w:pPr>
              <w:spacing w:after="100"/>
              <w:jc w:val="right"/>
              <w:rPr>
                <w:rFonts w:eastAsia="Times New Roman"/>
              </w:rPr>
            </w:pPr>
          </w:p>
        </w:tc>
      </w:tr>
      <w:tr w:rsidR="00000000" w14:paraId="352AEA76" w14:textId="77777777">
        <w:trPr>
          <w:jc w:val="center"/>
        </w:trPr>
        <w:tc>
          <w:tcPr>
            <w:tcW w:w="0" w:type="auto"/>
            <w:gridSpan w:val="3"/>
            <w:shd w:val="clear" w:color="auto" w:fill="CCEEFF"/>
            <w:tcMar>
              <w:top w:w="30" w:type="dxa"/>
              <w:left w:w="20" w:type="dxa"/>
              <w:bottom w:w="30" w:type="dxa"/>
              <w:right w:w="20" w:type="dxa"/>
            </w:tcMar>
            <w:vAlign w:val="bottom"/>
            <w:hideMark/>
          </w:tcPr>
          <w:p w14:paraId="18439378" w14:textId="77777777" w:rsidR="00000000" w:rsidRDefault="009B6C69">
            <w:pPr>
              <w:spacing w:after="100"/>
              <w:rPr>
                <w:rFonts w:eastAsia="Times New Roman"/>
              </w:rPr>
            </w:pPr>
            <w:r>
              <w:rPr>
                <w:rFonts w:eastAsia="Times New Roman"/>
                <w:color w:val="000000"/>
                <w:sz w:val="18"/>
                <w:szCs w:val="18"/>
              </w:rPr>
              <w:t>Held for sale liabilities</w:t>
            </w:r>
          </w:p>
        </w:tc>
        <w:tc>
          <w:tcPr>
            <w:tcW w:w="0" w:type="auto"/>
            <w:gridSpan w:val="2"/>
            <w:shd w:val="clear" w:color="auto" w:fill="CCEEFF"/>
            <w:tcMar>
              <w:top w:w="30" w:type="dxa"/>
              <w:left w:w="20" w:type="dxa"/>
              <w:bottom w:w="30" w:type="dxa"/>
              <w:right w:w="0" w:type="dxa"/>
            </w:tcMar>
            <w:vAlign w:val="bottom"/>
            <w:hideMark/>
          </w:tcPr>
          <w:p w14:paraId="737D1A90" w14:textId="77777777" w:rsidR="00000000" w:rsidRDefault="009B6C69">
            <w:pPr>
              <w:spacing w:after="100"/>
              <w:jc w:val="right"/>
              <w:rPr>
                <w:rFonts w:eastAsia="Times New Roman"/>
              </w:rPr>
            </w:pPr>
            <w:r>
              <w:rPr>
                <w:rFonts w:eastAsia="Times New Roman"/>
                <w:color w:val="000000"/>
                <w:sz w:val="18"/>
                <w:szCs w:val="18"/>
              </w:rPr>
              <w:t>119 </w:t>
            </w:r>
          </w:p>
        </w:tc>
        <w:tc>
          <w:tcPr>
            <w:tcW w:w="0" w:type="auto"/>
            <w:shd w:val="clear" w:color="auto" w:fill="CCEEFF"/>
            <w:tcMar>
              <w:top w:w="30" w:type="dxa"/>
              <w:left w:w="0" w:type="dxa"/>
              <w:bottom w:w="30" w:type="dxa"/>
              <w:right w:w="20" w:type="dxa"/>
            </w:tcMar>
            <w:vAlign w:val="bottom"/>
            <w:hideMark/>
          </w:tcPr>
          <w:p w14:paraId="2170FA7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44FC9A"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9B45DD"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2D3DF51" w14:textId="77777777" w:rsidR="00000000" w:rsidRDefault="009B6C69">
            <w:pPr>
              <w:spacing w:after="100"/>
              <w:jc w:val="right"/>
              <w:rPr>
                <w:rFonts w:eastAsia="Times New Roman"/>
              </w:rPr>
            </w:pPr>
          </w:p>
        </w:tc>
      </w:tr>
      <w:tr w:rsidR="00000000" w14:paraId="4DF48C83" w14:textId="77777777">
        <w:trPr>
          <w:jc w:val="center"/>
        </w:trPr>
        <w:tc>
          <w:tcPr>
            <w:tcW w:w="0" w:type="auto"/>
            <w:gridSpan w:val="3"/>
            <w:shd w:val="clear" w:color="auto" w:fill="FFFFFF"/>
            <w:tcMar>
              <w:top w:w="30" w:type="dxa"/>
              <w:left w:w="20" w:type="dxa"/>
              <w:bottom w:w="30" w:type="dxa"/>
              <w:right w:w="20" w:type="dxa"/>
            </w:tcMar>
            <w:vAlign w:val="bottom"/>
            <w:hideMark/>
          </w:tcPr>
          <w:p w14:paraId="4A718802" w14:textId="77777777" w:rsidR="00000000" w:rsidRDefault="009B6C69">
            <w:pPr>
              <w:spacing w:after="100"/>
              <w:rPr>
                <w:rFonts w:eastAsia="Times New Roman"/>
              </w:rPr>
            </w:pPr>
            <w:r>
              <w:rPr>
                <w:rFonts w:eastAsia="Times New Roman"/>
                <w:color w:val="000000"/>
                <w:sz w:val="18"/>
                <w:szCs w:val="18"/>
              </w:rPr>
              <w:t>Other liabilities</w:t>
            </w:r>
          </w:p>
        </w:tc>
        <w:tc>
          <w:tcPr>
            <w:tcW w:w="0" w:type="auto"/>
            <w:gridSpan w:val="2"/>
            <w:shd w:val="clear" w:color="auto" w:fill="FFFFFF"/>
            <w:tcMar>
              <w:top w:w="30" w:type="dxa"/>
              <w:left w:w="20" w:type="dxa"/>
              <w:bottom w:w="30" w:type="dxa"/>
              <w:right w:w="0" w:type="dxa"/>
            </w:tcMar>
            <w:vAlign w:val="bottom"/>
            <w:hideMark/>
          </w:tcPr>
          <w:p w14:paraId="007B9816" w14:textId="77777777" w:rsidR="00000000" w:rsidRDefault="009B6C69">
            <w:pPr>
              <w:spacing w:after="100"/>
              <w:jc w:val="right"/>
              <w:rPr>
                <w:rFonts w:eastAsia="Times New Roman"/>
              </w:rPr>
            </w:pPr>
            <w:r>
              <w:rPr>
                <w:rFonts w:eastAsia="Times New Roman"/>
                <w:color w:val="000000"/>
                <w:sz w:val="18"/>
                <w:szCs w:val="18"/>
              </w:rPr>
              <w:t>3,863 </w:t>
            </w:r>
          </w:p>
        </w:tc>
        <w:tc>
          <w:tcPr>
            <w:tcW w:w="0" w:type="auto"/>
            <w:shd w:val="clear" w:color="auto" w:fill="FFFFFF"/>
            <w:tcMar>
              <w:top w:w="30" w:type="dxa"/>
              <w:left w:w="0" w:type="dxa"/>
              <w:bottom w:w="30" w:type="dxa"/>
              <w:right w:w="20" w:type="dxa"/>
            </w:tcMar>
            <w:vAlign w:val="bottom"/>
            <w:hideMark/>
          </w:tcPr>
          <w:p w14:paraId="208631ED"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3611D6"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5721AF" w14:textId="77777777" w:rsidR="00000000" w:rsidRDefault="009B6C69">
            <w:pPr>
              <w:spacing w:after="100"/>
              <w:jc w:val="right"/>
              <w:rPr>
                <w:rFonts w:eastAsia="Times New Roman"/>
              </w:rPr>
            </w:pPr>
            <w:r>
              <w:rPr>
                <w:rFonts w:eastAsia="Times New Roman"/>
                <w:color w:val="000000"/>
                <w:sz w:val="18"/>
                <w:szCs w:val="18"/>
              </w:rPr>
              <w:t>3,561 </w:t>
            </w:r>
          </w:p>
        </w:tc>
        <w:tc>
          <w:tcPr>
            <w:tcW w:w="0" w:type="auto"/>
            <w:shd w:val="clear" w:color="auto" w:fill="FFFFFF"/>
            <w:tcMar>
              <w:top w:w="30" w:type="dxa"/>
              <w:left w:w="0" w:type="dxa"/>
              <w:bottom w:w="30" w:type="dxa"/>
              <w:right w:w="20" w:type="dxa"/>
            </w:tcMar>
            <w:vAlign w:val="bottom"/>
            <w:hideMark/>
          </w:tcPr>
          <w:p w14:paraId="39B41E20" w14:textId="77777777" w:rsidR="00000000" w:rsidRDefault="009B6C69">
            <w:pPr>
              <w:spacing w:after="100"/>
              <w:jc w:val="right"/>
              <w:rPr>
                <w:rFonts w:eastAsia="Times New Roman"/>
              </w:rPr>
            </w:pPr>
          </w:p>
        </w:tc>
      </w:tr>
      <w:tr w:rsidR="00000000" w14:paraId="21FD6C80" w14:textId="77777777">
        <w:trPr>
          <w:jc w:val="center"/>
        </w:trPr>
        <w:tc>
          <w:tcPr>
            <w:tcW w:w="0" w:type="auto"/>
            <w:gridSpan w:val="3"/>
            <w:shd w:val="clear" w:color="auto" w:fill="CCEEFF"/>
            <w:tcMar>
              <w:top w:w="30" w:type="dxa"/>
              <w:left w:w="380" w:type="dxa"/>
              <w:bottom w:w="30" w:type="dxa"/>
              <w:right w:w="20" w:type="dxa"/>
            </w:tcMar>
            <w:vAlign w:val="bottom"/>
            <w:hideMark/>
          </w:tcPr>
          <w:p w14:paraId="39BF6418" w14:textId="77777777" w:rsidR="00000000" w:rsidRDefault="009B6C69">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6FB2C6" w14:textId="77777777" w:rsidR="00000000" w:rsidRDefault="009B6C69">
            <w:pPr>
              <w:spacing w:after="100"/>
              <w:jc w:val="right"/>
              <w:rPr>
                <w:rFonts w:eastAsia="Times New Roman"/>
              </w:rPr>
            </w:pPr>
            <w:r>
              <w:rPr>
                <w:rFonts w:eastAsia="Times New Roman"/>
                <w:color w:val="000000"/>
                <w:sz w:val="18"/>
                <w:szCs w:val="18"/>
              </w:rPr>
              <w:t>31,001 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2A4FC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2D32A"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ABDE9B" w14:textId="77777777" w:rsidR="00000000" w:rsidRDefault="009B6C69">
            <w:pPr>
              <w:spacing w:after="100"/>
              <w:jc w:val="right"/>
              <w:rPr>
                <w:rFonts w:eastAsia="Times New Roman"/>
              </w:rPr>
            </w:pPr>
            <w:r>
              <w:rPr>
                <w:rFonts w:eastAsia="Times New Roman"/>
                <w:color w:val="000000"/>
                <w:sz w:val="18"/>
                <w:szCs w:val="18"/>
              </w:rPr>
              <w:t>31,290 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87ACCF" w14:textId="77777777" w:rsidR="00000000" w:rsidRDefault="009B6C69">
            <w:pPr>
              <w:spacing w:after="100"/>
              <w:jc w:val="right"/>
              <w:rPr>
                <w:rFonts w:eastAsia="Times New Roman"/>
              </w:rPr>
            </w:pPr>
          </w:p>
        </w:tc>
      </w:tr>
      <w:tr w:rsidR="00000000" w14:paraId="33A37A77" w14:textId="77777777">
        <w:trPr>
          <w:trHeight w:val="240"/>
          <w:jc w:val="center"/>
        </w:trPr>
        <w:tc>
          <w:tcPr>
            <w:tcW w:w="0" w:type="auto"/>
            <w:gridSpan w:val="3"/>
            <w:shd w:val="clear" w:color="auto" w:fill="FFFFFF"/>
            <w:tcMar>
              <w:top w:w="0" w:type="dxa"/>
              <w:left w:w="20" w:type="dxa"/>
              <w:bottom w:w="0" w:type="dxa"/>
              <w:right w:w="20" w:type="dxa"/>
            </w:tcMar>
            <w:vAlign w:val="center"/>
            <w:hideMark/>
          </w:tcPr>
          <w:p w14:paraId="1238222D" w14:textId="77777777" w:rsidR="00000000" w:rsidRDefault="009B6C69">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E83CA41"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F2D20A" w14:textId="77777777" w:rsidR="00000000" w:rsidRDefault="009B6C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E70ACD7" w14:textId="77777777" w:rsidR="00000000" w:rsidRDefault="009B6C69">
            <w:pPr>
              <w:spacing w:after="100"/>
              <w:rPr>
                <w:rFonts w:eastAsia="Times New Roman"/>
                <w:sz w:val="20"/>
                <w:szCs w:val="20"/>
              </w:rPr>
            </w:pPr>
          </w:p>
        </w:tc>
      </w:tr>
      <w:tr w:rsidR="00000000" w14:paraId="2CA4225F" w14:textId="77777777">
        <w:trPr>
          <w:jc w:val="center"/>
        </w:trPr>
        <w:tc>
          <w:tcPr>
            <w:tcW w:w="0" w:type="auto"/>
            <w:gridSpan w:val="3"/>
            <w:shd w:val="clear" w:color="auto" w:fill="CCEEFF"/>
            <w:tcMar>
              <w:top w:w="30" w:type="dxa"/>
              <w:left w:w="20" w:type="dxa"/>
              <w:bottom w:w="30" w:type="dxa"/>
              <w:right w:w="20" w:type="dxa"/>
            </w:tcMar>
            <w:vAlign w:val="bottom"/>
            <w:hideMark/>
          </w:tcPr>
          <w:p w14:paraId="219DF036" w14:textId="77777777" w:rsidR="00000000" w:rsidRDefault="009B6C69">
            <w:pPr>
              <w:spacing w:after="100"/>
              <w:rPr>
                <w:rFonts w:eastAsia="Times New Roman"/>
              </w:rPr>
            </w:pPr>
            <w:r>
              <w:rPr>
                <w:rFonts w:eastAsia="Times New Roman"/>
                <w:color w:val="000000"/>
                <w:sz w:val="18"/>
                <w:szCs w:val="18"/>
              </w:rPr>
              <w:t>Commitments and contingencies (Note 7)</w:t>
            </w:r>
          </w:p>
        </w:tc>
        <w:tc>
          <w:tcPr>
            <w:tcW w:w="0" w:type="auto"/>
            <w:gridSpan w:val="3"/>
            <w:shd w:val="clear" w:color="auto" w:fill="CCEEFF"/>
            <w:tcMar>
              <w:top w:w="0" w:type="dxa"/>
              <w:left w:w="20" w:type="dxa"/>
              <w:bottom w:w="0" w:type="dxa"/>
              <w:right w:w="20" w:type="dxa"/>
            </w:tcMar>
            <w:vAlign w:val="center"/>
            <w:hideMark/>
          </w:tcPr>
          <w:p w14:paraId="43151E4F" w14:textId="77777777" w:rsidR="00000000" w:rsidRDefault="009B6C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389C9C"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DCD354" w14:textId="77777777" w:rsidR="00000000" w:rsidRDefault="009B6C69">
            <w:pPr>
              <w:spacing w:after="100"/>
              <w:rPr>
                <w:rFonts w:eastAsia="Times New Roman"/>
                <w:sz w:val="20"/>
                <w:szCs w:val="20"/>
              </w:rPr>
            </w:pPr>
          </w:p>
        </w:tc>
      </w:tr>
      <w:tr w:rsidR="00000000" w14:paraId="3FFED37F" w14:textId="77777777">
        <w:trPr>
          <w:trHeight w:val="240"/>
          <w:jc w:val="center"/>
        </w:trPr>
        <w:tc>
          <w:tcPr>
            <w:tcW w:w="0" w:type="auto"/>
            <w:gridSpan w:val="3"/>
            <w:tcMar>
              <w:top w:w="0" w:type="dxa"/>
              <w:left w:w="20" w:type="dxa"/>
              <w:bottom w:w="0" w:type="dxa"/>
              <w:right w:w="20" w:type="dxa"/>
            </w:tcMar>
            <w:vAlign w:val="center"/>
            <w:hideMark/>
          </w:tcPr>
          <w:p w14:paraId="2FC75CB9"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3CE041"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73D62F"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ECA83D" w14:textId="77777777" w:rsidR="00000000" w:rsidRDefault="009B6C69">
            <w:pPr>
              <w:spacing w:after="100"/>
              <w:rPr>
                <w:rFonts w:eastAsia="Times New Roman"/>
                <w:sz w:val="20"/>
                <w:szCs w:val="20"/>
              </w:rPr>
            </w:pPr>
          </w:p>
        </w:tc>
      </w:tr>
      <w:tr w:rsidR="00000000" w14:paraId="5BA06790" w14:textId="77777777">
        <w:trPr>
          <w:jc w:val="center"/>
        </w:trPr>
        <w:tc>
          <w:tcPr>
            <w:tcW w:w="0" w:type="auto"/>
            <w:gridSpan w:val="3"/>
            <w:shd w:val="clear" w:color="auto" w:fill="CCEEFF"/>
            <w:tcMar>
              <w:top w:w="30" w:type="dxa"/>
              <w:left w:w="20" w:type="dxa"/>
              <w:bottom w:w="30" w:type="dxa"/>
              <w:right w:w="20" w:type="dxa"/>
            </w:tcMar>
            <w:vAlign w:val="bottom"/>
            <w:hideMark/>
          </w:tcPr>
          <w:p w14:paraId="2E0496D7" w14:textId="77777777" w:rsidR="00000000" w:rsidRDefault="009B6C69">
            <w:pPr>
              <w:spacing w:after="100"/>
              <w:rPr>
                <w:rFonts w:eastAsia="Times New Roman"/>
              </w:rPr>
            </w:pPr>
            <w:r>
              <w:rPr>
                <w:rFonts w:eastAsia="Times New Roman"/>
                <w:color w:val="000000"/>
                <w:sz w:val="18"/>
                <w:szCs w:val="18"/>
              </w:rPr>
              <w:t>Stockholders’ equity:</w:t>
            </w:r>
          </w:p>
        </w:tc>
        <w:tc>
          <w:tcPr>
            <w:tcW w:w="0" w:type="auto"/>
            <w:gridSpan w:val="3"/>
            <w:shd w:val="clear" w:color="auto" w:fill="CCEEFF"/>
            <w:tcMar>
              <w:top w:w="30" w:type="dxa"/>
              <w:left w:w="20" w:type="dxa"/>
              <w:bottom w:w="30" w:type="dxa"/>
              <w:right w:w="20" w:type="dxa"/>
            </w:tcMar>
            <w:vAlign w:val="bottom"/>
            <w:hideMark/>
          </w:tcPr>
          <w:p w14:paraId="011B7892"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15ED30F0"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77B2DFF" w14:textId="77777777" w:rsidR="00000000" w:rsidRDefault="009B6C69">
            <w:pPr>
              <w:spacing w:after="100"/>
              <w:rPr>
                <w:rFonts w:eastAsia="Times New Roman"/>
              </w:rPr>
            </w:pPr>
            <w:r>
              <w:rPr>
                <w:rFonts w:eastAsia="Times New Roman"/>
                <w:color w:val="000000"/>
                <w:sz w:val="18"/>
                <w:szCs w:val="18"/>
              </w:rPr>
              <w:t> </w:t>
            </w:r>
          </w:p>
        </w:tc>
      </w:tr>
      <w:tr w:rsidR="00000000" w14:paraId="2E0B60E0" w14:textId="77777777">
        <w:trPr>
          <w:jc w:val="center"/>
        </w:trPr>
        <w:tc>
          <w:tcPr>
            <w:tcW w:w="0" w:type="auto"/>
            <w:gridSpan w:val="3"/>
            <w:tcMar>
              <w:top w:w="30" w:type="dxa"/>
              <w:left w:w="20" w:type="dxa"/>
              <w:bottom w:w="30" w:type="dxa"/>
              <w:right w:w="20" w:type="dxa"/>
            </w:tcMar>
            <w:vAlign w:val="bottom"/>
            <w:hideMark/>
          </w:tcPr>
          <w:p w14:paraId="33B1F241" w14:textId="77777777" w:rsidR="00000000" w:rsidRDefault="009B6C69">
            <w:pPr>
              <w:spacing w:after="100"/>
              <w:divId w:val="1684362286"/>
              <w:rPr>
                <w:rFonts w:eastAsia="Times New Roman"/>
              </w:rPr>
            </w:pPr>
            <w:r>
              <w:rPr>
                <w:rFonts w:eastAsia="Times New Roman"/>
                <w:color w:val="000000"/>
                <w:sz w:val="18"/>
                <w:szCs w:val="18"/>
              </w:rPr>
              <w:t>Preferred stock, $0.0001 par value; 8 shares authorized; none outstanding</w:t>
            </w:r>
          </w:p>
        </w:tc>
        <w:tc>
          <w:tcPr>
            <w:tcW w:w="0" w:type="auto"/>
            <w:gridSpan w:val="2"/>
            <w:tcMar>
              <w:top w:w="30" w:type="dxa"/>
              <w:left w:w="20" w:type="dxa"/>
              <w:bottom w:w="30" w:type="dxa"/>
              <w:right w:w="0" w:type="dxa"/>
            </w:tcMar>
            <w:vAlign w:val="bottom"/>
            <w:hideMark/>
          </w:tcPr>
          <w:p w14:paraId="4CA77384" w14:textId="77777777" w:rsidR="00000000" w:rsidRDefault="009B6C69">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14:paraId="4F0768DE" w14:textId="77777777" w:rsidR="00000000" w:rsidRDefault="009B6C6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A4EE549" w14:textId="77777777" w:rsidR="00000000" w:rsidRDefault="009B6C6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FBF1D26" w14:textId="77777777" w:rsidR="00000000" w:rsidRDefault="009B6C69">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14:paraId="11CE2FC5" w14:textId="77777777" w:rsidR="00000000" w:rsidRDefault="009B6C69">
            <w:pPr>
              <w:spacing w:after="100"/>
              <w:jc w:val="right"/>
              <w:rPr>
                <w:rFonts w:eastAsia="Times New Roman"/>
              </w:rPr>
            </w:pPr>
          </w:p>
        </w:tc>
      </w:tr>
      <w:tr w:rsidR="00000000" w14:paraId="68DA97EE" w14:textId="77777777">
        <w:trPr>
          <w:jc w:val="center"/>
        </w:trPr>
        <w:tc>
          <w:tcPr>
            <w:tcW w:w="0" w:type="auto"/>
            <w:gridSpan w:val="3"/>
            <w:shd w:val="clear" w:color="auto" w:fill="CCEEFF"/>
            <w:tcMar>
              <w:top w:w="30" w:type="dxa"/>
              <w:left w:w="20" w:type="dxa"/>
              <w:bottom w:w="30" w:type="dxa"/>
              <w:right w:w="20" w:type="dxa"/>
            </w:tcMar>
            <w:vAlign w:val="bottom"/>
            <w:hideMark/>
          </w:tcPr>
          <w:p w14:paraId="05902FB8" w14:textId="77777777" w:rsidR="00000000" w:rsidRDefault="009B6C69">
            <w:pPr>
              <w:spacing w:after="100"/>
              <w:divId w:val="2083140743"/>
              <w:rPr>
                <w:rFonts w:eastAsia="Times New Roman"/>
              </w:rPr>
            </w:pPr>
            <w:r>
              <w:rPr>
                <w:rFonts w:eastAsia="Times New Roman"/>
                <w:color w:val="000000"/>
                <w:sz w:val="18"/>
                <w:szCs w:val="18"/>
              </w:rPr>
              <w:t>Common stock and paid-in capital, $0.0001 par value; 6,000 shares authorized; 1,121 and 1,125 shares issued and outstanding, respectively</w:t>
            </w:r>
          </w:p>
        </w:tc>
        <w:tc>
          <w:tcPr>
            <w:tcW w:w="0" w:type="auto"/>
            <w:gridSpan w:val="2"/>
            <w:shd w:val="clear" w:color="auto" w:fill="CCEEFF"/>
            <w:tcMar>
              <w:top w:w="30" w:type="dxa"/>
              <w:left w:w="20" w:type="dxa"/>
              <w:bottom w:w="30" w:type="dxa"/>
              <w:right w:w="0" w:type="dxa"/>
            </w:tcMar>
            <w:vAlign w:val="bottom"/>
            <w:hideMark/>
          </w:tcPr>
          <w:p w14:paraId="07835E1E" w14:textId="77777777" w:rsidR="00000000" w:rsidRDefault="009B6C69">
            <w:pPr>
              <w:spacing w:after="100"/>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bottom"/>
            <w:hideMark/>
          </w:tcPr>
          <w:p w14:paraId="55BE682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AFB143"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30172D"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6F61042" w14:textId="77777777" w:rsidR="00000000" w:rsidRDefault="009B6C69">
            <w:pPr>
              <w:spacing w:after="100"/>
              <w:jc w:val="right"/>
              <w:rPr>
                <w:rFonts w:eastAsia="Times New Roman"/>
              </w:rPr>
            </w:pPr>
          </w:p>
        </w:tc>
      </w:tr>
      <w:tr w:rsidR="00000000" w14:paraId="5C657F2B" w14:textId="77777777">
        <w:trPr>
          <w:jc w:val="center"/>
        </w:trPr>
        <w:tc>
          <w:tcPr>
            <w:tcW w:w="0" w:type="auto"/>
            <w:gridSpan w:val="3"/>
            <w:tcMar>
              <w:top w:w="30" w:type="dxa"/>
              <w:left w:w="155" w:type="dxa"/>
              <w:bottom w:w="30" w:type="dxa"/>
              <w:right w:w="20" w:type="dxa"/>
            </w:tcMar>
            <w:vAlign w:val="bottom"/>
            <w:hideMark/>
          </w:tcPr>
          <w:p w14:paraId="25036B24" w14:textId="77777777" w:rsidR="00000000" w:rsidRDefault="009B6C69">
            <w:pPr>
              <w:spacing w:after="100"/>
              <w:rPr>
                <w:rFonts w:eastAsia="Times New Roman"/>
              </w:rPr>
            </w:pPr>
            <w:r>
              <w:rPr>
                <w:rFonts w:eastAsia="Times New Roman"/>
                <w:color w:val="000000"/>
                <w:sz w:val="18"/>
                <w:szCs w:val="18"/>
              </w:rPr>
              <w:t>Retained earnings</w:t>
            </w:r>
          </w:p>
        </w:tc>
        <w:tc>
          <w:tcPr>
            <w:tcW w:w="0" w:type="auto"/>
            <w:gridSpan w:val="2"/>
            <w:tcMar>
              <w:top w:w="30" w:type="dxa"/>
              <w:left w:w="20" w:type="dxa"/>
              <w:bottom w:w="30" w:type="dxa"/>
              <w:right w:w="0" w:type="dxa"/>
            </w:tcMar>
            <w:vAlign w:val="bottom"/>
            <w:hideMark/>
          </w:tcPr>
          <w:p w14:paraId="0F320A37" w14:textId="77777777" w:rsidR="00000000" w:rsidRDefault="009B6C69">
            <w:pPr>
              <w:spacing w:after="100"/>
              <w:jc w:val="right"/>
              <w:rPr>
                <w:rFonts w:eastAsia="Times New Roman"/>
              </w:rPr>
            </w:pPr>
            <w:r>
              <w:rPr>
                <w:rFonts w:eastAsia="Times New Roman"/>
                <w:color w:val="000000"/>
                <w:sz w:val="18"/>
                <w:szCs w:val="18"/>
              </w:rPr>
              <w:t>17,840 </w:t>
            </w:r>
          </w:p>
        </w:tc>
        <w:tc>
          <w:tcPr>
            <w:tcW w:w="0" w:type="auto"/>
            <w:tcMar>
              <w:top w:w="30" w:type="dxa"/>
              <w:left w:w="0" w:type="dxa"/>
              <w:bottom w:w="30" w:type="dxa"/>
              <w:right w:w="20" w:type="dxa"/>
            </w:tcMar>
            <w:vAlign w:val="bottom"/>
            <w:hideMark/>
          </w:tcPr>
          <w:p w14:paraId="0DBE940F" w14:textId="77777777" w:rsidR="00000000" w:rsidRDefault="009B6C6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342C024" w14:textId="77777777" w:rsidR="00000000" w:rsidRDefault="009B6C6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2D203DE" w14:textId="77777777" w:rsidR="00000000" w:rsidRDefault="009B6C69">
            <w:pPr>
              <w:spacing w:after="100"/>
              <w:jc w:val="right"/>
              <w:rPr>
                <w:rFonts w:eastAsia="Times New Roman"/>
              </w:rPr>
            </w:pPr>
            <w:r>
              <w:rPr>
                <w:rFonts w:eastAsia="Times New Roman"/>
                <w:color w:val="000000"/>
                <w:sz w:val="18"/>
                <w:szCs w:val="18"/>
              </w:rPr>
              <w:t>9,822 </w:t>
            </w:r>
          </w:p>
        </w:tc>
        <w:tc>
          <w:tcPr>
            <w:tcW w:w="0" w:type="auto"/>
            <w:tcMar>
              <w:top w:w="30" w:type="dxa"/>
              <w:left w:w="0" w:type="dxa"/>
              <w:bottom w:w="30" w:type="dxa"/>
              <w:right w:w="20" w:type="dxa"/>
            </w:tcMar>
            <w:vAlign w:val="bottom"/>
            <w:hideMark/>
          </w:tcPr>
          <w:p w14:paraId="1DEB0683" w14:textId="77777777" w:rsidR="00000000" w:rsidRDefault="009B6C69">
            <w:pPr>
              <w:spacing w:after="100"/>
              <w:jc w:val="right"/>
              <w:rPr>
                <w:rFonts w:eastAsia="Times New Roman"/>
              </w:rPr>
            </w:pPr>
          </w:p>
        </w:tc>
      </w:tr>
      <w:tr w:rsidR="00000000" w14:paraId="44070CCD" w14:textId="77777777">
        <w:trPr>
          <w:jc w:val="center"/>
        </w:trPr>
        <w:tc>
          <w:tcPr>
            <w:tcW w:w="0" w:type="auto"/>
            <w:gridSpan w:val="3"/>
            <w:shd w:val="clear" w:color="auto" w:fill="CCEEFF"/>
            <w:tcMar>
              <w:top w:w="30" w:type="dxa"/>
              <w:left w:w="155" w:type="dxa"/>
              <w:bottom w:w="30" w:type="dxa"/>
              <w:right w:w="20" w:type="dxa"/>
            </w:tcMar>
            <w:vAlign w:val="bottom"/>
            <w:hideMark/>
          </w:tcPr>
          <w:p w14:paraId="3CCC7B93" w14:textId="77777777" w:rsidR="00000000" w:rsidRDefault="009B6C69">
            <w:pPr>
              <w:spacing w:after="100"/>
              <w:rPr>
                <w:rFonts w:eastAsia="Times New Roman"/>
              </w:rPr>
            </w:pPr>
            <w:r>
              <w:rPr>
                <w:rFonts w:eastAsia="Times New Roman"/>
                <w:color w:val="000000"/>
                <w:sz w:val="18"/>
                <w:szCs w:val="18"/>
              </w:rPr>
              <w:t>Accumulated other comprehensive (loss) income</w:t>
            </w:r>
          </w:p>
        </w:tc>
        <w:tc>
          <w:tcPr>
            <w:tcW w:w="0" w:type="auto"/>
            <w:gridSpan w:val="2"/>
            <w:shd w:val="clear" w:color="auto" w:fill="CCEEFF"/>
            <w:tcMar>
              <w:top w:w="30" w:type="dxa"/>
              <w:left w:w="20" w:type="dxa"/>
              <w:bottom w:w="30" w:type="dxa"/>
              <w:right w:w="0" w:type="dxa"/>
            </w:tcMar>
            <w:vAlign w:val="bottom"/>
            <w:hideMark/>
          </w:tcPr>
          <w:p w14:paraId="0BAD7FE9" w14:textId="77777777" w:rsidR="00000000" w:rsidRDefault="009B6C69">
            <w:pPr>
              <w:spacing w:after="100"/>
              <w:jc w:val="right"/>
              <w:rPr>
                <w:rFonts w:eastAsia="Times New Roman"/>
              </w:rPr>
            </w:pPr>
            <w:r>
              <w:rPr>
                <w:rFonts w:eastAsia="Times New Roman"/>
                <w:color w:val="000000"/>
                <w:sz w:val="18"/>
                <w:szCs w:val="18"/>
              </w:rPr>
              <w:t>(22)</w:t>
            </w:r>
          </w:p>
        </w:tc>
        <w:tc>
          <w:tcPr>
            <w:tcW w:w="0" w:type="auto"/>
            <w:shd w:val="clear" w:color="auto" w:fill="CCEEFF"/>
            <w:tcMar>
              <w:top w:w="30" w:type="dxa"/>
              <w:left w:w="0" w:type="dxa"/>
              <w:bottom w:w="30" w:type="dxa"/>
              <w:right w:w="20" w:type="dxa"/>
            </w:tcMar>
            <w:vAlign w:val="bottom"/>
            <w:hideMark/>
          </w:tcPr>
          <w:p w14:paraId="1A10C86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E46764"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5F309C" w14:textId="77777777" w:rsidR="00000000" w:rsidRDefault="009B6C69">
            <w:pPr>
              <w:spacing w:after="100"/>
              <w:jc w:val="right"/>
              <w:rPr>
                <w:rFonts w:eastAsia="Times New Roman"/>
              </w:rPr>
            </w:pPr>
            <w:r>
              <w:rPr>
                <w:rFonts w:eastAsia="Times New Roman"/>
                <w:color w:val="000000"/>
                <w:sz w:val="18"/>
                <w:szCs w:val="18"/>
              </w:rPr>
              <w:t>128 </w:t>
            </w:r>
          </w:p>
        </w:tc>
        <w:tc>
          <w:tcPr>
            <w:tcW w:w="0" w:type="auto"/>
            <w:shd w:val="clear" w:color="auto" w:fill="CCEEFF"/>
            <w:tcMar>
              <w:top w:w="30" w:type="dxa"/>
              <w:left w:w="0" w:type="dxa"/>
              <w:bottom w:w="30" w:type="dxa"/>
              <w:right w:w="20" w:type="dxa"/>
            </w:tcMar>
            <w:vAlign w:val="bottom"/>
            <w:hideMark/>
          </w:tcPr>
          <w:p w14:paraId="4FD89CE0" w14:textId="77777777" w:rsidR="00000000" w:rsidRDefault="009B6C69">
            <w:pPr>
              <w:spacing w:after="100"/>
              <w:jc w:val="right"/>
              <w:rPr>
                <w:rFonts w:eastAsia="Times New Roman"/>
              </w:rPr>
            </w:pPr>
          </w:p>
        </w:tc>
      </w:tr>
      <w:tr w:rsidR="00000000" w14:paraId="7BD4914F" w14:textId="77777777">
        <w:trPr>
          <w:jc w:val="center"/>
        </w:trPr>
        <w:tc>
          <w:tcPr>
            <w:tcW w:w="0" w:type="auto"/>
            <w:gridSpan w:val="3"/>
            <w:vAlign w:val="center"/>
            <w:hideMark/>
          </w:tcPr>
          <w:p w14:paraId="5D82DCA1" w14:textId="77777777" w:rsidR="00000000" w:rsidRDefault="009B6C69">
            <w:pPr>
              <w:spacing w:after="100"/>
              <w:jc w:val="right"/>
              <w:rPr>
                <w:rFonts w:eastAsia="Times New Roman"/>
                <w:sz w:val="20"/>
                <w:szCs w:val="20"/>
              </w:rPr>
            </w:pPr>
          </w:p>
        </w:tc>
        <w:tc>
          <w:tcPr>
            <w:tcW w:w="0" w:type="auto"/>
            <w:gridSpan w:val="3"/>
            <w:vAlign w:val="center"/>
            <w:hideMark/>
          </w:tcPr>
          <w:p w14:paraId="0056E342" w14:textId="77777777" w:rsidR="00000000" w:rsidRDefault="009B6C69">
            <w:pPr>
              <w:spacing w:after="100"/>
              <w:rPr>
                <w:rFonts w:eastAsia="Times New Roman"/>
                <w:sz w:val="20"/>
                <w:szCs w:val="20"/>
              </w:rPr>
            </w:pPr>
          </w:p>
        </w:tc>
        <w:tc>
          <w:tcPr>
            <w:tcW w:w="0" w:type="auto"/>
            <w:gridSpan w:val="3"/>
            <w:vAlign w:val="center"/>
            <w:hideMark/>
          </w:tcPr>
          <w:p w14:paraId="20591B7E" w14:textId="77777777" w:rsidR="00000000" w:rsidRDefault="009B6C69">
            <w:pPr>
              <w:spacing w:after="100"/>
              <w:rPr>
                <w:rFonts w:eastAsia="Times New Roman"/>
                <w:sz w:val="20"/>
                <w:szCs w:val="20"/>
              </w:rPr>
            </w:pPr>
          </w:p>
        </w:tc>
        <w:tc>
          <w:tcPr>
            <w:tcW w:w="0" w:type="auto"/>
            <w:gridSpan w:val="3"/>
            <w:vAlign w:val="center"/>
            <w:hideMark/>
          </w:tcPr>
          <w:p w14:paraId="15807350" w14:textId="77777777" w:rsidR="00000000" w:rsidRDefault="009B6C69">
            <w:pPr>
              <w:spacing w:after="100"/>
              <w:rPr>
                <w:rFonts w:eastAsia="Times New Roman"/>
                <w:sz w:val="20"/>
                <w:szCs w:val="20"/>
              </w:rPr>
            </w:pPr>
          </w:p>
        </w:tc>
      </w:tr>
      <w:tr w:rsidR="00000000" w14:paraId="22AC3FBA" w14:textId="77777777">
        <w:trPr>
          <w:jc w:val="center"/>
        </w:trPr>
        <w:tc>
          <w:tcPr>
            <w:tcW w:w="0" w:type="auto"/>
            <w:gridSpan w:val="3"/>
            <w:vAlign w:val="center"/>
            <w:hideMark/>
          </w:tcPr>
          <w:p w14:paraId="24D78E52" w14:textId="77777777" w:rsidR="00000000" w:rsidRDefault="009B6C69">
            <w:pPr>
              <w:spacing w:after="100"/>
              <w:rPr>
                <w:rFonts w:eastAsia="Times New Roman"/>
                <w:sz w:val="20"/>
                <w:szCs w:val="20"/>
              </w:rPr>
            </w:pPr>
          </w:p>
        </w:tc>
        <w:tc>
          <w:tcPr>
            <w:tcW w:w="0" w:type="auto"/>
            <w:gridSpan w:val="3"/>
            <w:vAlign w:val="center"/>
            <w:hideMark/>
          </w:tcPr>
          <w:p w14:paraId="7C7B94C3" w14:textId="77777777" w:rsidR="00000000" w:rsidRDefault="009B6C69">
            <w:pPr>
              <w:spacing w:after="100"/>
              <w:rPr>
                <w:rFonts w:eastAsia="Times New Roman"/>
                <w:sz w:val="20"/>
                <w:szCs w:val="20"/>
              </w:rPr>
            </w:pPr>
          </w:p>
        </w:tc>
        <w:tc>
          <w:tcPr>
            <w:tcW w:w="0" w:type="auto"/>
            <w:gridSpan w:val="3"/>
            <w:vAlign w:val="center"/>
            <w:hideMark/>
          </w:tcPr>
          <w:p w14:paraId="2C06E6CA" w14:textId="77777777" w:rsidR="00000000" w:rsidRDefault="009B6C69">
            <w:pPr>
              <w:spacing w:after="100"/>
              <w:rPr>
                <w:rFonts w:eastAsia="Times New Roman"/>
                <w:sz w:val="20"/>
                <w:szCs w:val="20"/>
              </w:rPr>
            </w:pPr>
          </w:p>
        </w:tc>
        <w:tc>
          <w:tcPr>
            <w:tcW w:w="0" w:type="auto"/>
            <w:gridSpan w:val="3"/>
            <w:vAlign w:val="center"/>
            <w:hideMark/>
          </w:tcPr>
          <w:p w14:paraId="1FD0A73B" w14:textId="77777777" w:rsidR="00000000" w:rsidRDefault="009B6C69">
            <w:pPr>
              <w:spacing w:after="100"/>
              <w:rPr>
                <w:rFonts w:eastAsia="Times New Roman"/>
                <w:sz w:val="20"/>
                <w:szCs w:val="20"/>
              </w:rPr>
            </w:pPr>
          </w:p>
        </w:tc>
      </w:tr>
      <w:tr w:rsidR="00000000" w14:paraId="0538FD73" w14:textId="77777777">
        <w:trPr>
          <w:jc w:val="center"/>
        </w:trPr>
        <w:tc>
          <w:tcPr>
            <w:tcW w:w="0" w:type="auto"/>
            <w:gridSpan w:val="3"/>
            <w:tcMar>
              <w:top w:w="30" w:type="dxa"/>
              <w:left w:w="380" w:type="dxa"/>
              <w:bottom w:w="30" w:type="dxa"/>
              <w:right w:w="20" w:type="dxa"/>
            </w:tcMar>
            <w:vAlign w:val="bottom"/>
            <w:hideMark/>
          </w:tcPr>
          <w:p w14:paraId="45158C60" w14:textId="77777777" w:rsidR="00000000" w:rsidRDefault="009B6C69">
            <w:pPr>
              <w:spacing w:after="100"/>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tcMar>
              <w:top w:w="30" w:type="dxa"/>
              <w:left w:w="20" w:type="dxa"/>
              <w:bottom w:w="30" w:type="dxa"/>
              <w:right w:w="0" w:type="dxa"/>
            </w:tcMar>
            <w:vAlign w:val="bottom"/>
            <w:hideMark/>
          </w:tcPr>
          <w:p w14:paraId="66B7157D" w14:textId="77777777" w:rsidR="00000000" w:rsidRDefault="009B6C69">
            <w:pPr>
              <w:spacing w:after="100"/>
              <w:jc w:val="right"/>
              <w:rPr>
                <w:rFonts w:eastAsia="Times New Roman"/>
              </w:rPr>
            </w:pPr>
            <w:r>
              <w:rPr>
                <w:rFonts w:eastAsia="Times New Roman"/>
                <w:color w:val="000000"/>
                <w:sz w:val="18"/>
                <w:szCs w:val="18"/>
              </w:rPr>
              <w:t>18,013 </w:t>
            </w:r>
          </w:p>
        </w:tc>
        <w:tc>
          <w:tcPr>
            <w:tcW w:w="0" w:type="auto"/>
            <w:tcBorders>
              <w:top w:val="single" w:sz="8" w:space="0" w:color="000000"/>
            </w:tcBorders>
            <w:tcMar>
              <w:top w:w="30" w:type="dxa"/>
              <w:left w:w="0" w:type="dxa"/>
              <w:bottom w:w="30" w:type="dxa"/>
              <w:right w:w="20" w:type="dxa"/>
            </w:tcMar>
            <w:vAlign w:val="bottom"/>
            <w:hideMark/>
          </w:tcPr>
          <w:p w14:paraId="18C05BB7" w14:textId="77777777" w:rsidR="00000000" w:rsidRDefault="009B6C6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68B4643"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48133675" w14:textId="77777777" w:rsidR="00000000" w:rsidRDefault="009B6C69">
            <w:pPr>
              <w:spacing w:after="100"/>
              <w:jc w:val="right"/>
              <w:rPr>
                <w:rFonts w:eastAsia="Times New Roman"/>
              </w:rPr>
            </w:pPr>
            <w:r>
              <w:rPr>
                <w:rFonts w:eastAsia="Times New Roman"/>
                <w:color w:val="000000"/>
                <w:sz w:val="18"/>
                <w:szCs w:val="18"/>
              </w:rPr>
              <w:t>9,950 </w:t>
            </w:r>
          </w:p>
        </w:tc>
        <w:tc>
          <w:tcPr>
            <w:tcW w:w="0" w:type="auto"/>
            <w:tcBorders>
              <w:top w:val="single" w:sz="8" w:space="0" w:color="000000"/>
            </w:tcBorders>
            <w:tcMar>
              <w:top w:w="30" w:type="dxa"/>
              <w:left w:w="0" w:type="dxa"/>
              <w:bottom w:w="30" w:type="dxa"/>
              <w:right w:w="20" w:type="dxa"/>
            </w:tcMar>
            <w:vAlign w:val="bottom"/>
            <w:hideMark/>
          </w:tcPr>
          <w:p w14:paraId="241CF03C" w14:textId="77777777" w:rsidR="00000000" w:rsidRDefault="009B6C69">
            <w:pPr>
              <w:spacing w:after="100"/>
              <w:jc w:val="right"/>
              <w:rPr>
                <w:rFonts w:eastAsia="Times New Roman"/>
              </w:rPr>
            </w:pPr>
          </w:p>
        </w:tc>
      </w:tr>
      <w:tr w:rsidR="00000000" w14:paraId="5F11024D" w14:textId="77777777">
        <w:trPr>
          <w:jc w:val="center"/>
        </w:trPr>
        <w:tc>
          <w:tcPr>
            <w:tcW w:w="0" w:type="auto"/>
            <w:gridSpan w:val="3"/>
            <w:shd w:val="clear" w:color="auto" w:fill="CCEEFF"/>
            <w:tcMar>
              <w:top w:w="30" w:type="dxa"/>
              <w:left w:w="605" w:type="dxa"/>
              <w:bottom w:w="30" w:type="dxa"/>
              <w:right w:w="20" w:type="dxa"/>
            </w:tcMar>
            <w:vAlign w:val="bottom"/>
            <w:hideMark/>
          </w:tcPr>
          <w:p w14:paraId="765FDB79" w14:textId="77777777" w:rsidR="00000000" w:rsidRDefault="009B6C69">
            <w:pPr>
              <w:spacing w:after="100"/>
              <w:rPr>
                <w:rFonts w:eastAsia="Times New Roman"/>
              </w:rPr>
            </w:pPr>
            <w:r>
              <w:rPr>
                <w:rFonts w:eastAsia="Times New Roman"/>
                <w:color w:val="000000"/>
                <w:sz w:val="18"/>
                <w:szCs w:val="18"/>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673A1B9"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D101E49" w14:textId="77777777" w:rsidR="00000000" w:rsidRDefault="009B6C69">
            <w:pPr>
              <w:spacing w:after="100"/>
              <w:jc w:val="right"/>
              <w:rPr>
                <w:rFonts w:eastAsia="Times New Roman"/>
              </w:rPr>
            </w:pPr>
            <w:r>
              <w:rPr>
                <w:rFonts w:eastAsia="Times New Roman"/>
                <w:color w:val="000000"/>
                <w:sz w:val="18"/>
                <w:szCs w:val="18"/>
              </w:rPr>
              <w:t>49,014 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E669575"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809986"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8E725D"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3C6149A" w14:textId="77777777" w:rsidR="00000000" w:rsidRDefault="009B6C69">
            <w:pPr>
              <w:spacing w:after="100"/>
              <w:jc w:val="right"/>
              <w:rPr>
                <w:rFonts w:eastAsia="Times New Roman"/>
              </w:rPr>
            </w:pPr>
            <w:r>
              <w:rPr>
                <w:rFonts w:eastAsia="Times New Roman"/>
                <w:color w:val="000000"/>
                <w:sz w:val="18"/>
                <w:szCs w:val="18"/>
              </w:rPr>
              <w:t>41,240 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114858" w14:textId="77777777" w:rsidR="00000000" w:rsidRDefault="009B6C69">
            <w:pPr>
              <w:spacing w:after="100"/>
              <w:jc w:val="right"/>
              <w:rPr>
                <w:rFonts w:eastAsia="Times New Roman"/>
              </w:rPr>
            </w:pPr>
          </w:p>
        </w:tc>
      </w:tr>
    </w:tbl>
    <w:p w14:paraId="2A9235DE" w14:textId="77777777" w:rsidR="00000000" w:rsidRDefault="009B6C69">
      <w:pPr>
        <w:jc w:val="center"/>
        <w:rPr>
          <w:rFonts w:eastAsia="Times New Roman"/>
        </w:rPr>
      </w:pPr>
    </w:p>
    <w:p w14:paraId="46293CB8" w14:textId="77777777" w:rsidR="00000000" w:rsidRDefault="009B6C69">
      <w:pPr>
        <w:jc w:val="center"/>
        <w:rPr>
          <w:rFonts w:eastAsia="Times New Roman"/>
        </w:rPr>
      </w:pPr>
      <w:r>
        <w:rPr>
          <w:rFonts w:eastAsia="Times New Roman"/>
          <w:color w:val="000000"/>
          <w:sz w:val="18"/>
          <w:szCs w:val="18"/>
        </w:rPr>
        <w:t>See accompanying notes.</w:t>
      </w:r>
    </w:p>
    <w:p w14:paraId="370B4C17" w14:textId="77777777" w:rsidR="00000000" w:rsidRDefault="009B6C69">
      <w:pPr>
        <w:jc w:val="center"/>
        <w:divId w:val="1969625437"/>
        <w:rPr>
          <w:rFonts w:eastAsia="Times New Roman"/>
        </w:rPr>
      </w:pPr>
      <w:r>
        <w:rPr>
          <w:rFonts w:eastAsia="Times New Roman"/>
          <w:color w:val="000000"/>
          <w:sz w:val="20"/>
          <w:szCs w:val="20"/>
        </w:rPr>
        <w:t>F-3</w:t>
      </w:r>
    </w:p>
    <w:p w14:paraId="4772E1C0" w14:textId="77777777" w:rsidR="00000000" w:rsidRDefault="009B6C69">
      <w:pPr>
        <w:rPr>
          <w:rFonts w:eastAsia="Times New Roman"/>
        </w:rPr>
      </w:pPr>
      <w:r>
        <w:rPr>
          <w:rFonts w:eastAsia="Times New Roman"/>
        </w:rPr>
        <w:pict w14:anchorId="590797D7">
          <v:rect id="_x0000_i1083" style="width:0;height:1.5pt" o:hralign="center" o:hrstd="t" o:hr="t" fillcolor="#a0a0a0" stroked="f"/>
        </w:pict>
      </w:r>
    </w:p>
    <w:p w14:paraId="1D4B62F6" w14:textId="77777777" w:rsidR="00000000" w:rsidRDefault="009B6C69">
      <w:pPr>
        <w:divId w:val="1994601964"/>
        <w:rPr>
          <w:rFonts w:eastAsia="Times New Roman"/>
        </w:rPr>
      </w:pPr>
    </w:p>
    <w:p w14:paraId="70203388" w14:textId="77777777" w:rsidR="00000000" w:rsidRDefault="009B6C69">
      <w:pPr>
        <w:jc w:val="center"/>
        <w:rPr>
          <w:rFonts w:eastAsia="Times New Roman"/>
        </w:rPr>
      </w:pPr>
      <w:r>
        <w:rPr>
          <w:rFonts w:eastAsia="Times New Roman"/>
          <w:b/>
          <w:bCs/>
          <w:color w:val="000000"/>
          <w:sz w:val="18"/>
          <w:szCs w:val="18"/>
        </w:rPr>
        <w:t>QUALCOMM Incorporated</w:t>
      </w:r>
    </w:p>
    <w:p w14:paraId="1E65E324" w14:textId="77777777" w:rsidR="00000000" w:rsidRDefault="009B6C69">
      <w:pPr>
        <w:jc w:val="center"/>
        <w:rPr>
          <w:rFonts w:eastAsia="Times New Roman"/>
        </w:rPr>
      </w:pPr>
      <w:r>
        <w:rPr>
          <w:rFonts w:eastAsia="Times New Roman"/>
          <w:b/>
          <w:bCs/>
          <w:color w:val="000000"/>
          <w:sz w:val="18"/>
          <w:szCs w:val="18"/>
        </w:rPr>
        <w:t xml:space="preserve">CONSOLIDATED STATEMENTS OF OPERATIONS </w:t>
      </w:r>
    </w:p>
    <w:p w14:paraId="45C7A3EF" w14:textId="77777777" w:rsidR="00000000" w:rsidRDefault="009B6C69">
      <w:pPr>
        <w:jc w:val="center"/>
        <w:rPr>
          <w:rFonts w:eastAsia="Times New Roman"/>
        </w:rPr>
      </w:pPr>
      <w:r>
        <w:rPr>
          <w:rFonts w:eastAsia="Times New Roman"/>
          <w:b/>
          <w:bCs/>
          <w:color w:val="000000"/>
          <w:sz w:val="18"/>
          <w:szCs w:val="18"/>
        </w:rPr>
        <w:t>(In millions, except per share data)</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4859"/>
        <w:gridCol w:w="39"/>
        <w:gridCol w:w="36"/>
        <w:gridCol w:w="36"/>
        <w:gridCol w:w="36"/>
        <w:gridCol w:w="36"/>
        <w:gridCol w:w="36"/>
        <w:gridCol w:w="36"/>
        <w:gridCol w:w="36"/>
        <w:gridCol w:w="111"/>
        <w:gridCol w:w="837"/>
        <w:gridCol w:w="36"/>
        <w:gridCol w:w="36"/>
        <w:gridCol w:w="36"/>
        <w:gridCol w:w="36"/>
        <w:gridCol w:w="111"/>
        <w:gridCol w:w="798"/>
        <w:gridCol w:w="36"/>
        <w:gridCol w:w="36"/>
        <w:gridCol w:w="36"/>
        <w:gridCol w:w="36"/>
        <w:gridCol w:w="111"/>
        <w:gridCol w:w="798"/>
        <w:gridCol w:w="36"/>
      </w:tblGrid>
      <w:tr w:rsidR="00000000" w14:paraId="4412511C" w14:textId="77777777">
        <w:trPr>
          <w:jc w:val="center"/>
        </w:trPr>
        <w:tc>
          <w:tcPr>
            <w:tcW w:w="50" w:type="pct"/>
            <w:vAlign w:val="center"/>
            <w:hideMark/>
          </w:tcPr>
          <w:p w14:paraId="16E8E915" w14:textId="77777777" w:rsidR="00000000" w:rsidRDefault="009B6C69">
            <w:pPr>
              <w:jc w:val="center"/>
              <w:rPr>
                <w:rFonts w:eastAsia="Times New Roman"/>
              </w:rPr>
            </w:pPr>
          </w:p>
        </w:tc>
        <w:tc>
          <w:tcPr>
            <w:tcW w:w="3056" w:type="pct"/>
            <w:vAlign w:val="center"/>
            <w:hideMark/>
          </w:tcPr>
          <w:p w14:paraId="00429BA1" w14:textId="77777777" w:rsidR="00000000" w:rsidRDefault="009B6C69">
            <w:pPr>
              <w:spacing w:after="100"/>
              <w:rPr>
                <w:rFonts w:eastAsia="Times New Roman"/>
                <w:sz w:val="20"/>
                <w:szCs w:val="20"/>
              </w:rPr>
            </w:pPr>
          </w:p>
        </w:tc>
        <w:tc>
          <w:tcPr>
            <w:tcW w:w="5" w:type="pct"/>
            <w:vAlign w:val="center"/>
            <w:hideMark/>
          </w:tcPr>
          <w:p w14:paraId="16593087" w14:textId="77777777" w:rsidR="00000000" w:rsidRDefault="009B6C69">
            <w:pPr>
              <w:spacing w:after="100"/>
              <w:rPr>
                <w:rFonts w:eastAsia="Times New Roman"/>
                <w:sz w:val="20"/>
                <w:szCs w:val="20"/>
              </w:rPr>
            </w:pPr>
          </w:p>
        </w:tc>
        <w:tc>
          <w:tcPr>
            <w:tcW w:w="0" w:type="auto"/>
            <w:vAlign w:val="center"/>
            <w:hideMark/>
          </w:tcPr>
          <w:p w14:paraId="76A777FE" w14:textId="77777777" w:rsidR="00000000" w:rsidRDefault="009B6C69">
            <w:pPr>
              <w:spacing w:after="100"/>
              <w:rPr>
                <w:rFonts w:eastAsia="Times New Roman"/>
                <w:sz w:val="20"/>
                <w:szCs w:val="20"/>
              </w:rPr>
            </w:pPr>
          </w:p>
        </w:tc>
        <w:tc>
          <w:tcPr>
            <w:tcW w:w="0" w:type="auto"/>
            <w:vAlign w:val="center"/>
            <w:hideMark/>
          </w:tcPr>
          <w:p w14:paraId="11B34863" w14:textId="77777777" w:rsidR="00000000" w:rsidRDefault="009B6C69">
            <w:pPr>
              <w:spacing w:after="100"/>
              <w:rPr>
                <w:rFonts w:eastAsia="Times New Roman"/>
                <w:sz w:val="20"/>
                <w:szCs w:val="20"/>
              </w:rPr>
            </w:pPr>
          </w:p>
        </w:tc>
        <w:tc>
          <w:tcPr>
            <w:tcW w:w="0" w:type="auto"/>
            <w:vAlign w:val="center"/>
            <w:hideMark/>
          </w:tcPr>
          <w:p w14:paraId="25ECC66C" w14:textId="77777777" w:rsidR="00000000" w:rsidRDefault="009B6C69">
            <w:pPr>
              <w:spacing w:after="100"/>
              <w:rPr>
                <w:rFonts w:eastAsia="Times New Roman"/>
                <w:sz w:val="20"/>
                <w:szCs w:val="20"/>
              </w:rPr>
            </w:pPr>
          </w:p>
        </w:tc>
        <w:tc>
          <w:tcPr>
            <w:tcW w:w="0" w:type="auto"/>
            <w:vAlign w:val="center"/>
            <w:hideMark/>
          </w:tcPr>
          <w:p w14:paraId="0784E984" w14:textId="77777777" w:rsidR="00000000" w:rsidRDefault="009B6C69">
            <w:pPr>
              <w:spacing w:after="100"/>
              <w:rPr>
                <w:rFonts w:eastAsia="Times New Roman"/>
                <w:sz w:val="20"/>
                <w:szCs w:val="20"/>
              </w:rPr>
            </w:pPr>
          </w:p>
        </w:tc>
        <w:tc>
          <w:tcPr>
            <w:tcW w:w="0" w:type="auto"/>
            <w:vAlign w:val="center"/>
            <w:hideMark/>
          </w:tcPr>
          <w:p w14:paraId="10FF1CFC" w14:textId="77777777" w:rsidR="00000000" w:rsidRDefault="009B6C69">
            <w:pPr>
              <w:spacing w:after="100"/>
              <w:rPr>
                <w:rFonts w:eastAsia="Times New Roman"/>
                <w:sz w:val="20"/>
                <w:szCs w:val="20"/>
              </w:rPr>
            </w:pPr>
          </w:p>
        </w:tc>
        <w:tc>
          <w:tcPr>
            <w:tcW w:w="0" w:type="auto"/>
            <w:vAlign w:val="center"/>
            <w:hideMark/>
          </w:tcPr>
          <w:p w14:paraId="2607B395" w14:textId="77777777" w:rsidR="00000000" w:rsidRDefault="009B6C69">
            <w:pPr>
              <w:spacing w:after="100"/>
              <w:rPr>
                <w:rFonts w:eastAsia="Times New Roman"/>
                <w:sz w:val="20"/>
                <w:szCs w:val="20"/>
              </w:rPr>
            </w:pPr>
          </w:p>
        </w:tc>
        <w:tc>
          <w:tcPr>
            <w:tcW w:w="0" w:type="auto"/>
            <w:vAlign w:val="center"/>
            <w:hideMark/>
          </w:tcPr>
          <w:p w14:paraId="10813246" w14:textId="77777777" w:rsidR="00000000" w:rsidRDefault="009B6C69">
            <w:pPr>
              <w:spacing w:after="100"/>
              <w:rPr>
                <w:rFonts w:eastAsia="Times New Roman"/>
                <w:sz w:val="20"/>
                <w:szCs w:val="20"/>
              </w:rPr>
            </w:pPr>
          </w:p>
        </w:tc>
        <w:tc>
          <w:tcPr>
            <w:tcW w:w="50" w:type="pct"/>
            <w:vAlign w:val="center"/>
            <w:hideMark/>
          </w:tcPr>
          <w:p w14:paraId="4772646C" w14:textId="77777777" w:rsidR="00000000" w:rsidRDefault="009B6C69">
            <w:pPr>
              <w:spacing w:after="100"/>
              <w:rPr>
                <w:rFonts w:eastAsia="Times New Roman"/>
                <w:sz w:val="20"/>
                <w:szCs w:val="20"/>
              </w:rPr>
            </w:pPr>
          </w:p>
        </w:tc>
        <w:tc>
          <w:tcPr>
            <w:tcW w:w="549" w:type="pct"/>
            <w:vAlign w:val="center"/>
            <w:hideMark/>
          </w:tcPr>
          <w:p w14:paraId="0A835788" w14:textId="77777777" w:rsidR="00000000" w:rsidRDefault="009B6C69">
            <w:pPr>
              <w:spacing w:after="100"/>
              <w:rPr>
                <w:rFonts w:eastAsia="Times New Roman"/>
                <w:sz w:val="20"/>
                <w:szCs w:val="20"/>
              </w:rPr>
            </w:pPr>
          </w:p>
        </w:tc>
        <w:tc>
          <w:tcPr>
            <w:tcW w:w="5" w:type="pct"/>
            <w:vAlign w:val="center"/>
            <w:hideMark/>
          </w:tcPr>
          <w:p w14:paraId="6BC1BD24" w14:textId="77777777" w:rsidR="00000000" w:rsidRDefault="009B6C69">
            <w:pPr>
              <w:spacing w:after="100"/>
              <w:rPr>
                <w:rFonts w:eastAsia="Times New Roman"/>
                <w:sz w:val="20"/>
                <w:szCs w:val="20"/>
              </w:rPr>
            </w:pPr>
          </w:p>
        </w:tc>
        <w:tc>
          <w:tcPr>
            <w:tcW w:w="5" w:type="pct"/>
            <w:vAlign w:val="center"/>
            <w:hideMark/>
          </w:tcPr>
          <w:p w14:paraId="02820BE3" w14:textId="77777777" w:rsidR="00000000" w:rsidRDefault="009B6C69">
            <w:pPr>
              <w:spacing w:after="100"/>
              <w:rPr>
                <w:rFonts w:eastAsia="Times New Roman"/>
                <w:sz w:val="20"/>
                <w:szCs w:val="20"/>
              </w:rPr>
            </w:pPr>
          </w:p>
        </w:tc>
        <w:tc>
          <w:tcPr>
            <w:tcW w:w="27" w:type="pct"/>
            <w:vAlign w:val="center"/>
            <w:hideMark/>
          </w:tcPr>
          <w:p w14:paraId="520EB60A" w14:textId="77777777" w:rsidR="00000000" w:rsidRDefault="009B6C69">
            <w:pPr>
              <w:spacing w:after="100"/>
              <w:rPr>
                <w:rFonts w:eastAsia="Times New Roman"/>
                <w:sz w:val="20"/>
                <w:szCs w:val="20"/>
              </w:rPr>
            </w:pPr>
          </w:p>
        </w:tc>
        <w:tc>
          <w:tcPr>
            <w:tcW w:w="5" w:type="pct"/>
            <w:vAlign w:val="center"/>
            <w:hideMark/>
          </w:tcPr>
          <w:p w14:paraId="196A8EC8" w14:textId="77777777" w:rsidR="00000000" w:rsidRDefault="009B6C69">
            <w:pPr>
              <w:spacing w:after="100"/>
              <w:rPr>
                <w:rFonts w:eastAsia="Times New Roman"/>
                <w:sz w:val="20"/>
                <w:szCs w:val="20"/>
              </w:rPr>
            </w:pPr>
          </w:p>
        </w:tc>
        <w:tc>
          <w:tcPr>
            <w:tcW w:w="50" w:type="pct"/>
            <w:vAlign w:val="center"/>
            <w:hideMark/>
          </w:tcPr>
          <w:p w14:paraId="27F43D6A" w14:textId="77777777" w:rsidR="00000000" w:rsidRDefault="009B6C69">
            <w:pPr>
              <w:spacing w:after="100"/>
              <w:rPr>
                <w:rFonts w:eastAsia="Times New Roman"/>
                <w:sz w:val="20"/>
                <w:szCs w:val="20"/>
              </w:rPr>
            </w:pPr>
          </w:p>
        </w:tc>
        <w:tc>
          <w:tcPr>
            <w:tcW w:w="549" w:type="pct"/>
            <w:vAlign w:val="center"/>
            <w:hideMark/>
          </w:tcPr>
          <w:p w14:paraId="5FE4CC2B" w14:textId="77777777" w:rsidR="00000000" w:rsidRDefault="009B6C69">
            <w:pPr>
              <w:spacing w:after="100"/>
              <w:rPr>
                <w:rFonts w:eastAsia="Times New Roman"/>
                <w:sz w:val="20"/>
                <w:szCs w:val="20"/>
              </w:rPr>
            </w:pPr>
          </w:p>
        </w:tc>
        <w:tc>
          <w:tcPr>
            <w:tcW w:w="5" w:type="pct"/>
            <w:vAlign w:val="center"/>
            <w:hideMark/>
          </w:tcPr>
          <w:p w14:paraId="67798475" w14:textId="77777777" w:rsidR="00000000" w:rsidRDefault="009B6C69">
            <w:pPr>
              <w:spacing w:after="100"/>
              <w:rPr>
                <w:rFonts w:eastAsia="Times New Roman"/>
                <w:sz w:val="20"/>
                <w:szCs w:val="20"/>
              </w:rPr>
            </w:pPr>
          </w:p>
        </w:tc>
        <w:tc>
          <w:tcPr>
            <w:tcW w:w="5" w:type="pct"/>
            <w:vAlign w:val="center"/>
            <w:hideMark/>
          </w:tcPr>
          <w:p w14:paraId="3BDB597E" w14:textId="77777777" w:rsidR="00000000" w:rsidRDefault="009B6C69">
            <w:pPr>
              <w:spacing w:after="100"/>
              <w:rPr>
                <w:rFonts w:eastAsia="Times New Roman"/>
                <w:sz w:val="20"/>
                <w:szCs w:val="20"/>
              </w:rPr>
            </w:pPr>
          </w:p>
        </w:tc>
        <w:tc>
          <w:tcPr>
            <w:tcW w:w="27" w:type="pct"/>
            <w:vAlign w:val="center"/>
            <w:hideMark/>
          </w:tcPr>
          <w:p w14:paraId="6904FA35" w14:textId="77777777" w:rsidR="00000000" w:rsidRDefault="009B6C69">
            <w:pPr>
              <w:spacing w:after="100"/>
              <w:rPr>
                <w:rFonts w:eastAsia="Times New Roman"/>
                <w:sz w:val="20"/>
                <w:szCs w:val="20"/>
              </w:rPr>
            </w:pPr>
          </w:p>
        </w:tc>
        <w:tc>
          <w:tcPr>
            <w:tcW w:w="5" w:type="pct"/>
            <w:vAlign w:val="center"/>
            <w:hideMark/>
          </w:tcPr>
          <w:p w14:paraId="7EFFAF5F" w14:textId="77777777" w:rsidR="00000000" w:rsidRDefault="009B6C69">
            <w:pPr>
              <w:spacing w:after="100"/>
              <w:rPr>
                <w:rFonts w:eastAsia="Times New Roman"/>
                <w:sz w:val="20"/>
                <w:szCs w:val="20"/>
              </w:rPr>
            </w:pPr>
          </w:p>
        </w:tc>
        <w:tc>
          <w:tcPr>
            <w:tcW w:w="50" w:type="pct"/>
            <w:vAlign w:val="center"/>
            <w:hideMark/>
          </w:tcPr>
          <w:p w14:paraId="31F7D3D6" w14:textId="77777777" w:rsidR="00000000" w:rsidRDefault="009B6C69">
            <w:pPr>
              <w:spacing w:after="100"/>
              <w:rPr>
                <w:rFonts w:eastAsia="Times New Roman"/>
                <w:sz w:val="20"/>
                <w:szCs w:val="20"/>
              </w:rPr>
            </w:pPr>
          </w:p>
        </w:tc>
        <w:tc>
          <w:tcPr>
            <w:tcW w:w="549" w:type="pct"/>
            <w:vAlign w:val="center"/>
            <w:hideMark/>
          </w:tcPr>
          <w:p w14:paraId="0B868A31" w14:textId="77777777" w:rsidR="00000000" w:rsidRDefault="009B6C69">
            <w:pPr>
              <w:spacing w:after="100"/>
              <w:rPr>
                <w:rFonts w:eastAsia="Times New Roman"/>
                <w:sz w:val="20"/>
                <w:szCs w:val="20"/>
              </w:rPr>
            </w:pPr>
          </w:p>
        </w:tc>
        <w:tc>
          <w:tcPr>
            <w:tcW w:w="5" w:type="pct"/>
            <w:vAlign w:val="center"/>
            <w:hideMark/>
          </w:tcPr>
          <w:p w14:paraId="43703E49" w14:textId="77777777" w:rsidR="00000000" w:rsidRDefault="009B6C69">
            <w:pPr>
              <w:spacing w:after="100"/>
              <w:rPr>
                <w:rFonts w:eastAsia="Times New Roman"/>
                <w:sz w:val="20"/>
                <w:szCs w:val="20"/>
              </w:rPr>
            </w:pPr>
          </w:p>
        </w:tc>
      </w:tr>
      <w:tr w:rsidR="00000000" w14:paraId="3E5C04C5" w14:textId="77777777">
        <w:trPr>
          <w:jc w:val="center"/>
        </w:trPr>
        <w:tc>
          <w:tcPr>
            <w:tcW w:w="0" w:type="auto"/>
            <w:gridSpan w:val="3"/>
            <w:tcMar>
              <w:top w:w="30" w:type="dxa"/>
              <w:left w:w="20" w:type="dxa"/>
              <w:bottom w:w="30" w:type="dxa"/>
              <w:right w:w="20" w:type="dxa"/>
            </w:tcMar>
            <w:vAlign w:val="bottom"/>
            <w:hideMark/>
          </w:tcPr>
          <w:p w14:paraId="0DBE69CE" w14:textId="77777777" w:rsidR="00000000" w:rsidRDefault="009B6C69">
            <w:pPr>
              <w:spacing w:after="100"/>
              <w:rPr>
                <w:rFonts w:eastAsia="Times New Roman"/>
              </w:rPr>
            </w:pPr>
            <w:r>
              <w:rPr>
                <w:rFonts w:eastAsia="Times New Roman"/>
                <w:color w:val="000000"/>
                <w:sz w:val="18"/>
                <w:szCs w:val="18"/>
              </w:rPr>
              <w:t> </w:t>
            </w:r>
          </w:p>
        </w:tc>
        <w:tc>
          <w:tcPr>
            <w:tcW w:w="0" w:type="auto"/>
            <w:vAlign w:val="center"/>
            <w:hideMark/>
          </w:tcPr>
          <w:p w14:paraId="5CEDB403" w14:textId="77777777" w:rsidR="00000000" w:rsidRDefault="009B6C69">
            <w:pPr>
              <w:spacing w:after="100"/>
              <w:rPr>
                <w:rFonts w:eastAsia="Times New Roman"/>
              </w:rPr>
            </w:pPr>
          </w:p>
        </w:tc>
        <w:tc>
          <w:tcPr>
            <w:tcW w:w="0" w:type="auto"/>
            <w:vAlign w:val="center"/>
            <w:hideMark/>
          </w:tcPr>
          <w:p w14:paraId="261FCF6D" w14:textId="77777777" w:rsidR="00000000" w:rsidRDefault="009B6C69">
            <w:pPr>
              <w:spacing w:after="100"/>
              <w:rPr>
                <w:rFonts w:eastAsia="Times New Roman"/>
                <w:sz w:val="20"/>
                <w:szCs w:val="20"/>
              </w:rPr>
            </w:pPr>
          </w:p>
        </w:tc>
        <w:tc>
          <w:tcPr>
            <w:tcW w:w="0" w:type="auto"/>
            <w:vAlign w:val="center"/>
            <w:hideMark/>
          </w:tcPr>
          <w:p w14:paraId="2D655780" w14:textId="77777777" w:rsidR="00000000" w:rsidRDefault="009B6C69">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23DA873E" w14:textId="77777777" w:rsidR="00000000" w:rsidRDefault="009B6C69">
            <w:pPr>
              <w:spacing w:after="100"/>
              <w:jc w:val="center"/>
              <w:rPr>
                <w:rFonts w:eastAsia="Times New Roman"/>
              </w:rPr>
            </w:pPr>
            <w:r>
              <w:rPr>
                <w:rFonts w:eastAsia="Times New Roman"/>
                <w:b/>
                <w:bCs/>
                <w:color w:val="000000"/>
                <w:sz w:val="18"/>
                <w:szCs w:val="18"/>
              </w:rPr>
              <w:t>Year Ended</w:t>
            </w:r>
          </w:p>
        </w:tc>
        <w:tc>
          <w:tcPr>
            <w:tcW w:w="0" w:type="auto"/>
            <w:vAlign w:val="center"/>
            <w:hideMark/>
          </w:tcPr>
          <w:p w14:paraId="118322C7" w14:textId="77777777" w:rsidR="00000000" w:rsidRDefault="009B6C69">
            <w:pPr>
              <w:spacing w:after="100"/>
              <w:rPr>
                <w:rFonts w:eastAsia="Times New Roman"/>
                <w:sz w:val="20"/>
                <w:szCs w:val="20"/>
              </w:rPr>
            </w:pPr>
          </w:p>
        </w:tc>
        <w:tc>
          <w:tcPr>
            <w:tcW w:w="0" w:type="auto"/>
            <w:vAlign w:val="center"/>
            <w:hideMark/>
          </w:tcPr>
          <w:p w14:paraId="6ED9EA2E" w14:textId="77777777" w:rsidR="00000000" w:rsidRDefault="009B6C69">
            <w:pPr>
              <w:spacing w:after="100"/>
              <w:rPr>
                <w:rFonts w:eastAsia="Times New Roman"/>
                <w:sz w:val="20"/>
                <w:szCs w:val="20"/>
              </w:rPr>
            </w:pPr>
          </w:p>
        </w:tc>
        <w:tc>
          <w:tcPr>
            <w:tcW w:w="0" w:type="auto"/>
            <w:vAlign w:val="center"/>
            <w:hideMark/>
          </w:tcPr>
          <w:p w14:paraId="38F9E843" w14:textId="77777777" w:rsidR="00000000" w:rsidRDefault="009B6C69">
            <w:pPr>
              <w:spacing w:after="100"/>
              <w:rPr>
                <w:rFonts w:eastAsia="Times New Roman"/>
                <w:sz w:val="20"/>
                <w:szCs w:val="20"/>
              </w:rPr>
            </w:pPr>
          </w:p>
        </w:tc>
        <w:tc>
          <w:tcPr>
            <w:tcW w:w="0" w:type="auto"/>
            <w:vAlign w:val="center"/>
            <w:hideMark/>
          </w:tcPr>
          <w:p w14:paraId="66502E6D" w14:textId="77777777" w:rsidR="00000000" w:rsidRDefault="009B6C69">
            <w:pPr>
              <w:spacing w:after="100"/>
              <w:rPr>
                <w:rFonts w:eastAsia="Times New Roman"/>
                <w:sz w:val="20"/>
                <w:szCs w:val="20"/>
              </w:rPr>
            </w:pPr>
          </w:p>
        </w:tc>
        <w:tc>
          <w:tcPr>
            <w:tcW w:w="0" w:type="auto"/>
            <w:vAlign w:val="center"/>
            <w:hideMark/>
          </w:tcPr>
          <w:p w14:paraId="2D11EE81" w14:textId="77777777" w:rsidR="00000000" w:rsidRDefault="009B6C69">
            <w:pPr>
              <w:spacing w:after="100"/>
              <w:rPr>
                <w:rFonts w:eastAsia="Times New Roman"/>
                <w:sz w:val="20"/>
                <w:szCs w:val="20"/>
              </w:rPr>
            </w:pPr>
          </w:p>
        </w:tc>
        <w:tc>
          <w:tcPr>
            <w:tcW w:w="0" w:type="auto"/>
            <w:vAlign w:val="center"/>
            <w:hideMark/>
          </w:tcPr>
          <w:p w14:paraId="23F79BB7" w14:textId="77777777" w:rsidR="00000000" w:rsidRDefault="009B6C69">
            <w:pPr>
              <w:spacing w:after="100"/>
              <w:rPr>
                <w:rFonts w:eastAsia="Times New Roman"/>
                <w:sz w:val="20"/>
                <w:szCs w:val="20"/>
              </w:rPr>
            </w:pPr>
          </w:p>
        </w:tc>
        <w:tc>
          <w:tcPr>
            <w:tcW w:w="0" w:type="auto"/>
            <w:vAlign w:val="center"/>
            <w:hideMark/>
          </w:tcPr>
          <w:p w14:paraId="6D1D6E94" w14:textId="77777777" w:rsidR="00000000" w:rsidRDefault="009B6C69">
            <w:pPr>
              <w:spacing w:after="100"/>
              <w:rPr>
                <w:rFonts w:eastAsia="Times New Roman"/>
                <w:sz w:val="20"/>
                <w:szCs w:val="20"/>
              </w:rPr>
            </w:pPr>
          </w:p>
        </w:tc>
        <w:tc>
          <w:tcPr>
            <w:tcW w:w="0" w:type="auto"/>
            <w:vAlign w:val="center"/>
            <w:hideMark/>
          </w:tcPr>
          <w:p w14:paraId="1D281F53" w14:textId="77777777" w:rsidR="00000000" w:rsidRDefault="009B6C69">
            <w:pPr>
              <w:spacing w:after="100"/>
              <w:rPr>
                <w:rFonts w:eastAsia="Times New Roman"/>
                <w:sz w:val="20"/>
                <w:szCs w:val="20"/>
              </w:rPr>
            </w:pPr>
          </w:p>
        </w:tc>
        <w:tc>
          <w:tcPr>
            <w:tcW w:w="0" w:type="auto"/>
            <w:vAlign w:val="center"/>
            <w:hideMark/>
          </w:tcPr>
          <w:p w14:paraId="27467ADC" w14:textId="77777777" w:rsidR="00000000" w:rsidRDefault="009B6C69">
            <w:pPr>
              <w:spacing w:after="100"/>
              <w:rPr>
                <w:rFonts w:eastAsia="Times New Roman"/>
                <w:sz w:val="20"/>
                <w:szCs w:val="20"/>
              </w:rPr>
            </w:pPr>
          </w:p>
        </w:tc>
        <w:tc>
          <w:tcPr>
            <w:tcW w:w="0" w:type="auto"/>
            <w:vAlign w:val="center"/>
            <w:hideMark/>
          </w:tcPr>
          <w:p w14:paraId="55E41D3E" w14:textId="77777777" w:rsidR="00000000" w:rsidRDefault="009B6C69">
            <w:pPr>
              <w:spacing w:after="100"/>
              <w:rPr>
                <w:rFonts w:eastAsia="Times New Roman"/>
                <w:sz w:val="20"/>
                <w:szCs w:val="20"/>
              </w:rPr>
            </w:pPr>
          </w:p>
        </w:tc>
        <w:tc>
          <w:tcPr>
            <w:tcW w:w="0" w:type="auto"/>
            <w:vAlign w:val="center"/>
            <w:hideMark/>
          </w:tcPr>
          <w:p w14:paraId="2B42ACC4" w14:textId="77777777" w:rsidR="00000000" w:rsidRDefault="009B6C69">
            <w:pPr>
              <w:spacing w:after="100"/>
              <w:rPr>
                <w:rFonts w:eastAsia="Times New Roman"/>
                <w:sz w:val="20"/>
                <w:szCs w:val="20"/>
              </w:rPr>
            </w:pPr>
          </w:p>
        </w:tc>
        <w:tc>
          <w:tcPr>
            <w:tcW w:w="0" w:type="auto"/>
            <w:vAlign w:val="center"/>
            <w:hideMark/>
          </w:tcPr>
          <w:p w14:paraId="37EA9B7E" w14:textId="77777777" w:rsidR="00000000" w:rsidRDefault="009B6C69">
            <w:pPr>
              <w:spacing w:after="100"/>
              <w:rPr>
                <w:rFonts w:eastAsia="Times New Roman"/>
                <w:sz w:val="20"/>
                <w:szCs w:val="20"/>
              </w:rPr>
            </w:pPr>
          </w:p>
        </w:tc>
      </w:tr>
      <w:tr w:rsidR="00000000" w14:paraId="45B7EB02" w14:textId="77777777">
        <w:trPr>
          <w:jc w:val="center"/>
        </w:trPr>
        <w:tc>
          <w:tcPr>
            <w:tcW w:w="0" w:type="auto"/>
            <w:gridSpan w:val="3"/>
            <w:tcMar>
              <w:top w:w="0" w:type="dxa"/>
              <w:left w:w="20" w:type="dxa"/>
              <w:bottom w:w="0" w:type="dxa"/>
              <w:right w:w="20" w:type="dxa"/>
            </w:tcMar>
            <w:vAlign w:val="center"/>
            <w:hideMark/>
          </w:tcPr>
          <w:p w14:paraId="6B2FC4CB" w14:textId="77777777" w:rsidR="00000000" w:rsidRDefault="009B6C69">
            <w:pPr>
              <w:spacing w:after="100"/>
              <w:jc w:val="center"/>
              <w:rPr>
                <w:rFonts w:eastAsia="Times New Roman"/>
              </w:rPr>
            </w:pPr>
          </w:p>
        </w:tc>
        <w:tc>
          <w:tcPr>
            <w:tcW w:w="0" w:type="auto"/>
            <w:vAlign w:val="center"/>
            <w:hideMark/>
          </w:tcPr>
          <w:p w14:paraId="229D87AC" w14:textId="77777777" w:rsidR="00000000" w:rsidRDefault="009B6C69">
            <w:pPr>
              <w:spacing w:after="100"/>
              <w:rPr>
                <w:rFonts w:eastAsia="Times New Roman"/>
                <w:sz w:val="20"/>
                <w:szCs w:val="20"/>
              </w:rPr>
            </w:pPr>
          </w:p>
        </w:tc>
        <w:tc>
          <w:tcPr>
            <w:tcW w:w="0" w:type="auto"/>
            <w:vAlign w:val="center"/>
            <w:hideMark/>
          </w:tcPr>
          <w:p w14:paraId="106AA8EE" w14:textId="77777777" w:rsidR="00000000" w:rsidRDefault="009B6C69">
            <w:pPr>
              <w:spacing w:after="100"/>
              <w:rPr>
                <w:rFonts w:eastAsia="Times New Roman"/>
                <w:sz w:val="20"/>
                <w:szCs w:val="20"/>
              </w:rPr>
            </w:pPr>
          </w:p>
        </w:tc>
        <w:tc>
          <w:tcPr>
            <w:tcW w:w="0" w:type="auto"/>
            <w:vAlign w:val="center"/>
            <w:hideMark/>
          </w:tcPr>
          <w:p w14:paraId="66DF64F6" w14:textId="77777777" w:rsidR="00000000" w:rsidRDefault="009B6C69">
            <w:pPr>
              <w:spacing w:after="100"/>
              <w:rPr>
                <w:rFonts w:eastAsia="Times New Roman"/>
                <w:sz w:val="20"/>
                <w:szCs w:val="20"/>
              </w:rPr>
            </w:pPr>
          </w:p>
        </w:tc>
        <w:tc>
          <w:tcPr>
            <w:tcW w:w="0" w:type="auto"/>
            <w:vAlign w:val="center"/>
            <w:hideMark/>
          </w:tcPr>
          <w:p w14:paraId="23311B8B" w14:textId="77777777" w:rsidR="00000000" w:rsidRDefault="009B6C69">
            <w:pPr>
              <w:spacing w:after="100"/>
              <w:rPr>
                <w:rFonts w:eastAsia="Times New Roman"/>
                <w:sz w:val="20"/>
                <w:szCs w:val="20"/>
              </w:rPr>
            </w:pPr>
          </w:p>
        </w:tc>
        <w:tc>
          <w:tcPr>
            <w:tcW w:w="0" w:type="auto"/>
            <w:vAlign w:val="center"/>
            <w:hideMark/>
          </w:tcPr>
          <w:p w14:paraId="2DFA65BC" w14:textId="77777777" w:rsidR="00000000" w:rsidRDefault="009B6C69">
            <w:pPr>
              <w:spacing w:after="100"/>
              <w:rPr>
                <w:rFonts w:eastAsia="Times New Roman"/>
                <w:sz w:val="20"/>
                <w:szCs w:val="20"/>
              </w:rPr>
            </w:pPr>
          </w:p>
        </w:tc>
        <w:tc>
          <w:tcPr>
            <w:tcW w:w="0" w:type="auto"/>
            <w:vAlign w:val="center"/>
            <w:hideMark/>
          </w:tcPr>
          <w:p w14:paraId="7A1DA6A6" w14:textId="77777777" w:rsidR="00000000" w:rsidRDefault="009B6C69">
            <w:pPr>
              <w:spacing w:after="100"/>
              <w:rPr>
                <w:rFonts w:eastAsia="Times New Roman"/>
                <w:sz w:val="20"/>
                <w:szCs w:val="20"/>
              </w:rPr>
            </w:pPr>
          </w:p>
        </w:tc>
        <w:tc>
          <w:tcPr>
            <w:tcW w:w="0" w:type="auto"/>
            <w:vAlign w:val="center"/>
            <w:hideMark/>
          </w:tcPr>
          <w:p w14:paraId="5E8F27D6" w14:textId="77777777" w:rsidR="00000000" w:rsidRDefault="009B6C6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4F82E8F" w14:textId="77777777" w:rsidR="00000000" w:rsidRDefault="009B6C69">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01EFA6B"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79A5E0" w14:textId="77777777" w:rsidR="00000000" w:rsidRDefault="009B6C69">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14:paraId="68DD5565"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21E76D" w14:textId="77777777" w:rsidR="00000000" w:rsidRDefault="009B6C69">
            <w:pPr>
              <w:spacing w:after="100"/>
              <w:jc w:val="center"/>
              <w:rPr>
                <w:rFonts w:eastAsia="Times New Roman"/>
              </w:rPr>
            </w:pPr>
            <w:r>
              <w:rPr>
                <w:rFonts w:eastAsia="Times New Roman"/>
                <w:b/>
                <w:bCs/>
                <w:color w:val="000000"/>
                <w:sz w:val="18"/>
                <w:szCs w:val="18"/>
              </w:rPr>
              <w:t>September 27,</w:t>
            </w:r>
            <w:r>
              <w:rPr>
                <w:rFonts w:eastAsia="Times New Roman"/>
                <w:b/>
                <w:bCs/>
                <w:color w:val="000000"/>
                <w:sz w:val="18"/>
                <w:szCs w:val="18"/>
              </w:rPr>
              <w:br/>
              <w:t>2020</w:t>
            </w:r>
          </w:p>
        </w:tc>
      </w:tr>
      <w:tr w:rsidR="00000000" w14:paraId="73B9EC47" w14:textId="77777777">
        <w:trPr>
          <w:jc w:val="center"/>
        </w:trPr>
        <w:tc>
          <w:tcPr>
            <w:tcW w:w="0" w:type="auto"/>
            <w:gridSpan w:val="3"/>
            <w:tcMar>
              <w:top w:w="30" w:type="dxa"/>
              <w:left w:w="20" w:type="dxa"/>
              <w:bottom w:w="30" w:type="dxa"/>
              <w:right w:w="20" w:type="dxa"/>
            </w:tcMar>
            <w:vAlign w:val="bottom"/>
            <w:hideMark/>
          </w:tcPr>
          <w:p w14:paraId="3BBF7E39" w14:textId="77777777" w:rsidR="00000000" w:rsidRDefault="009B6C69">
            <w:pPr>
              <w:spacing w:after="100"/>
              <w:rPr>
                <w:rFonts w:eastAsia="Times New Roman"/>
              </w:rPr>
            </w:pPr>
            <w:r>
              <w:rPr>
                <w:rFonts w:eastAsia="Times New Roman"/>
                <w:color w:val="000000"/>
                <w:sz w:val="18"/>
                <w:szCs w:val="18"/>
              </w:rPr>
              <w:t>Revenues:</w:t>
            </w:r>
          </w:p>
        </w:tc>
        <w:tc>
          <w:tcPr>
            <w:tcW w:w="0" w:type="auto"/>
            <w:vAlign w:val="center"/>
            <w:hideMark/>
          </w:tcPr>
          <w:p w14:paraId="3C5A2A06" w14:textId="77777777" w:rsidR="00000000" w:rsidRDefault="009B6C69">
            <w:pPr>
              <w:spacing w:after="100"/>
              <w:rPr>
                <w:rFonts w:eastAsia="Times New Roman"/>
              </w:rPr>
            </w:pPr>
          </w:p>
        </w:tc>
        <w:tc>
          <w:tcPr>
            <w:tcW w:w="0" w:type="auto"/>
            <w:vAlign w:val="center"/>
            <w:hideMark/>
          </w:tcPr>
          <w:p w14:paraId="6A0AEF6F" w14:textId="77777777" w:rsidR="00000000" w:rsidRDefault="009B6C69">
            <w:pPr>
              <w:spacing w:after="100"/>
              <w:rPr>
                <w:rFonts w:eastAsia="Times New Roman"/>
                <w:sz w:val="20"/>
                <w:szCs w:val="20"/>
              </w:rPr>
            </w:pPr>
          </w:p>
        </w:tc>
        <w:tc>
          <w:tcPr>
            <w:tcW w:w="0" w:type="auto"/>
            <w:vAlign w:val="center"/>
            <w:hideMark/>
          </w:tcPr>
          <w:p w14:paraId="40906B90" w14:textId="77777777" w:rsidR="00000000" w:rsidRDefault="009B6C69">
            <w:pPr>
              <w:spacing w:after="100"/>
              <w:rPr>
                <w:rFonts w:eastAsia="Times New Roman"/>
                <w:sz w:val="20"/>
                <w:szCs w:val="20"/>
              </w:rPr>
            </w:pPr>
          </w:p>
        </w:tc>
        <w:tc>
          <w:tcPr>
            <w:tcW w:w="0" w:type="auto"/>
            <w:vAlign w:val="center"/>
            <w:hideMark/>
          </w:tcPr>
          <w:p w14:paraId="7F7B3EE9" w14:textId="77777777" w:rsidR="00000000" w:rsidRDefault="009B6C69">
            <w:pPr>
              <w:spacing w:after="100"/>
              <w:rPr>
                <w:rFonts w:eastAsia="Times New Roman"/>
                <w:sz w:val="20"/>
                <w:szCs w:val="20"/>
              </w:rPr>
            </w:pPr>
          </w:p>
        </w:tc>
        <w:tc>
          <w:tcPr>
            <w:tcW w:w="0" w:type="auto"/>
            <w:vAlign w:val="center"/>
            <w:hideMark/>
          </w:tcPr>
          <w:p w14:paraId="36297B6A" w14:textId="77777777" w:rsidR="00000000" w:rsidRDefault="009B6C69">
            <w:pPr>
              <w:spacing w:after="100"/>
              <w:rPr>
                <w:rFonts w:eastAsia="Times New Roman"/>
                <w:sz w:val="20"/>
                <w:szCs w:val="20"/>
              </w:rPr>
            </w:pPr>
          </w:p>
        </w:tc>
        <w:tc>
          <w:tcPr>
            <w:tcW w:w="0" w:type="auto"/>
            <w:vAlign w:val="center"/>
            <w:hideMark/>
          </w:tcPr>
          <w:p w14:paraId="70705444" w14:textId="77777777" w:rsidR="00000000" w:rsidRDefault="009B6C69">
            <w:pPr>
              <w:spacing w:after="100"/>
              <w:rPr>
                <w:rFonts w:eastAsia="Times New Roman"/>
                <w:sz w:val="20"/>
                <w:szCs w:val="20"/>
              </w:rPr>
            </w:pPr>
          </w:p>
        </w:tc>
        <w:tc>
          <w:tcPr>
            <w:tcW w:w="0" w:type="auto"/>
            <w:vAlign w:val="center"/>
            <w:hideMark/>
          </w:tcPr>
          <w:p w14:paraId="205DAED7" w14:textId="77777777" w:rsidR="00000000" w:rsidRDefault="009B6C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5092494"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CD1DA2" w14:textId="77777777" w:rsidR="00000000" w:rsidRDefault="009B6C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9F6777C"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52D39E" w14:textId="77777777" w:rsidR="00000000" w:rsidRDefault="009B6C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78D531B" w14:textId="77777777" w:rsidR="00000000" w:rsidRDefault="009B6C69">
            <w:pPr>
              <w:spacing w:after="100"/>
              <w:rPr>
                <w:rFonts w:eastAsia="Times New Roman"/>
                <w:sz w:val="20"/>
                <w:szCs w:val="20"/>
              </w:rPr>
            </w:pPr>
          </w:p>
        </w:tc>
      </w:tr>
      <w:tr w:rsidR="00000000" w14:paraId="29ADE384" w14:textId="77777777">
        <w:trPr>
          <w:jc w:val="center"/>
        </w:trPr>
        <w:tc>
          <w:tcPr>
            <w:tcW w:w="0" w:type="auto"/>
            <w:gridSpan w:val="3"/>
            <w:shd w:val="clear" w:color="auto" w:fill="CCEEFF"/>
            <w:tcMar>
              <w:top w:w="30" w:type="dxa"/>
              <w:left w:w="155" w:type="dxa"/>
              <w:bottom w:w="30" w:type="dxa"/>
              <w:right w:w="20" w:type="dxa"/>
            </w:tcMar>
            <w:vAlign w:val="bottom"/>
            <w:hideMark/>
          </w:tcPr>
          <w:p w14:paraId="3EAA45D9" w14:textId="77777777" w:rsidR="00000000" w:rsidRDefault="009B6C69">
            <w:pPr>
              <w:spacing w:after="100"/>
              <w:rPr>
                <w:rFonts w:eastAsia="Times New Roman"/>
              </w:rPr>
            </w:pPr>
            <w:r>
              <w:rPr>
                <w:rFonts w:eastAsia="Times New Roman"/>
                <w:color w:val="000000"/>
                <w:sz w:val="18"/>
                <w:szCs w:val="18"/>
              </w:rPr>
              <w:t>Equipment and services</w:t>
            </w:r>
          </w:p>
        </w:tc>
        <w:tc>
          <w:tcPr>
            <w:tcW w:w="0" w:type="auto"/>
            <w:vAlign w:val="center"/>
            <w:hideMark/>
          </w:tcPr>
          <w:p w14:paraId="25465898" w14:textId="77777777" w:rsidR="00000000" w:rsidRDefault="009B6C69">
            <w:pPr>
              <w:spacing w:after="100"/>
              <w:rPr>
                <w:rFonts w:eastAsia="Times New Roman"/>
              </w:rPr>
            </w:pPr>
          </w:p>
        </w:tc>
        <w:tc>
          <w:tcPr>
            <w:tcW w:w="0" w:type="auto"/>
            <w:vAlign w:val="center"/>
            <w:hideMark/>
          </w:tcPr>
          <w:p w14:paraId="16C192FE" w14:textId="77777777" w:rsidR="00000000" w:rsidRDefault="009B6C69">
            <w:pPr>
              <w:spacing w:after="100"/>
              <w:rPr>
                <w:rFonts w:eastAsia="Times New Roman"/>
                <w:sz w:val="20"/>
                <w:szCs w:val="20"/>
              </w:rPr>
            </w:pPr>
          </w:p>
        </w:tc>
        <w:tc>
          <w:tcPr>
            <w:tcW w:w="0" w:type="auto"/>
            <w:vAlign w:val="center"/>
            <w:hideMark/>
          </w:tcPr>
          <w:p w14:paraId="1B30D099" w14:textId="77777777" w:rsidR="00000000" w:rsidRDefault="009B6C69">
            <w:pPr>
              <w:spacing w:after="100"/>
              <w:rPr>
                <w:rFonts w:eastAsia="Times New Roman"/>
                <w:sz w:val="20"/>
                <w:szCs w:val="20"/>
              </w:rPr>
            </w:pPr>
          </w:p>
        </w:tc>
        <w:tc>
          <w:tcPr>
            <w:tcW w:w="0" w:type="auto"/>
            <w:vAlign w:val="center"/>
            <w:hideMark/>
          </w:tcPr>
          <w:p w14:paraId="3ABF4B82" w14:textId="77777777" w:rsidR="00000000" w:rsidRDefault="009B6C69">
            <w:pPr>
              <w:spacing w:after="100"/>
              <w:rPr>
                <w:rFonts w:eastAsia="Times New Roman"/>
                <w:sz w:val="20"/>
                <w:szCs w:val="20"/>
              </w:rPr>
            </w:pPr>
          </w:p>
        </w:tc>
        <w:tc>
          <w:tcPr>
            <w:tcW w:w="0" w:type="auto"/>
            <w:vAlign w:val="center"/>
            <w:hideMark/>
          </w:tcPr>
          <w:p w14:paraId="57C09078" w14:textId="77777777" w:rsidR="00000000" w:rsidRDefault="009B6C69">
            <w:pPr>
              <w:spacing w:after="100"/>
              <w:rPr>
                <w:rFonts w:eastAsia="Times New Roman"/>
                <w:sz w:val="20"/>
                <w:szCs w:val="20"/>
              </w:rPr>
            </w:pPr>
          </w:p>
        </w:tc>
        <w:tc>
          <w:tcPr>
            <w:tcW w:w="0" w:type="auto"/>
            <w:vAlign w:val="center"/>
            <w:hideMark/>
          </w:tcPr>
          <w:p w14:paraId="1173280F" w14:textId="77777777" w:rsidR="00000000" w:rsidRDefault="009B6C69">
            <w:pPr>
              <w:spacing w:after="100"/>
              <w:rPr>
                <w:rFonts w:eastAsia="Times New Roman"/>
                <w:sz w:val="20"/>
                <w:szCs w:val="20"/>
              </w:rPr>
            </w:pPr>
          </w:p>
        </w:tc>
        <w:tc>
          <w:tcPr>
            <w:tcW w:w="0" w:type="auto"/>
            <w:vAlign w:val="center"/>
            <w:hideMark/>
          </w:tcPr>
          <w:p w14:paraId="09D48079" w14:textId="77777777" w:rsidR="00000000" w:rsidRDefault="009B6C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515E33"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497A5DE" w14:textId="77777777" w:rsidR="00000000" w:rsidRDefault="009B6C69">
            <w:pPr>
              <w:spacing w:after="100"/>
              <w:jc w:val="right"/>
              <w:rPr>
                <w:rFonts w:eastAsia="Times New Roman"/>
              </w:rPr>
            </w:pPr>
            <w:r>
              <w:rPr>
                <w:rFonts w:eastAsia="Times New Roman"/>
                <w:color w:val="000000"/>
                <w:sz w:val="18"/>
                <w:szCs w:val="18"/>
              </w:rPr>
              <w:t>37,171 </w:t>
            </w:r>
          </w:p>
        </w:tc>
        <w:tc>
          <w:tcPr>
            <w:tcW w:w="0" w:type="auto"/>
            <w:shd w:val="clear" w:color="auto" w:fill="CCEEFF"/>
            <w:tcMar>
              <w:top w:w="30" w:type="dxa"/>
              <w:left w:w="0" w:type="dxa"/>
              <w:bottom w:w="30" w:type="dxa"/>
              <w:right w:w="20" w:type="dxa"/>
            </w:tcMar>
            <w:vAlign w:val="bottom"/>
            <w:hideMark/>
          </w:tcPr>
          <w:p w14:paraId="68C2F93B"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E0467F"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8FD257E"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29424D3" w14:textId="77777777" w:rsidR="00000000" w:rsidRDefault="009B6C69">
            <w:pPr>
              <w:spacing w:after="100"/>
              <w:jc w:val="right"/>
              <w:rPr>
                <w:rFonts w:eastAsia="Times New Roman"/>
              </w:rPr>
            </w:pPr>
            <w:r>
              <w:rPr>
                <w:rFonts w:eastAsia="Times New Roman"/>
                <w:color w:val="000000"/>
                <w:sz w:val="18"/>
                <w:szCs w:val="18"/>
              </w:rPr>
              <w:t>26,741 </w:t>
            </w:r>
          </w:p>
        </w:tc>
        <w:tc>
          <w:tcPr>
            <w:tcW w:w="0" w:type="auto"/>
            <w:shd w:val="clear" w:color="auto" w:fill="CCEEFF"/>
            <w:tcMar>
              <w:top w:w="30" w:type="dxa"/>
              <w:left w:w="0" w:type="dxa"/>
              <w:bottom w:w="30" w:type="dxa"/>
              <w:right w:w="20" w:type="dxa"/>
            </w:tcMar>
            <w:vAlign w:val="bottom"/>
            <w:hideMark/>
          </w:tcPr>
          <w:p w14:paraId="5855622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A37883"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532D94"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208677F" w14:textId="77777777" w:rsidR="00000000" w:rsidRDefault="009B6C69">
            <w:pPr>
              <w:spacing w:after="100"/>
              <w:jc w:val="right"/>
              <w:rPr>
                <w:rFonts w:eastAsia="Times New Roman"/>
              </w:rPr>
            </w:pPr>
            <w:r>
              <w:rPr>
                <w:rFonts w:eastAsia="Times New Roman"/>
                <w:color w:val="000000"/>
                <w:sz w:val="18"/>
                <w:szCs w:val="18"/>
              </w:rPr>
              <w:t>16,298 </w:t>
            </w:r>
          </w:p>
        </w:tc>
        <w:tc>
          <w:tcPr>
            <w:tcW w:w="0" w:type="auto"/>
            <w:shd w:val="clear" w:color="auto" w:fill="CCEEFF"/>
            <w:tcMar>
              <w:top w:w="30" w:type="dxa"/>
              <w:left w:w="0" w:type="dxa"/>
              <w:bottom w:w="30" w:type="dxa"/>
              <w:right w:w="20" w:type="dxa"/>
            </w:tcMar>
            <w:vAlign w:val="bottom"/>
            <w:hideMark/>
          </w:tcPr>
          <w:p w14:paraId="27776016" w14:textId="77777777" w:rsidR="00000000" w:rsidRDefault="009B6C69">
            <w:pPr>
              <w:spacing w:after="100"/>
              <w:jc w:val="right"/>
              <w:rPr>
                <w:rFonts w:eastAsia="Times New Roman"/>
              </w:rPr>
            </w:pPr>
          </w:p>
        </w:tc>
      </w:tr>
      <w:tr w:rsidR="00000000" w14:paraId="770A1725" w14:textId="77777777">
        <w:trPr>
          <w:jc w:val="center"/>
        </w:trPr>
        <w:tc>
          <w:tcPr>
            <w:tcW w:w="0" w:type="auto"/>
            <w:gridSpan w:val="3"/>
            <w:shd w:val="clear" w:color="auto" w:fill="FFFFFF"/>
            <w:tcMar>
              <w:top w:w="30" w:type="dxa"/>
              <w:left w:w="155" w:type="dxa"/>
              <w:bottom w:w="30" w:type="dxa"/>
              <w:right w:w="20" w:type="dxa"/>
            </w:tcMar>
            <w:vAlign w:val="bottom"/>
            <w:hideMark/>
          </w:tcPr>
          <w:p w14:paraId="0EFE0949" w14:textId="77777777" w:rsidR="00000000" w:rsidRDefault="009B6C69">
            <w:pPr>
              <w:spacing w:after="100"/>
              <w:rPr>
                <w:rFonts w:eastAsia="Times New Roman"/>
              </w:rPr>
            </w:pPr>
            <w:r>
              <w:rPr>
                <w:rFonts w:eastAsia="Times New Roman"/>
                <w:color w:val="000000"/>
                <w:sz w:val="18"/>
                <w:szCs w:val="18"/>
              </w:rPr>
              <w:t>Licensing</w:t>
            </w:r>
          </w:p>
        </w:tc>
        <w:tc>
          <w:tcPr>
            <w:tcW w:w="0" w:type="auto"/>
            <w:vAlign w:val="center"/>
            <w:hideMark/>
          </w:tcPr>
          <w:p w14:paraId="42B6F030" w14:textId="77777777" w:rsidR="00000000" w:rsidRDefault="009B6C69">
            <w:pPr>
              <w:spacing w:after="100"/>
              <w:rPr>
                <w:rFonts w:eastAsia="Times New Roman"/>
              </w:rPr>
            </w:pPr>
          </w:p>
        </w:tc>
        <w:tc>
          <w:tcPr>
            <w:tcW w:w="0" w:type="auto"/>
            <w:vAlign w:val="center"/>
            <w:hideMark/>
          </w:tcPr>
          <w:p w14:paraId="7F2943E4" w14:textId="77777777" w:rsidR="00000000" w:rsidRDefault="009B6C69">
            <w:pPr>
              <w:spacing w:after="100"/>
              <w:rPr>
                <w:rFonts w:eastAsia="Times New Roman"/>
                <w:sz w:val="20"/>
                <w:szCs w:val="20"/>
              </w:rPr>
            </w:pPr>
          </w:p>
        </w:tc>
        <w:tc>
          <w:tcPr>
            <w:tcW w:w="0" w:type="auto"/>
            <w:vAlign w:val="center"/>
            <w:hideMark/>
          </w:tcPr>
          <w:p w14:paraId="6D1E7597" w14:textId="77777777" w:rsidR="00000000" w:rsidRDefault="009B6C69">
            <w:pPr>
              <w:spacing w:after="100"/>
              <w:rPr>
                <w:rFonts w:eastAsia="Times New Roman"/>
                <w:sz w:val="20"/>
                <w:szCs w:val="20"/>
              </w:rPr>
            </w:pPr>
          </w:p>
        </w:tc>
        <w:tc>
          <w:tcPr>
            <w:tcW w:w="0" w:type="auto"/>
            <w:vAlign w:val="center"/>
            <w:hideMark/>
          </w:tcPr>
          <w:p w14:paraId="4492141F" w14:textId="77777777" w:rsidR="00000000" w:rsidRDefault="009B6C69">
            <w:pPr>
              <w:spacing w:after="100"/>
              <w:rPr>
                <w:rFonts w:eastAsia="Times New Roman"/>
                <w:sz w:val="20"/>
                <w:szCs w:val="20"/>
              </w:rPr>
            </w:pPr>
          </w:p>
        </w:tc>
        <w:tc>
          <w:tcPr>
            <w:tcW w:w="0" w:type="auto"/>
            <w:vAlign w:val="center"/>
            <w:hideMark/>
          </w:tcPr>
          <w:p w14:paraId="331AC340" w14:textId="77777777" w:rsidR="00000000" w:rsidRDefault="009B6C69">
            <w:pPr>
              <w:spacing w:after="100"/>
              <w:rPr>
                <w:rFonts w:eastAsia="Times New Roman"/>
                <w:sz w:val="20"/>
                <w:szCs w:val="20"/>
              </w:rPr>
            </w:pPr>
          </w:p>
        </w:tc>
        <w:tc>
          <w:tcPr>
            <w:tcW w:w="0" w:type="auto"/>
            <w:vAlign w:val="center"/>
            <w:hideMark/>
          </w:tcPr>
          <w:p w14:paraId="24C14DDC" w14:textId="77777777" w:rsidR="00000000" w:rsidRDefault="009B6C69">
            <w:pPr>
              <w:spacing w:after="100"/>
              <w:rPr>
                <w:rFonts w:eastAsia="Times New Roman"/>
                <w:sz w:val="20"/>
                <w:szCs w:val="20"/>
              </w:rPr>
            </w:pPr>
          </w:p>
        </w:tc>
        <w:tc>
          <w:tcPr>
            <w:tcW w:w="0" w:type="auto"/>
            <w:vAlign w:val="center"/>
            <w:hideMark/>
          </w:tcPr>
          <w:p w14:paraId="26D4C212"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25FB83" w14:textId="77777777" w:rsidR="00000000" w:rsidRDefault="009B6C69">
            <w:pPr>
              <w:spacing w:after="100"/>
              <w:jc w:val="right"/>
              <w:rPr>
                <w:rFonts w:eastAsia="Times New Roman"/>
              </w:rPr>
            </w:pPr>
            <w:r>
              <w:rPr>
                <w:rFonts w:eastAsia="Times New Roman"/>
                <w:color w:val="000000"/>
                <w:sz w:val="18"/>
                <w:szCs w:val="18"/>
              </w:rPr>
              <w:t>7,029 </w:t>
            </w:r>
          </w:p>
        </w:tc>
        <w:tc>
          <w:tcPr>
            <w:tcW w:w="0" w:type="auto"/>
            <w:shd w:val="clear" w:color="auto" w:fill="FFFFFF"/>
            <w:tcMar>
              <w:top w:w="30" w:type="dxa"/>
              <w:left w:w="0" w:type="dxa"/>
              <w:bottom w:w="30" w:type="dxa"/>
              <w:right w:w="20" w:type="dxa"/>
            </w:tcMar>
            <w:vAlign w:val="bottom"/>
            <w:hideMark/>
          </w:tcPr>
          <w:p w14:paraId="0B2EBBAA"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E231E4"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A0B617" w14:textId="77777777" w:rsidR="00000000" w:rsidRDefault="009B6C69">
            <w:pPr>
              <w:spacing w:after="100"/>
              <w:jc w:val="right"/>
              <w:rPr>
                <w:rFonts w:eastAsia="Times New Roman"/>
              </w:rPr>
            </w:pPr>
            <w:r>
              <w:rPr>
                <w:rFonts w:eastAsia="Times New Roman"/>
                <w:color w:val="000000"/>
                <w:sz w:val="18"/>
                <w:szCs w:val="18"/>
              </w:rPr>
              <w:t>6,825 </w:t>
            </w:r>
          </w:p>
        </w:tc>
        <w:tc>
          <w:tcPr>
            <w:tcW w:w="0" w:type="auto"/>
            <w:shd w:val="clear" w:color="auto" w:fill="FFFFFF"/>
            <w:tcMar>
              <w:top w:w="30" w:type="dxa"/>
              <w:left w:w="0" w:type="dxa"/>
              <w:bottom w:w="30" w:type="dxa"/>
              <w:right w:w="20" w:type="dxa"/>
            </w:tcMar>
            <w:vAlign w:val="bottom"/>
            <w:hideMark/>
          </w:tcPr>
          <w:p w14:paraId="1A768E63"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413385"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626110" w14:textId="77777777" w:rsidR="00000000" w:rsidRDefault="009B6C69">
            <w:pPr>
              <w:spacing w:after="100"/>
              <w:jc w:val="right"/>
              <w:rPr>
                <w:rFonts w:eastAsia="Times New Roman"/>
              </w:rPr>
            </w:pPr>
            <w:r>
              <w:rPr>
                <w:rFonts w:eastAsia="Times New Roman"/>
                <w:color w:val="000000"/>
                <w:sz w:val="18"/>
                <w:szCs w:val="18"/>
              </w:rPr>
              <w:t>7,233 </w:t>
            </w:r>
          </w:p>
        </w:tc>
        <w:tc>
          <w:tcPr>
            <w:tcW w:w="0" w:type="auto"/>
            <w:shd w:val="clear" w:color="auto" w:fill="FFFFFF"/>
            <w:tcMar>
              <w:top w:w="30" w:type="dxa"/>
              <w:left w:w="0" w:type="dxa"/>
              <w:bottom w:w="30" w:type="dxa"/>
              <w:right w:w="20" w:type="dxa"/>
            </w:tcMar>
            <w:vAlign w:val="bottom"/>
            <w:hideMark/>
          </w:tcPr>
          <w:p w14:paraId="5232844B" w14:textId="77777777" w:rsidR="00000000" w:rsidRDefault="009B6C69">
            <w:pPr>
              <w:spacing w:after="100"/>
              <w:jc w:val="right"/>
              <w:rPr>
                <w:rFonts w:eastAsia="Times New Roman"/>
              </w:rPr>
            </w:pPr>
          </w:p>
        </w:tc>
      </w:tr>
      <w:tr w:rsidR="00000000" w14:paraId="7F4FD8A2" w14:textId="77777777">
        <w:trPr>
          <w:jc w:val="center"/>
        </w:trPr>
        <w:tc>
          <w:tcPr>
            <w:tcW w:w="0" w:type="auto"/>
            <w:gridSpan w:val="3"/>
            <w:shd w:val="clear" w:color="auto" w:fill="CCEEFF"/>
            <w:tcMar>
              <w:top w:w="30" w:type="dxa"/>
              <w:left w:w="380" w:type="dxa"/>
              <w:bottom w:w="30" w:type="dxa"/>
              <w:right w:w="20" w:type="dxa"/>
            </w:tcMar>
            <w:vAlign w:val="bottom"/>
            <w:hideMark/>
          </w:tcPr>
          <w:p w14:paraId="5926E7D7" w14:textId="77777777" w:rsidR="00000000" w:rsidRDefault="009B6C69">
            <w:pPr>
              <w:spacing w:after="100"/>
              <w:rPr>
                <w:rFonts w:eastAsia="Times New Roman"/>
              </w:rPr>
            </w:pPr>
            <w:r>
              <w:rPr>
                <w:rFonts w:eastAsia="Times New Roman"/>
                <w:color w:val="000000"/>
                <w:sz w:val="18"/>
                <w:szCs w:val="18"/>
              </w:rPr>
              <w:t>Total revenues</w:t>
            </w:r>
          </w:p>
        </w:tc>
        <w:tc>
          <w:tcPr>
            <w:tcW w:w="0" w:type="auto"/>
            <w:vAlign w:val="center"/>
            <w:hideMark/>
          </w:tcPr>
          <w:p w14:paraId="4499179E" w14:textId="77777777" w:rsidR="00000000" w:rsidRDefault="009B6C69">
            <w:pPr>
              <w:spacing w:after="100"/>
              <w:rPr>
                <w:rFonts w:eastAsia="Times New Roman"/>
              </w:rPr>
            </w:pPr>
          </w:p>
        </w:tc>
        <w:tc>
          <w:tcPr>
            <w:tcW w:w="0" w:type="auto"/>
            <w:vAlign w:val="center"/>
            <w:hideMark/>
          </w:tcPr>
          <w:p w14:paraId="402BF38C" w14:textId="77777777" w:rsidR="00000000" w:rsidRDefault="009B6C69">
            <w:pPr>
              <w:spacing w:after="100"/>
              <w:rPr>
                <w:rFonts w:eastAsia="Times New Roman"/>
                <w:sz w:val="20"/>
                <w:szCs w:val="20"/>
              </w:rPr>
            </w:pPr>
          </w:p>
        </w:tc>
        <w:tc>
          <w:tcPr>
            <w:tcW w:w="0" w:type="auto"/>
            <w:vAlign w:val="center"/>
            <w:hideMark/>
          </w:tcPr>
          <w:p w14:paraId="712B11F4" w14:textId="77777777" w:rsidR="00000000" w:rsidRDefault="009B6C69">
            <w:pPr>
              <w:spacing w:after="100"/>
              <w:rPr>
                <w:rFonts w:eastAsia="Times New Roman"/>
                <w:sz w:val="20"/>
                <w:szCs w:val="20"/>
              </w:rPr>
            </w:pPr>
          </w:p>
        </w:tc>
        <w:tc>
          <w:tcPr>
            <w:tcW w:w="0" w:type="auto"/>
            <w:vAlign w:val="center"/>
            <w:hideMark/>
          </w:tcPr>
          <w:p w14:paraId="1C5CC484" w14:textId="77777777" w:rsidR="00000000" w:rsidRDefault="009B6C69">
            <w:pPr>
              <w:spacing w:after="100"/>
              <w:rPr>
                <w:rFonts w:eastAsia="Times New Roman"/>
                <w:sz w:val="20"/>
                <w:szCs w:val="20"/>
              </w:rPr>
            </w:pPr>
          </w:p>
        </w:tc>
        <w:tc>
          <w:tcPr>
            <w:tcW w:w="0" w:type="auto"/>
            <w:vAlign w:val="center"/>
            <w:hideMark/>
          </w:tcPr>
          <w:p w14:paraId="2DEBADA2" w14:textId="77777777" w:rsidR="00000000" w:rsidRDefault="009B6C69">
            <w:pPr>
              <w:spacing w:after="100"/>
              <w:rPr>
                <w:rFonts w:eastAsia="Times New Roman"/>
                <w:sz w:val="20"/>
                <w:szCs w:val="20"/>
              </w:rPr>
            </w:pPr>
          </w:p>
        </w:tc>
        <w:tc>
          <w:tcPr>
            <w:tcW w:w="0" w:type="auto"/>
            <w:vAlign w:val="center"/>
            <w:hideMark/>
          </w:tcPr>
          <w:p w14:paraId="4570E3BD" w14:textId="77777777" w:rsidR="00000000" w:rsidRDefault="009B6C69">
            <w:pPr>
              <w:spacing w:after="100"/>
              <w:rPr>
                <w:rFonts w:eastAsia="Times New Roman"/>
                <w:sz w:val="20"/>
                <w:szCs w:val="20"/>
              </w:rPr>
            </w:pPr>
          </w:p>
        </w:tc>
        <w:tc>
          <w:tcPr>
            <w:tcW w:w="0" w:type="auto"/>
            <w:vAlign w:val="center"/>
            <w:hideMark/>
          </w:tcPr>
          <w:p w14:paraId="16DD92DE" w14:textId="77777777" w:rsidR="00000000" w:rsidRDefault="009B6C69">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5813E2" w14:textId="77777777" w:rsidR="00000000" w:rsidRDefault="009B6C69">
            <w:pPr>
              <w:spacing w:after="100"/>
              <w:jc w:val="right"/>
              <w:rPr>
                <w:rFonts w:eastAsia="Times New Roman"/>
              </w:rPr>
            </w:pPr>
            <w:r>
              <w:rPr>
                <w:rFonts w:eastAsia="Times New Roman"/>
                <w:color w:val="000000"/>
                <w:sz w:val="18"/>
                <w:szCs w:val="18"/>
              </w:rPr>
              <w:t>44,200 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FF98A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8FE016"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948647" w14:textId="77777777" w:rsidR="00000000" w:rsidRDefault="009B6C69">
            <w:pPr>
              <w:spacing w:after="100"/>
              <w:jc w:val="right"/>
              <w:rPr>
                <w:rFonts w:eastAsia="Times New Roman"/>
              </w:rPr>
            </w:pPr>
            <w:r>
              <w:rPr>
                <w:rFonts w:eastAsia="Times New Roman"/>
                <w:color w:val="000000"/>
                <w:sz w:val="18"/>
                <w:szCs w:val="18"/>
              </w:rPr>
              <w:t>33,566 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F04D4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D15D75"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FB21FA" w14:textId="77777777" w:rsidR="00000000" w:rsidRDefault="009B6C69">
            <w:pPr>
              <w:spacing w:after="100"/>
              <w:jc w:val="right"/>
              <w:rPr>
                <w:rFonts w:eastAsia="Times New Roman"/>
              </w:rPr>
            </w:pPr>
            <w:r>
              <w:rPr>
                <w:rFonts w:eastAsia="Times New Roman"/>
                <w:color w:val="000000"/>
                <w:sz w:val="18"/>
                <w:szCs w:val="18"/>
              </w:rPr>
              <w:t>23,531 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5350CF" w14:textId="77777777" w:rsidR="00000000" w:rsidRDefault="009B6C69">
            <w:pPr>
              <w:spacing w:after="100"/>
              <w:jc w:val="right"/>
              <w:rPr>
                <w:rFonts w:eastAsia="Times New Roman"/>
              </w:rPr>
            </w:pPr>
          </w:p>
        </w:tc>
      </w:tr>
      <w:tr w:rsidR="00000000" w14:paraId="2E399CE4" w14:textId="77777777">
        <w:trPr>
          <w:jc w:val="center"/>
        </w:trPr>
        <w:tc>
          <w:tcPr>
            <w:tcW w:w="0" w:type="auto"/>
            <w:gridSpan w:val="3"/>
            <w:shd w:val="clear" w:color="auto" w:fill="FFFFFF"/>
            <w:tcMar>
              <w:top w:w="30" w:type="dxa"/>
              <w:left w:w="20" w:type="dxa"/>
              <w:bottom w:w="30" w:type="dxa"/>
              <w:right w:w="20" w:type="dxa"/>
            </w:tcMar>
            <w:vAlign w:val="bottom"/>
            <w:hideMark/>
          </w:tcPr>
          <w:p w14:paraId="3536AAF9" w14:textId="77777777" w:rsidR="00000000" w:rsidRDefault="009B6C69">
            <w:pPr>
              <w:spacing w:after="100"/>
              <w:rPr>
                <w:rFonts w:eastAsia="Times New Roman"/>
              </w:rPr>
            </w:pPr>
            <w:r>
              <w:rPr>
                <w:rFonts w:eastAsia="Times New Roman"/>
                <w:color w:val="000000"/>
                <w:sz w:val="18"/>
                <w:szCs w:val="18"/>
              </w:rPr>
              <w:t>Costs and expenses:</w:t>
            </w:r>
          </w:p>
        </w:tc>
        <w:tc>
          <w:tcPr>
            <w:tcW w:w="0" w:type="auto"/>
            <w:vAlign w:val="center"/>
            <w:hideMark/>
          </w:tcPr>
          <w:p w14:paraId="0D49F07F" w14:textId="77777777" w:rsidR="00000000" w:rsidRDefault="009B6C69">
            <w:pPr>
              <w:spacing w:after="100"/>
              <w:rPr>
                <w:rFonts w:eastAsia="Times New Roman"/>
              </w:rPr>
            </w:pPr>
          </w:p>
        </w:tc>
        <w:tc>
          <w:tcPr>
            <w:tcW w:w="0" w:type="auto"/>
            <w:vAlign w:val="center"/>
            <w:hideMark/>
          </w:tcPr>
          <w:p w14:paraId="689BEA09" w14:textId="77777777" w:rsidR="00000000" w:rsidRDefault="009B6C69">
            <w:pPr>
              <w:spacing w:after="100"/>
              <w:rPr>
                <w:rFonts w:eastAsia="Times New Roman"/>
                <w:sz w:val="20"/>
                <w:szCs w:val="20"/>
              </w:rPr>
            </w:pPr>
          </w:p>
        </w:tc>
        <w:tc>
          <w:tcPr>
            <w:tcW w:w="0" w:type="auto"/>
            <w:vAlign w:val="center"/>
            <w:hideMark/>
          </w:tcPr>
          <w:p w14:paraId="406E5A6C" w14:textId="77777777" w:rsidR="00000000" w:rsidRDefault="009B6C69">
            <w:pPr>
              <w:spacing w:after="100"/>
              <w:rPr>
                <w:rFonts w:eastAsia="Times New Roman"/>
                <w:sz w:val="20"/>
                <w:szCs w:val="20"/>
              </w:rPr>
            </w:pPr>
          </w:p>
        </w:tc>
        <w:tc>
          <w:tcPr>
            <w:tcW w:w="0" w:type="auto"/>
            <w:vAlign w:val="center"/>
            <w:hideMark/>
          </w:tcPr>
          <w:p w14:paraId="648FC470" w14:textId="77777777" w:rsidR="00000000" w:rsidRDefault="009B6C69">
            <w:pPr>
              <w:spacing w:after="100"/>
              <w:rPr>
                <w:rFonts w:eastAsia="Times New Roman"/>
                <w:sz w:val="20"/>
                <w:szCs w:val="20"/>
              </w:rPr>
            </w:pPr>
          </w:p>
        </w:tc>
        <w:tc>
          <w:tcPr>
            <w:tcW w:w="0" w:type="auto"/>
            <w:vAlign w:val="center"/>
            <w:hideMark/>
          </w:tcPr>
          <w:p w14:paraId="7A6FE968" w14:textId="77777777" w:rsidR="00000000" w:rsidRDefault="009B6C69">
            <w:pPr>
              <w:spacing w:after="100"/>
              <w:rPr>
                <w:rFonts w:eastAsia="Times New Roman"/>
                <w:sz w:val="20"/>
                <w:szCs w:val="20"/>
              </w:rPr>
            </w:pPr>
          </w:p>
        </w:tc>
        <w:tc>
          <w:tcPr>
            <w:tcW w:w="0" w:type="auto"/>
            <w:vAlign w:val="center"/>
            <w:hideMark/>
          </w:tcPr>
          <w:p w14:paraId="325A2A20" w14:textId="77777777" w:rsidR="00000000" w:rsidRDefault="009B6C69">
            <w:pPr>
              <w:spacing w:after="100"/>
              <w:rPr>
                <w:rFonts w:eastAsia="Times New Roman"/>
                <w:sz w:val="20"/>
                <w:szCs w:val="20"/>
              </w:rPr>
            </w:pPr>
          </w:p>
        </w:tc>
        <w:tc>
          <w:tcPr>
            <w:tcW w:w="0" w:type="auto"/>
            <w:vAlign w:val="center"/>
            <w:hideMark/>
          </w:tcPr>
          <w:p w14:paraId="480EE477" w14:textId="77777777" w:rsidR="00000000" w:rsidRDefault="009B6C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E5F9712"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3398AF" w14:textId="77777777" w:rsidR="00000000" w:rsidRDefault="009B6C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A7530E4"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E160F6" w14:textId="77777777" w:rsidR="00000000" w:rsidRDefault="009B6C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D5197CF" w14:textId="77777777" w:rsidR="00000000" w:rsidRDefault="009B6C69">
            <w:pPr>
              <w:spacing w:after="100"/>
              <w:rPr>
                <w:rFonts w:eastAsia="Times New Roman"/>
                <w:sz w:val="20"/>
                <w:szCs w:val="20"/>
              </w:rPr>
            </w:pPr>
          </w:p>
        </w:tc>
      </w:tr>
      <w:tr w:rsidR="00000000" w14:paraId="40E00B5B" w14:textId="77777777">
        <w:trPr>
          <w:jc w:val="center"/>
        </w:trPr>
        <w:tc>
          <w:tcPr>
            <w:tcW w:w="0" w:type="auto"/>
            <w:gridSpan w:val="3"/>
            <w:shd w:val="clear" w:color="auto" w:fill="CCEEFF"/>
            <w:tcMar>
              <w:top w:w="30" w:type="dxa"/>
              <w:left w:w="155" w:type="dxa"/>
              <w:bottom w:w="30" w:type="dxa"/>
              <w:right w:w="20" w:type="dxa"/>
            </w:tcMar>
            <w:vAlign w:val="bottom"/>
            <w:hideMark/>
          </w:tcPr>
          <w:p w14:paraId="7344B59C" w14:textId="77777777" w:rsidR="00000000" w:rsidRDefault="009B6C69">
            <w:pPr>
              <w:spacing w:after="100"/>
              <w:rPr>
                <w:rFonts w:eastAsia="Times New Roman"/>
              </w:rPr>
            </w:pPr>
            <w:r>
              <w:rPr>
                <w:rFonts w:eastAsia="Times New Roman"/>
                <w:color w:val="000000"/>
                <w:sz w:val="18"/>
                <w:szCs w:val="18"/>
              </w:rPr>
              <w:t>Cost of revenues</w:t>
            </w:r>
          </w:p>
        </w:tc>
        <w:tc>
          <w:tcPr>
            <w:tcW w:w="0" w:type="auto"/>
            <w:vAlign w:val="center"/>
            <w:hideMark/>
          </w:tcPr>
          <w:p w14:paraId="2DF81942" w14:textId="77777777" w:rsidR="00000000" w:rsidRDefault="009B6C69">
            <w:pPr>
              <w:spacing w:after="100"/>
              <w:rPr>
                <w:rFonts w:eastAsia="Times New Roman"/>
              </w:rPr>
            </w:pPr>
          </w:p>
        </w:tc>
        <w:tc>
          <w:tcPr>
            <w:tcW w:w="0" w:type="auto"/>
            <w:vAlign w:val="center"/>
            <w:hideMark/>
          </w:tcPr>
          <w:p w14:paraId="21EDCEEC" w14:textId="77777777" w:rsidR="00000000" w:rsidRDefault="009B6C69">
            <w:pPr>
              <w:spacing w:after="100"/>
              <w:rPr>
                <w:rFonts w:eastAsia="Times New Roman"/>
                <w:sz w:val="20"/>
                <w:szCs w:val="20"/>
              </w:rPr>
            </w:pPr>
          </w:p>
        </w:tc>
        <w:tc>
          <w:tcPr>
            <w:tcW w:w="0" w:type="auto"/>
            <w:vAlign w:val="center"/>
            <w:hideMark/>
          </w:tcPr>
          <w:p w14:paraId="3B27F453" w14:textId="77777777" w:rsidR="00000000" w:rsidRDefault="009B6C69">
            <w:pPr>
              <w:spacing w:after="100"/>
              <w:rPr>
                <w:rFonts w:eastAsia="Times New Roman"/>
                <w:sz w:val="20"/>
                <w:szCs w:val="20"/>
              </w:rPr>
            </w:pPr>
          </w:p>
        </w:tc>
        <w:tc>
          <w:tcPr>
            <w:tcW w:w="0" w:type="auto"/>
            <w:vAlign w:val="center"/>
            <w:hideMark/>
          </w:tcPr>
          <w:p w14:paraId="06D4DDA9" w14:textId="77777777" w:rsidR="00000000" w:rsidRDefault="009B6C69">
            <w:pPr>
              <w:spacing w:after="100"/>
              <w:rPr>
                <w:rFonts w:eastAsia="Times New Roman"/>
                <w:sz w:val="20"/>
                <w:szCs w:val="20"/>
              </w:rPr>
            </w:pPr>
          </w:p>
        </w:tc>
        <w:tc>
          <w:tcPr>
            <w:tcW w:w="0" w:type="auto"/>
            <w:vAlign w:val="center"/>
            <w:hideMark/>
          </w:tcPr>
          <w:p w14:paraId="2F485724" w14:textId="77777777" w:rsidR="00000000" w:rsidRDefault="009B6C69">
            <w:pPr>
              <w:spacing w:after="100"/>
              <w:rPr>
                <w:rFonts w:eastAsia="Times New Roman"/>
                <w:sz w:val="20"/>
                <w:szCs w:val="20"/>
              </w:rPr>
            </w:pPr>
          </w:p>
        </w:tc>
        <w:tc>
          <w:tcPr>
            <w:tcW w:w="0" w:type="auto"/>
            <w:vAlign w:val="center"/>
            <w:hideMark/>
          </w:tcPr>
          <w:p w14:paraId="0543C325" w14:textId="77777777" w:rsidR="00000000" w:rsidRDefault="009B6C69">
            <w:pPr>
              <w:spacing w:after="100"/>
              <w:rPr>
                <w:rFonts w:eastAsia="Times New Roman"/>
                <w:sz w:val="20"/>
                <w:szCs w:val="20"/>
              </w:rPr>
            </w:pPr>
          </w:p>
        </w:tc>
        <w:tc>
          <w:tcPr>
            <w:tcW w:w="0" w:type="auto"/>
            <w:vAlign w:val="center"/>
            <w:hideMark/>
          </w:tcPr>
          <w:p w14:paraId="13A2055C"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B466A0" w14:textId="77777777" w:rsidR="00000000" w:rsidRDefault="009B6C69">
            <w:pPr>
              <w:spacing w:after="100"/>
              <w:jc w:val="right"/>
              <w:rPr>
                <w:rFonts w:eastAsia="Times New Roman"/>
              </w:rPr>
            </w:pPr>
            <w:r>
              <w:rPr>
                <w:rFonts w:eastAsia="Times New Roman"/>
                <w:color w:val="000000"/>
                <w:sz w:val="18"/>
                <w:szCs w:val="18"/>
              </w:rPr>
              <w:t>18,635 </w:t>
            </w:r>
          </w:p>
        </w:tc>
        <w:tc>
          <w:tcPr>
            <w:tcW w:w="0" w:type="auto"/>
            <w:shd w:val="clear" w:color="auto" w:fill="CCEEFF"/>
            <w:tcMar>
              <w:top w:w="30" w:type="dxa"/>
              <w:left w:w="0" w:type="dxa"/>
              <w:bottom w:w="30" w:type="dxa"/>
              <w:right w:w="20" w:type="dxa"/>
            </w:tcMar>
            <w:vAlign w:val="bottom"/>
            <w:hideMark/>
          </w:tcPr>
          <w:p w14:paraId="28D1D78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470462"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7FD401" w14:textId="77777777" w:rsidR="00000000" w:rsidRDefault="009B6C69">
            <w:pPr>
              <w:spacing w:after="100"/>
              <w:jc w:val="right"/>
              <w:rPr>
                <w:rFonts w:eastAsia="Times New Roman"/>
              </w:rPr>
            </w:pPr>
            <w:r>
              <w:rPr>
                <w:rFonts w:eastAsia="Times New Roman"/>
                <w:color w:val="000000"/>
                <w:sz w:val="18"/>
                <w:szCs w:val="18"/>
              </w:rPr>
              <w:t>14,262 </w:t>
            </w:r>
          </w:p>
        </w:tc>
        <w:tc>
          <w:tcPr>
            <w:tcW w:w="0" w:type="auto"/>
            <w:shd w:val="clear" w:color="auto" w:fill="CCEEFF"/>
            <w:tcMar>
              <w:top w:w="30" w:type="dxa"/>
              <w:left w:w="0" w:type="dxa"/>
              <w:bottom w:w="30" w:type="dxa"/>
              <w:right w:w="20" w:type="dxa"/>
            </w:tcMar>
            <w:vAlign w:val="bottom"/>
            <w:hideMark/>
          </w:tcPr>
          <w:p w14:paraId="22F5113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A33A10"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F736AD" w14:textId="77777777" w:rsidR="00000000" w:rsidRDefault="009B6C69">
            <w:pPr>
              <w:spacing w:after="100"/>
              <w:jc w:val="right"/>
              <w:rPr>
                <w:rFonts w:eastAsia="Times New Roman"/>
              </w:rPr>
            </w:pPr>
            <w:r>
              <w:rPr>
                <w:rFonts w:eastAsia="Times New Roman"/>
                <w:color w:val="000000"/>
                <w:sz w:val="18"/>
                <w:szCs w:val="18"/>
              </w:rPr>
              <w:t>9,255 </w:t>
            </w:r>
          </w:p>
        </w:tc>
        <w:tc>
          <w:tcPr>
            <w:tcW w:w="0" w:type="auto"/>
            <w:shd w:val="clear" w:color="auto" w:fill="CCEEFF"/>
            <w:tcMar>
              <w:top w:w="30" w:type="dxa"/>
              <w:left w:w="0" w:type="dxa"/>
              <w:bottom w:w="30" w:type="dxa"/>
              <w:right w:w="20" w:type="dxa"/>
            </w:tcMar>
            <w:vAlign w:val="bottom"/>
            <w:hideMark/>
          </w:tcPr>
          <w:p w14:paraId="14F973E6" w14:textId="77777777" w:rsidR="00000000" w:rsidRDefault="009B6C69">
            <w:pPr>
              <w:spacing w:after="100"/>
              <w:jc w:val="right"/>
              <w:rPr>
                <w:rFonts w:eastAsia="Times New Roman"/>
              </w:rPr>
            </w:pPr>
          </w:p>
        </w:tc>
      </w:tr>
      <w:tr w:rsidR="00000000" w14:paraId="1E33B9AE" w14:textId="77777777">
        <w:trPr>
          <w:jc w:val="center"/>
        </w:trPr>
        <w:tc>
          <w:tcPr>
            <w:tcW w:w="0" w:type="auto"/>
            <w:gridSpan w:val="3"/>
            <w:shd w:val="clear" w:color="auto" w:fill="FFFFFF"/>
            <w:tcMar>
              <w:top w:w="30" w:type="dxa"/>
              <w:left w:w="155" w:type="dxa"/>
              <w:bottom w:w="30" w:type="dxa"/>
              <w:right w:w="20" w:type="dxa"/>
            </w:tcMar>
            <w:vAlign w:val="bottom"/>
            <w:hideMark/>
          </w:tcPr>
          <w:p w14:paraId="6E2082DD" w14:textId="77777777" w:rsidR="00000000" w:rsidRDefault="009B6C69">
            <w:pPr>
              <w:spacing w:after="100"/>
              <w:rPr>
                <w:rFonts w:eastAsia="Times New Roman"/>
              </w:rPr>
            </w:pPr>
            <w:r>
              <w:rPr>
                <w:rFonts w:eastAsia="Times New Roman"/>
                <w:color w:val="000000"/>
                <w:sz w:val="18"/>
                <w:szCs w:val="18"/>
              </w:rPr>
              <w:t>Research and development</w:t>
            </w:r>
          </w:p>
        </w:tc>
        <w:tc>
          <w:tcPr>
            <w:tcW w:w="0" w:type="auto"/>
            <w:vAlign w:val="center"/>
            <w:hideMark/>
          </w:tcPr>
          <w:p w14:paraId="70494C32" w14:textId="77777777" w:rsidR="00000000" w:rsidRDefault="009B6C69">
            <w:pPr>
              <w:spacing w:after="100"/>
              <w:rPr>
                <w:rFonts w:eastAsia="Times New Roman"/>
              </w:rPr>
            </w:pPr>
          </w:p>
        </w:tc>
        <w:tc>
          <w:tcPr>
            <w:tcW w:w="0" w:type="auto"/>
            <w:vAlign w:val="center"/>
            <w:hideMark/>
          </w:tcPr>
          <w:p w14:paraId="46FD1A5E" w14:textId="77777777" w:rsidR="00000000" w:rsidRDefault="009B6C69">
            <w:pPr>
              <w:spacing w:after="100"/>
              <w:rPr>
                <w:rFonts w:eastAsia="Times New Roman"/>
                <w:sz w:val="20"/>
                <w:szCs w:val="20"/>
              </w:rPr>
            </w:pPr>
          </w:p>
        </w:tc>
        <w:tc>
          <w:tcPr>
            <w:tcW w:w="0" w:type="auto"/>
            <w:vAlign w:val="center"/>
            <w:hideMark/>
          </w:tcPr>
          <w:p w14:paraId="76E959E4" w14:textId="77777777" w:rsidR="00000000" w:rsidRDefault="009B6C69">
            <w:pPr>
              <w:spacing w:after="100"/>
              <w:rPr>
                <w:rFonts w:eastAsia="Times New Roman"/>
                <w:sz w:val="20"/>
                <w:szCs w:val="20"/>
              </w:rPr>
            </w:pPr>
          </w:p>
        </w:tc>
        <w:tc>
          <w:tcPr>
            <w:tcW w:w="0" w:type="auto"/>
            <w:vAlign w:val="center"/>
            <w:hideMark/>
          </w:tcPr>
          <w:p w14:paraId="712A868C" w14:textId="77777777" w:rsidR="00000000" w:rsidRDefault="009B6C69">
            <w:pPr>
              <w:spacing w:after="100"/>
              <w:rPr>
                <w:rFonts w:eastAsia="Times New Roman"/>
                <w:sz w:val="20"/>
                <w:szCs w:val="20"/>
              </w:rPr>
            </w:pPr>
          </w:p>
        </w:tc>
        <w:tc>
          <w:tcPr>
            <w:tcW w:w="0" w:type="auto"/>
            <w:vAlign w:val="center"/>
            <w:hideMark/>
          </w:tcPr>
          <w:p w14:paraId="0778997B" w14:textId="77777777" w:rsidR="00000000" w:rsidRDefault="009B6C69">
            <w:pPr>
              <w:spacing w:after="100"/>
              <w:rPr>
                <w:rFonts w:eastAsia="Times New Roman"/>
                <w:sz w:val="20"/>
                <w:szCs w:val="20"/>
              </w:rPr>
            </w:pPr>
          </w:p>
        </w:tc>
        <w:tc>
          <w:tcPr>
            <w:tcW w:w="0" w:type="auto"/>
            <w:vAlign w:val="center"/>
            <w:hideMark/>
          </w:tcPr>
          <w:p w14:paraId="38A4B776" w14:textId="77777777" w:rsidR="00000000" w:rsidRDefault="009B6C69">
            <w:pPr>
              <w:spacing w:after="100"/>
              <w:rPr>
                <w:rFonts w:eastAsia="Times New Roman"/>
                <w:sz w:val="20"/>
                <w:szCs w:val="20"/>
              </w:rPr>
            </w:pPr>
          </w:p>
        </w:tc>
        <w:tc>
          <w:tcPr>
            <w:tcW w:w="0" w:type="auto"/>
            <w:vAlign w:val="center"/>
            <w:hideMark/>
          </w:tcPr>
          <w:p w14:paraId="221EF10D"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1248A1" w14:textId="77777777" w:rsidR="00000000" w:rsidRDefault="009B6C69">
            <w:pPr>
              <w:spacing w:after="100"/>
              <w:jc w:val="right"/>
              <w:rPr>
                <w:rFonts w:eastAsia="Times New Roman"/>
              </w:rPr>
            </w:pPr>
            <w:r>
              <w:rPr>
                <w:rFonts w:eastAsia="Times New Roman"/>
                <w:color w:val="000000"/>
                <w:sz w:val="18"/>
                <w:szCs w:val="18"/>
              </w:rPr>
              <w:t>8,194 </w:t>
            </w:r>
          </w:p>
        </w:tc>
        <w:tc>
          <w:tcPr>
            <w:tcW w:w="0" w:type="auto"/>
            <w:shd w:val="clear" w:color="auto" w:fill="FFFFFF"/>
            <w:tcMar>
              <w:top w:w="30" w:type="dxa"/>
              <w:left w:w="0" w:type="dxa"/>
              <w:bottom w:w="30" w:type="dxa"/>
              <w:right w:w="20" w:type="dxa"/>
            </w:tcMar>
            <w:vAlign w:val="bottom"/>
            <w:hideMark/>
          </w:tcPr>
          <w:p w14:paraId="10791837"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A2B3A6"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D2AD96" w14:textId="77777777" w:rsidR="00000000" w:rsidRDefault="009B6C69">
            <w:pPr>
              <w:spacing w:after="100"/>
              <w:jc w:val="right"/>
              <w:rPr>
                <w:rFonts w:eastAsia="Times New Roman"/>
              </w:rPr>
            </w:pPr>
            <w:r>
              <w:rPr>
                <w:rFonts w:eastAsia="Times New Roman"/>
                <w:color w:val="000000"/>
                <w:sz w:val="18"/>
                <w:szCs w:val="18"/>
              </w:rPr>
              <w:t>7,176 </w:t>
            </w:r>
          </w:p>
        </w:tc>
        <w:tc>
          <w:tcPr>
            <w:tcW w:w="0" w:type="auto"/>
            <w:shd w:val="clear" w:color="auto" w:fill="FFFFFF"/>
            <w:tcMar>
              <w:top w:w="30" w:type="dxa"/>
              <w:left w:w="0" w:type="dxa"/>
              <w:bottom w:w="30" w:type="dxa"/>
              <w:right w:w="20" w:type="dxa"/>
            </w:tcMar>
            <w:vAlign w:val="bottom"/>
            <w:hideMark/>
          </w:tcPr>
          <w:p w14:paraId="495A3BDE"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B78E77"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E12467" w14:textId="77777777" w:rsidR="00000000" w:rsidRDefault="009B6C69">
            <w:pPr>
              <w:spacing w:after="100"/>
              <w:jc w:val="right"/>
              <w:rPr>
                <w:rFonts w:eastAsia="Times New Roman"/>
              </w:rPr>
            </w:pPr>
            <w:r>
              <w:rPr>
                <w:rFonts w:eastAsia="Times New Roman"/>
                <w:color w:val="000000"/>
                <w:sz w:val="18"/>
                <w:szCs w:val="18"/>
              </w:rPr>
              <w:t>5,975 </w:t>
            </w:r>
          </w:p>
        </w:tc>
        <w:tc>
          <w:tcPr>
            <w:tcW w:w="0" w:type="auto"/>
            <w:shd w:val="clear" w:color="auto" w:fill="FFFFFF"/>
            <w:tcMar>
              <w:top w:w="30" w:type="dxa"/>
              <w:left w:w="0" w:type="dxa"/>
              <w:bottom w:w="30" w:type="dxa"/>
              <w:right w:w="20" w:type="dxa"/>
            </w:tcMar>
            <w:vAlign w:val="bottom"/>
            <w:hideMark/>
          </w:tcPr>
          <w:p w14:paraId="113E4D9A" w14:textId="77777777" w:rsidR="00000000" w:rsidRDefault="009B6C69">
            <w:pPr>
              <w:spacing w:after="100"/>
              <w:jc w:val="right"/>
              <w:rPr>
                <w:rFonts w:eastAsia="Times New Roman"/>
              </w:rPr>
            </w:pPr>
          </w:p>
        </w:tc>
      </w:tr>
      <w:tr w:rsidR="00000000" w14:paraId="5D19EF12" w14:textId="77777777">
        <w:trPr>
          <w:jc w:val="center"/>
        </w:trPr>
        <w:tc>
          <w:tcPr>
            <w:tcW w:w="0" w:type="auto"/>
            <w:gridSpan w:val="3"/>
            <w:shd w:val="clear" w:color="auto" w:fill="CCEEFF"/>
            <w:tcMar>
              <w:top w:w="30" w:type="dxa"/>
              <w:left w:w="155" w:type="dxa"/>
              <w:bottom w:w="30" w:type="dxa"/>
              <w:right w:w="20" w:type="dxa"/>
            </w:tcMar>
            <w:vAlign w:val="bottom"/>
            <w:hideMark/>
          </w:tcPr>
          <w:p w14:paraId="41670C8C" w14:textId="77777777" w:rsidR="00000000" w:rsidRDefault="009B6C69">
            <w:pPr>
              <w:spacing w:after="100"/>
              <w:rPr>
                <w:rFonts w:eastAsia="Times New Roman"/>
              </w:rPr>
            </w:pPr>
            <w:r>
              <w:rPr>
                <w:rFonts w:eastAsia="Times New Roman"/>
                <w:color w:val="000000"/>
                <w:sz w:val="18"/>
                <w:szCs w:val="18"/>
              </w:rPr>
              <w:t>Selling, general and administrative</w:t>
            </w:r>
          </w:p>
        </w:tc>
        <w:tc>
          <w:tcPr>
            <w:tcW w:w="0" w:type="auto"/>
            <w:vAlign w:val="center"/>
            <w:hideMark/>
          </w:tcPr>
          <w:p w14:paraId="29592383" w14:textId="77777777" w:rsidR="00000000" w:rsidRDefault="009B6C69">
            <w:pPr>
              <w:spacing w:after="100"/>
              <w:rPr>
                <w:rFonts w:eastAsia="Times New Roman"/>
              </w:rPr>
            </w:pPr>
          </w:p>
        </w:tc>
        <w:tc>
          <w:tcPr>
            <w:tcW w:w="0" w:type="auto"/>
            <w:vAlign w:val="center"/>
            <w:hideMark/>
          </w:tcPr>
          <w:p w14:paraId="5BB42B76" w14:textId="77777777" w:rsidR="00000000" w:rsidRDefault="009B6C69">
            <w:pPr>
              <w:spacing w:after="100"/>
              <w:rPr>
                <w:rFonts w:eastAsia="Times New Roman"/>
                <w:sz w:val="20"/>
                <w:szCs w:val="20"/>
              </w:rPr>
            </w:pPr>
          </w:p>
        </w:tc>
        <w:tc>
          <w:tcPr>
            <w:tcW w:w="0" w:type="auto"/>
            <w:vAlign w:val="center"/>
            <w:hideMark/>
          </w:tcPr>
          <w:p w14:paraId="29F423A9" w14:textId="77777777" w:rsidR="00000000" w:rsidRDefault="009B6C69">
            <w:pPr>
              <w:spacing w:after="100"/>
              <w:rPr>
                <w:rFonts w:eastAsia="Times New Roman"/>
                <w:sz w:val="20"/>
                <w:szCs w:val="20"/>
              </w:rPr>
            </w:pPr>
          </w:p>
        </w:tc>
        <w:tc>
          <w:tcPr>
            <w:tcW w:w="0" w:type="auto"/>
            <w:vAlign w:val="center"/>
            <w:hideMark/>
          </w:tcPr>
          <w:p w14:paraId="1608E36A" w14:textId="77777777" w:rsidR="00000000" w:rsidRDefault="009B6C69">
            <w:pPr>
              <w:spacing w:after="100"/>
              <w:rPr>
                <w:rFonts w:eastAsia="Times New Roman"/>
                <w:sz w:val="20"/>
                <w:szCs w:val="20"/>
              </w:rPr>
            </w:pPr>
          </w:p>
        </w:tc>
        <w:tc>
          <w:tcPr>
            <w:tcW w:w="0" w:type="auto"/>
            <w:vAlign w:val="center"/>
            <w:hideMark/>
          </w:tcPr>
          <w:p w14:paraId="6E0904E4" w14:textId="77777777" w:rsidR="00000000" w:rsidRDefault="009B6C69">
            <w:pPr>
              <w:spacing w:after="100"/>
              <w:rPr>
                <w:rFonts w:eastAsia="Times New Roman"/>
                <w:sz w:val="20"/>
                <w:szCs w:val="20"/>
              </w:rPr>
            </w:pPr>
          </w:p>
        </w:tc>
        <w:tc>
          <w:tcPr>
            <w:tcW w:w="0" w:type="auto"/>
            <w:vAlign w:val="center"/>
            <w:hideMark/>
          </w:tcPr>
          <w:p w14:paraId="6B0D7F2F" w14:textId="77777777" w:rsidR="00000000" w:rsidRDefault="009B6C69">
            <w:pPr>
              <w:spacing w:after="100"/>
              <w:rPr>
                <w:rFonts w:eastAsia="Times New Roman"/>
                <w:sz w:val="20"/>
                <w:szCs w:val="20"/>
              </w:rPr>
            </w:pPr>
          </w:p>
        </w:tc>
        <w:tc>
          <w:tcPr>
            <w:tcW w:w="0" w:type="auto"/>
            <w:vAlign w:val="center"/>
            <w:hideMark/>
          </w:tcPr>
          <w:p w14:paraId="7FD51EB0"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074671" w14:textId="77777777" w:rsidR="00000000" w:rsidRDefault="009B6C69">
            <w:pPr>
              <w:spacing w:after="100"/>
              <w:jc w:val="right"/>
              <w:rPr>
                <w:rFonts w:eastAsia="Times New Roman"/>
              </w:rPr>
            </w:pPr>
            <w:r>
              <w:rPr>
                <w:rFonts w:eastAsia="Times New Roman"/>
                <w:color w:val="000000"/>
                <w:sz w:val="18"/>
                <w:szCs w:val="18"/>
              </w:rPr>
              <w:t>2,570 </w:t>
            </w:r>
          </w:p>
        </w:tc>
        <w:tc>
          <w:tcPr>
            <w:tcW w:w="0" w:type="auto"/>
            <w:shd w:val="clear" w:color="auto" w:fill="CCEEFF"/>
            <w:tcMar>
              <w:top w:w="30" w:type="dxa"/>
              <w:left w:w="0" w:type="dxa"/>
              <w:bottom w:w="30" w:type="dxa"/>
              <w:right w:w="20" w:type="dxa"/>
            </w:tcMar>
            <w:vAlign w:val="bottom"/>
            <w:hideMark/>
          </w:tcPr>
          <w:p w14:paraId="6826244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4BBA93"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416501" w14:textId="77777777" w:rsidR="00000000" w:rsidRDefault="009B6C69">
            <w:pPr>
              <w:spacing w:after="100"/>
              <w:jc w:val="right"/>
              <w:rPr>
                <w:rFonts w:eastAsia="Times New Roman"/>
              </w:rPr>
            </w:pPr>
            <w:r>
              <w:rPr>
                <w:rFonts w:eastAsia="Times New Roman"/>
                <w:color w:val="000000"/>
                <w:sz w:val="18"/>
                <w:szCs w:val="18"/>
              </w:rPr>
              <w:t>2,339 </w:t>
            </w:r>
          </w:p>
        </w:tc>
        <w:tc>
          <w:tcPr>
            <w:tcW w:w="0" w:type="auto"/>
            <w:shd w:val="clear" w:color="auto" w:fill="CCEEFF"/>
            <w:tcMar>
              <w:top w:w="30" w:type="dxa"/>
              <w:left w:w="0" w:type="dxa"/>
              <w:bottom w:w="30" w:type="dxa"/>
              <w:right w:w="20" w:type="dxa"/>
            </w:tcMar>
            <w:vAlign w:val="bottom"/>
            <w:hideMark/>
          </w:tcPr>
          <w:p w14:paraId="75CCBBC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4C3754"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F3655C" w14:textId="77777777" w:rsidR="00000000" w:rsidRDefault="009B6C69">
            <w:pPr>
              <w:spacing w:after="100"/>
              <w:jc w:val="right"/>
              <w:rPr>
                <w:rFonts w:eastAsia="Times New Roman"/>
              </w:rPr>
            </w:pPr>
            <w:r>
              <w:rPr>
                <w:rFonts w:eastAsia="Times New Roman"/>
                <w:color w:val="000000"/>
                <w:sz w:val="18"/>
                <w:szCs w:val="18"/>
              </w:rPr>
              <w:t>2,074 </w:t>
            </w:r>
          </w:p>
        </w:tc>
        <w:tc>
          <w:tcPr>
            <w:tcW w:w="0" w:type="auto"/>
            <w:shd w:val="clear" w:color="auto" w:fill="CCEEFF"/>
            <w:tcMar>
              <w:top w:w="30" w:type="dxa"/>
              <w:left w:w="0" w:type="dxa"/>
              <w:bottom w:w="30" w:type="dxa"/>
              <w:right w:w="20" w:type="dxa"/>
            </w:tcMar>
            <w:vAlign w:val="bottom"/>
            <w:hideMark/>
          </w:tcPr>
          <w:p w14:paraId="5C845E13" w14:textId="77777777" w:rsidR="00000000" w:rsidRDefault="009B6C69">
            <w:pPr>
              <w:spacing w:after="100"/>
              <w:jc w:val="right"/>
              <w:rPr>
                <w:rFonts w:eastAsia="Times New Roman"/>
              </w:rPr>
            </w:pPr>
          </w:p>
        </w:tc>
      </w:tr>
      <w:tr w:rsidR="00000000" w14:paraId="6533F2DA" w14:textId="77777777">
        <w:trPr>
          <w:jc w:val="center"/>
        </w:trPr>
        <w:tc>
          <w:tcPr>
            <w:tcW w:w="0" w:type="auto"/>
            <w:gridSpan w:val="3"/>
            <w:tcMar>
              <w:top w:w="30" w:type="dxa"/>
              <w:left w:w="155" w:type="dxa"/>
              <w:bottom w:w="30" w:type="dxa"/>
              <w:right w:w="20" w:type="dxa"/>
            </w:tcMar>
            <w:vAlign w:val="bottom"/>
            <w:hideMark/>
          </w:tcPr>
          <w:p w14:paraId="46F55C28" w14:textId="77777777" w:rsidR="00000000" w:rsidRDefault="009B6C69">
            <w:pPr>
              <w:spacing w:after="100"/>
              <w:rPr>
                <w:rFonts w:eastAsia="Times New Roman"/>
              </w:rPr>
            </w:pPr>
            <w:r>
              <w:rPr>
                <w:rFonts w:eastAsia="Times New Roman"/>
                <w:color w:val="000000"/>
                <w:sz w:val="18"/>
                <w:szCs w:val="18"/>
              </w:rPr>
              <w:t>Other (Note 2)</w:t>
            </w:r>
          </w:p>
        </w:tc>
        <w:tc>
          <w:tcPr>
            <w:tcW w:w="0" w:type="auto"/>
            <w:vAlign w:val="center"/>
            <w:hideMark/>
          </w:tcPr>
          <w:p w14:paraId="4DDD4378" w14:textId="77777777" w:rsidR="00000000" w:rsidRDefault="009B6C69">
            <w:pPr>
              <w:spacing w:after="100"/>
              <w:rPr>
                <w:rFonts w:eastAsia="Times New Roman"/>
              </w:rPr>
            </w:pPr>
          </w:p>
        </w:tc>
        <w:tc>
          <w:tcPr>
            <w:tcW w:w="0" w:type="auto"/>
            <w:vAlign w:val="center"/>
            <w:hideMark/>
          </w:tcPr>
          <w:p w14:paraId="3C7243BC" w14:textId="77777777" w:rsidR="00000000" w:rsidRDefault="009B6C69">
            <w:pPr>
              <w:spacing w:after="100"/>
              <w:rPr>
                <w:rFonts w:eastAsia="Times New Roman"/>
                <w:sz w:val="20"/>
                <w:szCs w:val="20"/>
              </w:rPr>
            </w:pPr>
          </w:p>
        </w:tc>
        <w:tc>
          <w:tcPr>
            <w:tcW w:w="0" w:type="auto"/>
            <w:vAlign w:val="center"/>
            <w:hideMark/>
          </w:tcPr>
          <w:p w14:paraId="069D67C8" w14:textId="77777777" w:rsidR="00000000" w:rsidRDefault="009B6C69">
            <w:pPr>
              <w:spacing w:after="100"/>
              <w:rPr>
                <w:rFonts w:eastAsia="Times New Roman"/>
                <w:sz w:val="20"/>
                <w:szCs w:val="20"/>
              </w:rPr>
            </w:pPr>
          </w:p>
        </w:tc>
        <w:tc>
          <w:tcPr>
            <w:tcW w:w="0" w:type="auto"/>
            <w:vAlign w:val="center"/>
            <w:hideMark/>
          </w:tcPr>
          <w:p w14:paraId="5FA30705" w14:textId="77777777" w:rsidR="00000000" w:rsidRDefault="009B6C69">
            <w:pPr>
              <w:spacing w:after="100"/>
              <w:rPr>
                <w:rFonts w:eastAsia="Times New Roman"/>
                <w:sz w:val="20"/>
                <w:szCs w:val="20"/>
              </w:rPr>
            </w:pPr>
          </w:p>
        </w:tc>
        <w:tc>
          <w:tcPr>
            <w:tcW w:w="0" w:type="auto"/>
            <w:vAlign w:val="center"/>
            <w:hideMark/>
          </w:tcPr>
          <w:p w14:paraId="0C5140D5" w14:textId="77777777" w:rsidR="00000000" w:rsidRDefault="009B6C69">
            <w:pPr>
              <w:spacing w:after="100"/>
              <w:rPr>
                <w:rFonts w:eastAsia="Times New Roman"/>
                <w:sz w:val="20"/>
                <w:szCs w:val="20"/>
              </w:rPr>
            </w:pPr>
          </w:p>
        </w:tc>
        <w:tc>
          <w:tcPr>
            <w:tcW w:w="0" w:type="auto"/>
            <w:vAlign w:val="center"/>
            <w:hideMark/>
          </w:tcPr>
          <w:p w14:paraId="2430E214" w14:textId="77777777" w:rsidR="00000000" w:rsidRDefault="009B6C69">
            <w:pPr>
              <w:spacing w:after="100"/>
              <w:rPr>
                <w:rFonts w:eastAsia="Times New Roman"/>
                <w:sz w:val="20"/>
                <w:szCs w:val="20"/>
              </w:rPr>
            </w:pPr>
          </w:p>
        </w:tc>
        <w:tc>
          <w:tcPr>
            <w:tcW w:w="0" w:type="auto"/>
            <w:vAlign w:val="center"/>
            <w:hideMark/>
          </w:tcPr>
          <w:p w14:paraId="025DE3AC"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F3FF1F" w14:textId="77777777" w:rsidR="00000000" w:rsidRDefault="009B6C69">
            <w:pPr>
              <w:spacing w:after="100"/>
              <w:jc w:val="right"/>
              <w:rPr>
                <w:rFonts w:eastAsia="Times New Roman"/>
              </w:rPr>
            </w:pPr>
            <w:r>
              <w:rPr>
                <w:rFonts w:eastAsia="Times New Roman"/>
                <w:color w:val="000000"/>
                <w:sz w:val="18"/>
                <w:szCs w:val="18"/>
              </w:rPr>
              <w:t>(1,059)</w:t>
            </w:r>
          </w:p>
        </w:tc>
        <w:tc>
          <w:tcPr>
            <w:tcW w:w="0" w:type="auto"/>
            <w:shd w:val="clear" w:color="auto" w:fill="FFFFFF"/>
            <w:tcMar>
              <w:top w:w="30" w:type="dxa"/>
              <w:left w:w="0" w:type="dxa"/>
              <w:bottom w:w="30" w:type="dxa"/>
              <w:right w:w="20" w:type="dxa"/>
            </w:tcMar>
            <w:vAlign w:val="bottom"/>
            <w:hideMark/>
          </w:tcPr>
          <w:p w14:paraId="398F2699"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C8A05C"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BCCF07"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05EFEB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5E4450"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6FAABE" w14:textId="77777777" w:rsidR="00000000" w:rsidRDefault="009B6C69">
            <w:pPr>
              <w:spacing w:after="100"/>
              <w:jc w:val="right"/>
              <w:rPr>
                <w:rFonts w:eastAsia="Times New Roman"/>
              </w:rPr>
            </w:pPr>
            <w:r>
              <w:rPr>
                <w:rFonts w:eastAsia="Times New Roman"/>
                <w:color w:val="000000"/>
                <w:sz w:val="18"/>
                <w:szCs w:val="18"/>
              </w:rPr>
              <w:t>(28)</w:t>
            </w:r>
          </w:p>
        </w:tc>
        <w:tc>
          <w:tcPr>
            <w:tcW w:w="0" w:type="auto"/>
            <w:shd w:val="clear" w:color="auto" w:fill="FFFFFF"/>
            <w:tcMar>
              <w:top w:w="30" w:type="dxa"/>
              <w:left w:w="0" w:type="dxa"/>
              <w:bottom w:w="30" w:type="dxa"/>
              <w:right w:w="20" w:type="dxa"/>
            </w:tcMar>
            <w:vAlign w:val="bottom"/>
            <w:hideMark/>
          </w:tcPr>
          <w:p w14:paraId="34F63AA1" w14:textId="77777777" w:rsidR="00000000" w:rsidRDefault="009B6C69">
            <w:pPr>
              <w:spacing w:after="100"/>
              <w:jc w:val="right"/>
              <w:rPr>
                <w:rFonts w:eastAsia="Times New Roman"/>
              </w:rPr>
            </w:pPr>
          </w:p>
        </w:tc>
      </w:tr>
      <w:tr w:rsidR="00000000" w14:paraId="200D6701" w14:textId="77777777">
        <w:trPr>
          <w:jc w:val="center"/>
        </w:trPr>
        <w:tc>
          <w:tcPr>
            <w:tcW w:w="0" w:type="auto"/>
            <w:gridSpan w:val="3"/>
            <w:shd w:val="clear" w:color="auto" w:fill="CCEEFF"/>
            <w:tcMar>
              <w:top w:w="30" w:type="dxa"/>
              <w:left w:w="380" w:type="dxa"/>
              <w:bottom w:w="30" w:type="dxa"/>
              <w:right w:w="20" w:type="dxa"/>
            </w:tcMar>
            <w:vAlign w:val="bottom"/>
            <w:hideMark/>
          </w:tcPr>
          <w:p w14:paraId="14F87029" w14:textId="77777777" w:rsidR="00000000" w:rsidRDefault="009B6C69">
            <w:pPr>
              <w:spacing w:after="100"/>
              <w:rPr>
                <w:rFonts w:eastAsia="Times New Roman"/>
              </w:rPr>
            </w:pPr>
            <w:r>
              <w:rPr>
                <w:rFonts w:eastAsia="Times New Roman"/>
                <w:color w:val="000000"/>
                <w:sz w:val="18"/>
                <w:szCs w:val="18"/>
              </w:rPr>
              <w:t>Total costs and expenses</w:t>
            </w:r>
          </w:p>
        </w:tc>
        <w:tc>
          <w:tcPr>
            <w:tcW w:w="0" w:type="auto"/>
            <w:vAlign w:val="center"/>
            <w:hideMark/>
          </w:tcPr>
          <w:p w14:paraId="19F39C01" w14:textId="77777777" w:rsidR="00000000" w:rsidRDefault="009B6C69">
            <w:pPr>
              <w:spacing w:after="100"/>
              <w:rPr>
                <w:rFonts w:eastAsia="Times New Roman"/>
              </w:rPr>
            </w:pPr>
          </w:p>
        </w:tc>
        <w:tc>
          <w:tcPr>
            <w:tcW w:w="0" w:type="auto"/>
            <w:vAlign w:val="center"/>
            <w:hideMark/>
          </w:tcPr>
          <w:p w14:paraId="31B4944D" w14:textId="77777777" w:rsidR="00000000" w:rsidRDefault="009B6C69">
            <w:pPr>
              <w:spacing w:after="100"/>
              <w:rPr>
                <w:rFonts w:eastAsia="Times New Roman"/>
                <w:sz w:val="20"/>
                <w:szCs w:val="20"/>
              </w:rPr>
            </w:pPr>
          </w:p>
        </w:tc>
        <w:tc>
          <w:tcPr>
            <w:tcW w:w="0" w:type="auto"/>
            <w:vAlign w:val="center"/>
            <w:hideMark/>
          </w:tcPr>
          <w:p w14:paraId="77AA21D0" w14:textId="77777777" w:rsidR="00000000" w:rsidRDefault="009B6C69">
            <w:pPr>
              <w:spacing w:after="100"/>
              <w:rPr>
                <w:rFonts w:eastAsia="Times New Roman"/>
                <w:sz w:val="20"/>
                <w:szCs w:val="20"/>
              </w:rPr>
            </w:pPr>
          </w:p>
        </w:tc>
        <w:tc>
          <w:tcPr>
            <w:tcW w:w="0" w:type="auto"/>
            <w:vAlign w:val="center"/>
            <w:hideMark/>
          </w:tcPr>
          <w:p w14:paraId="54E03294" w14:textId="77777777" w:rsidR="00000000" w:rsidRDefault="009B6C69">
            <w:pPr>
              <w:spacing w:after="100"/>
              <w:rPr>
                <w:rFonts w:eastAsia="Times New Roman"/>
                <w:sz w:val="20"/>
                <w:szCs w:val="20"/>
              </w:rPr>
            </w:pPr>
          </w:p>
        </w:tc>
        <w:tc>
          <w:tcPr>
            <w:tcW w:w="0" w:type="auto"/>
            <w:vAlign w:val="center"/>
            <w:hideMark/>
          </w:tcPr>
          <w:p w14:paraId="38014815" w14:textId="77777777" w:rsidR="00000000" w:rsidRDefault="009B6C69">
            <w:pPr>
              <w:spacing w:after="100"/>
              <w:rPr>
                <w:rFonts w:eastAsia="Times New Roman"/>
                <w:sz w:val="20"/>
                <w:szCs w:val="20"/>
              </w:rPr>
            </w:pPr>
          </w:p>
        </w:tc>
        <w:tc>
          <w:tcPr>
            <w:tcW w:w="0" w:type="auto"/>
            <w:vAlign w:val="center"/>
            <w:hideMark/>
          </w:tcPr>
          <w:p w14:paraId="2437322F" w14:textId="77777777" w:rsidR="00000000" w:rsidRDefault="009B6C69">
            <w:pPr>
              <w:spacing w:after="100"/>
              <w:rPr>
                <w:rFonts w:eastAsia="Times New Roman"/>
                <w:sz w:val="20"/>
                <w:szCs w:val="20"/>
              </w:rPr>
            </w:pPr>
          </w:p>
        </w:tc>
        <w:tc>
          <w:tcPr>
            <w:tcW w:w="0" w:type="auto"/>
            <w:vAlign w:val="center"/>
            <w:hideMark/>
          </w:tcPr>
          <w:p w14:paraId="748D05C5" w14:textId="77777777" w:rsidR="00000000" w:rsidRDefault="009B6C69">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234875" w14:textId="77777777" w:rsidR="00000000" w:rsidRDefault="009B6C69">
            <w:pPr>
              <w:spacing w:after="100"/>
              <w:jc w:val="right"/>
              <w:rPr>
                <w:rFonts w:eastAsia="Times New Roman"/>
              </w:rPr>
            </w:pPr>
            <w:r>
              <w:rPr>
                <w:rFonts w:eastAsia="Times New Roman"/>
                <w:color w:val="000000"/>
                <w:sz w:val="18"/>
                <w:szCs w:val="18"/>
              </w:rPr>
              <w:t>28,340 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9F8DF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151D70"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16FEB9" w14:textId="77777777" w:rsidR="00000000" w:rsidRDefault="009B6C69">
            <w:pPr>
              <w:spacing w:after="100"/>
              <w:jc w:val="right"/>
              <w:rPr>
                <w:rFonts w:eastAsia="Times New Roman"/>
              </w:rPr>
            </w:pPr>
            <w:r>
              <w:rPr>
                <w:rFonts w:eastAsia="Times New Roman"/>
                <w:color w:val="000000"/>
                <w:sz w:val="18"/>
                <w:szCs w:val="18"/>
              </w:rPr>
              <w:t>23,777 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36B90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6615C1"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5D702C" w14:textId="77777777" w:rsidR="00000000" w:rsidRDefault="009B6C69">
            <w:pPr>
              <w:spacing w:after="100"/>
              <w:jc w:val="right"/>
              <w:rPr>
                <w:rFonts w:eastAsia="Times New Roman"/>
              </w:rPr>
            </w:pPr>
            <w:r>
              <w:rPr>
                <w:rFonts w:eastAsia="Times New Roman"/>
                <w:color w:val="000000"/>
                <w:sz w:val="18"/>
                <w:szCs w:val="18"/>
              </w:rPr>
              <w:t>17,276 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A50068" w14:textId="77777777" w:rsidR="00000000" w:rsidRDefault="009B6C69">
            <w:pPr>
              <w:spacing w:after="100"/>
              <w:jc w:val="right"/>
              <w:rPr>
                <w:rFonts w:eastAsia="Times New Roman"/>
              </w:rPr>
            </w:pPr>
          </w:p>
        </w:tc>
      </w:tr>
      <w:tr w:rsidR="00000000" w14:paraId="657D1C55" w14:textId="77777777">
        <w:trPr>
          <w:jc w:val="center"/>
        </w:trPr>
        <w:tc>
          <w:tcPr>
            <w:tcW w:w="0" w:type="auto"/>
            <w:gridSpan w:val="3"/>
            <w:shd w:val="clear" w:color="auto" w:fill="FFFFFF"/>
            <w:tcMar>
              <w:top w:w="30" w:type="dxa"/>
              <w:left w:w="380" w:type="dxa"/>
              <w:bottom w:w="30" w:type="dxa"/>
              <w:right w:w="20" w:type="dxa"/>
            </w:tcMar>
            <w:vAlign w:val="bottom"/>
            <w:hideMark/>
          </w:tcPr>
          <w:p w14:paraId="3D35674E" w14:textId="77777777" w:rsidR="00000000" w:rsidRDefault="009B6C69">
            <w:pPr>
              <w:spacing w:after="100"/>
              <w:rPr>
                <w:rFonts w:eastAsia="Times New Roman"/>
              </w:rPr>
            </w:pPr>
            <w:r>
              <w:rPr>
                <w:rFonts w:eastAsia="Times New Roman"/>
                <w:color w:val="000000"/>
                <w:sz w:val="18"/>
                <w:szCs w:val="18"/>
              </w:rPr>
              <w:t>Operating income</w:t>
            </w:r>
          </w:p>
        </w:tc>
        <w:tc>
          <w:tcPr>
            <w:tcW w:w="0" w:type="auto"/>
            <w:vAlign w:val="center"/>
            <w:hideMark/>
          </w:tcPr>
          <w:p w14:paraId="44C9024A" w14:textId="77777777" w:rsidR="00000000" w:rsidRDefault="009B6C69">
            <w:pPr>
              <w:spacing w:after="100"/>
              <w:rPr>
                <w:rFonts w:eastAsia="Times New Roman"/>
              </w:rPr>
            </w:pPr>
          </w:p>
        </w:tc>
        <w:tc>
          <w:tcPr>
            <w:tcW w:w="0" w:type="auto"/>
            <w:vAlign w:val="center"/>
            <w:hideMark/>
          </w:tcPr>
          <w:p w14:paraId="6E699A63" w14:textId="77777777" w:rsidR="00000000" w:rsidRDefault="009B6C69">
            <w:pPr>
              <w:spacing w:after="100"/>
              <w:rPr>
                <w:rFonts w:eastAsia="Times New Roman"/>
                <w:sz w:val="20"/>
                <w:szCs w:val="20"/>
              </w:rPr>
            </w:pPr>
          </w:p>
        </w:tc>
        <w:tc>
          <w:tcPr>
            <w:tcW w:w="0" w:type="auto"/>
            <w:vAlign w:val="center"/>
            <w:hideMark/>
          </w:tcPr>
          <w:p w14:paraId="6454A912" w14:textId="77777777" w:rsidR="00000000" w:rsidRDefault="009B6C69">
            <w:pPr>
              <w:spacing w:after="100"/>
              <w:rPr>
                <w:rFonts w:eastAsia="Times New Roman"/>
                <w:sz w:val="20"/>
                <w:szCs w:val="20"/>
              </w:rPr>
            </w:pPr>
          </w:p>
        </w:tc>
        <w:tc>
          <w:tcPr>
            <w:tcW w:w="0" w:type="auto"/>
            <w:vAlign w:val="center"/>
            <w:hideMark/>
          </w:tcPr>
          <w:p w14:paraId="1EE700F7" w14:textId="77777777" w:rsidR="00000000" w:rsidRDefault="009B6C69">
            <w:pPr>
              <w:spacing w:after="100"/>
              <w:rPr>
                <w:rFonts w:eastAsia="Times New Roman"/>
                <w:sz w:val="20"/>
                <w:szCs w:val="20"/>
              </w:rPr>
            </w:pPr>
          </w:p>
        </w:tc>
        <w:tc>
          <w:tcPr>
            <w:tcW w:w="0" w:type="auto"/>
            <w:vAlign w:val="center"/>
            <w:hideMark/>
          </w:tcPr>
          <w:p w14:paraId="1F1CCD03" w14:textId="77777777" w:rsidR="00000000" w:rsidRDefault="009B6C69">
            <w:pPr>
              <w:spacing w:after="100"/>
              <w:rPr>
                <w:rFonts w:eastAsia="Times New Roman"/>
                <w:sz w:val="20"/>
                <w:szCs w:val="20"/>
              </w:rPr>
            </w:pPr>
          </w:p>
        </w:tc>
        <w:tc>
          <w:tcPr>
            <w:tcW w:w="0" w:type="auto"/>
            <w:vAlign w:val="center"/>
            <w:hideMark/>
          </w:tcPr>
          <w:p w14:paraId="2EF1B84B" w14:textId="77777777" w:rsidR="00000000" w:rsidRDefault="009B6C69">
            <w:pPr>
              <w:spacing w:after="100"/>
              <w:rPr>
                <w:rFonts w:eastAsia="Times New Roman"/>
                <w:sz w:val="20"/>
                <w:szCs w:val="20"/>
              </w:rPr>
            </w:pPr>
          </w:p>
        </w:tc>
        <w:tc>
          <w:tcPr>
            <w:tcW w:w="0" w:type="auto"/>
            <w:vAlign w:val="center"/>
            <w:hideMark/>
          </w:tcPr>
          <w:p w14:paraId="0A37E4AC" w14:textId="77777777" w:rsidR="00000000" w:rsidRDefault="009B6C69">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4C62A5" w14:textId="77777777" w:rsidR="00000000" w:rsidRDefault="009B6C69">
            <w:pPr>
              <w:spacing w:after="100"/>
              <w:jc w:val="right"/>
              <w:rPr>
                <w:rFonts w:eastAsia="Times New Roman"/>
              </w:rPr>
            </w:pPr>
            <w:r>
              <w:rPr>
                <w:rFonts w:eastAsia="Times New Roman"/>
                <w:color w:val="000000"/>
                <w:sz w:val="18"/>
                <w:szCs w:val="18"/>
              </w:rPr>
              <w:t>15,860 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710459"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C08AD9"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9B695E" w14:textId="77777777" w:rsidR="00000000" w:rsidRDefault="009B6C69">
            <w:pPr>
              <w:spacing w:after="100"/>
              <w:jc w:val="right"/>
              <w:rPr>
                <w:rFonts w:eastAsia="Times New Roman"/>
              </w:rPr>
            </w:pPr>
            <w:r>
              <w:rPr>
                <w:rFonts w:eastAsia="Times New Roman"/>
                <w:color w:val="000000"/>
                <w:sz w:val="18"/>
                <w:szCs w:val="18"/>
              </w:rPr>
              <w:t>9,789 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26206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B4EBEE"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CBAFE6" w14:textId="77777777" w:rsidR="00000000" w:rsidRDefault="009B6C69">
            <w:pPr>
              <w:spacing w:after="100"/>
              <w:jc w:val="right"/>
              <w:rPr>
                <w:rFonts w:eastAsia="Times New Roman"/>
              </w:rPr>
            </w:pPr>
            <w:r>
              <w:rPr>
                <w:rFonts w:eastAsia="Times New Roman"/>
                <w:color w:val="000000"/>
                <w:sz w:val="18"/>
                <w:szCs w:val="18"/>
              </w:rPr>
              <w:t>6,255 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27EB5D" w14:textId="77777777" w:rsidR="00000000" w:rsidRDefault="009B6C69">
            <w:pPr>
              <w:spacing w:after="100"/>
              <w:jc w:val="right"/>
              <w:rPr>
                <w:rFonts w:eastAsia="Times New Roman"/>
              </w:rPr>
            </w:pPr>
          </w:p>
        </w:tc>
      </w:tr>
      <w:tr w:rsidR="00000000" w14:paraId="160A13AA" w14:textId="77777777">
        <w:trPr>
          <w:jc w:val="center"/>
        </w:trPr>
        <w:tc>
          <w:tcPr>
            <w:tcW w:w="0" w:type="auto"/>
            <w:gridSpan w:val="3"/>
            <w:shd w:val="clear" w:color="auto" w:fill="CCEEFF"/>
            <w:tcMar>
              <w:top w:w="30" w:type="dxa"/>
              <w:left w:w="20" w:type="dxa"/>
              <w:bottom w:w="30" w:type="dxa"/>
              <w:right w:w="20" w:type="dxa"/>
            </w:tcMar>
            <w:vAlign w:val="bottom"/>
            <w:hideMark/>
          </w:tcPr>
          <w:p w14:paraId="0BB4E903" w14:textId="77777777" w:rsidR="00000000" w:rsidRDefault="009B6C69">
            <w:pPr>
              <w:spacing w:after="100"/>
              <w:rPr>
                <w:rFonts w:eastAsia="Times New Roman"/>
              </w:rPr>
            </w:pPr>
            <w:r>
              <w:rPr>
                <w:rFonts w:eastAsia="Times New Roman"/>
                <w:color w:val="000000"/>
                <w:sz w:val="18"/>
                <w:szCs w:val="18"/>
              </w:rPr>
              <w:t>Interest expense</w:t>
            </w:r>
          </w:p>
        </w:tc>
        <w:tc>
          <w:tcPr>
            <w:tcW w:w="0" w:type="auto"/>
            <w:vAlign w:val="center"/>
            <w:hideMark/>
          </w:tcPr>
          <w:p w14:paraId="365BBC6E" w14:textId="77777777" w:rsidR="00000000" w:rsidRDefault="009B6C69">
            <w:pPr>
              <w:spacing w:after="100"/>
              <w:rPr>
                <w:rFonts w:eastAsia="Times New Roman"/>
              </w:rPr>
            </w:pPr>
          </w:p>
        </w:tc>
        <w:tc>
          <w:tcPr>
            <w:tcW w:w="0" w:type="auto"/>
            <w:vAlign w:val="center"/>
            <w:hideMark/>
          </w:tcPr>
          <w:p w14:paraId="7858A578" w14:textId="77777777" w:rsidR="00000000" w:rsidRDefault="009B6C69">
            <w:pPr>
              <w:spacing w:after="100"/>
              <w:rPr>
                <w:rFonts w:eastAsia="Times New Roman"/>
                <w:sz w:val="20"/>
                <w:szCs w:val="20"/>
              </w:rPr>
            </w:pPr>
          </w:p>
        </w:tc>
        <w:tc>
          <w:tcPr>
            <w:tcW w:w="0" w:type="auto"/>
            <w:vAlign w:val="center"/>
            <w:hideMark/>
          </w:tcPr>
          <w:p w14:paraId="7BD0E0CE" w14:textId="77777777" w:rsidR="00000000" w:rsidRDefault="009B6C69">
            <w:pPr>
              <w:spacing w:after="100"/>
              <w:rPr>
                <w:rFonts w:eastAsia="Times New Roman"/>
                <w:sz w:val="20"/>
                <w:szCs w:val="20"/>
              </w:rPr>
            </w:pPr>
          </w:p>
        </w:tc>
        <w:tc>
          <w:tcPr>
            <w:tcW w:w="0" w:type="auto"/>
            <w:vAlign w:val="center"/>
            <w:hideMark/>
          </w:tcPr>
          <w:p w14:paraId="174D348D" w14:textId="77777777" w:rsidR="00000000" w:rsidRDefault="009B6C69">
            <w:pPr>
              <w:spacing w:after="100"/>
              <w:rPr>
                <w:rFonts w:eastAsia="Times New Roman"/>
                <w:sz w:val="20"/>
                <w:szCs w:val="20"/>
              </w:rPr>
            </w:pPr>
          </w:p>
        </w:tc>
        <w:tc>
          <w:tcPr>
            <w:tcW w:w="0" w:type="auto"/>
            <w:vAlign w:val="center"/>
            <w:hideMark/>
          </w:tcPr>
          <w:p w14:paraId="07E5C67D" w14:textId="77777777" w:rsidR="00000000" w:rsidRDefault="009B6C69">
            <w:pPr>
              <w:spacing w:after="100"/>
              <w:rPr>
                <w:rFonts w:eastAsia="Times New Roman"/>
                <w:sz w:val="20"/>
                <w:szCs w:val="20"/>
              </w:rPr>
            </w:pPr>
          </w:p>
        </w:tc>
        <w:tc>
          <w:tcPr>
            <w:tcW w:w="0" w:type="auto"/>
            <w:vAlign w:val="center"/>
            <w:hideMark/>
          </w:tcPr>
          <w:p w14:paraId="14FC64E8" w14:textId="77777777" w:rsidR="00000000" w:rsidRDefault="009B6C69">
            <w:pPr>
              <w:spacing w:after="100"/>
              <w:rPr>
                <w:rFonts w:eastAsia="Times New Roman"/>
                <w:sz w:val="20"/>
                <w:szCs w:val="20"/>
              </w:rPr>
            </w:pPr>
          </w:p>
        </w:tc>
        <w:tc>
          <w:tcPr>
            <w:tcW w:w="0" w:type="auto"/>
            <w:vAlign w:val="center"/>
            <w:hideMark/>
          </w:tcPr>
          <w:p w14:paraId="31B7D44D"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585467" w14:textId="77777777" w:rsidR="00000000" w:rsidRDefault="009B6C69">
            <w:pPr>
              <w:spacing w:after="100"/>
              <w:jc w:val="right"/>
              <w:rPr>
                <w:rFonts w:eastAsia="Times New Roman"/>
              </w:rPr>
            </w:pPr>
            <w:r>
              <w:rPr>
                <w:rFonts w:eastAsia="Times New Roman"/>
                <w:color w:val="000000"/>
                <w:sz w:val="18"/>
                <w:szCs w:val="18"/>
              </w:rPr>
              <w:t>(490)</w:t>
            </w:r>
          </w:p>
        </w:tc>
        <w:tc>
          <w:tcPr>
            <w:tcW w:w="0" w:type="auto"/>
            <w:shd w:val="clear" w:color="auto" w:fill="CCEEFF"/>
            <w:tcMar>
              <w:top w:w="30" w:type="dxa"/>
              <w:left w:w="0" w:type="dxa"/>
              <w:bottom w:w="30" w:type="dxa"/>
              <w:right w:w="20" w:type="dxa"/>
            </w:tcMar>
            <w:vAlign w:val="bottom"/>
            <w:hideMark/>
          </w:tcPr>
          <w:p w14:paraId="7BAAE9BA"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D57D94"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3F7E18" w14:textId="77777777" w:rsidR="00000000" w:rsidRDefault="009B6C69">
            <w:pPr>
              <w:spacing w:after="100"/>
              <w:jc w:val="right"/>
              <w:rPr>
                <w:rFonts w:eastAsia="Times New Roman"/>
              </w:rPr>
            </w:pPr>
            <w:r>
              <w:rPr>
                <w:rFonts w:eastAsia="Times New Roman"/>
                <w:color w:val="000000"/>
                <w:sz w:val="18"/>
                <w:szCs w:val="18"/>
              </w:rPr>
              <w:t>(559)</w:t>
            </w:r>
          </w:p>
        </w:tc>
        <w:tc>
          <w:tcPr>
            <w:tcW w:w="0" w:type="auto"/>
            <w:shd w:val="clear" w:color="auto" w:fill="CCEEFF"/>
            <w:tcMar>
              <w:top w:w="30" w:type="dxa"/>
              <w:left w:w="0" w:type="dxa"/>
              <w:bottom w:w="30" w:type="dxa"/>
              <w:right w:w="20" w:type="dxa"/>
            </w:tcMar>
            <w:vAlign w:val="bottom"/>
            <w:hideMark/>
          </w:tcPr>
          <w:p w14:paraId="49D524B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EDD9E5"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CCEB21" w14:textId="77777777" w:rsidR="00000000" w:rsidRDefault="009B6C69">
            <w:pPr>
              <w:spacing w:after="100"/>
              <w:jc w:val="right"/>
              <w:rPr>
                <w:rFonts w:eastAsia="Times New Roman"/>
              </w:rPr>
            </w:pPr>
            <w:r>
              <w:rPr>
                <w:rFonts w:eastAsia="Times New Roman"/>
                <w:color w:val="000000"/>
                <w:sz w:val="18"/>
                <w:szCs w:val="18"/>
              </w:rPr>
              <w:t>(602)</w:t>
            </w:r>
          </w:p>
        </w:tc>
        <w:tc>
          <w:tcPr>
            <w:tcW w:w="0" w:type="auto"/>
            <w:shd w:val="clear" w:color="auto" w:fill="CCEEFF"/>
            <w:tcMar>
              <w:top w:w="30" w:type="dxa"/>
              <w:left w:w="0" w:type="dxa"/>
              <w:bottom w:w="30" w:type="dxa"/>
              <w:right w:w="20" w:type="dxa"/>
            </w:tcMar>
            <w:vAlign w:val="bottom"/>
            <w:hideMark/>
          </w:tcPr>
          <w:p w14:paraId="436508A9" w14:textId="77777777" w:rsidR="00000000" w:rsidRDefault="009B6C69">
            <w:pPr>
              <w:spacing w:after="100"/>
              <w:jc w:val="right"/>
              <w:rPr>
                <w:rFonts w:eastAsia="Times New Roman"/>
              </w:rPr>
            </w:pPr>
          </w:p>
        </w:tc>
      </w:tr>
      <w:tr w:rsidR="00000000" w14:paraId="48AB6E50" w14:textId="77777777">
        <w:trPr>
          <w:jc w:val="center"/>
        </w:trPr>
        <w:tc>
          <w:tcPr>
            <w:tcW w:w="0" w:type="auto"/>
            <w:gridSpan w:val="3"/>
            <w:tcMar>
              <w:top w:w="30" w:type="dxa"/>
              <w:left w:w="20" w:type="dxa"/>
              <w:bottom w:w="30" w:type="dxa"/>
              <w:right w:w="20" w:type="dxa"/>
            </w:tcMar>
            <w:vAlign w:val="bottom"/>
            <w:hideMark/>
          </w:tcPr>
          <w:p w14:paraId="1BA11330" w14:textId="77777777" w:rsidR="00000000" w:rsidRDefault="009B6C69">
            <w:pPr>
              <w:spacing w:after="100"/>
              <w:rPr>
                <w:rFonts w:eastAsia="Times New Roman"/>
              </w:rPr>
            </w:pPr>
            <w:r>
              <w:rPr>
                <w:rFonts w:eastAsia="Times New Roman"/>
                <w:color w:val="000000"/>
                <w:sz w:val="18"/>
                <w:szCs w:val="18"/>
              </w:rPr>
              <w:t>Investment and other (expense) income, net</w:t>
            </w:r>
          </w:p>
        </w:tc>
        <w:tc>
          <w:tcPr>
            <w:tcW w:w="0" w:type="auto"/>
            <w:vAlign w:val="center"/>
            <w:hideMark/>
          </w:tcPr>
          <w:p w14:paraId="0D69D548" w14:textId="77777777" w:rsidR="00000000" w:rsidRDefault="009B6C69">
            <w:pPr>
              <w:spacing w:after="100"/>
              <w:rPr>
                <w:rFonts w:eastAsia="Times New Roman"/>
              </w:rPr>
            </w:pPr>
          </w:p>
        </w:tc>
        <w:tc>
          <w:tcPr>
            <w:tcW w:w="0" w:type="auto"/>
            <w:vAlign w:val="center"/>
            <w:hideMark/>
          </w:tcPr>
          <w:p w14:paraId="3027F184" w14:textId="77777777" w:rsidR="00000000" w:rsidRDefault="009B6C69">
            <w:pPr>
              <w:spacing w:after="100"/>
              <w:rPr>
                <w:rFonts w:eastAsia="Times New Roman"/>
                <w:sz w:val="20"/>
                <w:szCs w:val="20"/>
              </w:rPr>
            </w:pPr>
          </w:p>
        </w:tc>
        <w:tc>
          <w:tcPr>
            <w:tcW w:w="0" w:type="auto"/>
            <w:vAlign w:val="center"/>
            <w:hideMark/>
          </w:tcPr>
          <w:p w14:paraId="07691DF0" w14:textId="77777777" w:rsidR="00000000" w:rsidRDefault="009B6C69">
            <w:pPr>
              <w:spacing w:after="100"/>
              <w:rPr>
                <w:rFonts w:eastAsia="Times New Roman"/>
                <w:sz w:val="20"/>
                <w:szCs w:val="20"/>
              </w:rPr>
            </w:pPr>
          </w:p>
        </w:tc>
        <w:tc>
          <w:tcPr>
            <w:tcW w:w="0" w:type="auto"/>
            <w:vAlign w:val="center"/>
            <w:hideMark/>
          </w:tcPr>
          <w:p w14:paraId="66AE3084" w14:textId="77777777" w:rsidR="00000000" w:rsidRDefault="009B6C69">
            <w:pPr>
              <w:spacing w:after="100"/>
              <w:rPr>
                <w:rFonts w:eastAsia="Times New Roman"/>
                <w:sz w:val="20"/>
                <w:szCs w:val="20"/>
              </w:rPr>
            </w:pPr>
          </w:p>
        </w:tc>
        <w:tc>
          <w:tcPr>
            <w:tcW w:w="0" w:type="auto"/>
            <w:vAlign w:val="center"/>
            <w:hideMark/>
          </w:tcPr>
          <w:p w14:paraId="438817DD" w14:textId="77777777" w:rsidR="00000000" w:rsidRDefault="009B6C69">
            <w:pPr>
              <w:spacing w:after="100"/>
              <w:rPr>
                <w:rFonts w:eastAsia="Times New Roman"/>
                <w:sz w:val="20"/>
                <w:szCs w:val="20"/>
              </w:rPr>
            </w:pPr>
          </w:p>
        </w:tc>
        <w:tc>
          <w:tcPr>
            <w:tcW w:w="0" w:type="auto"/>
            <w:vAlign w:val="center"/>
            <w:hideMark/>
          </w:tcPr>
          <w:p w14:paraId="57083FF1" w14:textId="77777777" w:rsidR="00000000" w:rsidRDefault="009B6C69">
            <w:pPr>
              <w:spacing w:after="100"/>
              <w:rPr>
                <w:rFonts w:eastAsia="Times New Roman"/>
                <w:sz w:val="20"/>
                <w:szCs w:val="20"/>
              </w:rPr>
            </w:pPr>
          </w:p>
        </w:tc>
        <w:tc>
          <w:tcPr>
            <w:tcW w:w="0" w:type="auto"/>
            <w:vAlign w:val="center"/>
            <w:hideMark/>
          </w:tcPr>
          <w:p w14:paraId="7289E567"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328CFE" w14:textId="77777777" w:rsidR="00000000" w:rsidRDefault="009B6C69">
            <w:pPr>
              <w:spacing w:after="100"/>
              <w:jc w:val="right"/>
              <w:rPr>
                <w:rFonts w:eastAsia="Times New Roman"/>
              </w:rPr>
            </w:pPr>
            <w:r>
              <w:rPr>
                <w:rFonts w:eastAsia="Times New Roman"/>
                <w:color w:val="000000"/>
                <w:sz w:val="18"/>
                <w:szCs w:val="18"/>
              </w:rPr>
              <w:t>(372)</w:t>
            </w:r>
          </w:p>
        </w:tc>
        <w:tc>
          <w:tcPr>
            <w:tcW w:w="0" w:type="auto"/>
            <w:shd w:val="clear" w:color="auto" w:fill="FFFFFF"/>
            <w:tcMar>
              <w:top w:w="30" w:type="dxa"/>
              <w:left w:w="0" w:type="dxa"/>
              <w:bottom w:w="30" w:type="dxa"/>
              <w:right w:w="20" w:type="dxa"/>
            </w:tcMar>
            <w:vAlign w:val="bottom"/>
            <w:hideMark/>
          </w:tcPr>
          <w:p w14:paraId="4157A764"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BD8D3B"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DFEB79" w14:textId="77777777" w:rsidR="00000000" w:rsidRDefault="009B6C69">
            <w:pPr>
              <w:spacing w:after="100"/>
              <w:jc w:val="right"/>
              <w:rPr>
                <w:rFonts w:eastAsia="Times New Roman"/>
              </w:rPr>
            </w:pPr>
            <w:r>
              <w:rPr>
                <w:rFonts w:eastAsia="Times New Roman"/>
                <w:color w:val="000000"/>
                <w:sz w:val="18"/>
                <w:szCs w:val="18"/>
              </w:rPr>
              <w:t>1,044 </w:t>
            </w:r>
          </w:p>
        </w:tc>
        <w:tc>
          <w:tcPr>
            <w:tcW w:w="0" w:type="auto"/>
            <w:shd w:val="clear" w:color="auto" w:fill="FFFFFF"/>
            <w:tcMar>
              <w:top w:w="30" w:type="dxa"/>
              <w:left w:w="0" w:type="dxa"/>
              <w:bottom w:w="30" w:type="dxa"/>
              <w:right w:w="20" w:type="dxa"/>
            </w:tcMar>
            <w:vAlign w:val="bottom"/>
            <w:hideMark/>
          </w:tcPr>
          <w:p w14:paraId="0D594F09"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39CA16"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0A8236" w14:textId="77777777" w:rsidR="00000000" w:rsidRDefault="009B6C69">
            <w:pPr>
              <w:spacing w:after="100"/>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bottom"/>
            <w:hideMark/>
          </w:tcPr>
          <w:p w14:paraId="483231C0" w14:textId="77777777" w:rsidR="00000000" w:rsidRDefault="009B6C69">
            <w:pPr>
              <w:spacing w:after="100"/>
              <w:jc w:val="right"/>
              <w:rPr>
                <w:rFonts w:eastAsia="Times New Roman"/>
              </w:rPr>
            </w:pPr>
          </w:p>
        </w:tc>
      </w:tr>
      <w:tr w:rsidR="00000000" w14:paraId="76D1D195" w14:textId="77777777">
        <w:trPr>
          <w:jc w:val="center"/>
        </w:trPr>
        <w:tc>
          <w:tcPr>
            <w:tcW w:w="0" w:type="auto"/>
            <w:gridSpan w:val="3"/>
            <w:shd w:val="clear" w:color="auto" w:fill="CCEEFF"/>
            <w:tcMar>
              <w:top w:w="30" w:type="dxa"/>
              <w:left w:w="380" w:type="dxa"/>
              <w:bottom w:w="30" w:type="dxa"/>
              <w:right w:w="20" w:type="dxa"/>
            </w:tcMar>
            <w:vAlign w:val="bottom"/>
            <w:hideMark/>
          </w:tcPr>
          <w:p w14:paraId="73B3CB8D" w14:textId="77777777" w:rsidR="00000000" w:rsidRDefault="009B6C69">
            <w:pPr>
              <w:spacing w:after="100"/>
              <w:rPr>
                <w:rFonts w:eastAsia="Times New Roman"/>
              </w:rPr>
            </w:pPr>
            <w:r>
              <w:rPr>
                <w:rFonts w:eastAsia="Times New Roman"/>
                <w:color w:val="000000"/>
                <w:sz w:val="18"/>
                <w:szCs w:val="18"/>
              </w:rPr>
              <w:t>Income from continuing operations before income taxes</w:t>
            </w:r>
          </w:p>
        </w:tc>
        <w:tc>
          <w:tcPr>
            <w:tcW w:w="0" w:type="auto"/>
            <w:vAlign w:val="center"/>
            <w:hideMark/>
          </w:tcPr>
          <w:p w14:paraId="5394CDEB" w14:textId="77777777" w:rsidR="00000000" w:rsidRDefault="009B6C69">
            <w:pPr>
              <w:spacing w:after="100"/>
              <w:rPr>
                <w:rFonts w:eastAsia="Times New Roman"/>
              </w:rPr>
            </w:pPr>
          </w:p>
        </w:tc>
        <w:tc>
          <w:tcPr>
            <w:tcW w:w="0" w:type="auto"/>
            <w:vAlign w:val="center"/>
            <w:hideMark/>
          </w:tcPr>
          <w:p w14:paraId="0EAC8737" w14:textId="77777777" w:rsidR="00000000" w:rsidRDefault="009B6C69">
            <w:pPr>
              <w:spacing w:after="100"/>
              <w:rPr>
                <w:rFonts w:eastAsia="Times New Roman"/>
                <w:sz w:val="20"/>
                <w:szCs w:val="20"/>
              </w:rPr>
            </w:pPr>
          </w:p>
        </w:tc>
        <w:tc>
          <w:tcPr>
            <w:tcW w:w="0" w:type="auto"/>
            <w:vAlign w:val="center"/>
            <w:hideMark/>
          </w:tcPr>
          <w:p w14:paraId="0BCC1077" w14:textId="77777777" w:rsidR="00000000" w:rsidRDefault="009B6C69">
            <w:pPr>
              <w:spacing w:after="100"/>
              <w:rPr>
                <w:rFonts w:eastAsia="Times New Roman"/>
                <w:sz w:val="20"/>
                <w:szCs w:val="20"/>
              </w:rPr>
            </w:pPr>
          </w:p>
        </w:tc>
        <w:tc>
          <w:tcPr>
            <w:tcW w:w="0" w:type="auto"/>
            <w:vAlign w:val="center"/>
            <w:hideMark/>
          </w:tcPr>
          <w:p w14:paraId="2EA063A6" w14:textId="77777777" w:rsidR="00000000" w:rsidRDefault="009B6C69">
            <w:pPr>
              <w:spacing w:after="100"/>
              <w:rPr>
                <w:rFonts w:eastAsia="Times New Roman"/>
                <w:sz w:val="20"/>
                <w:szCs w:val="20"/>
              </w:rPr>
            </w:pPr>
          </w:p>
        </w:tc>
        <w:tc>
          <w:tcPr>
            <w:tcW w:w="0" w:type="auto"/>
            <w:vAlign w:val="center"/>
            <w:hideMark/>
          </w:tcPr>
          <w:p w14:paraId="5A1B968B" w14:textId="77777777" w:rsidR="00000000" w:rsidRDefault="009B6C69">
            <w:pPr>
              <w:spacing w:after="100"/>
              <w:rPr>
                <w:rFonts w:eastAsia="Times New Roman"/>
                <w:sz w:val="20"/>
                <w:szCs w:val="20"/>
              </w:rPr>
            </w:pPr>
          </w:p>
        </w:tc>
        <w:tc>
          <w:tcPr>
            <w:tcW w:w="0" w:type="auto"/>
            <w:vAlign w:val="center"/>
            <w:hideMark/>
          </w:tcPr>
          <w:p w14:paraId="6F6B3805" w14:textId="77777777" w:rsidR="00000000" w:rsidRDefault="009B6C69">
            <w:pPr>
              <w:spacing w:after="100"/>
              <w:rPr>
                <w:rFonts w:eastAsia="Times New Roman"/>
                <w:sz w:val="20"/>
                <w:szCs w:val="20"/>
              </w:rPr>
            </w:pPr>
          </w:p>
        </w:tc>
        <w:tc>
          <w:tcPr>
            <w:tcW w:w="0" w:type="auto"/>
            <w:vAlign w:val="center"/>
            <w:hideMark/>
          </w:tcPr>
          <w:p w14:paraId="7F511CBC" w14:textId="77777777" w:rsidR="00000000" w:rsidRDefault="009B6C69">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C8617D" w14:textId="77777777" w:rsidR="00000000" w:rsidRDefault="009B6C69">
            <w:pPr>
              <w:spacing w:after="100"/>
              <w:jc w:val="right"/>
              <w:rPr>
                <w:rFonts w:eastAsia="Times New Roman"/>
              </w:rPr>
            </w:pPr>
            <w:r>
              <w:rPr>
                <w:rFonts w:eastAsia="Times New Roman"/>
                <w:color w:val="000000"/>
                <w:sz w:val="18"/>
                <w:szCs w:val="18"/>
              </w:rPr>
              <w:t>14,998 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50E8BA"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FD0C1F"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C6F853" w14:textId="77777777" w:rsidR="00000000" w:rsidRDefault="009B6C69">
            <w:pPr>
              <w:spacing w:after="100"/>
              <w:jc w:val="right"/>
              <w:rPr>
                <w:rFonts w:eastAsia="Times New Roman"/>
              </w:rPr>
            </w:pPr>
            <w:r>
              <w:rPr>
                <w:rFonts w:eastAsia="Times New Roman"/>
                <w:color w:val="000000"/>
                <w:sz w:val="18"/>
                <w:szCs w:val="18"/>
              </w:rPr>
              <w:t>10,274 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3153A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6417A5"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EC0230" w14:textId="77777777" w:rsidR="00000000" w:rsidRDefault="009B6C69">
            <w:pPr>
              <w:spacing w:after="100"/>
              <w:jc w:val="right"/>
              <w:rPr>
                <w:rFonts w:eastAsia="Times New Roman"/>
              </w:rPr>
            </w:pPr>
            <w:r>
              <w:rPr>
                <w:rFonts w:eastAsia="Times New Roman"/>
                <w:color w:val="000000"/>
                <w:sz w:val="18"/>
                <w:szCs w:val="18"/>
              </w:rPr>
              <w:t>5,719 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1CBED4" w14:textId="77777777" w:rsidR="00000000" w:rsidRDefault="009B6C69">
            <w:pPr>
              <w:spacing w:after="100"/>
              <w:jc w:val="right"/>
              <w:rPr>
                <w:rFonts w:eastAsia="Times New Roman"/>
              </w:rPr>
            </w:pPr>
          </w:p>
        </w:tc>
      </w:tr>
      <w:tr w:rsidR="00000000" w14:paraId="5E90CDB1" w14:textId="77777777">
        <w:trPr>
          <w:jc w:val="center"/>
        </w:trPr>
        <w:tc>
          <w:tcPr>
            <w:tcW w:w="0" w:type="auto"/>
            <w:gridSpan w:val="3"/>
            <w:shd w:val="clear" w:color="auto" w:fill="FFFFFF"/>
            <w:tcMar>
              <w:top w:w="30" w:type="dxa"/>
              <w:left w:w="20" w:type="dxa"/>
              <w:bottom w:w="30" w:type="dxa"/>
              <w:right w:w="20" w:type="dxa"/>
            </w:tcMar>
            <w:vAlign w:val="bottom"/>
            <w:hideMark/>
          </w:tcPr>
          <w:p w14:paraId="6A624A05" w14:textId="77777777" w:rsidR="00000000" w:rsidRDefault="009B6C69">
            <w:pPr>
              <w:spacing w:after="100"/>
              <w:rPr>
                <w:rFonts w:eastAsia="Times New Roman"/>
              </w:rPr>
            </w:pPr>
            <w:r>
              <w:rPr>
                <w:rFonts w:eastAsia="Times New Roman"/>
                <w:color w:val="000000"/>
                <w:sz w:val="18"/>
                <w:szCs w:val="18"/>
              </w:rPr>
              <w:t xml:space="preserve">Income tax expense </w:t>
            </w:r>
          </w:p>
        </w:tc>
        <w:tc>
          <w:tcPr>
            <w:tcW w:w="0" w:type="auto"/>
            <w:vAlign w:val="center"/>
            <w:hideMark/>
          </w:tcPr>
          <w:p w14:paraId="57BE9C9F" w14:textId="77777777" w:rsidR="00000000" w:rsidRDefault="009B6C69">
            <w:pPr>
              <w:spacing w:after="100"/>
              <w:rPr>
                <w:rFonts w:eastAsia="Times New Roman"/>
              </w:rPr>
            </w:pPr>
          </w:p>
        </w:tc>
        <w:tc>
          <w:tcPr>
            <w:tcW w:w="0" w:type="auto"/>
            <w:vAlign w:val="center"/>
            <w:hideMark/>
          </w:tcPr>
          <w:p w14:paraId="468B74CD" w14:textId="77777777" w:rsidR="00000000" w:rsidRDefault="009B6C69">
            <w:pPr>
              <w:spacing w:after="100"/>
              <w:rPr>
                <w:rFonts w:eastAsia="Times New Roman"/>
                <w:sz w:val="20"/>
                <w:szCs w:val="20"/>
              </w:rPr>
            </w:pPr>
          </w:p>
        </w:tc>
        <w:tc>
          <w:tcPr>
            <w:tcW w:w="0" w:type="auto"/>
            <w:vAlign w:val="center"/>
            <w:hideMark/>
          </w:tcPr>
          <w:p w14:paraId="6F0CABAB" w14:textId="77777777" w:rsidR="00000000" w:rsidRDefault="009B6C69">
            <w:pPr>
              <w:spacing w:after="100"/>
              <w:rPr>
                <w:rFonts w:eastAsia="Times New Roman"/>
                <w:sz w:val="20"/>
                <w:szCs w:val="20"/>
              </w:rPr>
            </w:pPr>
          </w:p>
        </w:tc>
        <w:tc>
          <w:tcPr>
            <w:tcW w:w="0" w:type="auto"/>
            <w:vAlign w:val="center"/>
            <w:hideMark/>
          </w:tcPr>
          <w:p w14:paraId="5422BF19" w14:textId="77777777" w:rsidR="00000000" w:rsidRDefault="009B6C69">
            <w:pPr>
              <w:spacing w:after="100"/>
              <w:rPr>
                <w:rFonts w:eastAsia="Times New Roman"/>
                <w:sz w:val="20"/>
                <w:szCs w:val="20"/>
              </w:rPr>
            </w:pPr>
          </w:p>
        </w:tc>
        <w:tc>
          <w:tcPr>
            <w:tcW w:w="0" w:type="auto"/>
            <w:vAlign w:val="center"/>
            <w:hideMark/>
          </w:tcPr>
          <w:p w14:paraId="540A0536" w14:textId="77777777" w:rsidR="00000000" w:rsidRDefault="009B6C69">
            <w:pPr>
              <w:spacing w:after="100"/>
              <w:rPr>
                <w:rFonts w:eastAsia="Times New Roman"/>
                <w:sz w:val="20"/>
                <w:szCs w:val="20"/>
              </w:rPr>
            </w:pPr>
          </w:p>
        </w:tc>
        <w:tc>
          <w:tcPr>
            <w:tcW w:w="0" w:type="auto"/>
            <w:vAlign w:val="center"/>
            <w:hideMark/>
          </w:tcPr>
          <w:p w14:paraId="1F76CE5F" w14:textId="77777777" w:rsidR="00000000" w:rsidRDefault="009B6C69">
            <w:pPr>
              <w:spacing w:after="100"/>
              <w:rPr>
                <w:rFonts w:eastAsia="Times New Roman"/>
                <w:sz w:val="20"/>
                <w:szCs w:val="20"/>
              </w:rPr>
            </w:pPr>
          </w:p>
        </w:tc>
        <w:tc>
          <w:tcPr>
            <w:tcW w:w="0" w:type="auto"/>
            <w:vAlign w:val="center"/>
            <w:hideMark/>
          </w:tcPr>
          <w:p w14:paraId="2BD7DF9D"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AA605B" w14:textId="77777777" w:rsidR="00000000" w:rsidRDefault="009B6C69">
            <w:pPr>
              <w:spacing w:after="100"/>
              <w:jc w:val="right"/>
              <w:rPr>
                <w:rFonts w:eastAsia="Times New Roman"/>
              </w:rPr>
            </w:pPr>
            <w:r>
              <w:rPr>
                <w:rFonts w:eastAsia="Times New Roman"/>
                <w:color w:val="000000"/>
                <w:sz w:val="18"/>
                <w:szCs w:val="18"/>
              </w:rPr>
              <w:t>(</w:t>
            </w:r>
            <w:r>
              <w:rPr>
                <w:rFonts w:eastAsia="Times New Roman"/>
                <w:color w:val="000000"/>
                <w:sz w:val="18"/>
                <w:szCs w:val="18"/>
              </w:rPr>
              <w:t>2,012)</w:t>
            </w:r>
          </w:p>
        </w:tc>
        <w:tc>
          <w:tcPr>
            <w:tcW w:w="0" w:type="auto"/>
            <w:shd w:val="clear" w:color="auto" w:fill="FFFFFF"/>
            <w:tcMar>
              <w:top w:w="30" w:type="dxa"/>
              <w:left w:w="0" w:type="dxa"/>
              <w:bottom w:w="30" w:type="dxa"/>
              <w:right w:w="20" w:type="dxa"/>
            </w:tcMar>
            <w:vAlign w:val="bottom"/>
            <w:hideMark/>
          </w:tcPr>
          <w:p w14:paraId="0A3F402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8BE6E3"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257573" w14:textId="77777777" w:rsidR="00000000" w:rsidRDefault="009B6C69">
            <w:pPr>
              <w:spacing w:after="100"/>
              <w:jc w:val="right"/>
              <w:rPr>
                <w:rFonts w:eastAsia="Times New Roman"/>
              </w:rPr>
            </w:pPr>
            <w:r>
              <w:rPr>
                <w:rFonts w:eastAsia="Times New Roman"/>
                <w:color w:val="000000"/>
                <w:sz w:val="18"/>
                <w:szCs w:val="18"/>
              </w:rPr>
              <w:t>(1,231)</w:t>
            </w:r>
          </w:p>
        </w:tc>
        <w:tc>
          <w:tcPr>
            <w:tcW w:w="0" w:type="auto"/>
            <w:shd w:val="clear" w:color="auto" w:fill="FFFFFF"/>
            <w:tcMar>
              <w:top w:w="30" w:type="dxa"/>
              <w:left w:w="0" w:type="dxa"/>
              <w:bottom w:w="30" w:type="dxa"/>
              <w:right w:w="20" w:type="dxa"/>
            </w:tcMar>
            <w:vAlign w:val="bottom"/>
            <w:hideMark/>
          </w:tcPr>
          <w:p w14:paraId="71176E3A"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ECA2C7"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2D81EF" w14:textId="77777777" w:rsidR="00000000" w:rsidRDefault="009B6C69">
            <w:pPr>
              <w:spacing w:after="100"/>
              <w:jc w:val="right"/>
              <w:rPr>
                <w:rFonts w:eastAsia="Times New Roman"/>
              </w:rPr>
            </w:pPr>
            <w:r>
              <w:rPr>
                <w:rFonts w:eastAsia="Times New Roman"/>
                <w:color w:val="000000"/>
                <w:sz w:val="18"/>
                <w:szCs w:val="18"/>
              </w:rPr>
              <w:t>(521)</w:t>
            </w:r>
          </w:p>
        </w:tc>
        <w:tc>
          <w:tcPr>
            <w:tcW w:w="0" w:type="auto"/>
            <w:shd w:val="clear" w:color="auto" w:fill="FFFFFF"/>
            <w:tcMar>
              <w:top w:w="30" w:type="dxa"/>
              <w:left w:w="0" w:type="dxa"/>
              <w:bottom w:w="30" w:type="dxa"/>
              <w:right w:w="20" w:type="dxa"/>
            </w:tcMar>
            <w:vAlign w:val="bottom"/>
            <w:hideMark/>
          </w:tcPr>
          <w:p w14:paraId="13DE9F45" w14:textId="77777777" w:rsidR="00000000" w:rsidRDefault="009B6C69">
            <w:pPr>
              <w:spacing w:after="100"/>
              <w:jc w:val="right"/>
              <w:rPr>
                <w:rFonts w:eastAsia="Times New Roman"/>
              </w:rPr>
            </w:pPr>
          </w:p>
        </w:tc>
      </w:tr>
      <w:tr w:rsidR="00000000" w14:paraId="13E99BA0" w14:textId="77777777">
        <w:trPr>
          <w:jc w:val="center"/>
        </w:trPr>
        <w:tc>
          <w:tcPr>
            <w:tcW w:w="0" w:type="auto"/>
            <w:gridSpan w:val="3"/>
            <w:shd w:val="clear" w:color="auto" w:fill="CCEEFF"/>
            <w:tcMar>
              <w:top w:w="30" w:type="dxa"/>
              <w:left w:w="380" w:type="dxa"/>
              <w:bottom w:w="30" w:type="dxa"/>
              <w:right w:w="20" w:type="dxa"/>
            </w:tcMar>
            <w:vAlign w:val="bottom"/>
            <w:hideMark/>
          </w:tcPr>
          <w:p w14:paraId="742FDEE8" w14:textId="77777777" w:rsidR="00000000" w:rsidRDefault="009B6C69">
            <w:pPr>
              <w:spacing w:after="100"/>
              <w:rPr>
                <w:rFonts w:eastAsia="Times New Roman"/>
              </w:rPr>
            </w:pPr>
            <w:r>
              <w:rPr>
                <w:rFonts w:eastAsia="Times New Roman"/>
                <w:color w:val="000000"/>
                <w:sz w:val="18"/>
                <w:szCs w:val="18"/>
              </w:rPr>
              <w:t>Income from continuing operations</w:t>
            </w:r>
          </w:p>
        </w:tc>
        <w:tc>
          <w:tcPr>
            <w:tcW w:w="0" w:type="auto"/>
            <w:vAlign w:val="center"/>
            <w:hideMark/>
          </w:tcPr>
          <w:p w14:paraId="6B8761CA" w14:textId="77777777" w:rsidR="00000000" w:rsidRDefault="009B6C69">
            <w:pPr>
              <w:spacing w:after="100"/>
              <w:rPr>
                <w:rFonts w:eastAsia="Times New Roman"/>
              </w:rPr>
            </w:pPr>
          </w:p>
        </w:tc>
        <w:tc>
          <w:tcPr>
            <w:tcW w:w="0" w:type="auto"/>
            <w:vAlign w:val="center"/>
            <w:hideMark/>
          </w:tcPr>
          <w:p w14:paraId="43BF77CC" w14:textId="77777777" w:rsidR="00000000" w:rsidRDefault="009B6C69">
            <w:pPr>
              <w:spacing w:after="100"/>
              <w:rPr>
                <w:rFonts w:eastAsia="Times New Roman"/>
                <w:sz w:val="20"/>
                <w:szCs w:val="20"/>
              </w:rPr>
            </w:pPr>
          </w:p>
        </w:tc>
        <w:tc>
          <w:tcPr>
            <w:tcW w:w="0" w:type="auto"/>
            <w:vAlign w:val="center"/>
            <w:hideMark/>
          </w:tcPr>
          <w:p w14:paraId="236398DD" w14:textId="77777777" w:rsidR="00000000" w:rsidRDefault="009B6C69">
            <w:pPr>
              <w:spacing w:after="100"/>
              <w:rPr>
                <w:rFonts w:eastAsia="Times New Roman"/>
                <w:sz w:val="20"/>
                <w:szCs w:val="20"/>
              </w:rPr>
            </w:pPr>
          </w:p>
        </w:tc>
        <w:tc>
          <w:tcPr>
            <w:tcW w:w="0" w:type="auto"/>
            <w:vAlign w:val="center"/>
            <w:hideMark/>
          </w:tcPr>
          <w:p w14:paraId="3EEC2243" w14:textId="77777777" w:rsidR="00000000" w:rsidRDefault="009B6C69">
            <w:pPr>
              <w:spacing w:after="100"/>
              <w:rPr>
                <w:rFonts w:eastAsia="Times New Roman"/>
                <w:sz w:val="20"/>
                <w:szCs w:val="20"/>
              </w:rPr>
            </w:pPr>
          </w:p>
        </w:tc>
        <w:tc>
          <w:tcPr>
            <w:tcW w:w="0" w:type="auto"/>
            <w:vAlign w:val="center"/>
            <w:hideMark/>
          </w:tcPr>
          <w:p w14:paraId="03EB453A" w14:textId="77777777" w:rsidR="00000000" w:rsidRDefault="009B6C69">
            <w:pPr>
              <w:spacing w:after="100"/>
              <w:rPr>
                <w:rFonts w:eastAsia="Times New Roman"/>
                <w:sz w:val="20"/>
                <w:szCs w:val="20"/>
              </w:rPr>
            </w:pPr>
          </w:p>
        </w:tc>
        <w:tc>
          <w:tcPr>
            <w:tcW w:w="0" w:type="auto"/>
            <w:vAlign w:val="center"/>
            <w:hideMark/>
          </w:tcPr>
          <w:p w14:paraId="73CB7039" w14:textId="77777777" w:rsidR="00000000" w:rsidRDefault="009B6C69">
            <w:pPr>
              <w:spacing w:after="100"/>
              <w:rPr>
                <w:rFonts w:eastAsia="Times New Roman"/>
                <w:sz w:val="20"/>
                <w:szCs w:val="20"/>
              </w:rPr>
            </w:pPr>
          </w:p>
        </w:tc>
        <w:tc>
          <w:tcPr>
            <w:tcW w:w="0" w:type="auto"/>
            <w:vAlign w:val="center"/>
            <w:hideMark/>
          </w:tcPr>
          <w:p w14:paraId="5E9D36B6" w14:textId="77777777" w:rsidR="00000000" w:rsidRDefault="009B6C69">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48D5A2" w14:textId="77777777" w:rsidR="00000000" w:rsidRDefault="009B6C69">
            <w:pPr>
              <w:spacing w:after="100"/>
              <w:jc w:val="right"/>
              <w:rPr>
                <w:rFonts w:eastAsia="Times New Roman"/>
              </w:rPr>
            </w:pPr>
            <w:r>
              <w:rPr>
                <w:rFonts w:eastAsia="Times New Roman"/>
                <w:color w:val="000000"/>
                <w:sz w:val="18"/>
                <w:szCs w:val="18"/>
              </w:rPr>
              <w:t>12,986 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3888D0"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E548B0"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225975" w14:textId="77777777" w:rsidR="00000000" w:rsidRDefault="009B6C69">
            <w:pPr>
              <w:spacing w:after="100"/>
              <w:jc w:val="right"/>
              <w:rPr>
                <w:rFonts w:eastAsia="Times New Roman"/>
              </w:rPr>
            </w:pPr>
            <w:r>
              <w:rPr>
                <w:rFonts w:eastAsia="Times New Roman"/>
                <w:color w:val="000000"/>
                <w:sz w:val="18"/>
                <w:szCs w:val="18"/>
              </w:rPr>
              <w:t>9,043 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CECF52"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F45342"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2AD5FA" w14:textId="77777777" w:rsidR="00000000" w:rsidRDefault="009B6C69">
            <w:pPr>
              <w:spacing w:after="100"/>
              <w:jc w:val="right"/>
              <w:rPr>
                <w:rFonts w:eastAsia="Times New Roman"/>
              </w:rPr>
            </w:pPr>
            <w:r>
              <w:rPr>
                <w:rFonts w:eastAsia="Times New Roman"/>
                <w:color w:val="000000"/>
                <w:sz w:val="18"/>
                <w:szCs w:val="18"/>
              </w:rPr>
              <w:t>5,198 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5FD134" w14:textId="77777777" w:rsidR="00000000" w:rsidRDefault="009B6C69">
            <w:pPr>
              <w:spacing w:after="100"/>
              <w:jc w:val="right"/>
              <w:rPr>
                <w:rFonts w:eastAsia="Times New Roman"/>
              </w:rPr>
            </w:pPr>
          </w:p>
        </w:tc>
      </w:tr>
      <w:tr w:rsidR="00000000" w14:paraId="34AFD1FC" w14:textId="77777777">
        <w:trPr>
          <w:jc w:val="center"/>
        </w:trPr>
        <w:tc>
          <w:tcPr>
            <w:tcW w:w="0" w:type="auto"/>
            <w:gridSpan w:val="3"/>
            <w:shd w:val="clear" w:color="auto" w:fill="FFFFFF"/>
            <w:tcMar>
              <w:top w:w="30" w:type="dxa"/>
              <w:left w:w="20" w:type="dxa"/>
              <w:bottom w:w="30" w:type="dxa"/>
              <w:right w:w="20" w:type="dxa"/>
            </w:tcMar>
            <w:vAlign w:val="bottom"/>
            <w:hideMark/>
          </w:tcPr>
          <w:p w14:paraId="0403F38A" w14:textId="77777777" w:rsidR="00000000" w:rsidRDefault="009B6C69">
            <w:pPr>
              <w:spacing w:after="100"/>
              <w:rPr>
                <w:rFonts w:eastAsia="Times New Roman"/>
              </w:rPr>
            </w:pPr>
            <w:r>
              <w:rPr>
                <w:rFonts w:eastAsia="Times New Roman"/>
                <w:color w:val="000000"/>
                <w:sz w:val="18"/>
                <w:szCs w:val="18"/>
              </w:rPr>
              <w:t>Discontinued operations, net of income taxes (Note 9)</w:t>
            </w:r>
          </w:p>
        </w:tc>
        <w:tc>
          <w:tcPr>
            <w:tcW w:w="0" w:type="auto"/>
            <w:vAlign w:val="center"/>
            <w:hideMark/>
          </w:tcPr>
          <w:p w14:paraId="26A2A144" w14:textId="77777777" w:rsidR="00000000" w:rsidRDefault="009B6C69">
            <w:pPr>
              <w:spacing w:after="100"/>
              <w:rPr>
                <w:rFonts w:eastAsia="Times New Roman"/>
              </w:rPr>
            </w:pPr>
          </w:p>
        </w:tc>
        <w:tc>
          <w:tcPr>
            <w:tcW w:w="0" w:type="auto"/>
            <w:vAlign w:val="center"/>
            <w:hideMark/>
          </w:tcPr>
          <w:p w14:paraId="48118704" w14:textId="77777777" w:rsidR="00000000" w:rsidRDefault="009B6C69">
            <w:pPr>
              <w:spacing w:after="100"/>
              <w:rPr>
                <w:rFonts w:eastAsia="Times New Roman"/>
                <w:sz w:val="20"/>
                <w:szCs w:val="20"/>
              </w:rPr>
            </w:pPr>
          </w:p>
        </w:tc>
        <w:tc>
          <w:tcPr>
            <w:tcW w:w="0" w:type="auto"/>
            <w:vAlign w:val="center"/>
            <w:hideMark/>
          </w:tcPr>
          <w:p w14:paraId="63759212" w14:textId="77777777" w:rsidR="00000000" w:rsidRDefault="009B6C69">
            <w:pPr>
              <w:spacing w:after="100"/>
              <w:rPr>
                <w:rFonts w:eastAsia="Times New Roman"/>
                <w:sz w:val="20"/>
                <w:szCs w:val="20"/>
              </w:rPr>
            </w:pPr>
          </w:p>
        </w:tc>
        <w:tc>
          <w:tcPr>
            <w:tcW w:w="0" w:type="auto"/>
            <w:vAlign w:val="center"/>
            <w:hideMark/>
          </w:tcPr>
          <w:p w14:paraId="3071B2C7" w14:textId="77777777" w:rsidR="00000000" w:rsidRDefault="009B6C69">
            <w:pPr>
              <w:spacing w:after="100"/>
              <w:rPr>
                <w:rFonts w:eastAsia="Times New Roman"/>
                <w:sz w:val="20"/>
                <w:szCs w:val="20"/>
              </w:rPr>
            </w:pPr>
          </w:p>
        </w:tc>
        <w:tc>
          <w:tcPr>
            <w:tcW w:w="0" w:type="auto"/>
            <w:vAlign w:val="center"/>
            <w:hideMark/>
          </w:tcPr>
          <w:p w14:paraId="14E447E6" w14:textId="77777777" w:rsidR="00000000" w:rsidRDefault="009B6C69">
            <w:pPr>
              <w:spacing w:after="100"/>
              <w:rPr>
                <w:rFonts w:eastAsia="Times New Roman"/>
                <w:sz w:val="20"/>
                <w:szCs w:val="20"/>
              </w:rPr>
            </w:pPr>
          </w:p>
        </w:tc>
        <w:tc>
          <w:tcPr>
            <w:tcW w:w="0" w:type="auto"/>
            <w:vAlign w:val="center"/>
            <w:hideMark/>
          </w:tcPr>
          <w:p w14:paraId="14A70099" w14:textId="77777777" w:rsidR="00000000" w:rsidRDefault="009B6C69">
            <w:pPr>
              <w:spacing w:after="100"/>
              <w:rPr>
                <w:rFonts w:eastAsia="Times New Roman"/>
                <w:sz w:val="20"/>
                <w:szCs w:val="20"/>
              </w:rPr>
            </w:pPr>
          </w:p>
        </w:tc>
        <w:tc>
          <w:tcPr>
            <w:tcW w:w="0" w:type="auto"/>
            <w:vAlign w:val="center"/>
            <w:hideMark/>
          </w:tcPr>
          <w:p w14:paraId="65CEB057"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4FF3BD" w14:textId="77777777" w:rsidR="00000000" w:rsidRDefault="009B6C69">
            <w:pPr>
              <w:spacing w:after="100"/>
              <w:jc w:val="right"/>
              <w:rPr>
                <w:rFonts w:eastAsia="Times New Roman"/>
              </w:rPr>
            </w:pPr>
            <w:r>
              <w:rPr>
                <w:rFonts w:eastAsia="Times New Roman"/>
                <w:color w:val="000000"/>
                <w:sz w:val="18"/>
                <w:szCs w:val="18"/>
              </w:rPr>
              <w:t>(50)</w:t>
            </w:r>
          </w:p>
        </w:tc>
        <w:tc>
          <w:tcPr>
            <w:tcW w:w="0" w:type="auto"/>
            <w:shd w:val="clear" w:color="auto" w:fill="FFFFFF"/>
            <w:tcMar>
              <w:top w:w="30" w:type="dxa"/>
              <w:left w:w="0" w:type="dxa"/>
              <w:bottom w:w="30" w:type="dxa"/>
              <w:right w:w="20" w:type="dxa"/>
            </w:tcMar>
            <w:vAlign w:val="bottom"/>
            <w:hideMark/>
          </w:tcPr>
          <w:p w14:paraId="27467659"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370242"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5E7438"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49D64CE"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311238"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94D0F3"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620D59E" w14:textId="77777777" w:rsidR="00000000" w:rsidRDefault="009B6C69">
            <w:pPr>
              <w:spacing w:after="100"/>
              <w:jc w:val="right"/>
              <w:rPr>
                <w:rFonts w:eastAsia="Times New Roman"/>
              </w:rPr>
            </w:pPr>
          </w:p>
        </w:tc>
      </w:tr>
      <w:tr w:rsidR="00000000" w14:paraId="61E0B9AF" w14:textId="77777777">
        <w:trPr>
          <w:jc w:val="center"/>
        </w:trPr>
        <w:tc>
          <w:tcPr>
            <w:tcW w:w="0" w:type="auto"/>
            <w:gridSpan w:val="3"/>
            <w:shd w:val="clear" w:color="auto" w:fill="CCEEFF"/>
            <w:tcMar>
              <w:top w:w="30" w:type="dxa"/>
              <w:left w:w="380" w:type="dxa"/>
              <w:bottom w:w="30" w:type="dxa"/>
              <w:right w:w="20" w:type="dxa"/>
            </w:tcMar>
            <w:vAlign w:val="bottom"/>
            <w:hideMark/>
          </w:tcPr>
          <w:p w14:paraId="5817843E" w14:textId="77777777" w:rsidR="00000000" w:rsidRDefault="009B6C69">
            <w:pPr>
              <w:spacing w:after="100"/>
              <w:rPr>
                <w:rFonts w:eastAsia="Times New Roman"/>
              </w:rPr>
            </w:pPr>
            <w:r>
              <w:rPr>
                <w:rFonts w:eastAsia="Times New Roman"/>
                <w:color w:val="000000"/>
                <w:sz w:val="18"/>
                <w:szCs w:val="18"/>
              </w:rPr>
              <w:t>Net income</w:t>
            </w:r>
          </w:p>
        </w:tc>
        <w:tc>
          <w:tcPr>
            <w:tcW w:w="0" w:type="auto"/>
            <w:vAlign w:val="center"/>
            <w:hideMark/>
          </w:tcPr>
          <w:p w14:paraId="1939143E" w14:textId="77777777" w:rsidR="00000000" w:rsidRDefault="009B6C69">
            <w:pPr>
              <w:spacing w:after="100"/>
              <w:rPr>
                <w:rFonts w:eastAsia="Times New Roman"/>
              </w:rPr>
            </w:pPr>
          </w:p>
        </w:tc>
        <w:tc>
          <w:tcPr>
            <w:tcW w:w="0" w:type="auto"/>
            <w:vAlign w:val="center"/>
            <w:hideMark/>
          </w:tcPr>
          <w:p w14:paraId="3DCA6092" w14:textId="77777777" w:rsidR="00000000" w:rsidRDefault="009B6C69">
            <w:pPr>
              <w:spacing w:after="100"/>
              <w:rPr>
                <w:rFonts w:eastAsia="Times New Roman"/>
                <w:sz w:val="20"/>
                <w:szCs w:val="20"/>
              </w:rPr>
            </w:pPr>
          </w:p>
        </w:tc>
        <w:tc>
          <w:tcPr>
            <w:tcW w:w="0" w:type="auto"/>
            <w:vAlign w:val="center"/>
            <w:hideMark/>
          </w:tcPr>
          <w:p w14:paraId="17E796E9" w14:textId="77777777" w:rsidR="00000000" w:rsidRDefault="009B6C69">
            <w:pPr>
              <w:spacing w:after="100"/>
              <w:rPr>
                <w:rFonts w:eastAsia="Times New Roman"/>
                <w:sz w:val="20"/>
                <w:szCs w:val="20"/>
              </w:rPr>
            </w:pPr>
          </w:p>
        </w:tc>
        <w:tc>
          <w:tcPr>
            <w:tcW w:w="0" w:type="auto"/>
            <w:vAlign w:val="center"/>
            <w:hideMark/>
          </w:tcPr>
          <w:p w14:paraId="2A952244" w14:textId="77777777" w:rsidR="00000000" w:rsidRDefault="009B6C69">
            <w:pPr>
              <w:spacing w:after="100"/>
              <w:rPr>
                <w:rFonts w:eastAsia="Times New Roman"/>
                <w:sz w:val="20"/>
                <w:szCs w:val="20"/>
              </w:rPr>
            </w:pPr>
          </w:p>
        </w:tc>
        <w:tc>
          <w:tcPr>
            <w:tcW w:w="0" w:type="auto"/>
            <w:vAlign w:val="center"/>
            <w:hideMark/>
          </w:tcPr>
          <w:p w14:paraId="36505854" w14:textId="77777777" w:rsidR="00000000" w:rsidRDefault="009B6C69">
            <w:pPr>
              <w:spacing w:after="100"/>
              <w:rPr>
                <w:rFonts w:eastAsia="Times New Roman"/>
                <w:sz w:val="20"/>
                <w:szCs w:val="20"/>
              </w:rPr>
            </w:pPr>
          </w:p>
        </w:tc>
        <w:tc>
          <w:tcPr>
            <w:tcW w:w="0" w:type="auto"/>
            <w:vAlign w:val="center"/>
            <w:hideMark/>
          </w:tcPr>
          <w:p w14:paraId="43596F40" w14:textId="77777777" w:rsidR="00000000" w:rsidRDefault="009B6C69">
            <w:pPr>
              <w:spacing w:after="100"/>
              <w:rPr>
                <w:rFonts w:eastAsia="Times New Roman"/>
                <w:sz w:val="20"/>
                <w:szCs w:val="20"/>
              </w:rPr>
            </w:pPr>
          </w:p>
        </w:tc>
        <w:tc>
          <w:tcPr>
            <w:tcW w:w="0" w:type="auto"/>
            <w:vAlign w:val="center"/>
            <w:hideMark/>
          </w:tcPr>
          <w:p w14:paraId="590DB0D5"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45B943"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E13007" w14:textId="77777777" w:rsidR="00000000" w:rsidRDefault="009B6C69">
            <w:pPr>
              <w:spacing w:after="100"/>
              <w:jc w:val="right"/>
              <w:rPr>
                <w:rFonts w:eastAsia="Times New Roman"/>
              </w:rPr>
            </w:pPr>
            <w:r>
              <w:rPr>
                <w:rFonts w:eastAsia="Times New Roman"/>
                <w:color w:val="000000"/>
                <w:sz w:val="18"/>
                <w:szCs w:val="18"/>
              </w:rPr>
              <w:t>12,936 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FC83F0"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5E70B7"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171736"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E260D7" w14:textId="77777777" w:rsidR="00000000" w:rsidRDefault="009B6C69">
            <w:pPr>
              <w:spacing w:after="100"/>
              <w:jc w:val="right"/>
              <w:rPr>
                <w:rFonts w:eastAsia="Times New Roman"/>
              </w:rPr>
            </w:pPr>
            <w:r>
              <w:rPr>
                <w:rFonts w:eastAsia="Times New Roman"/>
                <w:color w:val="000000"/>
                <w:sz w:val="18"/>
                <w:szCs w:val="18"/>
              </w:rPr>
              <w:t>9,043 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A9D300"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1077FF"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D8590A"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DCA197" w14:textId="77777777" w:rsidR="00000000" w:rsidRDefault="009B6C69">
            <w:pPr>
              <w:spacing w:after="100"/>
              <w:jc w:val="right"/>
              <w:rPr>
                <w:rFonts w:eastAsia="Times New Roman"/>
              </w:rPr>
            </w:pPr>
            <w:r>
              <w:rPr>
                <w:rFonts w:eastAsia="Times New Roman"/>
                <w:color w:val="000000"/>
                <w:sz w:val="18"/>
                <w:szCs w:val="18"/>
              </w:rPr>
              <w:t>5,198 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2FBFE0" w14:textId="77777777" w:rsidR="00000000" w:rsidRDefault="009B6C69">
            <w:pPr>
              <w:spacing w:after="100"/>
              <w:jc w:val="right"/>
              <w:rPr>
                <w:rFonts w:eastAsia="Times New Roman"/>
              </w:rPr>
            </w:pPr>
          </w:p>
        </w:tc>
      </w:tr>
      <w:tr w:rsidR="00000000" w14:paraId="06AFEF34" w14:textId="77777777">
        <w:trPr>
          <w:jc w:val="center"/>
        </w:trPr>
        <w:tc>
          <w:tcPr>
            <w:tcW w:w="0" w:type="auto"/>
            <w:gridSpan w:val="3"/>
            <w:vAlign w:val="center"/>
            <w:hideMark/>
          </w:tcPr>
          <w:p w14:paraId="05405498" w14:textId="77777777" w:rsidR="00000000" w:rsidRDefault="009B6C69">
            <w:pPr>
              <w:spacing w:after="100"/>
              <w:jc w:val="right"/>
              <w:rPr>
                <w:rFonts w:eastAsia="Times New Roman"/>
                <w:sz w:val="20"/>
                <w:szCs w:val="20"/>
              </w:rPr>
            </w:pPr>
          </w:p>
        </w:tc>
        <w:tc>
          <w:tcPr>
            <w:tcW w:w="0" w:type="auto"/>
            <w:vAlign w:val="center"/>
            <w:hideMark/>
          </w:tcPr>
          <w:p w14:paraId="0FF9F721" w14:textId="77777777" w:rsidR="00000000" w:rsidRDefault="009B6C69">
            <w:pPr>
              <w:spacing w:after="100"/>
              <w:rPr>
                <w:rFonts w:eastAsia="Times New Roman"/>
                <w:sz w:val="20"/>
                <w:szCs w:val="20"/>
              </w:rPr>
            </w:pPr>
          </w:p>
        </w:tc>
        <w:tc>
          <w:tcPr>
            <w:tcW w:w="0" w:type="auto"/>
            <w:vAlign w:val="center"/>
            <w:hideMark/>
          </w:tcPr>
          <w:p w14:paraId="038A7167" w14:textId="77777777" w:rsidR="00000000" w:rsidRDefault="009B6C69">
            <w:pPr>
              <w:spacing w:after="100"/>
              <w:rPr>
                <w:rFonts w:eastAsia="Times New Roman"/>
                <w:sz w:val="20"/>
                <w:szCs w:val="20"/>
              </w:rPr>
            </w:pPr>
          </w:p>
        </w:tc>
        <w:tc>
          <w:tcPr>
            <w:tcW w:w="0" w:type="auto"/>
            <w:vAlign w:val="center"/>
            <w:hideMark/>
          </w:tcPr>
          <w:p w14:paraId="712D29AC" w14:textId="77777777" w:rsidR="00000000" w:rsidRDefault="009B6C69">
            <w:pPr>
              <w:spacing w:after="100"/>
              <w:rPr>
                <w:rFonts w:eastAsia="Times New Roman"/>
                <w:sz w:val="20"/>
                <w:szCs w:val="20"/>
              </w:rPr>
            </w:pPr>
          </w:p>
        </w:tc>
        <w:tc>
          <w:tcPr>
            <w:tcW w:w="0" w:type="auto"/>
            <w:vAlign w:val="center"/>
            <w:hideMark/>
          </w:tcPr>
          <w:p w14:paraId="6CA4A098" w14:textId="77777777" w:rsidR="00000000" w:rsidRDefault="009B6C69">
            <w:pPr>
              <w:spacing w:after="100"/>
              <w:rPr>
                <w:rFonts w:eastAsia="Times New Roman"/>
                <w:sz w:val="20"/>
                <w:szCs w:val="20"/>
              </w:rPr>
            </w:pPr>
          </w:p>
        </w:tc>
        <w:tc>
          <w:tcPr>
            <w:tcW w:w="0" w:type="auto"/>
            <w:vAlign w:val="center"/>
            <w:hideMark/>
          </w:tcPr>
          <w:p w14:paraId="02B1E3D4" w14:textId="77777777" w:rsidR="00000000" w:rsidRDefault="009B6C69">
            <w:pPr>
              <w:spacing w:after="100"/>
              <w:rPr>
                <w:rFonts w:eastAsia="Times New Roman"/>
                <w:sz w:val="20"/>
                <w:szCs w:val="20"/>
              </w:rPr>
            </w:pPr>
          </w:p>
        </w:tc>
        <w:tc>
          <w:tcPr>
            <w:tcW w:w="0" w:type="auto"/>
            <w:vAlign w:val="center"/>
            <w:hideMark/>
          </w:tcPr>
          <w:p w14:paraId="7D7DF22F" w14:textId="77777777" w:rsidR="00000000" w:rsidRDefault="009B6C69">
            <w:pPr>
              <w:spacing w:after="100"/>
              <w:rPr>
                <w:rFonts w:eastAsia="Times New Roman"/>
                <w:sz w:val="20"/>
                <w:szCs w:val="20"/>
              </w:rPr>
            </w:pPr>
          </w:p>
        </w:tc>
        <w:tc>
          <w:tcPr>
            <w:tcW w:w="0" w:type="auto"/>
            <w:vAlign w:val="center"/>
            <w:hideMark/>
          </w:tcPr>
          <w:p w14:paraId="63C101CA" w14:textId="77777777" w:rsidR="00000000" w:rsidRDefault="009B6C69">
            <w:pPr>
              <w:spacing w:after="100"/>
              <w:rPr>
                <w:rFonts w:eastAsia="Times New Roman"/>
                <w:sz w:val="20"/>
                <w:szCs w:val="20"/>
              </w:rPr>
            </w:pPr>
          </w:p>
        </w:tc>
        <w:tc>
          <w:tcPr>
            <w:tcW w:w="0" w:type="auto"/>
            <w:gridSpan w:val="3"/>
            <w:vAlign w:val="center"/>
            <w:hideMark/>
          </w:tcPr>
          <w:p w14:paraId="7E6E97F1" w14:textId="77777777" w:rsidR="00000000" w:rsidRDefault="009B6C69">
            <w:pPr>
              <w:spacing w:after="100"/>
              <w:rPr>
                <w:rFonts w:eastAsia="Times New Roman"/>
                <w:sz w:val="20"/>
                <w:szCs w:val="20"/>
              </w:rPr>
            </w:pPr>
          </w:p>
        </w:tc>
        <w:tc>
          <w:tcPr>
            <w:tcW w:w="0" w:type="auto"/>
            <w:gridSpan w:val="3"/>
            <w:vAlign w:val="center"/>
            <w:hideMark/>
          </w:tcPr>
          <w:p w14:paraId="73C7F887" w14:textId="77777777" w:rsidR="00000000" w:rsidRDefault="009B6C69">
            <w:pPr>
              <w:spacing w:after="100"/>
              <w:rPr>
                <w:rFonts w:eastAsia="Times New Roman"/>
                <w:sz w:val="20"/>
                <w:szCs w:val="20"/>
              </w:rPr>
            </w:pPr>
          </w:p>
        </w:tc>
        <w:tc>
          <w:tcPr>
            <w:tcW w:w="0" w:type="auto"/>
            <w:gridSpan w:val="3"/>
            <w:vAlign w:val="center"/>
            <w:hideMark/>
          </w:tcPr>
          <w:p w14:paraId="5996362C" w14:textId="77777777" w:rsidR="00000000" w:rsidRDefault="009B6C69">
            <w:pPr>
              <w:spacing w:after="100"/>
              <w:rPr>
                <w:rFonts w:eastAsia="Times New Roman"/>
                <w:sz w:val="20"/>
                <w:szCs w:val="20"/>
              </w:rPr>
            </w:pPr>
          </w:p>
        </w:tc>
        <w:tc>
          <w:tcPr>
            <w:tcW w:w="0" w:type="auto"/>
            <w:gridSpan w:val="3"/>
            <w:vAlign w:val="center"/>
            <w:hideMark/>
          </w:tcPr>
          <w:p w14:paraId="72A91BCF" w14:textId="77777777" w:rsidR="00000000" w:rsidRDefault="009B6C69">
            <w:pPr>
              <w:spacing w:after="100"/>
              <w:rPr>
                <w:rFonts w:eastAsia="Times New Roman"/>
                <w:sz w:val="20"/>
                <w:szCs w:val="20"/>
              </w:rPr>
            </w:pPr>
          </w:p>
        </w:tc>
        <w:tc>
          <w:tcPr>
            <w:tcW w:w="0" w:type="auto"/>
            <w:gridSpan w:val="3"/>
            <w:vAlign w:val="center"/>
            <w:hideMark/>
          </w:tcPr>
          <w:p w14:paraId="5C9CCEA1" w14:textId="77777777" w:rsidR="00000000" w:rsidRDefault="009B6C69">
            <w:pPr>
              <w:spacing w:after="100"/>
              <w:rPr>
                <w:rFonts w:eastAsia="Times New Roman"/>
                <w:sz w:val="20"/>
                <w:szCs w:val="20"/>
              </w:rPr>
            </w:pPr>
          </w:p>
        </w:tc>
      </w:tr>
      <w:tr w:rsidR="00000000" w14:paraId="29EC1D9E" w14:textId="77777777">
        <w:trPr>
          <w:jc w:val="center"/>
        </w:trPr>
        <w:tc>
          <w:tcPr>
            <w:tcW w:w="0" w:type="auto"/>
            <w:gridSpan w:val="3"/>
            <w:vAlign w:val="center"/>
            <w:hideMark/>
          </w:tcPr>
          <w:p w14:paraId="267842E8" w14:textId="77777777" w:rsidR="00000000" w:rsidRDefault="009B6C69">
            <w:pPr>
              <w:spacing w:after="100"/>
              <w:rPr>
                <w:rFonts w:eastAsia="Times New Roman"/>
                <w:sz w:val="20"/>
                <w:szCs w:val="20"/>
              </w:rPr>
            </w:pPr>
          </w:p>
        </w:tc>
        <w:tc>
          <w:tcPr>
            <w:tcW w:w="0" w:type="auto"/>
            <w:vAlign w:val="center"/>
            <w:hideMark/>
          </w:tcPr>
          <w:p w14:paraId="6EAB8DC7" w14:textId="77777777" w:rsidR="00000000" w:rsidRDefault="009B6C69">
            <w:pPr>
              <w:spacing w:after="100"/>
              <w:rPr>
                <w:rFonts w:eastAsia="Times New Roman"/>
                <w:sz w:val="20"/>
                <w:szCs w:val="20"/>
              </w:rPr>
            </w:pPr>
          </w:p>
        </w:tc>
        <w:tc>
          <w:tcPr>
            <w:tcW w:w="0" w:type="auto"/>
            <w:vAlign w:val="center"/>
            <w:hideMark/>
          </w:tcPr>
          <w:p w14:paraId="466B00C8" w14:textId="77777777" w:rsidR="00000000" w:rsidRDefault="009B6C69">
            <w:pPr>
              <w:spacing w:after="100"/>
              <w:rPr>
                <w:rFonts w:eastAsia="Times New Roman"/>
                <w:sz w:val="20"/>
                <w:szCs w:val="20"/>
              </w:rPr>
            </w:pPr>
          </w:p>
        </w:tc>
        <w:tc>
          <w:tcPr>
            <w:tcW w:w="0" w:type="auto"/>
            <w:vAlign w:val="center"/>
            <w:hideMark/>
          </w:tcPr>
          <w:p w14:paraId="1209CB4E" w14:textId="77777777" w:rsidR="00000000" w:rsidRDefault="009B6C69">
            <w:pPr>
              <w:spacing w:after="100"/>
              <w:rPr>
                <w:rFonts w:eastAsia="Times New Roman"/>
                <w:sz w:val="20"/>
                <w:szCs w:val="20"/>
              </w:rPr>
            </w:pPr>
          </w:p>
        </w:tc>
        <w:tc>
          <w:tcPr>
            <w:tcW w:w="0" w:type="auto"/>
            <w:vAlign w:val="center"/>
            <w:hideMark/>
          </w:tcPr>
          <w:p w14:paraId="1CC9303A" w14:textId="77777777" w:rsidR="00000000" w:rsidRDefault="009B6C69">
            <w:pPr>
              <w:spacing w:after="100"/>
              <w:rPr>
                <w:rFonts w:eastAsia="Times New Roman"/>
                <w:sz w:val="20"/>
                <w:szCs w:val="20"/>
              </w:rPr>
            </w:pPr>
          </w:p>
        </w:tc>
        <w:tc>
          <w:tcPr>
            <w:tcW w:w="0" w:type="auto"/>
            <w:vAlign w:val="center"/>
            <w:hideMark/>
          </w:tcPr>
          <w:p w14:paraId="6D4BE015" w14:textId="77777777" w:rsidR="00000000" w:rsidRDefault="009B6C69">
            <w:pPr>
              <w:spacing w:after="100"/>
              <w:rPr>
                <w:rFonts w:eastAsia="Times New Roman"/>
                <w:sz w:val="20"/>
                <w:szCs w:val="20"/>
              </w:rPr>
            </w:pPr>
          </w:p>
        </w:tc>
        <w:tc>
          <w:tcPr>
            <w:tcW w:w="0" w:type="auto"/>
            <w:vAlign w:val="center"/>
            <w:hideMark/>
          </w:tcPr>
          <w:p w14:paraId="12E07C9E" w14:textId="77777777" w:rsidR="00000000" w:rsidRDefault="009B6C69">
            <w:pPr>
              <w:spacing w:after="100"/>
              <w:rPr>
                <w:rFonts w:eastAsia="Times New Roman"/>
                <w:sz w:val="20"/>
                <w:szCs w:val="20"/>
              </w:rPr>
            </w:pPr>
          </w:p>
        </w:tc>
        <w:tc>
          <w:tcPr>
            <w:tcW w:w="0" w:type="auto"/>
            <w:vAlign w:val="center"/>
            <w:hideMark/>
          </w:tcPr>
          <w:p w14:paraId="49197DF5" w14:textId="77777777" w:rsidR="00000000" w:rsidRDefault="009B6C69">
            <w:pPr>
              <w:spacing w:after="100"/>
              <w:rPr>
                <w:rFonts w:eastAsia="Times New Roman"/>
                <w:sz w:val="20"/>
                <w:szCs w:val="20"/>
              </w:rPr>
            </w:pPr>
          </w:p>
        </w:tc>
        <w:tc>
          <w:tcPr>
            <w:tcW w:w="0" w:type="auto"/>
            <w:gridSpan w:val="3"/>
            <w:vAlign w:val="center"/>
            <w:hideMark/>
          </w:tcPr>
          <w:p w14:paraId="7202018F" w14:textId="77777777" w:rsidR="00000000" w:rsidRDefault="009B6C69">
            <w:pPr>
              <w:spacing w:after="100"/>
              <w:rPr>
                <w:rFonts w:eastAsia="Times New Roman"/>
                <w:sz w:val="20"/>
                <w:szCs w:val="20"/>
              </w:rPr>
            </w:pPr>
          </w:p>
        </w:tc>
        <w:tc>
          <w:tcPr>
            <w:tcW w:w="0" w:type="auto"/>
            <w:gridSpan w:val="3"/>
            <w:vAlign w:val="center"/>
            <w:hideMark/>
          </w:tcPr>
          <w:p w14:paraId="5202B7D2" w14:textId="77777777" w:rsidR="00000000" w:rsidRDefault="009B6C69">
            <w:pPr>
              <w:spacing w:after="100"/>
              <w:rPr>
                <w:rFonts w:eastAsia="Times New Roman"/>
                <w:sz w:val="20"/>
                <w:szCs w:val="20"/>
              </w:rPr>
            </w:pPr>
          </w:p>
        </w:tc>
        <w:tc>
          <w:tcPr>
            <w:tcW w:w="0" w:type="auto"/>
            <w:gridSpan w:val="3"/>
            <w:vAlign w:val="center"/>
            <w:hideMark/>
          </w:tcPr>
          <w:p w14:paraId="4D52CA48" w14:textId="77777777" w:rsidR="00000000" w:rsidRDefault="009B6C69">
            <w:pPr>
              <w:spacing w:after="100"/>
              <w:rPr>
                <w:rFonts w:eastAsia="Times New Roman"/>
                <w:sz w:val="20"/>
                <w:szCs w:val="20"/>
              </w:rPr>
            </w:pPr>
          </w:p>
        </w:tc>
        <w:tc>
          <w:tcPr>
            <w:tcW w:w="0" w:type="auto"/>
            <w:gridSpan w:val="3"/>
            <w:vAlign w:val="center"/>
            <w:hideMark/>
          </w:tcPr>
          <w:p w14:paraId="7C270192" w14:textId="77777777" w:rsidR="00000000" w:rsidRDefault="009B6C69">
            <w:pPr>
              <w:spacing w:after="100"/>
              <w:rPr>
                <w:rFonts w:eastAsia="Times New Roman"/>
                <w:sz w:val="20"/>
                <w:szCs w:val="20"/>
              </w:rPr>
            </w:pPr>
          </w:p>
        </w:tc>
        <w:tc>
          <w:tcPr>
            <w:tcW w:w="0" w:type="auto"/>
            <w:gridSpan w:val="3"/>
            <w:vAlign w:val="center"/>
            <w:hideMark/>
          </w:tcPr>
          <w:p w14:paraId="7F7440EF" w14:textId="77777777" w:rsidR="00000000" w:rsidRDefault="009B6C69">
            <w:pPr>
              <w:spacing w:after="100"/>
              <w:rPr>
                <w:rFonts w:eastAsia="Times New Roman"/>
                <w:sz w:val="20"/>
                <w:szCs w:val="20"/>
              </w:rPr>
            </w:pPr>
          </w:p>
        </w:tc>
      </w:tr>
      <w:tr w:rsidR="00000000" w14:paraId="73A1CD97" w14:textId="77777777">
        <w:trPr>
          <w:trHeight w:val="300"/>
          <w:jc w:val="center"/>
        </w:trPr>
        <w:tc>
          <w:tcPr>
            <w:tcW w:w="0" w:type="auto"/>
            <w:gridSpan w:val="3"/>
            <w:shd w:val="clear" w:color="auto" w:fill="FFFFFF"/>
            <w:tcMar>
              <w:top w:w="0" w:type="dxa"/>
              <w:left w:w="20" w:type="dxa"/>
              <w:bottom w:w="0" w:type="dxa"/>
              <w:right w:w="20" w:type="dxa"/>
            </w:tcMar>
            <w:vAlign w:val="center"/>
            <w:hideMark/>
          </w:tcPr>
          <w:p w14:paraId="6238F590" w14:textId="77777777" w:rsidR="00000000" w:rsidRDefault="009B6C69">
            <w:pPr>
              <w:spacing w:after="100"/>
              <w:rPr>
                <w:rFonts w:eastAsia="Times New Roman"/>
                <w:sz w:val="20"/>
                <w:szCs w:val="20"/>
              </w:rPr>
            </w:pPr>
          </w:p>
        </w:tc>
        <w:tc>
          <w:tcPr>
            <w:tcW w:w="0" w:type="auto"/>
            <w:vAlign w:val="center"/>
            <w:hideMark/>
          </w:tcPr>
          <w:p w14:paraId="3E3173DF" w14:textId="77777777" w:rsidR="00000000" w:rsidRDefault="009B6C69">
            <w:pPr>
              <w:spacing w:after="100"/>
              <w:rPr>
                <w:rFonts w:eastAsia="Times New Roman"/>
                <w:sz w:val="20"/>
                <w:szCs w:val="20"/>
              </w:rPr>
            </w:pPr>
          </w:p>
        </w:tc>
        <w:tc>
          <w:tcPr>
            <w:tcW w:w="0" w:type="auto"/>
            <w:vAlign w:val="center"/>
            <w:hideMark/>
          </w:tcPr>
          <w:p w14:paraId="0A3714B2" w14:textId="77777777" w:rsidR="00000000" w:rsidRDefault="009B6C69">
            <w:pPr>
              <w:spacing w:after="100"/>
              <w:rPr>
                <w:rFonts w:eastAsia="Times New Roman"/>
                <w:sz w:val="20"/>
                <w:szCs w:val="20"/>
              </w:rPr>
            </w:pPr>
          </w:p>
        </w:tc>
        <w:tc>
          <w:tcPr>
            <w:tcW w:w="0" w:type="auto"/>
            <w:vAlign w:val="center"/>
            <w:hideMark/>
          </w:tcPr>
          <w:p w14:paraId="7E21AC9A" w14:textId="77777777" w:rsidR="00000000" w:rsidRDefault="009B6C69">
            <w:pPr>
              <w:spacing w:after="100"/>
              <w:rPr>
                <w:rFonts w:eastAsia="Times New Roman"/>
                <w:sz w:val="20"/>
                <w:szCs w:val="20"/>
              </w:rPr>
            </w:pPr>
          </w:p>
        </w:tc>
        <w:tc>
          <w:tcPr>
            <w:tcW w:w="0" w:type="auto"/>
            <w:vAlign w:val="center"/>
            <w:hideMark/>
          </w:tcPr>
          <w:p w14:paraId="6CE79C22" w14:textId="77777777" w:rsidR="00000000" w:rsidRDefault="009B6C69">
            <w:pPr>
              <w:spacing w:after="100"/>
              <w:rPr>
                <w:rFonts w:eastAsia="Times New Roman"/>
                <w:sz w:val="20"/>
                <w:szCs w:val="20"/>
              </w:rPr>
            </w:pPr>
          </w:p>
        </w:tc>
        <w:tc>
          <w:tcPr>
            <w:tcW w:w="0" w:type="auto"/>
            <w:vAlign w:val="center"/>
            <w:hideMark/>
          </w:tcPr>
          <w:p w14:paraId="0C5DBEDD" w14:textId="77777777" w:rsidR="00000000" w:rsidRDefault="009B6C69">
            <w:pPr>
              <w:spacing w:after="100"/>
              <w:rPr>
                <w:rFonts w:eastAsia="Times New Roman"/>
                <w:sz w:val="20"/>
                <w:szCs w:val="20"/>
              </w:rPr>
            </w:pPr>
          </w:p>
        </w:tc>
        <w:tc>
          <w:tcPr>
            <w:tcW w:w="0" w:type="auto"/>
            <w:vAlign w:val="center"/>
            <w:hideMark/>
          </w:tcPr>
          <w:p w14:paraId="036FD72A" w14:textId="77777777" w:rsidR="00000000" w:rsidRDefault="009B6C69">
            <w:pPr>
              <w:spacing w:after="100"/>
              <w:rPr>
                <w:rFonts w:eastAsia="Times New Roman"/>
                <w:sz w:val="20"/>
                <w:szCs w:val="20"/>
              </w:rPr>
            </w:pPr>
          </w:p>
        </w:tc>
        <w:tc>
          <w:tcPr>
            <w:tcW w:w="0" w:type="auto"/>
            <w:vAlign w:val="center"/>
            <w:hideMark/>
          </w:tcPr>
          <w:p w14:paraId="749E268B" w14:textId="77777777" w:rsidR="00000000" w:rsidRDefault="009B6C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2399CDA"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4348DD" w14:textId="77777777" w:rsidR="00000000" w:rsidRDefault="009B6C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B4F0EE4"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FB1B0C" w14:textId="77777777" w:rsidR="00000000" w:rsidRDefault="009B6C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6494325" w14:textId="77777777" w:rsidR="00000000" w:rsidRDefault="009B6C69">
            <w:pPr>
              <w:spacing w:after="100"/>
              <w:rPr>
                <w:rFonts w:eastAsia="Times New Roman"/>
                <w:sz w:val="20"/>
                <w:szCs w:val="20"/>
              </w:rPr>
            </w:pPr>
          </w:p>
        </w:tc>
      </w:tr>
      <w:tr w:rsidR="00000000" w14:paraId="3D1E57C7" w14:textId="77777777">
        <w:trPr>
          <w:jc w:val="center"/>
        </w:trPr>
        <w:tc>
          <w:tcPr>
            <w:tcW w:w="0" w:type="auto"/>
            <w:gridSpan w:val="3"/>
            <w:shd w:val="clear" w:color="auto" w:fill="CCEEFF"/>
            <w:tcMar>
              <w:top w:w="30" w:type="dxa"/>
              <w:left w:w="20" w:type="dxa"/>
              <w:bottom w:w="30" w:type="dxa"/>
              <w:right w:w="20" w:type="dxa"/>
            </w:tcMar>
            <w:vAlign w:val="bottom"/>
            <w:hideMark/>
          </w:tcPr>
          <w:p w14:paraId="21590109" w14:textId="77777777" w:rsidR="00000000" w:rsidRDefault="009B6C69">
            <w:pPr>
              <w:spacing w:after="100"/>
              <w:rPr>
                <w:rFonts w:eastAsia="Times New Roman"/>
              </w:rPr>
            </w:pPr>
            <w:r>
              <w:rPr>
                <w:rFonts w:eastAsia="Times New Roman"/>
                <w:color w:val="000000"/>
                <w:sz w:val="18"/>
                <w:szCs w:val="18"/>
              </w:rPr>
              <w:t>Basic earnings (loss) per share:</w:t>
            </w:r>
          </w:p>
        </w:tc>
        <w:tc>
          <w:tcPr>
            <w:tcW w:w="0" w:type="auto"/>
            <w:vAlign w:val="center"/>
            <w:hideMark/>
          </w:tcPr>
          <w:p w14:paraId="6E896E63" w14:textId="77777777" w:rsidR="00000000" w:rsidRDefault="009B6C69">
            <w:pPr>
              <w:spacing w:after="100"/>
              <w:rPr>
                <w:rFonts w:eastAsia="Times New Roman"/>
              </w:rPr>
            </w:pPr>
          </w:p>
        </w:tc>
        <w:tc>
          <w:tcPr>
            <w:tcW w:w="0" w:type="auto"/>
            <w:vAlign w:val="center"/>
            <w:hideMark/>
          </w:tcPr>
          <w:p w14:paraId="295CCE0B" w14:textId="77777777" w:rsidR="00000000" w:rsidRDefault="009B6C69">
            <w:pPr>
              <w:spacing w:after="100"/>
              <w:rPr>
                <w:rFonts w:eastAsia="Times New Roman"/>
                <w:sz w:val="20"/>
                <w:szCs w:val="20"/>
              </w:rPr>
            </w:pPr>
          </w:p>
        </w:tc>
        <w:tc>
          <w:tcPr>
            <w:tcW w:w="0" w:type="auto"/>
            <w:vAlign w:val="center"/>
            <w:hideMark/>
          </w:tcPr>
          <w:p w14:paraId="68593C0F" w14:textId="77777777" w:rsidR="00000000" w:rsidRDefault="009B6C69">
            <w:pPr>
              <w:spacing w:after="100"/>
              <w:rPr>
                <w:rFonts w:eastAsia="Times New Roman"/>
                <w:sz w:val="20"/>
                <w:szCs w:val="20"/>
              </w:rPr>
            </w:pPr>
          </w:p>
        </w:tc>
        <w:tc>
          <w:tcPr>
            <w:tcW w:w="0" w:type="auto"/>
            <w:vAlign w:val="center"/>
            <w:hideMark/>
          </w:tcPr>
          <w:p w14:paraId="4261F0E7" w14:textId="77777777" w:rsidR="00000000" w:rsidRDefault="009B6C69">
            <w:pPr>
              <w:spacing w:after="100"/>
              <w:rPr>
                <w:rFonts w:eastAsia="Times New Roman"/>
                <w:sz w:val="20"/>
                <w:szCs w:val="20"/>
              </w:rPr>
            </w:pPr>
          </w:p>
        </w:tc>
        <w:tc>
          <w:tcPr>
            <w:tcW w:w="0" w:type="auto"/>
            <w:vAlign w:val="center"/>
            <w:hideMark/>
          </w:tcPr>
          <w:p w14:paraId="4263A582" w14:textId="77777777" w:rsidR="00000000" w:rsidRDefault="009B6C69">
            <w:pPr>
              <w:spacing w:after="100"/>
              <w:rPr>
                <w:rFonts w:eastAsia="Times New Roman"/>
                <w:sz w:val="20"/>
                <w:szCs w:val="20"/>
              </w:rPr>
            </w:pPr>
          </w:p>
        </w:tc>
        <w:tc>
          <w:tcPr>
            <w:tcW w:w="0" w:type="auto"/>
            <w:vAlign w:val="center"/>
            <w:hideMark/>
          </w:tcPr>
          <w:p w14:paraId="03D15308" w14:textId="77777777" w:rsidR="00000000" w:rsidRDefault="009B6C69">
            <w:pPr>
              <w:spacing w:after="100"/>
              <w:rPr>
                <w:rFonts w:eastAsia="Times New Roman"/>
                <w:sz w:val="20"/>
                <w:szCs w:val="20"/>
              </w:rPr>
            </w:pPr>
          </w:p>
        </w:tc>
        <w:tc>
          <w:tcPr>
            <w:tcW w:w="0" w:type="auto"/>
            <w:vAlign w:val="center"/>
            <w:hideMark/>
          </w:tcPr>
          <w:p w14:paraId="106B157A"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23AC4E"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961503"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B0E47D"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3A656D"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51F485" w14:textId="77777777" w:rsidR="00000000" w:rsidRDefault="009B6C69">
            <w:pPr>
              <w:spacing w:after="100"/>
              <w:rPr>
                <w:rFonts w:eastAsia="Times New Roman"/>
                <w:sz w:val="20"/>
                <w:szCs w:val="20"/>
              </w:rPr>
            </w:pPr>
          </w:p>
        </w:tc>
      </w:tr>
      <w:tr w:rsidR="00000000" w14:paraId="13B15D24" w14:textId="77777777">
        <w:trPr>
          <w:jc w:val="center"/>
        </w:trPr>
        <w:tc>
          <w:tcPr>
            <w:tcW w:w="0" w:type="auto"/>
            <w:gridSpan w:val="3"/>
            <w:shd w:val="clear" w:color="auto" w:fill="FFFFFF"/>
            <w:tcMar>
              <w:top w:w="30" w:type="dxa"/>
              <w:left w:w="140" w:type="dxa"/>
              <w:bottom w:w="30" w:type="dxa"/>
              <w:right w:w="20" w:type="dxa"/>
            </w:tcMar>
            <w:vAlign w:val="bottom"/>
            <w:hideMark/>
          </w:tcPr>
          <w:p w14:paraId="501A2F61" w14:textId="77777777" w:rsidR="00000000" w:rsidRDefault="009B6C69">
            <w:pPr>
              <w:spacing w:after="100"/>
              <w:rPr>
                <w:rFonts w:eastAsia="Times New Roman"/>
              </w:rPr>
            </w:pPr>
            <w:r>
              <w:rPr>
                <w:rFonts w:eastAsia="Times New Roman"/>
                <w:color w:val="000000"/>
                <w:sz w:val="18"/>
                <w:szCs w:val="18"/>
              </w:rPr>
              <w:t>Continuing operations</w:t>
            </w:r>
          </w:p>
        </w:tc>
        <w:tc>
          <w:tcPr>
            <w:tcW w:w="0" w:type="auto"/>
            <w:vAlign w:val="center"/>
            <w:hideMark/>
          </w:tcPr>
          <w:p w14:paraId="17987E06" w14:textId="77777777" w:rsidR="00000000" w:rsidRDefault="009B6C69">
            <w:pPr>
              <w:spacing w:after="100"/>
              <w:rPr>
                <w:rFonts w:eastAsia="Times New Roman"/>
              </w:rPr>
            </w:pPr>
          </w:p>
        </w:tc>
        <w:tc>
          <w:tcPr>
            <w:tcW w:w="0" w:type="auto"/>
            <w:vAlign w:val="center"/>
            <w:hideMark/>
          </w:tcPr>
          <w:p w14:paraId="5027613A" w14:textId="77777777" w:rsidR="00000000" w:rsidRDefault="009B6C69">
            <w:pPr>
              <w:spacing w:after="100"/>
              <w:rPr>
                <w:rFonts w:eastAsia="Times New Roman"/>
                <w:sz w:val="20"/>
                <w:szCs w:val="20"/>
              </w:rPr>
            </w:pPr>
          </w:p>
        </w:tc>
        <w:tc>
          <w:tcPr>
            <w:tcW w:w="0" w:type="auto"/>
            <w:vAlign w:val="center"/>
            <w:hideMark/>
          </w:tcPr>
          <w:p w14:paraId="11C9DEFE" w14:textId="77777777" w:rsidR="00000000" w:rsidRDefault="009B6C69">
            <w:pPr>
              <w:spacing w:after="100"/>
              <w:rPr>
                <w:rFonts w:eastAsia="Times New Roman"/>
                <w:sz w:val="20"/>
                <w:szCs w:val="20"/>
              </w:rPr>
            </w:pPr>
          </w:p>
        </w:tc>
        <w:tc>
          <w:tcPr>
            <w:tcW w:w="0" w:type="auto"/>
            <w:vAlign w:val="center"/>
            <w:hideMark/>
          </w:tcPr>
          <w:p w14:paraId="087C5F7D" w14:textId="77777777" w:rsidR="00000000" w:rsidRDefault="009B6C69">
            <w:pPr>
              <w:spacing w:after="100"/>
              <w:rPr>
                <w:rFonts w:eastAsia="Times New Roman"/>
                <w:sz w:val="20"/>
                <w:szCs w:val="20"/>
              </w:rPr>
            </w:pPr>
          </w:p>
        </w:tc>
        <w:tc>
          <w:tcPr>
            <w:tcW w:w="0" w:type="auto"/>
            <w:vAlign w:val="center"/>
            <w:hideMark/>
          </w:tcPr>
          <w:p w14:paraId="2667EE24" w14:textId="77777777" w:rsidR="00000000" w:rsidRDefault="009B6C69">
            <w:pPr>
              <w:spacing w:after="100"/>
              <w:rPr>
                <w:rFonts w:eastAsia="Times New Roman"/>
                <w:sz w:val="20"/>
                <w:szCs w:val="20"/>
              </w:rPr>
            </w:pPr>
          </w:p>
        </w:tc>
        <w:tc>
          <w:tcPr>
            <w:tcW w:w="0" w:type="auto"/>
            <w:vAlign w:val="center"/>
            <w:hideMark/>
          </w:tcPr>
          <w:p w14:paraId="7C27A99A" w14:textId="77777777" w:rsidR="00000000" w:rsidRDefault="009B6C69">
            <w:pPr>
              <w:spacing w:after="100"/>
              <w:rPr>
                <w:rFonts w:eastAsia="Times New Roman"/>
                <w:sz w:val="20"/>
                <w:szCs w:val="20"/>
              </w:rPr>
            </w:pPr>
          </w:p>
        </w:tc>
        <w:tc>
          <w:tcPr>
            <w:tcW w:w="0" w:type="auto"/>
            <w:vAlign w:val="center"/>
            <w:hideMark/>
          </w:tcPr>
          <w:p w14:paraId="18A26093" w14:textId="77777777" w:rsidR="00000000" w:rsidRDefault="009B6C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85FA2F9"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7FBED71" w14:textId="77777777" w:rsidR="00000000" w:rsidRDefault="009B6C69">
            <w:pPr>
              <w:spacing w:after="100"/>
              <w:jc w:val="right"/>
              <w:rPr>
                <w:rFonts w:eastAsia="Times New Roman"/>
              </w:rPr>
            </w:pPr>
            <w:r>
              <w:rPr>
                <w:rFonts w:eastAsia="Times New Roman"/>
                <w:color w:val="000000"/>
                <w:sz w:val="18"/>
                <w:szCs w:val="18"/>
              </w:rPr>
              <w:t>11.56 </w:t>
            </w:r>
          </w:p>
        </w:tc>
        <w:tc>
          <w:tcPr>
            <w:tcW w:w="0" w:type="auto"/>
            <w:shd w:val="clear" w:color="auto" w:fill="FFFFFF"/>
            <w:tcMar>
              <w:top w:w="30" w:type="dxa"/>
              <w:left w:w="0" w:type="dxa"/>
              <w:bottom w:w="30" w:type="dxa"/>
              <w:right w:w="20" w:type="dxa"/>
            </w:tcMar>
            <w:vAlign w:val="bottom"/>
            <w:hideMark/>
          </w:tcPr>
          <w:p w14:paraId="16D0F0BA"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AFDFF7" w14:textId="77777777" w:rsidR="00000000" w:rsidRDefault="009B6C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E30031D"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2F43717" w14:textId="77777777" w:rsidR="00000000" w:rsidRDefault="009B6C69">
            <w:pPr>
              <w:spacing w:after="100"/>
              <w:jc w:val="right"/>
              <w:rPr>
                <w:rFonts w:eastAsia="Times New Roman"/>
              </w:rPr>
            </w:pPr>
            <w:r>
              <w:rPr>
                <w:rFonts w:eastAsia="Times New Roman"/>
                <w:color w:val="000000"/>
                <w:sz w:val="18"/>
                <w:szCs w:val="18"/>
              </w:rPr>
              <w:t>7.99 </w:t>
            </w:r>
          </w:p>
        </w:tc>
        <w:tc>
          <w:tcPr>
            <w:tcW w:w="0" w:type="auto"/>
            <w:shd w:val="clear" w:color="auto" w:fill="FFFFFF"/>
            <w:tcMar>
              <w:top w:w="30" w:type="dxa"/>
              <w:left w:w="0" w:type="dxa"/>
              <w:bottom w:w="30" w:type="dxa"/>
              <w:right w:w="20" w:type="dxa"/>
            </w:tcMar>
            <w:vAlign w:val="bottom"/>
            <w:hideMark/>
          </w:tcPr>
          <w:p w14:paraId="7DF25919"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511BED" w14:textId="77777777" w:rsidR="00000000" w:rsidRDefault="009B6C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3A93914"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DFF6FE9" w14:textId="77777777" w:rsidR="00000000" w:rsidRDefault="009B6C69">
            <w:pPr>
              <w:spacing w:after="100"/>
              <w:jc w:val="right"/>
              <w:rPr>
                <w:rFonts w:eastAsia="Times New Roman"/>
              </w:rPr>
            </w:pPr>
            <w:r>
              <w:rPr>
                <w:rFonts w:eastAsia="Times New Roman"/>
                <w:color w:val="000000"/>
                <w:sz w:val="18"/>
                <w:szCs w:val="18"/>
              </w:rPr>
              <w:t>4.58 </w:t>
            </w:r>
          </w:p>
        </w:tc>
        <w:tc>
          <w:tcPr>
            <w:tcW w:w="0" w:type="auto"/>
            <w:shd w:val="clear" w:color="auto" w:fill="FFFFFF"/>
            <w:tcMar>
              <w:top w:w="30" w:type="dxa"/>
              <w:left w:w="0" w:type="dxa"/>
              <w:bottom w:w="30" w:type="dxa"/>
              <w:right w:w="20" w:type="dxa"/>
            </w:tcMar>
            <w:vAlign w:val="bottom"/>
            <w:hideMark/>
          </w:tcPr>
          <w:p w14:paraId="3B750799" w14:textId="77777777" w:rsidR="00000000" w:rsidRDefault="009B6C69">
            <w:pPr>
              <w:spacing w:after="100"/>
              <w:jc w:val="right"/>
              <w:rPr>
                <w:rFonts w:eastAsia="Times New Roman"/>
              </w:rPr>
            </w:pPr>
          </w:p>
        </w:tc>
      </w:tr>
      <w:tr w:rsidR="00000000" w14:paraId="167FE341" w14:textId="77777777">
        <w:trPr>
          <w:jc w:val="center"/>
        </w:trPr>
        <w:tc>
          <w:tcPr>
            <w:tcW w:w="0" w:type="auto"/>
            <w:gridSpan w:val="3"/>
            <w:shd w:val="clear" w:color="auto" w:fill="CCEEFF"/>
            <w:tcMar>
              <w:top w:w="30" w:type="dxa"/>
              <w:left w:w="140" w:type="dxa"/>
              <w:bottom w:w="30" w:type="dxa"/>
              <w:right w:w="20" w:type="dxa"/>
            </w:tcMar>
            <w:vAlign w:val="bottom"/>
            <w:hideMark/>
          </w:tcPr>
          <w:p w14:paraId="164ED86A" w14:textId="77777777" w:rsidR="00000000" w:rsidRDefault="009B6C69">
            <w:pPr>
              <w:spacing w:after="100"/>
              <w:rPr>
                <w:rFonts w:eastAsia="Times New Roman"/>
              </w:rPr>
            </w:pPr>
            <w:r>
              <w:rPr>
                <w:rFonts w:eastAsia="Times New Roman"/>
                <w:color w:val="000000"/>
                <w:sz w:val="18"/>
                <w:szCs w:val="18"/>
              </w:rPr>
              <w:t>Discontinued operations</w:t>
            </w:r>
          </w:p>
        </w:tc>
        <w:tc>
          <w:tcPr>
            <w:tcW w:w="0" w:type="auto"/>
            <w:vAlign w:val="center"/>
            <w:hideMark/>
          </w:tcPr>
          <w:p w14:paraId="69D12609" w14:textId="77777777" w:rsidR="00000000" w:rsidRDefault="009B6C69">
            <w:pPr>
              <w:spacing w:after="100"/>
              <w:rPr>
                <w:rFonts w:eastAsia="Times New Roman"/>
              </w:rPr>
            </w:pPr>
          </w:p>
        </w:tc>
        <w:tc>
          <w:tcPr>
            <w:tcW w:w="0" w:type="auto"/>
            <w:vAlign w:val="center"/>
            <w:hideMark/>
          </w:tcPr>
          <w:p w14:paraId="17AD04B5" w14:textId="77777777" w:rsidR="00000000" w:rsidRDefault="009B6C69">
            <w:pPr>
              <w:spacing w:after="100"/>
              <w:rPr>
                <w:rFonts w:eastAsia="Times New Roman"/>
                <w:sz w:val="20"/>
                <w:szCs w:val="20"/>
              </w:rPr>
            </w:pPr>
          </w:p>
        </w:tc>
        <w:tc>
          <w:tcPr>
            <w:tcW w:w="0" w:type="auto"/>
            <w:vAlign w:val="center"/>
            <w:hideMark/>
          </w:tcPr>
          <w:p w14:paraId="639A5AA2" w14:textId="77777777" w:rsidR="00000000" w:rsidRDefault="009B6C69">
            <w:pPr>
              <w:spacing w:after="100"/>
              <w:rPr>
                <w:rFonts w:eastAsia="Times New Roman"/>
                <w:sz w:val="20"/>
                <w:szCs w:val="20"/>
              </w:rPr>
            </w:pPr>
          </w:p>
        </w:tc>
        <w:tc>
          <w:tcPr>
            <w:tcW w:w="0" w:type="auto"/>
            <w:vAlign w:val="center"/>
            <w:hideMark/>
          </w:tcPr>
          <w:p w14:paraId="3393F29C" w14:textId="77777777" w:rsidR="00000000" w:rsidRDefault="009B6C69">
            <w:pPr>
              <w:spacing w:after="100"/>
              <w:rPr>
                <w:rFonts w:eastAsia="Times New Roman"/>
                <w:sz w:val="20"/>
                <w:szCs w:val="20"/>
              </w:rPr>
            </w:pPr>
          </w:p>
        </w:tc>
        <w:tc>
          <w:tcPr>
            <w:tcW w:w="0" w:type="auto"/>
            <w:vAlign w:val="center"/>
            <w:hideMark/>
          </w:tcPr>
          <w:p w14:paraId="4DCF2AE1" w14:textId="77777777" w:rsidR="00000000" w:rsidRDefault="009B6C69">
            <w:pPr>
              <w:spacing w:after="100"/>
              <w:rPr>
                <w:rFonts w:eastAsia="Times New Roman"/>
                <w:sz w:val="20"/>
                <w:szCs w:val="20"/>
              </w:rPr>
            </w:pPr>
          </w:p>
        </w:tc>
        <w:tc>
          <w:tcPr>
            <w:tcW w:w="0" w:type="auto"/>
            <w:vAlign w:val="center"/>
            <w:hideMark/>
          </w:tcPr>
          <w:p w14:paraId="1FACDC45" w14:textId="77777777" w:rsidR="00000000" w:rsidRDefault="009B6C69">
            <w:pPr>
              <w:spacing w:after="100"/>
              <w:rPr>
                <w:rFonts w:eastAsia="Times New Roman"/>
                <w:sz w:val="20"/>
                <w:szCs w:val="20"/>
              </w:rPr>
            </w:pPr>
          </w:p>
        </w:tc>
        <w:tc>
          <w:tcPr>
            <w:tcW w:w="0" w:type="auto"/>
            <w:vAlign w:val="center"/>
            <w:hideMark/>
          </w:tcPr>
          <w:p w14:paraId="458B1770"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0EEB66" w14:textId="77777777" w:rsidR="00000000" w:rsidRDefault="009B6C69">
            <w:pPr>
              <w:spacing w:after="100"/>
              <w:jc w:val="right"/>
              <w:rPr>
                <w:rFonts w:eastAsia="Times New Roman"/>
              </w:rPr>
            </w:pPr>
            <w:r>
              <w:rPr>
                <w:rFonts w:eastAsia="Times New Roman"/>
                <w:color w:val="000000"/>
                <w:sz w:val="18"/>
                <w:szCs w:val="18"/>
              </w:rPr>
              <w:t>(0.04)</w:t>
            </w:r>
          </w:p>
        </w:tc>
        <w:tc>
          <w:tcPr>
            <w:tcW w:w="0" w:type="auto"/>
            <w:shd w:val="clear" w:color="auto" w:fill="CCEEFF"/>
            <w:tcMar>
              <w:top w:w="30" w:type="dxa"/>
              <w:left w:w="0" w:type="dxa"/>
              <w:bottom w:w="30" w:type="dxa"/>
              <w:right w:w="20" w:type="dxa"/>
            </w:tcMar>
            <w:vAlign w:val="bottom"/>
            <w:hideMark/>
          </w:tcPr>
          <w:p w14:paraId="4B69550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EF2D55"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AAD62B"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0E7039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28FA0"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CCD50D"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D162B17" w14:textId="77777777" w:rsidR="00000000" w:rsidRDefault="009B6C69">
            <w:pPr>
              <w:spacing w:after="100"/>
              <w:jc w:val="right"/>
              <w:rPr>
                <w:rFonts w:eastAsia="Times New Roman"/>
              </w:rPr>
            </w:pPr>
          </w:p>
        </w:tc>
      </w:tr>
      <w:tr w:rsidR="00000000" w14:paraId="1B3C96CA" w14:textId="77777777">
        <w:trPr>
          <w:jc w:val="center"/>
        </w:trPr>
        <w:tc>
          <w:tcPr>
            <w:tcW w:w="0" w:type="auto"/>
            <w:gridSpan w:val="3"/>
            <w:shd w:val="clear" w:color="auto" w:fill="FFFFFF"/>
            <w:tcMar>
              <w:top w:w="30" w:type="dxa"/>
              <w:left w:w="140" w:type="dxa"/>
              <w:bottom w:w="30" w:type="dxa"/>
              <w:right w:w="20" w:type="dxa"/>
            </w:tcMar>
            <w:vAlign w:val="bottom"/>
            <w:hideMark/>
          </w:tcPr>
          <w:p w14:paraId="433DFC8B" w14:textId="77777777" w:rsidR="00000000" w:rsidRDefault="009B6C69">
            <w:pPr>
              <w:spacing w:after="100"/>
              <w:rPr>
                <w:rFonts w:eastAsia="Times New Roman"/>
              </w:rPr>
            </w:pPr>
            <w:r>
              <w:rPr>
                <w:rFonts w:eastAsia="Times New Roman"/>
                <w:color w:val="000000"/>
                <w:sz w:val="18"/>
                <w:szCs w:val="18"/>
              </w:rPr>
              <w:t>Net income</w:t>
            </w:r>
          </w:p>
        </w:tc>
        <w:tc>
          <w:tcPr>
            <w:tcW w:w="0" w:type="auto"/>
            <w:vAlign w:val="center"/>
            <w:hideMark/>
          </w:tcPr>
          <w:p w14:paraId="3C0E48B9" w14:textId="77777777" w:rsidR="00000000" w:rsidRDefault="009B6C69">
            <w:pPr>
              <w:spacing w:after="100"/>
              <w:rPr>
                <w:rFonts w:eastAsia="Times New Roman"/>
              </w:rPr>
            </w:pPr>
          </w:p>
        </w:tc>
        <w:tc>
          <w:tcPr>
            <w:tcW w:w="0" w:type="auto"/>
            <w:vAlign w:val="center"/>
            <w:hideMark/>
          </w:tcPr>
          <w:p w14:paraId="0B08AE16" w14:textId="77777777" w:rsidR="00000000" w:rsidRDefault="009B6C69">
            <w:pPr>
              <w:spacing w:after="100"/>
              <w:rPr>
                <w:rFonts w:eastAsia="Times New Roman"/>
                <w:sz w:val="20"/>
                <w:szCs w:val="20"/>
              </w:rPr>
            </w:pPr>
          </w:p>
        </w:tc>
        <w:tc>
          <w:tcPr>
            <w:tcW w:w="0" w:type="auto"/>
            <w:vAlign w:val="center"/>
            <w:hideMark/>
          </w:tcPr>
          <w:p w14:paraId="670B4367" w14:textId="77777777" w:rsidR="00000000" w:rsidRDefault="009B6C69">
            <w:pPr>
              <w:spacing w:after="100"/>
              <w:rPr>
                <w:rFonts w:eastAsia="Times New Roman"/>
                <w:sz w:val="20"/>
                <w:szCs w:val="20"/>
              </w:rPr>
            </w:pPr>
          </w:p>
        </w:tc>
        <w:tc>
          <w:tcPr>
            <w:tcW w:w="0" w:type="auto"/>
            <w:vAlign w:val="center"/>
            <w:hideMark/>
          </w:tcPr>
          <w:p w14:paraId="3625B636" w14:textId="77777777" w:rsidR="00000000" w:rsidRDefault="009B6C69">
            <w:pPr>
              <w:spacing w:after="100"/>
              <w:rPr>
                <w:rFonts w:eastAsia="Times New Roman"/>
                <w:sz w:val="20"/>
                <w:szCs w:val="20"/>
              </w:rPr>
            </w:pPr>
          </w:p>
        </w:tc>
        <w:tc>
          <w:tcPr>
            <w:tcW w:w="0" w:type="auto"/>
            <w:vAlign w:val="center"/>
            <w:hideMark/>
          </w:tcPr>
          <w:p w14:paraId="5FCC0FC1" w14:textId="77777777" w:rsidR="00000000" w:rsidRDefault="009B6C69">
            <w:pPr>
              <w:spacing w:after="100"/>
              <w:rPr>
                <w:rFonts w:eastAsia="Times New Roman"/>
                <w:sz w:val="20"/>
                <w:szCs w:val="20"/>
              </w:rPr>
            </w:pPr>
          </w:p>
        </w:tc>
        <w:tc>
          <w:tcPr>
            <w:tcW w:w="0" w:type="auto"/>
            <w:vAlign w:val="center"/>
            <w:hideMark/>
          </w:tcPr>
          <w:p w14:paraId="32854CA9" w14:textId="77777777" w:rsidR="00000000" w:rsidRDefault="009B6C69">
            <w:pPr>
              <w:spacing w:after="100"/>
              <w:rPr>
                <w:rFonts w:eastAsia="Times New Roman"/>
                <w:sz w:val="20"/>
                <w:szCs w:val="20"/>
              </w:rPr>
            </w:pPr>
          </w:p>
        </w:tc>
        <w:tc>
          <w:tcPr>
            <w:tcW w:w="0" w:type="auto"/>
            <w:vAlign w:val="center"/>
            <w:hideMark/>
          </w:tcPr>
          <w:p w14:paraId="3EDAB84D"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7DD31B2"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BC85DB2" w14:textId="77777777" w:rsidR="00000000" w:rsidRDefault="009B6C69">
            <w:pPr>
              <w:spacing w:after="100"/>
              <w:jc w:val="right"/>
              <w:rPr>
                <w:rFonts w:eastAsia="Times New Roman"/>
              </w:rPr>
            </w:pPr>
            <w:r>
              <w:rPr>
                <w:rFonts w:eastAsia="Times New Roman"/>
                <w:color w:val="000000"/>
                <w:sz w:val="18"/>
                <w:szCs w:val="18"/>
              </w:rPr>
              <w:t>11.52 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BF3BF2"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6B9B4B"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23140B2"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68BCC33" w14:textId="77777777" w:rsidR="00000000" w:rsidRDefault="009B6C69">
            <w:pPr>
              <w:spacing w:after="100"/>
              <w:jc w:val="right"/>
              <w:rPr>
                <w:rFonts w:eastAsia="Times New Roman"/>
              </w:rPr>
            </w:pPr>
            <w:r>
              <w:rPr>
                <w:rFonts w:eastAsia="Times New Roman"/>
                <w:color w:val="000000"/>
                <w:sz w:val="18"/>
                <w:szCs w:val="18"/>
              </w:rPr>
              <w:t>7.99 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258AB4"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4714D9"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CF7B39C"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5B214EE" w14:textId="77777777" w:rsidR="00000000" w:rsidRDefault="009B6C69">
            <w:pPr>
              <w:spacing w:after="100"/>
              <w:jc w:val="right"/>
              <w:rPr>
                <w:rFonts w:eastAsia="Times New Roman"/>
              </w:rPr>
            </w:pPr>
            <w:r>
              <w:rPr>
                <w:rFonts w:eastAsia="Times New Roman"/>
                <w:color w:val="000000"/>
                <w:sz w:val="18"/>
                <w:szCs w:val="18"/>
              </w:rPr>
              <w:t>4.58 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D9BD35" w14:textId="77777777" w:rsidR="00000000" w:rsidRDefault="009B6C69">
            <w:pPr>
              <w:spacing w:after="100"/>
              <w:jc w:val="right"/>
              <w:rPr>
                <w:rFonts w:eastAsia="Times New Roman"/>
              </w:rPr>
            </w:pPr>
          </w:p>
        </w:tc>
      </w:tr>
      <w:tr w:rsidR="00000000" w14:paraId="21C9118D" w14:textId="77777777">
        <w:trPr>
          <w:jc w:val="center"/>
        </w:trPr>
        <w:tc>
          <w:tcPr>
            <w:tcW w:w="0" w:type="auto"/>
            <w:gridSpan w:val="3"/>
            <w:shd w:val="clear" w:color="auto" w:fill="CCEEFF"/>
            <w:tcMar>
              <w:top w:w="30" w:type="dxa"/>
              <w:left w:w="20" w:type="dxa"/>
              <w:bottom w:w="30" w:type="dxa"/>
              <w:right w:w="20" w:type="dxa"/>
            </w:tcMar>
            <w:vAlign w:val="bottom"/>
            <w:hideMark/>
          </w:tcPr>
          <w:p w14:paraId="7E7172A9" w14:textId="77777777" w:rsidR="00000000" w:rsidRDefault="009B6C69">
            <w:pPr>
              <w:spacing w:after="100"/>
              <w:rPr>
                <w:rFonts w:eastAsia="Times New Roman"/>
              </w:rPr>
            </w:pPr>
            <w:r>
              <w:rPr>
                <w:rFonts w:eastAsia="Times New Roman"/>
                <w:color w:val="000000"/>
                <w:sz w:val="18"/>
                <w:szCs w:val="18"/>
              </w:rPr>
              <w:t>Diluted earnings (loss) per share:</w:t>
            </w:r>
          </w:p>
        </w:tc>
        <w:tc>
          <w:tcPr>
            <w:tcW w:w="0" w:type="auto"/>
            <w:vAlign w:val="center"/>
            <w:hideMark/>
          </w:tcPr>
          <w:p w14:paraId="6148AED6" w14:textId="77777777" w:rsidR="00000000" w:rsidRDefault="009B6C69">
            <w:pPr>
              <w:spacing w:after="100"/>
              <w:rPr>
                <w:rFonts w:eastAsia="Times New Roman"/>
              </w:rPr>
            </w:pPr>
          </w:p>
        </w:tc>
        <w:tc>
          <w:tcPr>
            <w:tcW w:w="0" w:type="auto"/>
            <w:vAlign w:val="center"/>
            <w:hideMark/>
          </w:tcPr>
          <w:p w14:paraId="3C6821E2" w14:textId="77777777" w:rsidR="00000000" w:rsidRDefault="009B6C69">
            <w:pPr>
              <w:spacing w:after="100"/>
              <w:rPr>
                <w:rFonts w:eastAsia="Times New Roman"/>
                <w:sz w:val="20"/>
                <w:szCs w:val="20"/>
              </w:rPr>
            </w:pPr>
          </w:p>
        </w:tc>
        <w:tc>
          <w:tcPr>
            <w:tcW w:w="0" w:type="auto"/>
            <w:vAlign w:val="center"/>
            <w:hideMark/>
          </w:tcPr>
          <w:p w14:paraId="01E8A24A" w14:textId="77777777" w:rsidR="00000000" w:rsidRDefault="009B6C69">
            <w:pPr>
              <w:spacing w:after="100"/>
              <w:rPr>
                <w:rFonts w:eastAsia="Times New Roman"/>
                <w:sz w:val="20"/>
                <w:szCs w:val="20"/>
              </w:rPr>
            </w:pPr>
          </w:p>
        </w:tc>
        <w:tc>
          <w:tcPr>
            <w:tcW w:w="0" w:type="auto"/>
            <w:vAlign w:val="center"/>
            <w:hideMark/>
          </w:tcPr>
          <w:p w14:paraId="54A6936C" w14:textId="77777777" w:rsidR="00000000" w:rsidRDefault="009B6C69">
            <w:pPr>
              <w:spacing w:after="100"/>
              <w:rPr>
                <w:rFonts w:eastAsia="Times New Roman"/>
                <w:sz w:val="20"/>
                <w:szCs w:val="20"/>
              </w:rPr>
            </w:pPr>
          </w:p>
        </w:tc>
        <w:tc>
          <w:tcPr>
            <w:tcW w:w="0" w:type="auto"/>
            <w:vAlign w:val="center"/>
            <w:hideMark/>
          </w:tcPr>
          <w:p w14:paraId="15728C54" w14:textId="77777777" w:rsidR="00000000" w:rsidRDefault="009B6C69">
            <w:pPr>
              <w:spacing w:after="100"/>
              <w:rPr>
                <w:rFonts w:eastAsia="Times New Roman"/>
                <w:sz w:val="20"/>
                <w:szCs w:val="20"/>
              </w:rPr>
            </w:pPr>
          </w:p>
        </w:tc>
        <w:tc>
          <w:tcPr>
            <w:tcW w:w="0" w:type="auto"/>
            <w:vAlign w:val="center"/>
            <w:hideMark/>
          </w:tcPr>
          <w:p w14:paraId="667E20D2" w14:textId="77777777" w:rsidR="00000000" w:rsidRDefault="009B6C69">
            <w:pPr>
              <w:spacing w:after="100"/>
              <w:rPr>
                <w:rFonts w:eastAsia="Times New Roman"/>
                <w:sz w:val="20"/>
                <w:szCs w:val="20"/>
              </w:rPr>
            </w:pPr>
          </w:p>
        </w:tc>
        <w:tc>
          <w:tcPr>
            <w:tcW w:w="0" w:type="auto"/>
            <w:vAlign w:val="center"/>
            <w:hideMark/>
          </w:tcPr>
          <w:p w14:paraId="0FBDFBDF" w14:textId="77777777" w:rsidR="00000000" w:rsidRDefault="009B6C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6745CDA"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1ACB92" w14:textId="77777777" w:rsidR="00000000" w:rsidRDefault="009B6C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400789A"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1FA09C" w14:textId="77777777" w:rsidR="00000000" w:rsidRDefault="009B6C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5615365" w14:textId="77777777" w:rsidR="00000000" w:rsidRDefault="009B6C69">
            <w:pPr>
              <w:spacing w:after="100"/>
              <w:rPr>
                <w:rFonts w:eastAsia="Times New Roman"/>
                <w:sz w:val="20"/>
                <w:szCs w:val="20"/>
              </w:rPr>
            </w:pPr>
          </w:p>
        </w:tc>
      </w:tr>
      <w:tr w:rsidR="00000000" w14:paraId="1753663F" w14:textId="77777777">
        <w:trPr>
          <w:jc w:val="center"/>
        </w:trPr>
        <w:tc>
          <w:tcPr>
            <w:tcW w:w="0" w:type="auto"/>
            <w:gridSpan w:val="3"/>
            <w:shd w:val="clear" w:color="auto" w:fill="FFFFFF"/>
            <w:tcMar>
              <w:top w:w="30" w:type="dxa"/>
              <w:left w:w="140" w:type="dxa"/>
              <w:bottom w:w="30" w:type="dxa"/>
              <w:right w:w="20" w:type="dxa"/>
            </w:tcMar>
            <w:vAlign w:val="bottom"/>
            <w:hideMark/>
          </w:tcPr>
          <w:p w14:paraId="39B3091E" w14:textId="77777777" w:rsidR="00000000" w:rsidRDefault="009B6C69">
            <w:pPr>
              <w:spacing w:after="100"/>
              <w:rPr>
                <w:rFonts w:eastAsia="Times New Roman"/>
              </w:rPr>
            </w:pPr>
            <w:r>
              <w:rPr>
                <w:rFonts w:eastAsia="Times New Roman"/>
                <w:color w:val="000000"/>
                <w:sz w:val="18"/>
                <w:szCs w:val="18"/>
              </w:rPr>
              <w:t>Continuing operations</w:t>
            </w:r>
          </w:p>
        </w:tc>
        <w:tc>
          <w:tcPr>
            <w:tcW w:w="0" w:type="auto"/>
            <w:vAlign w:val="center"/>
            <w:hideMark/>
          </w:tcPr>
          <w:p w14:paraId="247194E6" w14:textId="77777777" w:rsidR="00000000" w:rsidRDefault="009B6C69">
            <w:pPr>
              <w:spacing w:after="100"/>
              <w:rPr>
                <w:rFonts w:eastAsia="Times New Roman"/>
              </w:rPr>
            </w:pPr>
          </w:p>
        </w:tc>
        <w:tc>
          <w:tcPr>
            <w:tcW w:w="0" w:type="auto"/>
            <w:vAlign w:val="center"/>
            <w:hideMark/>
          </w:tcPr>
          <w:p w14:paraId="3469FC98" w14:textId="77777777" w:rsidR="00000000" w:rsidRDefault="009B6C69">
            <w:pPr>
              <w:spacing w:after="100"/>
              <w:rPr>
                <w:rFonts w:eastAsia="Times New Roman"/>
                <w:sz w:val="20"/>
                <w:szCs w:val="20"/>
              </w:rPr>
            </w:pPr>
          </w:p>
        </w:tc>
        <w:tc>
          <w:tcPr>
            <w:tcW w:w="0" w:type="auto"/>
            <w:vAlign w:val="center"/>
            <w:hideMark/>
          </w:tcPr>
          <w:p w14:paraId="610C202B" w14:textId="77777777" w:rsidR="00000000" w:rsidRDefault="009B6C69">
            <w:pPr>
              <w:spacing w:after="100"/>
              <w:rPr>
                <w:rFonts w:eastAsia="Times New Roman"/>
                <w:sz w:val="20"/>
                <w:szCs w:val="20"/>
              </w:rPr>
            </w:pPr>
          </w:p>
        </w:tc>
        <w:tc>
          <w:tcPr>
            <w:tcW w:w="0" w:type="auto"/>
            <w:vAlign w:val="center"/>
            <w:hideMark/>
          </w:tcPr>
          <w:p w14:paraId="293B005E" w14:textId="77777777" w:rsidR="00000000" w:rsidRDefault="009B6C69">
            <w:pPr>
              <w:spacing w:after="100"/>
              <w:rPr>
                <w:rFonts w:eastAsia="Times New Roman"/>
                <w:sz w:val="20"/>
                <w:szCs w:val="20"/>
              </w:rPr>
            </w:pPr>
          </w:p>
        </w:tc>
        <w:tc>
          <w:tcPr>
            <w:tcW w:w="0" w:type="auto"/>
            <w:vAlign w:val="center"/>
            <w:hideMark/>
          </w:tcPr>
          <w:p w14:paraId="5789DB75" w14:textId="77777777" w:rsidR="00000000" w:rsidRDefault="009B6C69">
            <w:pPr>
              <w:spacing w:after="100"/>
              <w:rPr>
                <w:rFonts w:eastAsia="Times New Roman"/>
                <w:sz w:val="20"/>
                <w:szCs w:val="20"/>
              </w:rPr>
            </w:pPr>
          </w:p>
        </w:tc>
        <w:tc>
          <w:tcPr>
            <w:tcW w:w="0" w:type="auto"/>
            <w:vAlign w:val="center"/>
            <w:hideMark/>
          </w:tcPr>
          <w:p w14:paraId="5EB4F204" w14:textId="77777777" w:rsidR="00000000" w:rsidRDefault="009B6C69">
            <w:pPr>
              <w:spacing w:after="100"/>
              <w:rPr>
                <w:rFonts w:eastAsia="Times New Roman"/>
                <w:sz w:val="20"/>
                <w:szCs w:val="20"/>
              </w:rPr>
            </w:pPr>
          </w:p>
        </w:tc>
        <w:tc>
          <w:tcPr>
            <w:tcW w:w="0" w:type="auto"/>
            <w:vAlign w:val="center"/>
            <w:hideMark/>
          </w:tcPr>
          <w:p w14:paraId="5EB56D7A" w14:textId="77777777" w:rsidR="00000000" w:rsidRDefault="009B6C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35BBFB"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5798425" w14:textId="77777777" w:rsidR="00000000" w:rsidRDefault="009B6C69">
            <w:pPr>
              <w:spacing w:after="100"/>
              <w:jc w:val="right"/>
              <w:rPr>
                <w:rFonts w:eastAsia="Times New Roman"/>
              </w:rPr>
            </w:pPr>
            <w:r>
              <w:rPr>
                <w:rFonts w:eastAsia="Times New Roman"/>
                <w:color w:val="000000"/>
                <w:sz w:val="18"/>
                <w:szCs w:val="18"/>
              </w:rPr>
              <w:t>11.41 </w:t>
            </w:r>
          </w:p>
        </w:tc>
        <w:tc>
          <w:tcPr>
            <w:tcW w:w="0" w:type="auto"/>
            <w:shd w:val="clear" w:color="auto" w:fill="FFFFFF"/>
            <w:tcMar>
              <w:top w:w="30" w:type="dxa"/>
              <w:left w:w="0" w:type="dxa"/>
              <w:bottom w:w="30" w:type="dxa"/>
              <w:right w:w="20" w:type="dxa"/>
            </w:tcMar>
            <w:vAlign w:val="bottom"/>
            <w:hideMark/>
          </w:tcPr>
          <w:p w14:paraId="11CF51F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873D80" w14:textId="77777777" w:rsidR="00000000" w:rsidRDefault="009B6C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44F451F"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01B8622" w14:textId="77777777" w:rsidR="00000000" w:rsidRDefault="009B6C69">
            <w:pPr>
              <w:spacing w:after="100"/>
              <w:jc w:val="right"/>
              <w:rPr>
                <w:rFonts w:eastAsia="Times New Roman"/>
              </w:rPr>
            </w:pPr>
            <w:r>
              <w:rPr>
                <w:rFonts w:eastAsia="Times New Roman"/>
                <w:color w:val="000000"/>
                <w:sz w:val="18"/>
                <w:szCs w:val="18"/>
              </w:rPr>
              <w:t>7.87 </w:t>
            </w:r>
          </w:p>
        </w:tc>
        <w:tc>
          <w:tcPr>
            <w:tcW w:w="0" w:type="auto"/>
            <w:shd w:val="clear" w:color="auto" w:fill="FFFFFF"/>
            <w:tcMar>
              <w:top w:w="30" w:type="dxa"/>
              <w:left w:w="0" w:type="dxa"/>
              <w:bottom w:w="30" w:type="dxa"/>
              <w:right w:w="20" w:type="dxa"/>
            </w:tcMar>
            <w:vAlign w:val="bottom"/>
            <w:hideMark/>
          </w:tcPr>
          <w:p w14:paraId="1AF5B852"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ACDFD4" w14:textId="77777777" w:rsidR="00000000" w:rsidRDefault="009B6C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613B125"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C7F85D9" w14:textId="77777777" w:rsidR="00000000" w:rsidRDefault="009B6C69">
            <w:pPr>
              <w:spacing w:after="100"/>
              <w:jc w:val="right"/>
              <w:rPr>
                <w:rFonts w:eastAsia="Times New Roman"/>
              </w:rPr>
            </w:pPr>
            <w:r>
              <w:rPr>
                <w:rFonts w:eastAsia="Times New Roman"/>
                <w:color w:val="000000"/>
                <w:sz w:val="18"/>
                <w:szCs w:val="18"/>
              </w:rPr>
              <w:t>4.52 </w:t>
            </w:r>
          </w:p>
        </w:tc>
        <w:tc>
          <w:tcPr>
            <w:tcW w:w="0" w:type="auto"/>
            <w:shd w:val="clear" w:color="auto" w:fill="FFFFFF"/>
            <w:tcMar>
              <w:top w:w="30" w:type="dxa"/>
              <w:left w:w="0" w:type="dxa"/>
              <w:bottom w:w="30" w:type="dxa"/>
              <w:right w:w="20" w:type="dxa"/>
            </w:tcMar>
            <w:vAlign w:val="bottom"/>
            <w:hideMark/>
          </w:tcPr>
          <w:p w14:paraId="033EB286" w14:textId="77777777" w:rsidR="00000000" w:rsidRDefault="009B6C69">
            <w:pPr>
              <w:spacing w:after="100"/>
              <w:jc w:val="right"/>
              <w:rPr>
                <w:rFonts w:eastAsia="Times New Roman"/>
              </w:rPr>
            </w:pPr>
          </w:p>
        </w:tc>
      </w:tr>
      <w:tr w:rsidR="00000000" w14:paraId="0AA5ED9E" w14:textId="77777777">
        <w:trPr>
          <w:jc w:val="center"/>
        </w:trPr>
        <w:tc>
          <w:tcPr>
            <w:tcW w:w="0" w:type="auto"/>
            <w:gridSpan w:val="3"/>
            <w:shd w:val="clear" w:color="auto" w:fill="CCEEFF"/>
            <w:tcMar>
              <w:top w:w="30" w:type="dxa"/>
              <w:left w:w="140" w:type="dxa"/>
              <w:bottom w:w="30" w:type="dxa"/>
              <w:right w:w="20" w:type="dxa"/>
            </w:tcMar>
            <w:vAlign w:val="bottom"/>
            <w:hideMark/>
          </w:tcPr>
          <w:p w14:paraId="75862EC4" w14:textId="77777777" w:rsidR="00000000" w:rsidRDefault="009B6C69">
            <w:pPr>
              <w:spacing w:after="100"/>
              <w:rPr>
                <w:rFonts w:eastAsia="Times New Roman"/>
              </w:rPr>
            </w:pPr>
            <w:r>
              <w:rPr>
                <w:rFonts w:eastAsia="Times New Roman"/>
                <w:color w:val="000000"/>
                <w:sz w:val="18"/>
                <w:szCs w:val="18"/>
              </w:rPr>
              <w:t>Discontinued operations</w:t>
            </w:r>
          </w:p>
        </w:tc>
        <w:tc>
          <w:tcPr>
            <w:tcW w:w="0" w:type="auto"/>
            <w:vAlign w:val="center"/>
            <w:hideMark/>
          </w:tcPr>
          <w:p w14:paraId="37BD08AB" w14:textId="77777777" w:rsidR="00000000" w:rsidRDefault="009B6C69">
            <w:pPr>
              <w:spacing w:after="100"/>
              <w:rPr>
                <w:rFonts w:eastAsia="Times New Roman"/>
              </w:rPr>
            </w:pPr>
          </w:p>
        </w:tc>
        <w:tc>
          <w:tcPr>
            <w:tcW w:w="0" w:type="auto"/>
            <w:vAlign w:val="center"/>
            <w:hideMark/>
          </w:tcPr>
          <w:p w14:paraId="6A025E83" w14:textId="77777777" w:rsidR="00000000" w:rsidRDefault="009B6C69">
            <w:pPr>
              <w:spacing w:after="100"/>
              <w:rPr>
                <w:rFonts w:eastAsia="Times New Roman"/>
                <w:sz w:val="20"/>
                <w:szCs w:val="20"/>
              </w:rPr>
            </w:pPr>
          </w:p>
        </w:tc>
        <w:tc>
          <w:tcPr>
            <w:tcW w:w="0" w:type="auto"/>
            <w:vAlign w:val="center"/>
            <w:hideMark/>
          </w:tcPr>
          <w:p w14:paraId="77F0B1FC" w14:textId="77777777" w:rsidR="00000000" w:rsidRDefault="009B6C69">
            <w:pPr>
              <w:spacing w:after="100"/>
              <w:rPr>
                <w:rFonts w:eastAsia="Times New Roman"/>
                <w:sz w:val="20"/>
                <w:szCs w:val="20"/>
              </w:rPr>
            </w:pPr>
          </w:p>
        </w:tc>
        <w:tc>
          <w:tcPr>
            <w:tcW w:w="0" w:type="auto"/>
            <w:vAlign w:val="center"/>
            <w:hideMark/>
          </w:tcPr>
          <w:p w14:paraId="67E90E0D" w14:textId="77777777" w:rsidR="00000000" w:rsidRDefault="009B6C69">
            <w:pPr>
              <w:spacing w:after="100"/>
              <w:rPr>
                <w:rFonts w:eastAsia="Times New Roman"/>
                <w:sz w:val="20"/>
                <w:szCs w:val="20"/>
              </w:rPr>
            </w:pPr>
          </w:p>
        </w:tc>
        <w:tc>
          <w:tcPr>
            <w:tcW w:w="0" w:type="auto"/>
            <w:vAlign w:val="center"/>
            <w:hideMark/>
          </w:tcPr>
          <w:p w14:paraId="72CCEC26" w14:textId="77777777" w:rsidR="00000000" w:rsidRDefault="009B6C69">
            <w:pPr>
              <w:spacing w:after="100"/>
              <w:rPr>
                <w:rFonts w:eastAsia="Times New Roman"/>
                <w:sz w:val="20"/>
                <w:szCs w:val="20"/>
              </w:rPr>
            </w:pPr>
          </w:p>
        </w:tc>
        <w:tc>
          <w:tcPr>
            <w:tcW w:w="0" w:type="auto"/>
            <w:vAlign w:val="center"/>
            <w:hideMark/>
          </w:tcPr>
          <w:p w14:paraId="3A8C6F6E" w14:textId="77777777" w:rsidR="00000000" w:rsidRDefault="009B6C69">
            <w:pPr>
              <w:spacing w:after="100"/>
              <w:rPr>
                <w:rFonts w:eastAsia="Times New Roman"/>
                <w:sz w:val="20"/>
                <w:szCs w:val="20"/>
              </w:rPr>
            </w:pPr>
          </w:p>
        </w:tc>
        <w:tc>
          <w:tcPr>
            <w:tcW w:w="0" w:type="auto"/>
            <w:vAlign w:val="center"/>
            <w:hideMark/>
          </w:tcPr>
          <w:p w14:paraId="389BB218"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0C021C" w14:textId="77777777" w:rsidR="00000000" w:rsidRDefault="009B6C69">
            <w:pPr>
              <w:spacing w:after="100"/>
              <w:jc w:val="right"/>
              <w:rPr>
                <w:rFonts w:eastAsia="Times New Roman"/>
              </w:rPr>
            </w:pPr>
            <w:r>
              <w:rPr>
                <w:rFonts w:eastAsia="Times New Roman"/>
                <w:color w:val="000000"/>
                <w:sz w:val="18"/>
                <w:szCs w:val="18"/>
              </w:rPr>
              <w:t>(0.04)</w:t>
            </w:r>
          </w:p>
        </w:tc>
        <w:tc>
          <w:tcPr>
            <w:tcW w:w="0" w:type="auto"/>
            <w:shd w:val="clear" w:color="auto" w:fill="CCEEFF"/>
            <w:tcMar>
              <w:top w:w="30" w:type="dxa"/>
              <w:left w:w="0" w:type="dxa"/>
              <w:bottom w:w="30" w:type="dxa"/>
              <w:right w:w="20" w:type="dxa"/>
            </w:tcMar>
            <w:vAlign w:val="bottom"/>
            <w:hideMark/>
          </w:tcPr>
          <w:p w14:paraId="0FB9B94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0588BF"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5BEAD1"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F4C2F30"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BB276B"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E40BC4"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DA41427" w14:textId="77777777" w:rsidR="00000000" w:rsidRDefault="009B6C69">
            <w:pPr>
              <w:spacing w:after="100"/>
              <w:jc w:val="right"/>
              <w:rPr>
                <w:rFonts w:eastAsia="Times New Roman"/>
              </w:rPr>
            </w:pPr>
          </w:p>
        </w:tc>
      </w:tr>
      <w:tr w:rsidR="00000000" w14:paraId="45A139A2" w14:textId="77777777">
        <w:trPr>
          <w:jc w:val="center"/>
        </w:trPr>
        <w:tc>
          <w:tcPr>
            <w:tcW w:w="0" w:type="auto"/>
            <w:gridSpan w:val="3"/>
            <w:shd w:val="clear" w:color="auto" w:fill="FFFFFF"/>
            <w:tcMar>
              <w:top w:w="30" w:type="dxa"/>
              <w:left w:w="140" w:type="dxa"/>
              <w:bottom w:w="30" w:type="dxa"/>
              <w:right w:w="20" w:type="dxa"/>
            </w:tcMar>
            <w:vAlign w:val="bottom"/>
            <w:hideMark/>
          </w:tcPr>
          <w:p w14:paraId="1A998AE3" w14:textId="77777777" w:rsidR="00000000" w:rsidRDefault="009B6C69">
            <w:pPr>
              <w:spacing w:after="100"/>
              <w:rPr>
                <w:rFonts w:eastAsia="Times New Roman"/>
              </w:rPr>
            </w:pPr>
            <w:r>
              <w:rPr>
                <w:rFonts w:eastAsia="Times New Roman"/>
                <w:color w:val="000000"/>
                <w:sz w:val="18"/>
                <w:szCs w:val="18"/>
              </w:rPr>
              <w:t>Net income</w:t>
            </w:r>
          </w:p>
        </w:tc>
        <w:tc>
          <w:tcPr>
            <w:tcW w:w="0" w:type="auto"/>
            <w:vAlign w:val="center"/>
            <w:hideMark/>
          </w:tcPr>
          <w:p w14:paraId="0F71DAB1" w14:textId="77777777" w:rsidR="00000000" w:rsidRDefault="009B6C69">
            <w:pPr>
              <w:spacing w:after="100"/>
              <w:rPr>
                <w:rFonts w:eastAsia="Times New Roman"/>
              </w:rPr>
            </w:pPr>
          </w:p>
        </w:tc>
        <w:tc>
          <w:tcPr>
            <w:tcW w:w="0" w:type="auto"/>
            <w:vAlign w:val="center"/>
            <w:hideMark/>
          </w:tcPr>
          <w:p w14:paraId="1DDF82EF" w14:textId="77777777" w:rsidR="00000000" w:rsidRDefault="009B6C69">
            <w:pPr>
              <w:spacing w:after="100"/>
              <w:rPr>
                <w:rFonts w:eastAsia="Times New Roman"/>
                <w:sz w:val="20"/>
                <w:szCs w:val="20"/>
              </w:rPr>
            </w:pPr>
          </w:p>
        </w:tc>
        <w:tc>
          <w:tcPr>
            <w:tcW w:w="0" w:type="auto"/>
            <w:vAlign w:val="center"/>
            <w:hideMark/>
          </w:tcPr>
          <w:p w14:paraId="22AEBB01" w14:textId="77777777" w:rsidR="00000000" w:rsidRDefault="009B6C69">
            <w:pPr>
              <w:spacing w:after="100"/>
              <w:rPr>
                <w:rFonts w:eastAsia="Times New Roman"/>
                <w:sz w:val="20"/>
                <w:szCs w:val="20"/>
              </w:rPr>
            </w:pPr>
          </w:p>
        </w:tc>
        <w:tc>
          <w:tcPr>
            <w:tcW w:w="0" w:type="auto"/>
            <w:vAlign w:val="center"/>
            <w:hideMark/>
          </w:tcPr>
          <w:p w14:paraId="2448E756" w14:textId="77777777" w:rsidR="00000000" w:rsidRDefault="009B6C69">
            <w:pPr>
              <w:spacing w:after="100"/>
              <w:rPr>
                <w:rFonts w:eastAsia="Times New Roman"/>
                <w:sz w:val="20"/>
                <w:szCs w:val="20"/>
              </w:rPr>
            </w:pPr>
          </w:p>
        </w:tc>
        <w:tc>
          <w:tcPr>
            <w:tcW w:w="0" w:type="auto"/>
            <w:vAlign w:val="center"/>
            <w:hideMark/>
          </w:tcPr>
          <w:p w14:paraId="1BDF9D25" w14:textId="77777777" w:rsidR="00000000" w:rsidRDefault="009B6C69">
            <w:pPr>
              <w:spacing w:after="100"/>
              <w:rPr>
                <w:rFonts w:eastAsia="Times New Roman"/>
                <w:sz w:val="20"/>
                <w:szCs w:val="20"/>
              </w:rPr>
            </w:pPr>
          </w:p>
        </w:tc>
        <w:tc>
          <w:tcPr>
            <w:tcW w:w="0" w:type="auto"/>
            <w:vAlign w:val="center"/>
            <w:hideMark/>
          </w:tcPr>
          <w:p w14:paraId="6C9C522E" w14:textId="77777777" w:rsidR="00000000" w:rsidRDefault="009B6C69">
            <w:pPr>
              <w:spacing w:after="100"/>
              <w:rPr>
                <w:rFonts w:eastAsia="Times New Roman"/>
                <w:sz w:val="20"/>
                <w:szCs w:val="20"/>
              </w:rPr>
            </w:pPr>
          </w:p>
        </w:tc>
        <w:tc>
          <w:tcPr>
            <w:tcW w:w="0" w:type="auto"/>
            <w:vAlign w:val="center"/>
            <w:hideMark/>
          </w:tcPr>
          <w:p w14:paraId="4409A253"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0A52E7B"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BF506D8" w14:textId="77777777" w:rsidR="00000000" w:rsidRDefault="009B6C69">
            <w:pPr>
              <w:spacing w:after="100"/>
              <w:jc w:val="right"/>
              <w:rPr>
                <w:rFonts w:eastAsia="Times New Roman"/>
              </w:rPr>
            </w:pPr>
            <w:r>
              <w:rPr>
                <w:rFonts w:eastAsia="Times New Roman"/>
                <w:color w:val="000000"/>
                <w:sz w:val="18"/>
                <w:szCs w:val="18"/>
              </w:rPr>
              <w:t>11.37 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143E00"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9B3BF2"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757AAB9"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93D6622" w14:textId="77777777" w:rsidR="00000000" w:rsidRDefault="009B6C69">
            <w:pPr>
              <w:spacing w:after="100"/>
              <w:jc w:val="right"/>
              <w:rPr>
                <w:rFonts w:eastAsia="Times New Roman"/>
              </w:rPr>
            </w:pPr>
            <w:r>
              <w:rPr>
                <w:rFonts w:eastAsia="Times New Roman"/>
                <w:color w:val="000000"/>
                <w:sz w:val="18"/>
                <w:szCs w:val="18"/>
              </w:rPr>
              <w:t>7.87 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83E18C"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707E5E"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7ACB312"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75E61A1" w14:textId="77777777" w:rsidR="00000000" w:rsidRDefault="009B6C69">
            <w:pPr>
              <w:spacing w:after="100"/>
              <w:jc w:val="right"/>
              <w:rPr>
                <w:rFonts w:eastAsia="Times New Roman"/>
              </w:rPr>
            </w:pPr>
            <w:r>
              <w:rPr>
                <w:rFonts w:eastAsia="Times New Roman"/>
                <w:color w:val="000000"/>
                <w:sz w:val="18"/>
                <w:szCs w:val="18"/>
              </w:rPr>
              <w:t>4.52 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D417C8" w14:textId="77777777" w:rsidR="00000000" w:rsidRDefault="009B6C69">
            <w:pPr>
              <w:spacing w:after="100"/>
              <w:jc w:val="right"/>
              <w:rPr>
                <w:rFonts w:eastAsia="Times New Roman"/>
              </w:rPr>
            </w:pPr>
          </w:p>
        </w:tc>
      </w:tr>
      <w:tr w:rsidR="00000000" w14:paraId="40E69DB0" w14:textId="77777777">
        <w:trPr>
          <w:jc w:val="center"/>
        </w:trPr>
        <w:tc>
          <w:tcPr>
            <w:tcW w:w="0" w:type="auto"/>
            <w:gridSpan w:val="3"/>
            <w:shd w:val="clear" w:color="auto" w:fill="CCEEFF"/>
            <w:tcMar>
              <w:top w:w="30" w:type="dxa"/>
              <w:left w:w="20" w:type="dxa"/>
              <w:bottom w:w="30" w:type="dxa"/>
              <w:right w:w="20" w:type="dxa"/>
            </w:tcMar>
            <w:vAlign w:val="bottom"/>
            <w:hideMark/>
          </w:tcPr>
          <w:p w14:paraId="552CDDDB" w14:textId="77777777" w:rsidR="00000000" w:rsidRDefault="009B6C69">
            <w:pPr>
              <w:spacing w:after="100"/>
              <w:rPr>
                <w:rFonts w:eastAsia="Times New Roman"/>
              </w:rPr>
            </w:pPr>
            <w:r>
              <w:rPr>
                <w:rFonts w:eastAsia="Times New Roman"/>
                <w:color w:val="000000"/>
                <w:sz w:val="18"/>
                <w:szCs w:val="18"/>
              </w:rPr>
              <w:t>Shares used in per share calculations:</w:t>
            </w:r>
          </w:p>
        </w:tc>
        <w:tc>
          <w:tcPr>
            <w:tcW w:w="0" w:type="auto"/>
            <w:vAlign w:val="center"/>
            <w:hideMark/>
          </w:tcPr>
          <w:p w14:paraId="35480AE1" w14:textId="77777777" w:rsidR="00000000" w:rsidRDefault="009B6C69">
            <w:pPr>
              <w:spacing w:after="100"/>
              <w:rPr>
                <w:rFonts w:eastAsia="Times New Roman"/>
              </w:rPr>
            </w:pPr>
          </w:p>
        </w:tc>
        <w:tc>
          <w:tcPr>
            <w:tcW w:w="0" w:type="auto"/>
            <w:vAlign w:val="center"/>
            <w:hideMark/>
          </w:tcPr>
          <w:p w14:paraId="27D617EE" w14:textId="77777777" w:rsidR="00000000" w:rsidRDefault="009B6C69">
            <w:pPr>
              <w:spacing w:after="100"/>
              <w:rPr>
                <w:rFonts w:eastAsia="Times New Roman"/>
                <w:sz w:val="20"/>
                <w:szCs w:val="20"/>
              </w:rPr>
            </w:pPr>
          </w:p>
        </w:tc>
        <w:tc>
          <w:tcPr>
            <w:tcW w:w="0" w:type="auto"/>
            <w:vAlign w:val="center"/>
            <w:hideMark/>
          </w:tcPr>
          <w:p w14:paraId="5B60D628" w14:textId="77777777" w:rsidR="00000000" w:rsidRDefault="009B6C69">
            <w:pPr>
              <w:spacing w:after="100"/>
              <w:rPr>
                <w:rFonts w:eastAsia="Times New Roman"/>
                <w:sz w:val="20"/>
                <w:szCs w:val="20"/>
              </w:rPr>
            </w:pPr>
          </w:p>
        </w:tc>
        <w:tc>
          <w:tcPr>
            <w:tcW w:w="0" w:type="auto"/>
            <w:vAlign w:val="center"/>
            <w:hideMark/>
          </w:tcPr>
          <w:p w14:paraId="2D04AE6C" w14:textId="77777777" w:rsidR="00000000" w:rsidRDefault="009B6C69">
            <w:pPr>
              <w:spacing w:after="100"/>
              <w:rPr>
                <w:rFonts w:eastAsia="Times New Roman"/>
                <w:sz w:val="20"/>
                <w:szCs w:val="20"/>
              </w:rPr>
            </w:pPr>
          </w:p>
        </w:tc>
        <w:tc>
          <w:tcPr>
            <w:tcW w:w="0" w:type="auto"/>
            <w:vAlign w:val="center"/>
            <w:hideMark/>
          </w:tcPr>
          <w:p w14:paraId="27A442AC" w14:textId="77777777" w:rsidR="00000000" w:rsidRDefault="009B6C69">
            <w:pPr>
              <w:spacing w:after="100"/>
              <w:rPr>
                <w:rFonts w:eastAsia="Times New Roman"/>
                <w:sz w:val="20"/>
                <w:szCs w:val="20"/>
              </w:rPr>
            </w:pPr>
          </w:p>
        </w:tc>
        <w:tc>
          <w:tcPr>
            <w:tcW w:w="0" w:type="auto"/>
            <w:vAlign w:val="center"/>
            <w:hideMark/>
          </w:tcPr>
          <w:p w14:paraId="639E875D" w14:textId="77777777" w:rsidR="00000000" w:rsidRDefault="009B6C69">
            <w:pPr>
              <w:spacing w:after="100"/>
              <w:rPr>
                <w:rFonts w:eastAsia="Times New Roman"/>
                <w:sz w:val="20"/>
                <w:szCs w:val="20"/>
              </w:rPr>
            </w:pPr>
          </w:p>
        </w:tc>
        <w:tc>
          <w:tcPr>
            <w:tcW w:w="0" w:type="auto"/>
            <w:vAlign w:val="center"/>
            <w:hideMark/>
          </w:tcPr>
          <w:p w14:paraId="53BBF48B" w14:textId="77777777" w:rsidR="00000000" w:rsidRDefault="009B6C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CA158B4"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D4D3ED" w14:textId="77777777" w:rsidR="00000000" w:rsidRDefault="009B6C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3D2D92D"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E28862" w14:textId="77777777" w:rsidR="00000000" w:rsidRDefault="009B6C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F970D50" w14:textId="77777777" w:rsidR="00000000" w:rsidRDefault="009B6C69">
            <w:pPr>
              <w:spacing w:after="100"/>
              <w:rPr>
                <w:rFonts w:eastAsia="Times New Roman"/>
                <w:sz w:val="20"/>
                <w:szCs w:val="20"/>
              </w:rPr>
            </w:pPr>
          </w:p>
        </w:tc>
      </w:tr>
      <w:tr w:rsidR="00000000" w14:paraId="2918AEE8" w14:textId="77777777">
        <w:trPr>
          <w:jc w:val="center"/>
        </w:trPr>
        <w:tc>
          <w:tcPr>
            <w:tcW w:w="0" w:type="auto"/>
            <w:gridSpan w:val="3"/>
            <w:shd w:val="clear" w:color="auto" w:fill="FFFFFF"/>
            <w:tcMar>
              <w:top w:w="30" w:type="dxa"/>
              <w:left w:w="155" w:type="dxa"/>
              <w:bottom w:w="30" w:type="dxa"/>
              <w:right w:w="20" w:type="dxa"/>
            </w:tcMar>
            <w:vAlign w:val="bottom"/>
            <w:hideMark/>
          </w:tcPr>
          <w:p w14:paraId="6A3C4ACB" w14:textId="77777777" w:rsidR="00000000" w:rsidRDefault="009B6C69">
            <w:pPr>
              <w:spacing w:after="100"/>
              <w:rPr>
                <w:rFonts w:eastAsia="Times New Roman"/>
              </w:rPr>
            </w:pPr>
            <w:r>
              <w:rPr>
                <w:rFonts w:eastAsia="Times New Roman"/>
                <w:color w:val="000000"/>
                <w:sz w:val="18"/>
                <w:szCs w:val="18"/>
              </w:rPr>
              <w:t>Basic</w:t>
            </w:r>
          </w:p>
        </w:tc>
        <w:tc>
          <w:tcPr>
            <w:tcW w:w="0" w:type="auto"/>
            <w:vAlign w:val="center"/>
            <w:hideMark/>
          </w:tcPr>
          <w:p w14:paraId="260E3021" w14:textId="77777777" w:rsidR="00000000" w:rsidRDefault="009B6C69">
            <w:pPr>
              <w:spacing w:after="100"/>
              <w:rPr>
                <w:rFonts w:eastAsia="Times New Roman"/>
              </w:rPr>
            </w:pPr>
          </w:p>
        </w:tc>
        <w:tc>
          <w:tcPr>
            <w:tcW w:w="0" w:type="auto"/>
            <w:vAlign w:val="center"/>
            <w:hideMark/>
          </w:tcPr>
          <w:p w14:paraId="0959286D" w14:textId="77777777" w:rsidR="00000000" w:rsidRDefault="009B6C69">
            <w:pPr>
              <w:spacing w:after="100"/>
              <w:rPr>
                <w:rFonts w:eastAsia="Times New Roman"/>
                <w:sz w:val="20"/>
                <w:szCs w:val="20"/>
              </w:rPr>
            </w:pPr>
          </w:p>
        </w:tc>
        <w:tc>
          <w:tcPr>
            <w:tcW w:w="0" w:type="auto"/>
            <w:vAlign w:val="center"/>
            <w:hideMark/>
          </w:tcPr>
          <w:p w14:paraId="3C70872F" w14:textId="77777777" w:rsidR="00000000" w:rsidRDefault="009B6C69">
            <w:pPr>
              <w:spacing w:after="100"/>
              <w:rPr>
                <w:rFonts w:eastAsia="Times New Roman"/>
                <w:sz w:val="20"/>
                <w:szCs w:val="20"/>
              </w:rPr>
            </w:pPr>
          </w:p>
        </w:tc>
        <w:tc>
          <w:tcPr>
            <w:tcW w:w="0" w:type="auto"/>
            <w:vAlign w:val="center"/>
            <w:hideMark/>
          </w:tcPr>
          <w:p w14:paraId="43FEE8A5" w14:textId="77777777" w:rsidR="00000000" w:rsidRDefault="009B6C69">
            <w:pPr>
              <w:spacing w:after="100"/>
              <w:rPr>
                <w:rFonts w:eastAsia="Times New Roman"/>
                <w:sz w:val="20"/>
                <w:szCs w:val="20"/>
              </w:rPr>
            </w:pPr>
          </w:p>
        </w:tc>
        <w:tc>
          <w:tcPr>
            <w:tcW w:w="0" w:type="auto"/>
            <w:vAlign w:val="center"/>
            <w:hideMark/>
          </w:tcPr>
          <w:p w14:paraId="252FE23A" w14:textId="77777777" w:rsidR="00000000" w:rsidRDefault="009B6C69">
            <w:pPr>
              <w:spacing w:after="100"/>
              <w:rPr>
                <w:rFonts w:eastAsia="Times New Roman"/>
                <w:sz w:val="20"/>
                <w:szCs w:val="20"/>
              </w:rPr>
            </w:pPr>
          </w:p>
        </w:tc>
        <w:tc>
          <w:tcPr>
            <w:tcW w:w="0" w:type="auto"/>
            <w:vAlign w:val="center"/>
            <w:hideMark/>
          </w:tcPr>
          <w:p w14:paraId="39068E35" w14:textId="77777777" w:rsidR="00000000" w:rsidRDefault="009B6C69">
            <w:pPr>
              <w:spacing w:after="100"/>
              <w:rPr>
                <w:rFonts w:eastAsia="Times New Roman"/>
                <w:sz w:val="20"/>
                <w:szCs w:val="20"/>
              </w:rPr>
            </w:pPr>
          </w:p>
        </w:tc>
        <w:tc>
          <w:tcPr>
            <w:tcW w:w="0" w:type="auto"/>
            <w:vAlign w:val="center"/>
            <w:hideMark/>
          </w:tcPr>
          <w:p w14:paraId="4B8A5780"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4BB7F2" w14:textId="77777777" w:rsidR="00000000" w:rsidRDefault="009B6C69">
            <w:pPr>
              <w:spacing w:after="100"/>
              <w:jc w:val="right"/>
              <w:rPr>
                <w:rFonts w:eastAsia="Times New Roman"/>
              </w:rPr>
            </w:pPr>
            <w:r>
              <w:rPr>
                <w:rFonts w:eastAsia="Times New Roman"/>
                <w:color w:val="000000"/>
                <w:sz w:val="18"/>
                <w:szCs w:val="18"/>
              </w:rPr>
              <w:t>1,123 </w:t>
            </w:r>
          </w:p>
        </w:tc>
        <w:tc>
          <w:tcPr>
            <w:tcW w:w="0" w:type="auto"/>
            <w:shd w:val="clear" w:color="auto" w:fill="FFFFFF"/>
            <w:tcMar>
              <w:top w:w="30" w:type="dxa"/>
              <w:left w:w="0" w:type="dxa"/>
              <w:bottom w:w="30" w:type="dxa"/>
              <w:right w:w="20" w:type="dxa"/>
            </w:tcMar>
            <w:vAlign w:val="bottom"/>
            <w:hideMark/>
          </w:tcPr>
          <w:p w14:paraId="14DC8EB7"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5BC71D"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F28C10" w14:textId="77777777" w:rsidR="00000000" w:rsidRDefault="009B6C69">
            <w:pPr>
              <w:spacing w:after="100"/>
              <w:jc w:val="right"/>
              <w:rPr>
                <w:rFonts w:eastAsia="Times New Roman"/>
              </w:rPr>
            </w:pPr>
            <w:r>
              <w:rPr>
                <w:rFonts w:eastAsia="Times New Roman"/>
                <w:color w:val="000000"/>
                <w:sz w:val="18"/>
                <w:szCs w:val="18"/>
              </w:rPr>
              <w:t>1,131 </w:t>
            </w:r>
          </w:p>
        </w:tc>
        <w:tc>
          <w:tcPr>
            <w:tcW w:w="0" w:type="auto"/>
            <w:shd w:val="clear" w:color="auto" w:fill="FFFFFF"/>
            <w:tcMar>
              <w:top w:w="30" w:type="dxa"/>
              <w:left w:w="0" w:type="dxa"/>
              <w:bottom w:w="30" w:type="dxa"/>
              <w:right w:w="20" w:type="dxa"/>
            </w:tcMar>
            <w:vAlign w:val="bottom"/>
            <w:hideMark/>
          </w:tcPr>
          <w:p w14:paraId="4EF4044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54CFB2"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B0801D" w14:textId="77777777" w:rsidR="00000000" w:rsidRDefault="009B6C69">
            <w:pPr>
              <w:spacing w:after="100"/>
              <w:jc w:val="right"/>
              <w:rPr>
                <w:rFonts w:eastAsia="Times New Roman"/>
              </w:rPr>
            </w:pPr>
            <w:r>
              <w:rPr>
                <w:rFonts w:eastAsia="Times New Roman"/>
                <w:color w:val="000000"/>
                <w:sz w:val="18"/>
                <w:szCs w:val="18"/>
              </w:rPr>
              <w:t>1,135 </w:t>
            </w:r>
          </w:p>
        </w:tc>
        <w:tc>
          <w:tcPr>
            <w:tcW w:w="0" w:type="auto"/>
            <w:shd w:val="clear" w:color="auto" w:fill="FFFFFF"/>
            <w:tcMar>
              <w:top w:w="30" w:type="dxa"/>
              <w:left w:w="0" w:type="dxa"/>
              <w:bottom w:w="30" w:type="dxa"/>
              <w:right w:w="20" w:type="dxa"/>
            </w:tcMar>
            <w:vAlign w:val="bottom"/>
            <w:hideMark/>
          </w:tcPr>
          <w:p w14:paraId="302F7E9A" w14:textId="77777777" w:rsidR="00000000" w:rsidRDefault="009B6C69">
            <w:pPr>
              <w:spacing w:after="100"/>
              <w:jc w:val="right"/>
              <w:rPr>
                <w:rFonts w:eastAsia="Times New Roman"/>
              </w:rPr>
            </w:pPr>
          </w:p>
        </w:tc>
      </w:tr>
      <w:tr w:rsidR="00000000" w14:paraId="16F3FEDE" w14:textId="77777777">
        <w:trPr>
          <w:jc w:val="center"/>
        </w:trPr>
        <w:tc>
          <w:tcPr>
            <w:tcW w:w="0" w:type="auto"/>
            <w:gridSpan w:val="3"/>
            <w:shd w:val="clear" w:color="auto" w:fill="CCEEFF"/>
            <w:tcMar>
              <w:top w:w="30" w:type="dxa"/>
              <w:left w:w="155" w:type="dxa"/>
              <w:bottom w:w="30" w:type="dxa"/>
              <w:right w:w="20" w:type="dxa"/>
            </w:tcMar>
            <w:vAlign w:val="bottom"/>
            <w:hideMark/>
          </w:tcPr>
          <w:p w14:paraId="32FAC420" w14:textId="77777777" w:rsidR="00000000" w:rsidRDefault="009B6C69">
            <w:pPr>
              <w:spacing w:after="100"/>
              <w:rPr>
                <w:rFonts w:eastAsia="Times New Roman"/>
              </w:rPr>
            </w:pPr>
            <w:r>
              <w:rPr>
                <w:rFonts w:eastAsia="Times New Roman"/>
                <w:color w:val="000000"/>
                <w:sz w:val="18"/>
                <w:szCs w:val="18"/>
              </w:rPr>
              <w:t>Diluted</w:t>
            </w:r>
          </w:p>
        </w:tc>
        <w:tc>
          <w:tcPr>
            <w:tcW w:w="0" w:type="auto"/>
            <w:vAlign w:val="center"/>
            <w:hideMark/>
          </w:tcPr>
          <w:p w14:paraId="5942C68B" w14:textId="77777777" w:rsidR="00000000" w:rsidRDefault="009B6C69">
            <w:pPr>
              <w:spacing w:after="100"/>
              <w:rPr>
                <w:rFonts w:eastAsia="Times New Roman"/>
              </w:rPr>
            </w:pPr>
          </w:p>
        </w:tc>
        <w:tc>
          <w:tcPr>
            <w:tcW w:w="0" w:type="auto"/>
            <w:vAlign w:val="center"/>
            <w:hideMark/>
          </w:tcPr>
          <w:p w14:paraId="71C7AC8E" w14:textId="77777777" w:rsidR="00000000" w:rsidRDefault="009B6C69">
            <w:pPr>
              <w:spacing w:after="100"/>
              <w:rPr>
                <w:rFonts w:eastAsia="Times New Roman"/>
                <w:sz w:val="20"/>
                <w:szCs w:val="20"/>
              </w:rPr>
            </w:pPr>
          </w:p>
        </w:tc>
        <w:tc>
          <w:tcPr>
            <w:tcW w:w="0" w:type="auto"/>
            <w:vAlign w:val="center"/>
            <w:hideMark/>
          </w:tcPr>
          <w:p w14:paraId="1433B4E1" w14:textId="77777777" w:rsidR="00000000" w:rsidRDefault="009B6C69">
            <w:pPr>
              <w:spacing w:after="100"/>
              <w:rPr>
                <w:rFonts w:eastAsia="Times New Roman"/>
                <w:sz w:val="20"/>
                <w:szCs w:val="20"/>
              </w:rPr>
            </w:pPr>
          </w:p>
        </w:tc>
        <w:tc>
          <w:tcPr>
            <w:tcW w:w="0" w:type="auto"/>
            <w:vAlign w:val="center"/>
            <w:hideMark/>
          </w:tcPr>
          <w:p w14:paraId="1EAEE7CB" w14:textId="77777777" w:rsidR="00000000" w:rsidRDefault="009B6C69">
            <w:pPr>
              <w:spacing w:after="100"/>
              <w:rPr>
                <w:rFonts w:eastAsia="Times New Roman"/>
                <w:sz w:val="20"/>
                <w:szCs w:val="20"/>
              </w:rPr>
            </w:pPr>
          </w:p>
        </w:tc>
        <w:tc>
          <w:tcPr>
            <w:tcW w:w="0" w:type="auto"/>
            <w:vAlign w:val="center"/>
            <w:hideMark/>
          </w:tcPr>
          <w:p w14:paraId="36FF183C" w14:textId="77777777" w:rsidR="00000000" w:rsidRDefault="009B6C69">
            <w:pPr>
              <w:spacing w:after="100"/>
              <w:rPr>
                <w:rFonts w:eastAsia="Times New Roman"/>
                <w:sz w:val="20"/>
                <w:szCs w:val="20"/>
              </w:rPr>
            </w:pPr>
          </w:p>
        </w:tc>
        <w:tc>
          <w:tcPr>
            <w:tcW w:w="0" w:type="auto"/>
            <w:vAlign w:val="center"/>
            <w:hideMark/>
          </w:tcPr>
          <w:p w14:paraId="73518631" w14:textId="77777777" w:rsidR="00000000" w:rsidRDefault="009B6C69">
            <w:pPr>
              <w:spacing w:after="100"/>
              <w:rPr>
                <w:rFonts w:eastAsia="Times New Roman"/>
                <w:sz w:val="20"/>
                <w:szCs w:val="20"/>
              </w:rPr>
            </w:pPr>
          </w:p>
        </w:tc>
        <w:tc>
          <w:tcPr>
            <w:tcW w:w="0" w:type="auto"/>
            <w:vAlign w:val="center"/>
            <w:hideMark/>
          </w:tcPr>
          <w:p w14:paraId="1996022F" w14:textId="77777777" w:rsidR="00000000" w:rsidRDefault="009B6C69">
            <w:pPr>
              <w:spacing w:after="100"/>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2ADE8CA2" w14:textId="77777777" w:rsidR="00000000" w:rsidRDefault="009B6C69">
            <w:pPr>
              <w:spacing w:after="100"/>
              <w:jc w:val="right"/>
              <w:rPr>
                <w:rFonts w:eastAsia="Times New Roman"/>
              </w:rPr>
            </w:pPr>
            <w:r>
              <w:rPr>
                <w:rFonts w:eastAsia="Times New Roman"/>
                <w:color w:val="000000"/>
                <w:sz w:val="18"/>
                <w:szCs w:val="18"/>
              </w:rPr>
              <w:t>1,137 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36C5E83C"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6B2747" w14:textId="77777777" w:rsidR="00000000" w:rsidRDefault="009B6C69">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66CEB4B2" w14:textId="77777777" w:rsidR="00000000" w:rsidRDefault="009B6C69">
            <w:pPr>
              <w:spacing w:after="100"/>
              <w:jc w:val="right"/>
              <w:rPr>
                <w:rFonts w:eastAsia="Times New Roman"/>
              </w:rPr>
            </w:pPr>
            <w:r>
              <w:rPr>
                <w:rFonts w:eastAsia="Times New Roman"/>
                <w:color w:val="000000"/>
                <w:sz w:val="18"/>
                <w:szCs w:val="18"/>
              </w:rPr>
              <w:t>1,149 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22F6EBB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BD2677" w14:textId="77777777" w:rsidR="00000000" w:rsidRDefault="009B6C69">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74798768" w14:textId="77777777" w:rsidR="00000000" w:rsidRDefault="009B6C69">
            <w:pPr>
              <w:spacing w:after="100"/>
              <w:jc w:val="right"/>
              <w:rPr>
                <w:rFonts w:eastAsia="Times New Roman"/>
              </w:rPr>
            </w:pPr>
            <w:r>
              <w:rPr>
                <w:rFonts w:eastAsia="Times New Roman"/>
                <w:color w:val="000000"/>
                <w:sz w:val="18"/>
                <w:szCs w:val="18"/>
              </w:rPr>
              <w:t>1,149 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754C9B70" w14:textId="77777777" w:rsidR="00000000" w:rsidRDefault="009B6C69">
            <w:pPr>
              <w:spacing w:after="100"/>
              <w:jc w:val="right"/>
              <w:rPr>
                <w:rFonts w:eastAsia="Times New Roman"/>
              </w:rPr>
            </w:pPr>
          </w:p>
        </w:tc>
      </w:tr>
      <w:tr w:rsidR="00000000" w14:paraId="5E354FB3" w14:textId="77777777">
        <w:trPr>
          <w:jc w:val="center"/>
        </w:trPr>
        <w:tc>
          <w:tcPr>
            <w:tcW w:w="0" w:type="auto"/>
            <w:gridSpan w:val="3"/>
            <w:vAlign w:val="center"/>
            <w:hideMark/>
          </w:tcPr>
          <w:p w14:paraId="298542C5" w14:textId="77777777" w:rsidR="00000000" w:rsidRDefault="009B6C69">
            <w:pPr>
              <w:spacing w:after="100"/>
              <w:jc w:val="right"/>
              <w:rPr>
                <w:rFonts w:eastAsia="Times New Roman"/>
                <w:sz w:val="20"/>
                <w:szCs w:val="20"/>
              </w:rPr>
            </w:pPr>
          </w:p>
        </w:tc>
        <w:tc>
          <w:tcPr>
            <w:tcW w:w="0" w:type="auto"/>
            <w:vAlign w:val="center"/>
            <w:hideMark/>
          </w:tcPr>
          <w:p w14:paraId="785F5B47" w14:textId="77777777" w:rsidR="00000000" w:rsidRDefault="009B6C69">
            <w:pPr>
              <w:spacing w:after="100"/>
              <w:rPr>
                <w:rFonts w:eastAsia="Times New Roman"/>
                <w:sz w:val="20"/>
                <w:szCs w:val="20"/>
              </w:rPr>
            </w:pPr>
          </w:p>
        </w:tc>
        <w:tc>
          <w:tcPr>
            <w:tcW w:w="0" w:type="auto"/>
            <w:vAlign w:val="center"/>
            <w:hideMark/>
          </w:tcPr>
          <w:p w14:paraId="7D3D9937" w14:textId="77777777" w:rsidR="00000000" w:rsidRDefault="009B6C69">
            <w:pPr>
              <w:spacing w:after="100"/>
              <w:rPr>
                <w:rFonts w:eastAsia="Times New Roman"/>
                <w:sz w:val="20"/>
                <w:szCs w:val="20"/>
              </w:rPr>
            </w:pPr>
          </w:p>
        </w:tc>
        <w:tc>
          <w:tcPr>
            <w:tcW w:w="0" w:type="auto"/>
            <w:vAlign w:val="center"/>
            <w:hideMark/>
          </w:tcPr>
          <w:p w14:paraId="3F2BDEDF" w14:textId="77777777" w:rsidR="00000000" w:rsidRDefault="009B6C69">
            <w:pPr>
              <w:spacing w:after="100"/>
              <w:rPr>
                <w:rFonts w:eastAsia="Times New Roman"/>
                <w:sz w:val="20"/>
                <w:szCs w:val="20"/>
              </w:rPr>
            </w:pPr>
          </w:p>
        </w:tc>
        <w:tc>
          <w:tcPr>
            <w:tcW w:w="0" w:type="auto"/>
            <w:vAlign w:val="center"/>
            <w:hideMark/>
          </w:tcPr>
          <w:p w14:paraId="1111EFA6" w14:textId="77777777" w:rsidR="00000000" w:rsidRDefault="009B6C69">
            <w:pPr>
              <w:spacing w:after="100"/>
              <w:rPr>
                <w:rFonts w:eastAsia="Times New Roman"/>
                <w:sz w:val="20"/>
                <w:szCs w:val="20"/>
              </w:rPr>
            </w:pPr>
          </w:p>
        </w:tc>
        <w:tc>
          <w:tcPr>
            <w:tcW w:w="0" w:type="auto"/>
            <w:vAlign w:val="center"/>
            <w:hideMark/>
          </w:tcPr>
          <w:p w14:paraId="78237696" w14:textId="77777777" w:rsidR="00000000" w:rsidRDefault="009B6C69">
            <w:pPr>
              <w:spacing w:after="100"/>
              <w:rPr>
                <w:rFonts w:eastAsia="Times New Roman"/>
                <w:sz w:val="20"/>
                <w:szCs w:val="20"/>
              </w:rPr>
            </w:pPr>
          </w:p>
        </w:tc>
        <w:tc>
          <w:tcPr>
            <w:tcW w:w="0" w:type="auto"/>
            <w:vAlign w:val="center"/>
            <w:hideMark/>
          </w:tcPr>
          <w:p w14:paraId="03895D0B" w14:textId="77777777" w:rsidR="00000000" w:rsidRDefault="009B6C69">
            <w:pPr>
              <w:spacing w:after="100"/>
              <w:rPr>
                <w:rFonts w:eastAsia="Times New Roman"/>
                <w:sz w:val="20"/>
                <w:szCs w:val="20"/>
              </w:rPr>
            </w:pPr>
          </w:p>
        </w:tc>
        <w:tc>
          <w:tcPr>
            <w:tcW w:w="0" w:type="auto"/>
            <w:vAlign w:val="center"/>
            <w:hideMark/>
          </w:tcPr>
          <w:p w14:paraId="47C32EE9" w14:textId="77777777" w:rsidR="00000000" w:rsidRDefault="009B6C69">
            <w:pPr>
              <w:spacing w:after="100"/>
              <w:rPr>
                <w:rFonts w:eastAsia="Times New Roman"/>
                <w:sz w:val="20"/>
                <w:szCs w:val="20"/>
              </w:rPr>
            </w:pPr>
          </w:p>
        </w:tc>
        <w:tc>
          <w:tcPr>
            <w:tcW w:w="0" w:type="auto"/>
            <w:gridSpan w:val="3"/>
            <w:vAlign w:val="center"/>
            <w:hideMark/>
          </w:tcPr>
          <w:p w14:paraId="25EB782A" w14:textId="77777777" w:rsidR="00000000" w:rsidRDefault="009B6C69">
            <w:pPr>
              <w:spacing w:after="100"/>
              <w:rPr>
                <w:rFonts w:eastAsia="Times New Roman"/>
                <w:sz w:val="20"/>
                <w:szCs w:val="20"/>
              </w:rPr>
            </w:pPr>
          </w:p>
        </w:tc>
        <w:tc>
          <w:tcPr>
            <w:tcW w:w="0" w:type="auto"/>
            <w:gridSpan w:val="3"/>
            <w:vAlign w:val="center"/>
            <w:hideMark/>
          </w:tcPr>
          <w:p w14:paraId="556D9CBA" w14:textId="77777777" w:rsidR="00000000" w:rsidRDefault="009B6C69">
            <w:pPr>
              <w:spacing w:after="100"/>
              <w:rPr>
                <w:rFonts w:eastAsia="Times New Roman"/>
                <w:sz w:val="20"/>
                <w:szCs w:val="20"/>
              </w:rPr>
            </w:pPr>
          </w:p>
        </w:tc>
        <w:tc>
          <w:tcPr>
            <w:tcW w:w="0" w:type="auto"/>
            <w:gridSpan w:val="3"/>
            <w:vAlign w:val="center"/>
            <w:hideMark/>
          </w:tcPr>
          <w:p w14:paraId="6922719F" w14:textId="77777777" w:rsidR="00000000" w:rsidRDefault="009B6C69">
            <w:pPr>
              <w:spacing w:after="100"/>
              <w:rPr>
                <w:rFonts w:eastAsia="Times New Roman"/>
                <w:sz w:val="20"/>
                <w:szCs w:val="20"/>
              </w:rPr>
            </w:pPr>
          </w:p>
        </w:tc>
        <w:tc>
          <w:tcPr>
            <w:tcW w:w="0" w:type="auto"/>
            <w:gridSpan w:val="3"/>
            <w:vAlign w:val="center"/>
            <w:hideMark/>
          </w:tcPr>
          <w:p w14:paraId="696DC9BC" w14:textId="77777777" w:rsidR="00000000" w:rsidRDefault="009B6C69">
            <w:pPr>
              <w:spacing w:after="100"/>
              <w:rPr>
                <w:rFonts w:eastAsia="Times New Roman"/>
                <w:sz w:val="20"/>
                <w:szCs w:val="20"/>
              </w:rPr>
            </w:pPr>
          </w:p>
        </w:tc>
        <w:tc>
          <w:tcPr>
            <w:tcW w:w="0" w:type="auto"/>
            <w:gridSpan w:val="3"/>
            <w:vAlign w:val="center"/>
            <w:hideMark/>
          </w:tcPr>
          <w:p w14:paraId="33E11D7F" w14:textId="77777777" w:rsidR="00000000" w:rsidRDefault="009B6C69">
            <w:pPr>
              <w:spacing w:after="100"/>
              <w:rPr>
                <w:rFonts w:eastAsia="Times New Roman"/>
                <w:sz w:val="20"/>
                <w:szCs w:val="20"/>
              </w:rPr>
            </w:pPr>
          </w:p>
        </w:tc>
      </w:tr>
      <w:tr w:rsidR="00000000" w14:paraId="12E5292D" w14:textId="77777777">
        <w:trPr>
          <w:jc w:val="center"/>
        </w:trPr>
        <w:tc>
          <w:tcPr>
            <w:tcW w:w="0" w:type="auto"/>
            <w:gridSpan w:val="3"/>
            <w:vAlign w:val="center"/>
            <w:hideMark/>
          </w:tcPr>
          <w:p w14:paraId="3E3F7991" w14:textId="77777777" w:rsidR="00000000" w:rsidRDefault="009B6C69">
            <w:pPr>
              <w:spacing w:after="100"/>
              <w:rPr>
                <w:rFonts w:eastAsia="Times New Roman"/>
                <w:sz w:val="20"/>
                <w:szCs w:val="20"/>
              </w:rPr>
            </w:pPr>
          </w:p>
        </w:tc>
        <w:tc>
          <w:tcPr>
            <w:tcW w:w="0" w:type="auto"/>
            <w:vAlign w:val="center"/>
            <w:hideMark/>
          </w:tcPr>
          <w:p w14:paraId="24278CF7" w14:textId="77777777" w:rsidR="00000000" w:rsidRDefault="009B6C69">
            <w:pPr>
              <w:spacing w:after="100"/>
              <w:rPr>
                <w:rFonts w:eastAsia="Times New Roman"/>
                <w:sz w:val="20"/>
                <w:szCs w:val="20"/>
              </w:rPr>
            </w:pPr>
          </w:p>
        </w:tc>
        <w:tc>
          <w:tcPr>
            <w:tcW w:w="0" w:type="auto"/>
            <w:vAlign w:val="center"/>
            <w:hideMark/>
          </w:tcPr>
          <w:p w14:paraId="1C5798AE" w14:textId="77777777" w:rsidR="00000000" w:rsidRDefault="009B6C69">
            <w:pPr>
              <w:spacing w:after="100"/>
              <w:rPr>
                <w:rFonts w:eastAsia="Times New Roman"/>
                <w:sz w:val="20"/>
                <w:szCs w:val="20"/>
              </w:rPr>
            </w:pPr>
          </w:p>
        </w:tc>
        <w:tc>
          <w:tcPr>
            <w:tcW w:w="0" w:type="auto"/>
            <w:vAlign w:val="center"/>
            <w:hideMark/>
          </w:tcPr>
          <w:p w14:paraId="6789007C" w14:textId="77777777" w:rsidR="00000000" w:rsidRDefault="009B6C69">
            <w:pPr>
              <w:spacing w:after="100"/>
              <w:rPr>
                <w:rFonts w:eastAsia="Times New Roman"/>
                <w:sz w:val="20"/>
                <w:szCs w:val="20"/>
              </w:rPr>
            </w:pPr>
          </w:p>
        </w:tc>
        <w:tc>
          <w:tcPr>
            <w:tcW w:w="0" w:type="auto"/>
            <w:vAlign w:val="center"/>
            <w:hideMark/>
          </w:tcPr>
          <w:p w14:paraId="0DE47482" w14:textId="77777777" w:rsidR="00000000" w:rsidRDefault="009B6C69">
            <w:pPr>
              <w:spacing w:after="100"/>
              <w:rPr>
                <w:rFonts w:eastAsia="Times New Roman"/>
                <w:sz w:val="20"/>
                <w:szCs w:val="20"/>
              </w:rPr>
            </w:pPr>
          </w:p>
        </w:tc>
        <w:tc>
          <w:tcPr>
            <w:tcW w:w="0" w:type="auto"/>
            <w:vAlign w:val="center"/>
            <w:hideMark/>
          </w:tcPr>
          <w:p w14:paraId="10566271" w14:textId="77777777" w:rsidR="00000000" w:rsidRDefault="009B6C69">
            <w:pPr>
              <w:spacing w:after="100"/>
              <w:rPr>
                <w:rFonts w:eastAsia="Times New Roman"/>
                <w:sz w:val="20"/>
                <w:szCs w:val="20"/>
              </w:rPr>
            </w:pPr>
          </w:p>
        </w:tc>
        <w:tc>
          <w:tcPr>
            <w:tcW w:w="0" w:type="auto"/>
            <w:vAlign w:val="center"/>
            <w:hideMark/>
          </w:tcPr>
          <w:p w14:paraId="5D0B39E7" w14:textId="77777777" w:rsidR="00000000" w:rsidRDefault="009B6C69">
            <w:pPr>
              <w:spacing w:after="100"/>
              <w:rPr>
                <w:rFonts w:eastAsia="Times New Roman"/>
                <w:sz w:val="20"/>
                <w:szCs w:val="20"/>
              </w:rPr>
            </w:pPr>
          </w:p>
        </w:tc>
        <w:tc>
          <w:tcPr>
            <w:tcW w:w="0" w:type="auto"/>
            <w:vAlign w:val="center"/>
            <w:hideMark/>
          </w:tcPr>
          <w:p w14:paraId="12B93D3F" w14:textId="77777777" w:rsidR="00000000" w:rsidRDefault="009B6C69">
            <w:pPr>
              <w:spacing w:after="100"/>
              <w:rPr>
                <w:rFonts w:eastAsia="Times New Roman"/>
                <w:sz w:val="20"/>
                <w:szCs w:val="20"/>
              </w:rPr>
            </w:pPr>
          </w:p>
        </w:tc>
        <w:tc>
          <w:tcPr>
            <w:tcW w:w="0" w:type="auto"/>
            <w:gridSpan w:val="3"/>
            <w:vAlign w:val="center"/>
            <w:hideMark/>
          </w:tcPr>
          <w:p w14:paraId="676F43B2" w14:textId="77777777" w:rsidR="00000000" w:rsidRDefault="009B6C69">
            <w:pPr>
              <w:spacing w:after="100"/>
              <w:rPr>
                <w:rFonts w:eastAsia="Times New Roman"/>
                <w:sz w:val="20"/>
                <w:szCs w:val="20"/>
              </w:rPr>
            </w:pPr>
          </w:p>
        </w:tc>
        <w:tc>
          <w:tcPr>
            <w:tcW w:w="0" w:type="auto"/>
            <w:gridSpan w:val="3"/>
            <w:vAlign w:val="center"/>
            <w:hideMark/>
          </w:tcPr>
          <w:p w14:paraId="3284EB24" w14:textId="77777777" w:rsidR="00000000" w:rsidRDefault="009B6C69">
            <w:pPr>
              <w:spacing w:after="100"/>
              <w:rPr>
                <w:rFonts w:eastAsia="Times New Roman"/>
                <w:sz w:val="20"/>
                <w:szCs w:val="20"/>
              </w:rPr>
            </w:pPr>
          </w:p>
        </w:tc>
        <w:tc>
          <w:tcPr>
            <w:tcW w:w="0" w:type="auto"/>
            <w:gridSpan w:val="3"/>
            <w:vAlign w:val="center"/>
            <w:hideMark/>
          </w:tcPr>
          <w:p w14:paraId="303D9800" w14:textId="77777777" w:rsidR="00000000" w:rsidRDefault="009B6C69">
            <w:pPr>
              <w:spacing w:after="100"/>
              <w:rPr>
                <w:rFonts w:eastAsia="Times New Roman"/>
                <w:sz w:val="20"/>
                <w:szCs w:val="20"/>
              </w:rPr>
            </w:pPr>
          </w:p>
        </w:tc>
        <w:tc>
          <w:tcPr>
            <w:tcW w:w="0" w:type="auto"/>
            <w:gridSpan w:val="3"/>
            <w:vAlign w:val="center"/>
            <w:hideMark/>
          </w:tcPr>
          <w:p w14:paraId="45FCFC42" w14:textId="77777777" w:rsidR="00000000" w:rsidRDefault="009B6C69">
            <w:pPr>
              <w:spacing w:after="100"/>
              <w:rPr>
                <w:rFonts w:eastAsia="Times New Roman"/>
                <w:sz w:val="20"/>
                <w:szCs w:val="20"/>
              </w:rPr>
            </w:pPr>
          </w:p>
        </w:tc>
        <w:tc>
          <w:tcPr>
            <w:tcW w:w="0" w:type="auto"/>
            <w:gridSpan w:val="3"/>
            <w:vAlign w:val="center"/>
            <w:hideMark/>
          </w:tcPr>
          <w:p w14:paraId="15665C07" w14:textId="77777777" w:rsidR="00000000" w:rsidRDefault="009B6C69">
            <w:pPr>
              <w:spacing w:after="100"/>
              <w:rPr>
                <w:rFonts w:eastAsia="Times New Roman"/>
                <w:sz w:val="20"/>
                <w:szCs w:val="20"/>
              </w:rPr>
            </w:pPr>
          </w:p>
        </w:tc>
      </w:tr>
    </w:tbl>
    <w:p w14:paraId="7C695266" w14:textId="77777777" w:rsidR="00000000" w:rsidRDefault="009B6C69">
      <w:pPr>
        <w:divId w:val="1550730174"/>
        <w:rPr>
          <w:rFonts w:eastAsia="Times New Roman"/>
        </w:rPr>
      </w:pPr>
    </w:p>
    <w:p w14:paraId="6F8B15F4" w14:textId="77777777" w:rsidR="00000000" w:rsidRDefault="009B6C69">
      <w:pPr>
        <w:jc w:val="center"/>
        <w:rPr>
          <w:rFonts w:eastAsia="Times New Roman"/>
        </w:rPr>
      </w:pPr>
      <w:r>
        <w:rPr>
          <w:rFonts w:eastAsia="Times New Roman"/>
          <w:color w:val="000000"/>
          <w:sz w:val="18"/>
          <w:szCs w:val="18"/>
        </w:rPr>
        <w:t>See accompanying notes.</w:t>
      </w:r>
    </w:p>
    <w:p w14:paraId="45D61811" w14:textId="77777777" w:rsidR="00000000" w:rsidRDefault="009B6C69">
      <w:pPr>
        <w:jc w:val="center"/>
        <w:divId w:val="1570919942"/>
        <w:rPr>
          <w:rFonts w:eastAsia="Times New Roman"/>
        </w:rPr>
      </w:pPr>
      <w:r>
        <w:rPr>
          <w:rFonts w:eastAsia="Times New Roman"/>
          <w:color w:val="000000"/>
          <w:sz w:val="20"/>
          <w:szCs w:val="20"/>
        </w:rPr>
        <w:t>F-4</w:t>
      </w:r>
    </w:p>
    <w:p w14:paraId="416629B4" w14:textId="77777777" w:rsidR="00000000" w:rsidRDefault="009B6C69">
      <w:pPr>
        <w:rPr>
          <w:rFonts w:eastAsia="Times New Roman"/>
        </w:rPr>
      </w:pPr>
      <w:r>
        <w:rPr>
          <w:rFonts w:eastAsia="Times New Roman"/>
        </w:rPr>
        <w:pict w14:anchorId="1358F3C4">
          <v:rect id="_x0000_i1084" style="width:0;height:1.5pt" o:hralign="center" o:hrstd="t" o:hr="t" fillcolor="#a0a0a0" stroked="f"/>
        </w:pict>
      </w:r>
    </w:p>
    <w:p w14:paraId="075ABCF4" w14:textId="77777777" w:rsidR="00000000" w:rsidRDefault="009B6C69">
      <w:pPr>
        <w:divId w:val="913126647"/>
        <w:rPr>
          <w:rFonts w:eastAsia="Times New Roman"/>
        </w:rPr>
      </w:pPr>
    </w:p>
    <w:p w14:paraId="3F0F98F5" w14:textId="77777777" w:rsidR="00000000" w:rsidRDefault="009B6C69">
      <w:pPr>
        <w:jc w:val="center"/>
        <w:rPr>
          <w:rFonts w:eastAsia="Times New Roman"/>
        </w:rPr>
      </w:pPr>
      <w:r>
        <w:rPr>
          <w:rFonts w:eastAsia="Times New Roman"/>
          <w:b/>
          <w:bCs/>
          <w:color w:val="000000"/>
          <w:sz w:val="18"/>
          <w:szCs w:val="18"/>
        </w:rPr>
        <w:t>QUALCOMM Incorporated</w:t>
      </w:r>
    </w:p>
    <w:p w14:paraId="546BD14F" w14:textId="77777777" w:rsidR="00000000" w:rsidRDefault="009B6C69">
      <w:pPr>
        <w:jc w:val="center"/>
        <w:rPr>
          <w:rFonts w:eastAsia="Times New Roman"/>
        </w:rPr>
      </w:pPr>
      <w:r>
        <w:rPr>
          <w:rFonts w:eastAsia="Times New Roman"/>
          <w:b/>
          <w:bCs/>
          <w:color w:val="000000"/>
          <w:sz w:val="18"/>
          <w:szCs w:val="18"/>
        </w:rPr>
        <w:t>CONSOLIDATED STATEMENTS OF COMPREHENSIVE INCOME</w:t>
      </w:r>
    </w:p>
    <w:p w14:paraId="4749A987" w14:textId="77777777" w:rsidR="00000000" w:rsidRDefault="009B6C69">
      <w:pPr>
        <w:jc w:val="center"/>
        <w:rPr>
          <w:rFonts w:eastAsia="Times New Roman"/>
        </w:rPr>
      </w:pPr>
      <w:r>
        <w:rPr>
          <w:rFonts w:eastAsia="Times New Roman"/>
          <w:b/>
          <w:bCs/>
          <w:color w:val="000000"/>
          <w:sz w:val="18"/>
          <w:szCs w:val="18"/>
        </w:rPr>
        <w:t>(In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861"/>
        <w:gridCol w:w="37"/>
        <w:gridCol w:w="36"/>
        <w:gridCol w:w="36"/>
        <w:gridCol w:w="36"/>
        <w:gridCol w:w="36"/>
        <w:gridCol w:w="36"/>
        <w:gridCol w:w="36"/>
        <w:gridCol w:w="36"/>
        <w:gridCol w:w="111"/>
        <w:gridCol w:w="837"/>
        <w:gridCol w:w="36"/>
        <w:gridCol w:w="36"/>
        <w:gridCol w:w="36"/>
        <w:gridCol w:w="36"/>
        <w:gridCol w:w="111"/>
        <w:gridCol w:w="798"/>
        <w:gridCol w:w="36"/>
        <w:gridCol w:w="36"/>
        <w:gridCol w:w="36"/>
        <w:gridCol w:w="36"/>
        <w:gridCol w:w="111"/>
        <w:gridCol w:w="800"/>
        <w:gridCol w:w="36"/>
      </w:tblGrid>
      <w:tr w:rsidR="00000000" w14:paraId="176B69AD" w14:textId="77777777">
        <w:trPr>
          <w:divId w:val="1399473928"/>
        </w:trPr>
        <w:tc>
          <w:tcPr>
            <w:tcW w:w="50" w:type="pct"/>
            <w:vAlign w:val="center"/>
            <w:hideMark/>
          </w:tcPr>
          <w:p w14:paraId="6FF9741C" w14:textId="77777777" w:rsidR="00000000" w:rsidRDefault="009B6C69">
            <w:pPr>
              <w:jc w:val="center"/>
              <w:rPr>
                <w:rFonts w:eastAsia="Times New Roman"/>
              </w:rPr>
            </w:pPr>
          </w:p>
        </w:tc>
        <w:tc>
          <w:tcPr>
            <w:tcW w:w="3056" w:type="pct"/>
            <w:vAlign w:val="center"/>
            <w:hideMark/>
          </w:tcPr>
          <w:p w14:paraId="4FE84EBB" w14:textId="77777777" w:rsidR="00000000" w:rsidRDefault="009B6C69">
            <w:pPr>
              <w:spacing w:after="100"/>
              <w:rPr>
                <w:rFonts w:eastAsia="Times New Roman"/>
                <w:sz w:val="20"/>
                <w:szCs w:val="20"/>
              </w:rPr>
            </w:pPr>
          </w:p>
        </w:tc>
        <w:tc>
          <w:tcPr>
            <w:tcW w:w="5" w:type="pct"/>
            <w:vAlign w:val="center"/>
            <w:hideMark/>
          </w:tcPr>
          <w:p w14:paraId="1E213FD1" w14:textId="77777777" w:rsidR="00000000" w:rsidRDefault="009B6C69">
            <w:pPr>
              <w:spacing w:after="100"/>
              <w:rPr>
                <w:rFonts w:eastAsia="Times New Roman"/>
                <w:sz w:val="20"/>
                <w:szCs w:val="20"/>
              </w:rPr>
            </w:pPr>
          </w:p>
        </w:tc>
        <w:tc>
          <w:tcPr>
            <w:tcW w:w="0" w:type="auto"/>
            <w:vAlign w:val="center"/>
            <w:hideMark/>
          </w:tcPr>
          <w:p w14:paraId="7C99ED45" w14:textId="77777777" w:rsidR="00000000" w:rsidRDefault="009B6C69">
            <w:pPr>
              <w:spacing w:after="100"/>
              <w:rPr>
                <w:rFonts w:eastAsia="Times New Roman"/>
                <w:sz w:val="20"/>
                <w:szCs w:val="20"/>
              </w:rPr>
            </w:pPr>
          </w:p>
        </w:tc>
        <w:tc>
          <w:tcPr>
            <w:tcW w:w="0" w:type="auto"/>
            <w:vAlign w:val="center"/>
            <w:hideMark/>
          </w:tcPr>
          <w:p w14:paraId="383060AF" w14:textId="77777777" w:rsidR="00000000" w:rsidRDefault="009B6C69">
            <w:pPr>
              <w:spacing w:after="100"/>
              <w:rPr>
                <w:rFonts w:eastAsia="Times New Roman"/>
                <w:sz w:val="20"/>
                <w:szCs w:val="20"/>
              </w:rPr>
            </w:pPr>
          </w:p>
        </w:tc>
        <w:tc>
          <w:tcPr>
            <w:tcW w:w="0" w:type="auto"/>
            <w:vAlign w:val="center"/>
            <w:hideMark/>
          </w:tcPr>
          <w:p w14:paraId="32F9F3B7" w14:textId="77777777" w:rsidR="00000000" w:rsidRDefault="009B6C69">
            <w:pPr>
              <w:spacing w:after="100"/>
              <w:rPr>
                <w:rFonts w:eastAsia="Times New Roman"/>
                <w:sz w:val="20"/>
                <w:szCs w:val="20"/>
              </w:rPr>
            </w:pPr>
          </w:p>
        </w:tc>
        <w:tc>
          <w:tcPr>
            <w:tcW w:w="0" w:type="auto"/>
            <w:vAlign w:val="center"/>
            <w:hideMark/>
          </w:tcPr>
          <w:p w14:paraId="3A077AAA" w14:textId="77777777" w:rsidR="00000000" w:rsidRDefault="009B6C69">
            <w:pPr>
              <w:spacing w:after="100"/>
              <w:rPr>
                <w:rFonts w:eastAsia="Times New Roman"/>
                <w:sz w:val="20"/>
                <w:szCs w:val="20"/>
              </w:rPr>
            </w:pPr>
          </w:p>
        </w:tc>
        <w:tc>
          <w:tcPr>
            <w:tcW w:w="0" w:type="auto"/>
            <w:vAlign w:val="center"/>
            <w:hideMark/>
          </w:tcPr>
          <w:p w14:paraId="4BF994AA" w14:textId="77777777" w:rsidR="00000000" w:rsidRDefault="009B6C69">
            <w:pPr>
              <w:spacing w:after="100"/>
              <w:rPr>
                <w:rFonts w:eastAsia="Times New Roman"/>
                <w:sz w:val="20"/>
                <w:szCs w:val="20"/>
              </w:rPr>
            </w:pPr>
          </w:p>
        </w:tc>
        <w:tc>
          <w:tcPr>
            <w:tcW w:w="0" w:type="auto"/>
            <w:vAlign w:val="center"/>
            <w:hideMark/>
          </w:tcPr>
          <w:p w14:paraId="40C90D7B" w14:textId="77777777" w:rsidR="00000000" w:rsidRDefault="009B6C69">
            <w:pPr>
              <w:spacing w:after="100"/>
              <w:rPr>
                <w:rFonts w:eastAsia="Times New Roman"/>
                <w:sz w:val="20"/>
                <w:szCs w:val="20"/>
              </w:rPr>
            </w:pPr>
          </w:p>
        </w:tc>
        <w:tc>
          <w:tcPr>
            <w:tcW w:w="0" w:type="auto"/>
            <w:vAlign w:val="center"/>
            <w:hideMark/>
          </w:tcPr>
          <w:p w14:paraId="7C170BB6" w14:textId="77777777" w:rsidR="00000000" w:rsidRDefault="009B6C69">
            <w:pPr>
              <w:spacing w:after="100"/>
              <w:rPr>
                <w:rFonts w:eastAsia="Times New Roman"/>
                <w:sz w:val="20"/>
                <w:szCs w:val="20"/>
              </w:rPr>
            </w:pPr>
          </w:p>
        </w:tc>
        <w:tc>
          <w:tcPr>
            <w:tcW w:w="50" w:type="pct"/>
            <w:vAlign w:val="center"/>
            <w:hideMark/>
          </w:tcPr>
          <w:p w14:paraId="1B2931C4" w14:textId="77777777" w:rsidR="00000000" w:rsidRDefault="009B6C69">
            <w:pPr>
              <w:spacing w:after="100"/>
              <w:rPr>
                <w:rFonts w:eastAsia="Times New Roman"/>
                <w:sz w:val="20"/>
                <w:szCs w:val="20"/>
              </w:rPr>
            </w:pPr>
          </w:p>
        </w:tc>
        <w:tc>
          <w:tcPr>
            <w:tcW w:w="549" w:type="pct"/>
            <w:vAlign w:val="center"/>
            <w:hideMark/>
          </w:tcPr>
          <w:p w14:paraId="1666EE5E" w14:textId="77777777" w:rsidR="00000000" w:rsidRDefault="009B6C69">
            <w:pPr>
              <w:spacing w:after="100"/>
              <w:rPr>
                <w:rFonts w:eastAsia="Times New Roman"/>
                <w:sz w:val="20"/>
                <w:szCs w:val="20"/>
              </w:rPr>
            </w:pPr>
          </w:p>
        </w:tc>
        <w:tc>
          <w:tcPr>
            <w:tcW w:w="5" w:type="pct"/>
            <w:vAlign w:val="center"/>
            <w:hideMark/>
          </w:tcPr>
          <w:p w14:paraId="05D34E8A" w14:textId="77777777" w:rsidR="00000000" w:rsidRDefault="009B6C69">
            <w:pPr>
              <w:spacing w:after="100"/>
              <w:rPr>
                <w:rFonts w:eastAsia="Times New Roman"/>
                <w:sz w:val="20"/>
                <w:szCs w:val="20"/>
              </w:rPr>
            </w:pPr>
          </w:p>
        </w:tc>
        <w:tc>
          <w:tcPr>
            <w:tcW w:w="5" w:type="pct"/>
            <w:vAlign w:val="center"/>
            <w:hideMark/>
          </w:tcPr>
          <w:p w14:paraId="1678B510" w14:textId="77777777" w:rsidR="00000000" w:rsidRDefault="009B6C69">
            <w:pPr>
              <w:spacing w:after="100"/>
              <w:rPr>
                <w:rFonts w:eastAsia="Times New Roman"/>
                <w:sz w:val="20"/>
                <w:szCs w:val="20"/>
              </w:rPr>
            </w:pPr>
          </w:p>
        </w:tc>
        <w:tc>
          <w:tcPr>
            <w:tcW w:w="27" w:type="pct"/>
            <w:vAlign w:val="center"/>
            <w:hideMark/>
          </w:tcPr>
          <w:p w14:paraId="2FC6F1BE" w14:textId="77777777" w:rsidR="00000000" w:rsidRDefault="009B6C69">
            <w:pPr>
              <w:spacing w:after="100"/>
              <w:rPr>
                <w:rFonts w:eastAsia="Times New Roman"/>
                <w:sz w:val="20"/>
                <w:szCs w:val="20"/>
              </w:rPr>
            </w:pPr>
          </w:p>
        </w:tc>
        <w:tc>
          <w:tcPr>
            <w:tcW w:w="5" w:type="pct"/>
            <w:vAlign w:val="center"/>
            <w:hideMark/>
          </w:tcPr>
          <w:p w14:paraId="7E34D212" w14:textId="77777777" w:rsidR="00000000" w:rsidRDefault="009B6C69">
            <w:pPr>
              <w:spacing w:after="100"/>
              <w:rPr>
                <w:rFonts w:eastAsia="Times New Roman"/>
                <w:sz w:val="20"/>
                <w:szCs w:val="20"/>
              </w:rPr>
            </w:pPr>
          </w:p>
        </w:tc>
        <w:tc>
          <w:tcPr>
            <w:tcW w:w="50" w:type="pct"/>
            <w:vAlign w:val="center"/>
            <w:hideMark/>
          </w:tcPr>
          <w:p w14:paraId="4B6C0AC1" w14:textId="77777777" w:rsidR="00000000" w:rsidRDefault="009B6C69">
            <w:pPr>
              <w:spacing w:after="100"/>
              <w:rPr>
                <w:rFonts w:eastAsia="Times New Roman"/>
                <w:sz w:val="20"/>
                <w:szCs w:val="20"/>
              </w:rPr>
            </w:pPr>
          </w:p>
        </w:tc>
        <w:tc>
          <w:tcPr>
            <w:tcW w:w="549" w:type="pct"/>
            <w:vAlign w:val="center"/>
            <w:hideMark/>
          </w:tcPr>
          <w:p w14:paraId="0AE55EAA" w14:textId="77777777" w:rsidR="00000000" w:rsidRDefault="009B6C69">
            <w:pPr>
              <w:spacing w:after="100"/>
              <w:rPr>
                <w:rFonts w:eastAsia="Times New Roman"/>
                <w:sz w:val="20"/>
                <w:szCs w:val="20"/>
              </w:rPr>
            </w:pPr>
          </w:p>
        </w:tc>
        <w:tc>
          <w:tcPr>
            <w:tcW w:w="5" w:type="pct"/>
            <w:vAlign w:val="center"/>
            <w:hideMark/>
          </w:tcPr>
          <w:p w14:paraId="1C6D5D5A" w14:textId="77777777" w:rsidR="00000000" w:rsidRDefault="009B6C69">
            <w:pPr>
              <w:spacing w:after="100"/>
              <w:rPr>
                <w:rFonts w:eastAsia="Times New Roman"/>
                <w:sz w:val="20"/>
                <w:szCs w:val="20"/>
              </w:rPr>
            </w:pPr>
          </w:p>
        </w:tc>
        <w:tc>
          <w:tcPr>
            <w:tcW w:w="5" w:type="pct"/>
            <w:vAlign w:val="center"/>
            <w:hideMark/>
          </w:tcPr>
          <w:p w14:paraId="2AA30503" w14:textId="77777777" w:rsidR="00000000" w:rsidRDefault="009B6C69">
            <w:pPr>
              <w:spacing w:after="100"/>
              <w:rPr>
                <w:rFonts w:eastAsia="Times New Roman"/>
                <w:sz w:val="20"/>
                <w:szCs w:val="20"/>
              </w:rPr>
            </w:pPr>
          </w:p>
        </w:tc>
        <w:tc>
          <w:tcPr>
            <w:tcW w:w="27" w:type="pct"/>
            <w:vAlign w:val="center"/>
            <w:hideMark/>
          </w:tcPr>
          <w:p w14:paraId="4B040A39" w14:textId="77777777" w:rsidR="00000000" w:rsidRDefault="009B6C69">
            <w:pPr>
              <w:spacing w:after="100"/>
              <w:rPr>
                <w:rFonts w:eastAsia="Times New Roman"/>
                <w:sz w:val="20"/>
                <w:szCs w:val="20"/>
              </w:rPr>
            </w:pPr>
          </w:p>
        </w:tc>
        <w:tc>
          <w:tcPr>
            <w:tcW w:w="5" w:type="pct"/>
            <w:vAlign w:val="center"/>
            <w:hideMark/>
          </w:tcPr>
          <w:p w14:paraId="75090724" w14:textId="77777777" w:rsidR="00000000" w:rsidRDefault="009B6C69">
            <w:pPr>
              <w:spacing w:after="100"/>
              <w:rPr>
                <w:rFonts w:eastAsia="Times New Roman"/>
                <w:sz w:val="20"/>
                <w:szCs w:val="20"/>
              </w:rPr>
            </w:pPr>
          </w:p>
        </w:tc>
        <w:tc>
          <w:tcPr>
            <w:tcW w:w="50" w:type="pct"/>
            <w:vAlign w:val="center"/>
            <w:hideMark/>
          </w:tcPr>
          <w:p w14:paraId="7663F97E" w14:textId="77777777" w:rsidR="00000000" w:rsidRDefault="009B6C69">
            <w:pPr>
              <w:spacing w:after="100"/>
              <w:rPr>
                <w:rFonts w:eastAsia="Times New Roman"/>
                <w:sz w:val="20"/>
                <w:szCs w:val="20"/>
              </w:rPr>
            </w:pPr>
          </w:p>
        </w:tc>
        <w:tc>
          <w:tcPr>
            <w:tcW w:w="549" w:type="pct"/>
            <w:vAlign w:val="center"/>
            <w:hideMark/>
          </w:tcPr>
          <w:p w14:paraId="74675C11" w14:textId="77777777" w:rsidR="00000000" w:rsidRDefault="009B6C69">
            <w:pPr>
              <w:spacing w:after="100"/>
              <w:rPr>
                <w:rFonts w:eastAsia="Times New Roman"/>
                <w:sz w:val="20"/>
                <w:szCs w:val="20"/>
              </w:rPr>
            </w:pPr>
          </w:p>
        </w:tc>
        <w:tc>
          <w:tcPr>
            <w:tcW w:w="5" w:type="pct"/>
            <w:vAlign w:val="center"/>
            <w:hideMark/>
          </w:tcPr>
          <w:p w14:paraId="3C43FDC6" w14:textId="77777777" w:rsidR="00000000" w:rsidRDefault="009B6C69">
            <w:pPr>
              <w:spacing w:after="100"/>
              <w:rPr>
                <w:rFonts w:eastAsia="Times New Roman"/>
                <w:sz w:val="20"/>
                <w:szCs w:val="20"/>
              </w:rPr>
            </w:pPr>
          </w:p>
        </w:tc>
      </w:tr>
      <w:tr w:rsidR="00000000" w14:paraId="16DCE46F" w14:textId="77777777">
        <w:trPr>
          <w:divId w:val="1399473928"/>
        </w:trPr>
        <w:tc>
          <w:tcPr>
            <w:tcW w:w="0" w:type="auto"/>
            <w:gridSpan w:val="3"/>
            <w:tcMar>
              <w:top w:w="0" w:type="dxa"/>
              <w:left w:w="20" w:type="dxa"/>
              <w:bottom w:w="0" w:type="dxa"/>
              <w:right w:w="20" w:type="dxa"/>
            </w:tcMar>
            <w:vAlign w:val="center"/>
            <w:hideMark/>
          </w:tcPr>
          <w:p w14:paraId="0EC1D609" w14:textId="77777777" w:rsidR="00000000" w:rsidRDefault="009B6C69">
            <w:pPr>
              <w:spacing w:after="100"/>
              <w:rPr>
                <w:rFonts w:eastAsia="Times New Roman"/>
                <w:sz w:val="20"/>
                <w:szCs w:val="20"/>
              </w:rPr>
            </w:pPr>
          </w:p>
        </w:tc>
        <w:tc>
          <w:tcPr>
            <w:tcW w:w="0" w:type="auto"/>
            <w:vAlign w:val="center"/>
            <w:hideMark/>
          </w:tcPr>
          <w:p w14:paraId="3D3CD5FC" w14:textId="77777777" w:rsidR="00000000" w:rsidRDefault="009B6C69">
            <w:pPr>
              <w:spacing w:after="100"/>
              <w:rPr>
                <w:rFonts w:eastAsia="Times New Roman"/>
                <w:sz w:val="20"/>
                <w:szCs w:val="20"/>
              </w:rPr>
            </w:pPr>
          </w:p>
        </w:tc>
        <w:tc>
          <w:tcPr>
            <w:tcW w:w="0" w:type="auto"/>
            <w:vAlign w:val="center"/>
            <w:hideMark/>
          </w:tcPr>
          <w:p w14:paraId="61E9FFA8" w14:textId="77777777" w:rsidR="00000000" w:rsidRDefault="009B6C69">
            <w:pPr>
              <w:spacing w:after="100"/>
              <w:rPr>
                <w:rFonts w:eastAsia="Times New Roman"/>
                <w:sz w:val="20"/>
                <w:szCs w:val="20"/>
              </w:rPr>
            </w:pPr>
          </w:p>
        </w:tc>
        <w:tc>
          <w:tcPr>
            <w:tcW w:w="0" w:type="auto"/>
            <w:vAlign w:val="center"/>
            <w:hideMark/>
          </w:tcPr>
          <w:p w14:paraId="6901CB70" w14:textId="77777777" w:rsidR="00000000" w:rsidRDefault="009B6C69">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04E667C0" w14:textId="77777777" w:rsidR="00000000" w:rsidRDefault="009B6C69">
            <w:pPr>
              <w:spacing w:after="100"/>
              <w:jc w:val="center"/>
              <w:rPr>
                <w:rFonts w:eastAsia="Times New Roman"/>
              </w:rPr>
            </w:pPr>
            <w:r>
              <w:rPr>
                <w:rFonts w:eastAsia="Times New Roman"/>
                <w:b/>
                <w:bCs/>
                <w:color w:val="000000"/>
                <w:sz w:val="18"/>
                <w:szCs w:val="18"/>
              </w:rPr>
              <w:t>Year Ended</w:t>
            </w:r>
          </w:p>
        </w:tc>
        <w:tc>
          <w:tcPr>
            <w:tcW w:w="0" w:type="auto"/>
            <w:vAlign w:val="center"/>
            <w:hideMark/>
          </w:tcPr>
          <w:p w14:paraId="1626DEFC" w14:textId="77777777" w:rsidR="00000000" w:rsidRDefault="009B6C69">
            <w:pPr>
              <w:spacing w:after="100"/>
              <w:rPr>
                <w:rFonts w:eastAsia="Times New Roman"/>
                <w:sz w:val="20"/>
                <w:szCs w:val="20"/>
              </w:rPr>
            </w:pPr>
          </w:p>
        </w:tc>
        <w:tc>
          <w:tcPr>
            <w:tcW w:w="0" w:type="auto"/>
            <w:vAlign w:val="center"/>
            <w:hideMark/>
          </w:tcPr>
          <w:p w14:paraId="6C451FCB" w14:textId="77777777" w:rsidR="00000000" w:rsidRDefault="009B6C69">
            <w:pPr>
              <w:spacing w:after="100"/>
              <w:rPr>
                <w:rFonts w:eastAsia="Times New Roman"/>
                <w:sz w:val="20"/>
                <w:szCs w:val="20"/>
              </w:rPr>
            </w:pPr>
          </w:p>
        </w:tc>
        <w:tc>
          <w:tcPr>
            <w:tcW w:w="0" w:type="auto"/>
            <w:vAlign w:val="center"/>
            <w:hideMark/>
          </w:tcPr>
          <w:p w14:paraId="32E19C11" w14:textId="77777777" w:rsidR="00000000" w:rsidRDefault="009B6C69">
            <w:pPr>
              <w:spacing w:after="100"/>
              <w:rPr>
                <w:rFonts w:eastAsia="Times New Roman"/>
                <w:sz w:val="20"/>
                <w:szCs w:val="20"/>
              </w:rPr>
            </w:pPr>
          </w:p>
        </w:tc>
        <w:tc>
          <w:tcPr>
            <w:tcW w:w="0" w:type="auto"/>
            <w:vAlign w:val="center"/>
            <w:hideMark/>
          </w:tcPr>
          <w:p w14:paraId="142D129E" w14:textId="77777777" w:rsidR="00000000" w:rsidRDefault="009B6C69">
            <w:pPr>
              <w:spacing w:after="100"/>
              <w:rPr>
                <w:rFonts w:eastAsia="Times New Roman"/>
                <w:sz w:val="20"/>
                <w:szCs w:val="20"/>
              </w:rPr>
            </w:pPr>
          </w:p>
        </w:tc>
        <w:tc>
          <w:tcPr>
            <w:tcW w:w="0" w:type="auto"/>
            <w:vAlign w:val="center"/>
            <w:hideMark/>
          </w:tcPr>
          <w:p w14:paraId="202FF418" w14:textId="77777777" w:rsidR="00000000" w:rsidRDefault="009B6C69">
            <w:pPr>
              <w:spacing w:after="100"/>
              <w:rPr>
                <w:rFonts w:eastAsia="Times New Roman"/>
                <w:sz w:val="20"/>
                <w:szCs w:val="20"/>
              </w:rPr>
            </w:pPr>
          </w:p>
        </w:tc>
        <w:tc>
          <w:tcPr>
            <w:tcW w:w="0" w:type="auto"/>
            <w:vAlign w:val="center"/>
            <w:hideMark/>
          </w:tcPr>
          <w:p w14:paraId="6AB3F523" w14:textId="77777777" w:rsidR="00000000" w:rsidRDefault="009B6C69">
            <w:pPr>
              <w:spacing w:after="100"/>
              <w:rPr>
                <w:rFonts w:eastAsia="Times New Roman"/>
                <w:sz w:val="20"/>
                <w:szCs w:val="20"/>
              </w:rPr>
            </w:pPr>
          </w:p>
        </w:tc>
        <w:tc>
          <w:tcPr>
            <w:tcW w:w="0" w:type="auto"/>
            <w:vAlign w:val="center"/>
            <w:hideMark/>
          </w:tcPr>
          <w:p w14:paraId="14D0374E" w14:textId="77777777" w:rsidR="00000000" w:rsidRDefault="009B6C69">
            <w:pPr>
              <w:spacing w:after="100"/>
              <w:rPr>
                <w:rFonts w:eastAsia="Times New Roman"/>
                <w:sz w:val="20"/>
                <w:szCs w:val="20"/>
              </w:rPr>
            </w:pPr>
          </w:p>
        </w:tc>
        <w:tc>
          <w:tcPr>
            <w:tcW w:w="0" w:type="auto"/>
            <w:vAlign w:val="center"/>
            <w:hideMark/>
          </w:tcPr>
          <w:p w14:paraId="12E65AEB" w14:textId="77777777" w:rsidR="00000000" w:rsidRDefault="009B6C69">
            <w:pPr>
              <w:spacing w:after="100"/>
              <w:rPr>
                <w:rFonts w:eastAsia="Times New Roman"/>
                <w:sz w:val="20"/>
                <w:szCs w:val="20"/>
              </w:rPr>
            </w:pPr>
          </w:p>
        </w:tc>
        <w:tc>
          <w:tcPr>
            <w:tcW w:w="0" w:type="auto"/>
            <w:vAlign w:val="center"/>
            <w:hideMark/>
          </w:tcPr>
          <w:p w14:paraId="2A3AA9F6" w14:textId="77777777" w:rsidR="00000000" w:rsidRDefault="009B6C69">
            <w:pPr>
              <w:spacing w:after="100"/>
              <w:rPr>
                <w:rFonts w:eastAsia="Times New Roman"/>
                <w:sz w:val="20"/>
                <w:szCs w:val="20"/>
              </w:rPr>
            </w:pPr>
          </w:p>
        </w:tc>
        <w:tc>
          <w:tcPr>
            <w:tcW w:w="0" w:type="auto"/>
            <w:vAlign w:val="center"/>
            <w:hideMark/>
          </w:tcPr>
          <w:p w14:paraId="27970BE0" w14:textId="77777777" w:rsidR="00000000" w:rsidRDefault="009B6C69">
            <w:pPr>
              <w:spacing w:after="100"/>
              <w:rPr>
                <w:rFonts w:eastAsia="Times New Roman"/>
                <w:sz w:val="20"/>
                <w:szCs w:val="20"/>
              </w:rPr>
            </w:pPr>
          </w:p>
        </w:tc>
        <w:tc>
          <w:tcPr>
            <w:tcW w:w="0" w:type="auto"/>
            <w:vAlign w:val="center"/>
            <w:hideMark/>
          </w:tcPr>
          <w:p w14:paraId="68AF4B1E" w14:textId="77777777" w:rsidR="00000000" w:rsidRDefault="009B6C69">
            <w:pPr>
              <w:spacing w:after="100"/>
              <w:rPr>
                <w:rFonts w:eastAsia="Times New Roman"/>
                <w:sz w:val="20"/>
                <w:szCs w:val="20"/>
              </w:rPr>
            </w:pPr>
          </w:p>
        </w:tc>
        <w:tc>
          <w:tcPr>
            <w:tcW w:w="0" w:type="auto"/>
            <w:vAlign w:val="center"/>
            <w:hideMark/>
          </w:tcPr>
          <w:p w14:paraId="27E1A753" w14:textId="77777777" w:rsidR="00000000" w:rsidRDefault="009B6C69">
            <w:pPr>
              <w:spacing w:after="100"/>
              <w:rPr>
                <w:rFonts w:eastAsia="Times New Roman"/>
                <w:sz w:val="20"/>
                <w:szCs w:val="20"/>
              </w:rPr>
            </w:pPr>
          </w:p>
        </w:tc>
      </w:tr>
      <w:tr w:rsidR="00000000" w14:paraId="6CF21F86" w14:textId="77777777">
        <w:trPr>
          <w:divId w:val="1399473928"/>
        </w:trPr>
        <w:tc>
          <w:tcPr>
            <w:tcW w:w="0" w:type="auto"/>
            <w:gridSpan w:val="3"/>
            <w:tcMar>
              <w:top w:w="0" w:type="dxa"/>
              <w:left w:w="20" w:type="dxa"/>
              <w:bottom w:w="0" w:type="dxa"/>
              <w:right w:w="20" w:type="dxa"/>
            </w:tcMar>
            <w:vAlign w:val="center"/>
            <w:hideMark/>
          </w:tcPr>
          <w:p w14:paraId="33344287" w14:textId="77777777" w:rsidR="00000000" w:rsidRDefault="009B6C69">
            <w:pPr>
              <w:spacing w:after="100"/>
              <w:jc w:val="center"/>
              <w:rPr>
                <w:rFonts w:eastAsia="Times New Roman"/>
              </w:rPr>
            </w:pPr>
          </w:p>
        </w:tc>
        <w:tc>
          <w:tcPr>
            <w:tcW w:w="0" w:type="auto"/>
            <w:vAlign w:val="center"/>
            <w:hideMark/>
          </w:tcPr>
          <w:p w14:paraId="76E90477" w14:textId="77777777" w:rsidR="00000000" w:rsidRDefault="009B6C69">
            <w:pPr>
              <w:spacing w:after="100"/>
              <w:rPr>
                <w:rFonts w:eastAsia="Times New Roman"/>
                <w:sz w:val="20"/>
                <w:szCs w:val="20"/>
              </w:rPr>
            </w:pPr>
          </w:p>
        </w:tc>
        <w:tc>
          <w:tcPr>
            <w:tcW w:w="0" w:type="auto"/>
            <w:vAlign w:val="center"/>
            <w:hideMark/>
          </w:tcPr>
          <w:p w14:paraId="645D37BF" w14:textId="77777777" w:rsidR="00000000" w:rsidRDefault="009B6C69">
            <w:pPr>
              <w:spacing w:after="100"/>
              <w:rPr>
                <w:rFonts w:eastAsia="Times New Roman"/>
                <w:sz w:val="20"/>
                <w:szCs w:val="20"/>
              </w:rPr>
            </w:pPr>
          </w:p>
        </w:tc>
        <w:tc>
          <w:tcPr>
            <w:tcW w:w="0" w:type="auto"/>
            <w:vAlign w:val="center"/>
            <w:hideMark/>
          </w:tcPr>
          <w:p w14:paraId="67309797" w14:textId="77777777" w:rsidR="00000000" w:rsidRDefault="009B6C69">
            <w:pPr>
              <w:spacing w:after="100"/>
              <w:rPr>
                <w:rFonts w:eastAsia="Times New Roman"/>
                <w:sz w:val="20"/>
                <w:szCs w:val="20"/>
              </w:rPr>
            </w:pPr>
          </w:p>
        </w:tc>
        <w:tc>
          <w:tcPr>
            <w:tcW w:w="0" w:type="auto"/>
            <w:vAlign w:val="center"/>
            <w:hideMark/>
          </w:tcPr>
          <w:p w14:paraId="4E3469B3" w14:textId="77777777" w:rsidR="00000000" w:rsidRDefault="009B6C69">
            <w:pPr>
              <w:spacing w:after="100"/>
              <w:rPr>
                <w:rFonts w:eastAsia="Times New Roman"/>
                <w:sz w:val="20"/>
                <w:szCs w:val="20"/>
              </w:rPr>
            </w:pPr>
          </w:p>
        </w:tc>
        <w:tc>
          <w:tcPr>
            <w:tcW w:w="0" w:type="auto"/>
            <w:vAlign w:val="center"/>
            <w:hideMark/>
          </w:tcPr>
          <w:p w14:paraId="4BC7DCCE" w14:textId="77777777" w:rsidR="00000000" w:rsidRDefault="009B6C69">
            <w:pPr>
              <w:spacing w:after="100"/>
              <w:rPr>
                <w:rFonts w:eastAsia="Times New Roman"/>
                <w:sz w:val="20"/>
                <w:szCs w:val="20"/>
              </w:rPr>
            </w:pPr>
          </w:p>
        </w:tc>
        <w:tc>
          <w:tcPr>
            <w:tcW w:w="0" w:type="auto"/>
            <w:vAlign w:val="center"/>
            <w:hideMark/>
          </w:tcPr>
          <w:p w14:paraId="4D6EB070" w14:textId="77777777" w:rsidR="00000000" w:rsidRDefault="009B6C69">
            <w:pPr>
              <w:spacing w:after="100"/>
              <w:rPr>
                <w:rFonts w:eastAsia="Times New Roman"/>
                <w:sz w:val="20"/>
                <w:szCs w:val="20"/>
              </w:rPr>
            </w:pPr>
          </w:p>
        </w:tc>
        <w:tc>
          <w:tcPr>
            <w:tcW w:w="0" w:type="auto"/>
            <w:vAlign w:val="center"/>
            <w:hideMark/>
          </w:tcPr>
          <w:p w14:paraId="2A739E38" w14:textId="77777777" w:rsidR="00000000" w:rsidRDefault="009B6C6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089828B" w14:textId="77777777" w:rsidR="00000000" w:rsidRDefault="009B6C69">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2661CAD1"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AE6FDF" w14:textId="77777777" w:rsidR="00000000" w:rsidRDefault="009B6C69">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14:paraId="0F067D7B"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088565" w14:textId="77777777" w:rsidR="00000000" w:rsidRDefault="009B6C69">
            <w:pPr>
              <w:spacing w:after="100"/>
              <w:jc w:val="center"/>
              <w:rPr>
                <w:rFonts w:eastAsia="Times New Roman"/>
              </w:rPr>
            </w:pPr>
            <w:r>
              <w:rPr>
                <w:rFonts w:eastAsia="Times New Roman"/>
                <w:b/>
                <w:bCs/>
                <w:color w:val="000000"/>
                <w:sz w:val="18"/>
                <w:szCs w:val="18"/>
              </w:rPr>
              <w:t>September 27,</w:t>
            </w:r>
            <w:r>
              <w:rPr>
                <w:rFonts w:eastAsia="Times New Roman"/>
                <w:b/>
                <w:bCs/>
                <w:color w:val="000000"/>
                <w:sz w:val="18"/>
                <w:szCs w:val="18"/>
              </w:rPr>
              <w:br/>
              <w:t>2020</w:t>
            </w:r>
          </w:p>
        </w:tc>
      </w:tr>
      <w:tr w:rsidR="00000000" w14:paraId="266CB01F" w14:textId="77777777">
        <w:trPr>
          <w:divId w:val="1399473928"/>
        </w:trPr>
        <w:tc>
          <w:tcPr>
            <w:tcW w:w="0" w:type="auto"/>
            <w:gridSpan w:val="3"/>
            <w:shd w:val="clear" w:color="auto" w:fill="CCEEFF"/>
            <w:tcMar>
              <w:top w:w="30" w:type="dxa"/>
              <w:left w:w="20" w:type="dxa"/>
              <w:bottom w:w="30" w:type="dxa"/>
              <w:right w:w="20" w:type="dxa"/>
            </w:tcMar>
            <w:vAlign w:val="bottom"/>
            <w:hideMark/>
          </w:tcPr>
          <w:p w14:paraId="1FB03B7D" w14:textId="77777777" w:rsidR="00000000" w:rsidRDefault="009B6C69">
            <w:pPr>
              <w:spacing w:after="100"/>
              <w:rPr>
                <w:rFonts w:eastAsia="Times New Roman"/>
              </w:rPr>
            </w:pPr>
            <w:r>
              <w:rPr>
                <w:rFonts w:eastAsia="Times New Roman"/>
                <w:color w:val="000000"/>
                <w:sz w:val="18"/>
                <w:szCs w:val="18"/>
              </w:rPr>
              <w:t>Net income</w:t>
            </w:r>
          </w:p>
        </w:tc>
        <w:tc>
          <w:tcPr>
            <w:tcW w:w="0" w:type="auto"/>
            <w:vAlign w:val="center"/>
            <w:hideMark/>
          </w:tcPr>
          <w:p w14:paraId="46E6DBCA" w14:textId="77777777" w:rsidR="00000000" w:rsidRDefault="009B6C69">
            <w:pPr>
              <w:spacing w:after="100"/>
              <w:rPr>
                <w:rFonts w:eastAsia="Times New Roman"/>
              </w:rPr>
            </w:pPr>
          </w:p>
        </w:tc>
        <w:tc>
          <w:tcPr>
            <w:tcW w:w="0" w:type="auto"/>
            <w:vAlign w:val="center"/>
            <w:hideMark/>
          </w:tcPr>
          <w:p w14:paraId="218AA2C3" w14:textId="77777777" w:rsidR="00000000" w:rsidRDefault="009B6C69">
            <w:pPr>
              <w:spacing w:after="100"/>
              <w:rPr>
                <w:rFonts w:eastAsia="Times New Roman"/>
                <w:sz w:val="20"/>
                <w:szCs w:val="20"/>
              </w:rPr>
            </w:pPr>
          </w:p>
        </w:tc>
        <w:tc>
          <w:tcPr>
            <w:tcW w:w="0" w:type="auto"/>
            <w:vAlign w:val="center"/>
            <w:hideMark/>
          </w:tcPr>
          <w:p w14:paraId="5E92C62A" w14:textId="77777777" w:rsidR="00000000" w:rsidRDefault="009B6C69">
            <w:pPr>
              <w:spacing w:after="100"/>
              <w:rPr>
                <w:rFonts w:eastAsia="Times New Roman"/>
                <w:sz w:val="20"/>
                <w:szCs w:val="20"/>
              </w:rPr>
            </w:pPr>
          </w:p>
        </w:tc>
        <w:tc>
          <w:tcPr>
            <w:tcW w:w="0" w:type="auto"/>
            <w:vAlign w:val="center"/>
            <w:hideMark/>
          </w:tcPr>
          <w:p w14:paraId="3FC9235B" w14:textId="77777777" w:rsidR="00000000" w:rsidRDefault="009B6C69">
            <w:pPr>
              <w:spacing w:after="100"/>
              <w:rPr>
                <w:rFonts w:eastAsia="Times New Roman"/>
                <w:sz w:val="20"/>
                <w:szCs w:val="20"/>
              </w:rPr>
            </w:pPr>
          </w:p>
        </w:tc>
        <w:tc>
          <w:tcPr>
            <w:tcW w:w="0" w:type="auto"/>
            <w:vAlign w:val="center"/>
            <w:hideMark/>
          </w:tcPr>
          <w:p w14:paraId="225E3BB1" w14:textId="77777777" w:rsidR="00000000" w:rsidRDefault="009B6C69">
            <w:pPr>
              <w:spacing w:after="100"/>
              <w:rPr>
                <w:rFonts w:eastAsia="Times New Roman"/>
                <w:sz w:val="20"/>
                <w:szCs w:val="20"/>
              </w:rPr>
            </w:pPr>
          </w:p>
        </w:tc>
        <w:tc>
          <w:tcPr>
            <w:tcW w:w="0" w:type="auto"/>
            <w:vAlign w:val="center"/>
            <w:hideMark/>
          </w:tcPr>
          <w:p w14:paraId="1424C2C8" w14:textId="77777777" w:rsidR="00000000" w:rsidRDefault="009B6C69">
            <w:pPr>
              <w:spacing w:after="100"/>
              <w:rPr>
                <w:rFonts w:eastAsia="Times New Roman"/>
                <w:sz w:val="20"/>
                <w:szCs w:val="20"/>
              </w:rPr>
            </w:pPr>
          </w:p>
        </w:tc>
        <w:tc>
          <w:tcPr>
            <w:tcW w:w="0" w:type="auto"/>
            <w:vAlign w:val="center"/>
            <w:hideMark/>
          </w:tcPr>
          <w:p w14:paraId="61511F16"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22842F"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35B5D9" w14:textId="77777777" w:rsidR="00000000" w:rsidRDefault="009B6C69">
            <w:pPr>
              <w:spacing w:after="100"/>
              <w:jc w:val="right"/>
              <w:rPr>
                <w:rFonts w:eastAsia="Times New Roman"/>
              </w:rPr>
            </w:pPr>
            <w:r>
              <w:rPr>
                <w:rFonts w:eastAsia="Times New Roman"/>
                <w:color w:val="000000"/>
                <w:sz w:val="18"/>
                <w:szCs w:val="18"/>
              </w:rPr>
              <w:t>12,936 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8E173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1D1828"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349086"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991DEE" w14:textId="77777777" w:rsidR="00000000" w:rsidRDefault="009B6C69">
            <w:pPr>
              <w:spacing w:after="100"/>
              <w:jc w:val="right"/>
              <w:rPr>
                <w:rFonts w:eastAsia="Times New Roman"/>
              </w:rPr>
            </w:pPr>
            <w:r>
              <w:rPr>
                <w:rFonts w:eastAsia="Times New Roman"/>
                <w:color w:val="000000"/>
                <w:sz w:val="18"/>
                <w:szCs w:val="18"/>
              </w:rPr>
              <w:t>9,043 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1DDE3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E3E5DD"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F613FE"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69E6C4" w14:textId="77777777" w:rsidR="00000000" w:rsidRDefault="009B6C69">
            <w:pPr>
              <w:spacing w:after="100"/>
              <w:jc w:val="right"/>
              <w:rPr>
                <w:rFonts w:eastAsia="Times New Roman"/>
              </w:rPr>
            </w:pPr>
            <w:r>
              <w:rPr>
                <w:rFonts w:eastAsia="Times New Roman"/>
                <w:color w:val="000000"/>
                <w:sz w:val="18"/>
                <w:szCs w:val="18"/>
              </w:rPr>
              <w:t>5,198 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C6D1D5" w14:textId="77777777" w:rsidR="00000000" w:rsidRDefault="009B6C69">
            <w:pPr>
              <w:spacing w:after="100"/>
              <w:jc w:val="right"/>
              <w:rPr>
                <w:rFonts w:eastAsia="Times New Roman"/>
              </w:rPr>
            </w:pPr>
          </w:p>
        </w:tc>
      </w:tr>
      <w:tr w:rsidR="00000000" w14:paraId="4ABB8363" w14:textId="77777777">
        <w:trPr>
          <w:divId w:val="1399473928"/>
        </w:trPr>
        <w:tc>
          <w:tcPr>
            <w:tcW w:w="0" w:type="auto"/>
            <w:gridSpan w:val="3"/>
            <w:shd w:val="clear" w:color="auto" w:fill="FFFFFF"/>
            <w:tcMar>
              <w:top w:w="30" w:type="dxa"/>
              <w:left w:w="20" w:type="dxa"/>
              <w:bottom w:w="30" w:type="dxa"/>
              <w:right w:w="20" w:type="dxa"/>
            </w:tcMar>
            <w:vAlign w:val="bottom"/>
            <w:hideMark/>
          </w:tcPr>
          <w:p w14:paraId="32AD63A3" w14:textId="77777777" w:rsidR="00000000" w:rsidRDefault="009B6C69">
            <w:pPr>
              <w:spacing w:after="100"/>
              <w:rPr>
                <w:rFonts w:eastAsia="Times New Roman"/>
              </w:rPr>
            </w:pPr>
            <w:r>
              <w:rPr>
                <w:rFonts w:eastAsia="Times New Roman"/>
                <w:color w:val="000000"/>
                <w:sz w:val="18"/>
                <w:szCs w:val="18"/>
              </w:rPr>
              <w:t>Other comprehensive (loss) income, net of income taxes:</w:t>
            </w:r>
          </w:p>
        </w:tc>
        <w:tc>
          <w:tcPr>
            <w:tcW w:w="0" w:type="auto"/>
            <w:vAlign w:val="center"/>
            <w:hideMark/>
          </w:tcPr>
          <w:p w14:paraId="40D43DE7" w14:textId="77777777" w:rsidR="00000000" w:rsidRDefault="009B6C69">
            <w:pPr>
              <w:spacing w:after="100"/>
              <w:rPr>
                <w:rFonts w:eastAsia="Times New Roman"/>
              </w:rPr>
            </w:pPr>
          </w:p>
        </w:tc>
        <w:tc>
          <w:tcPr>
            <w:tcW w:w="0" w:type="auto"/>
            <w:vAlign w:val="center"/>
            <w:hideMark/>
          </w:tcPr>
          <w:p w14:paraId="2957B105" w14:textId="77777777" w:rsidR="00000000" w:rsidRDefault="009B6C69">
            <w:pPr>
              <w:spacing w:after="100"/>
              <w:rPr>
                <w:rFonts w:eastAsia="Times New Roman"/>
                <w:sz w:val="20"/>
                <w:szCs w:val="20"/>
              </w:rPr>
            </w:pPr>
          </w:p>
        </w:tc>
        <w:tc>
          <w:tcPr>
            <w:tcW w:w="0" w:type="auto"/>
            <w:vAlign w:val="center"/>
            <w:hideMark/>
          </w:tcPr>
          <w:p w14:paraId="242EC816" w14:textId="77777777" w:rsidR="00000000" w:rsidRDefault="009B6C69">
            <w:pPr>
              <w:spacing w:after="100"/>
              <w:rPr>
                <w:rFonts w:eastAsia="Times New Roman"/>
                <w:sz w:val="20"/>
                <w:szCs w:val="20"/>
              </w:rPr>
            </w:pPr>
          </w:p>
        </w:tc>
        <w:tc>
          <w:tcPr>
            <w:tcW w:w="0" w:type="auto"/>
            <w:vAlign w:val="center"/>
            <w:hideMark/>
          </w:tcPr>
          <w:p w14:paraId="31BEC178" w14:textId="77777777" w:rsidR="00000000" w:rsidRDefault="009B6C69">
            <w:pPr>
              <w:spacing w:after="100"/>
              <w:rPr>
                <w:rFonts w:eastAsia="Times New Roman"/>
                <w:sz w:val="20"/>
                <w:szCs w:val="20"/>
              </w:rPr>
            </w:pPr>
          </w:p>
        </w:tc>
        <w:tc>
          <w:tcPr>
            <w:tcW w:w="0" w:type="auto"/>
            <w:vAlign w:val="center"/>
            <w:hideMark/>
          </w:tcPr>
          <w:p w14:paraId="7E10EB63" w14:textId="77777777" w:rsidR="00000000" w:rsidRDefault="009B6C69">
            <w:pPr>
              <w:spacing w:after="100"/>
              <w:rPr>
                <w:rFonts w:eastAsia="Times New Roman"/>
                <w:sz w:val="20"/>
                <w:szCs w:val="20"/>
              </w:rPr>
            </w:pPr>
          </w:p>
        </w:tc>
        <w:tc>
          <w:tcPr>
            <w:tcW w:w="0" w:type="auto"/>
            <w:vAlign w:val="center"/>
            <w:hideMark/>
          </w:tcPr>
          <w:p w14:paraId="6A232A27" w14:textId="77777777" w:rsidR="00000000" w:rsidRDefault="009B6C69">
            <w:pPr>
              <w:spacing w:after="100"/>
              <w:rPr>
                <w:rFonts w:eastAsia="Times New Roman"/>
                <w:sz w:val="20"/>
                <w:szCs w:val="20"/>
              </w:rPr>
            </w:pPr>
          </w:p>
        </w:tc>
        <w:tc>
          <w:tcPr>
            <w:tcW w:w="0" w:type="auto"/>
            <w:vAlign w:val="center"/>
            <w:hideMark/>
          </w:tcPr>
          <w:p w14:paraId="6214F74D" w14:textId="77777777" w:rsidR="00000000" w:rsidRDefault="009B6C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9603CB5"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05CFA2" w14:textId="77777777" w:rsidR="00000000" w:rsidRDefault="009B6C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5FB588F"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815690" w14:textId="77777777" w:rsidR="00000000" w:rsidRDefault="009B6C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AE2D2BD" w14:textId="77777777" w:rsidR="00000000" w:rsidRDefault="009B6C69">
            <w:pPr>
              <w:spacing w:after="100"/>
              <w:rPr>
                <w:rFonts w:eastAsia="Times New Roman"/>
                <w:sz w:val="20"/>
                <w:szCs w:val="20"/>
              </w:rPr>
            </w:pPr>
          </w:p>
        </w:tc>
      </w:tr>
      <w:tr w:rsidR="00000000" w14:paraId="1C5A5436" w14:textId="77777777">
        <w:trPr>
          <w:divId w:val="1399473928"/>
        </w:trPr>
        <w:tc>
          <w:tcPr>
            <w:tcW w:w="0" w:type="auto"/>
            <w:gridSpan w:val="3"/>
            <w:shd w:val="clear" w:color="auto" w:fill="CCEEFF"/>
            <w:tcMar>
              <w:top w:w="30" w:type="dxa"/>
              <w:left w:w="155" w:type="dxa"/>
              <w:bottom w:w="30" w:type="dxa"/>
              <w:right w:w="20" w:type="dxa"/>
            </w:tcMar>
            <w:vAlign w:val="bottom"/>
            <w:hideMark/>
          </w:tcPr>
          <w:p w14:paraId="16AC47EE" w14:textId="77777777" w:rsidR="00000000" w:rsidRDefault="009B6C69">
            <w:pPr>
              <w:spacing w:after="100"/>
              <w:rPr>
                <w:rFonts w:eastAsia="Times New Roman"/>
              </w:rPr>
            </w:pPr>
            <w:r>
              <w:rPr>
                <w:rFonts w:eastAsia="Times New Roman"/>
                <w:color w:val="000000"/>
                <w:sz w:val="18"/>
                <w:szCs w:val="18"/>
              </w:rPr>
              <w:t xml:space="preserve">Foreign currency translation (losses) gains </w:t>
            </w:r>
          </w:p>
        </w:tc>
        <w:tc>
          <w:tcPr>
            <w:tcW w:w="0" w:type="auto"/>
            <w:vAlign w:val="center"/>
            <w:hideMark/>
          </w:tcPr>
          <w:p w14:paraId="6A503C91" w14:textId="77777777" w:rsidR="00000000" w:rsidRDefault="009B6C69">
            <w:pPr>
              <w:spacing w:after="100"/>
              <w:rPr>
                <w:rFonts w:eastAsia="Times New Roman"/>
              </w:rPr>
            </w:pPr>
          </w:p>
        </w:tc>
        <w:tc>
          <w:tcPr>
            <w:tcW w:w="0" w:type="auto"/>
            <w:vAlign w:val="center"/>
            <w:hideMark/>
          </w:tcPr>
          <w:p w14:paraId="23306EFA" w14:textId="77777777" w:rsidR="00000000" w:rsidRDefault="009B6C69">
            <w:pPr>
              <w:spacing w:after="100"/>
              <w:rPr>
                <w:rFonts w:eastAsia="Times New Roman"/>
                <w:sz w:val="20"/>
                <w:szCs w:val="20"/>
              </w:rPr>
            </w:pPr>
          </w:p>
        </w:tc>
        <w:tc>
          <w:tcPr>
            <w:tcW w:w="0" w:type="auto"/>
            <w:vAlign w:val="center"/>
            <w:hideMark/>
          </w:tcPr>
          <w:p w14:paraId="141E40AB" w14:textId="77777777" w:rsidR="00000000" w:rsidRDefault="009B6C69">
            <w:pPr>
              <w:spacing w:after="100"/>
              <w:rPr>
                <w:rFonts w:eastAsia="Times New Roman"/>
                <w:sz w:val="20"/>
                <w:szCs w:val="20"/>
              </w:rPr>
            </w:pPr>
          </w:p>
        </w:tc>
        <w:tc>
          <w:tcPr>
            <w:tcW w:w="0" w:type="auto"/>
            <w:vAlign w:val="center"/>
            <w:hideMark/>
          </w:tcPr>
          <w:p w14:paraId="67A39D69" w14:textId="77777777" w:rsidR="00000000" w:rsidRDefault="009B6C69">
            <w:pPr>
              <w:spacing w:after="100"/>
              <w:rPr>
                <w:rFonts w:eastAsia="Times New Roman"/>
                <w:sz w:val="20"/>
                <w:szCs w:val="20"/>
              </w:rPr>
            </w:pPr>
          </w:p>
        </w:tc>
        <w:tc>
          <w:tcPr>
            <w:tcW w:w="0" w:type="auto"/>
            <w:vAlign w:val="center"/>
            <w:hideMark/>
          </w:tcPr>
          <w:p w14:paraId="0ADAB551" w14:textId="77777777" w:rsidR="00000000" w:rsidRDefault="009B6C69">
            <w:pPr>
              <w:spacing w:after="100"/>
              <w:rPr>
                <w:rFonts w:eastAsia="Times New Roman"/>
                <w:sz w:val="20"/>
                <w:szCs w:val="20"/>
              </w:rPr>
            </w:pPr>
          </w:p>
        </w:tc>
        <w:tc>
          <w:tcPr>
            <w:tcW w:w="0" w:type="auto"/>
            <w:vAlign w:val="center"/>
            <w:hideMark/>
          </w:tcPr>
          <w:p w14:paraId="036A94AF" w14:textId="77777777" w:rsidR="00000000" w:rsidRDefault="009B6C69">
            <w:pPr>
              <w:spacing w:after="100"/>
              <w:rPr>
                <w:rFonts w:eastAsia="Times New Roman"/>
                <w:sz w:val="20"/>
                <w:szCs w:val="20"/>
              </w:rPr>
            </w:pPr>
          </w:p>
        </w:tc>
        <w:tc>
          <w:tcPr>
            <w:tcW w:w="0" w:type="auto"/>
            <w:vAlign w:val="center"/>
            <w:hideMark/>
          </w:tcPr>
          <w:p w14:paraId="2AD6B027"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3092F3" w14:textId="77777777" w:rsidR="00000000" w:rsidRDefault="009B6C69">
            <w:pPr>
              <w:spacing w:after="100"/>
              <w:jc w:val="right"/>
              <w:rPr>
                <w:rFonts w:eastAsia="Times New Roman"/>
              </w:rPr>
            </w:pPr>
            <w:r>
              <w:rPr>
                <w:rFonts w:eastAsia="Times New Roman"/>
                <w:color w:val="000000"/>
                <w:sz w:val="18"/>
                <w:szCs w:val="18"/>
              </w:rPr>
              <w:t>(433)</w:t>
            </w:r>
          </w:p>
        </w:tc>
        <w:tc>
          <w:tcPr>
            <w:tcW w:w="0" w:type="auto"/>
            <w:shd w:val="clear" w:color="auto" w:fill="CCEEFF"/>
            <w:tcMar>
              <w:top w:w="30" w:type="dxa"/>
              <w:left w:w="0" w:type="dxa"/>
              <w:bottom w:w="30" w:type="dxa"/>
              <w:right w:w="20" w:type="dxa"/>
            </w:tcMar>
            <w:vAlign w:val="bottom"/>
            <w:hideMark/>
          </w:tcPr>
          <w:p w14:paraId="27823265"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D4166C"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6CFCE3" w14:textId="77777777" w:rsidR="00000000" w:rsidRDefault="009B6C69">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14:paraId="6F2E4729"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6CE0A9"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F39B79" w14:textId="77777777" w:rsidR="00000000" w:rsidRDefault="009B6C69">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bottom"/>
            <w:hideMark/>
          </w:tcPr>
          <w:p w14:paraId="00A02FE7" w14:textId="77777777" w:rsidR="00000000" w:rsidRDefault="009B6C69">
            <w:pPr>
              <w:spacing w:after="100"/>
              <w:jc w:val="right"/>
              <w:rPr>
                <w:rFonts w:eastAsia="Times New Roman"/>
              </w:rPr>
            </w:pPr>
          </w:p>
        </w:tc>
      </w:tr>
      <w:tr w:rsidR="00000000" w14:paraId="47B7BC9E" w14:textId="77777777">
        <w:trPr>
          <w:divId w:val="1399473928"/>
        </w:trPr>
        <w:tc>
          <w:tcPr>
            <w:tcW w:w="0" w:type="auto"/>
            <w:gridSpan w:val="3"/>
            <w:shd w:val="clear" w:color="auto" w:fill="FFFFFF"/>
            <w:tcMar>
              <w:top w:w="30" w:type="dxa"/>
              <w:left w:w="155" w:type="dxa"/>
              <w:bottom w:w="30" w:type="dxa"/>
              <w:right w:w="20" w:type="dxa"/>
            </w:tcMar>
            <w:vAlign w:val="bottom"/>
            <w:hideMark/>
          </w:tcPr>
          <w:p w14:paraId="505D644C" w14:textId="77777777" w:rsidR="00000000" w:rsidRDefault="009B6C69">
            <w:pPr>
              <w:spacing w:after="100"/>
              <w:rPr>
                <w:rFonts w:eastAsia="Times New Roman"/>
              </w:rPr>
            </w:pPr>
            <w:r>
              <w:rPr>
                <w:rFonts w:eastAsia="Times New Roman"/>
                <w:color w:val="000000"/>
                <w:sz w:val="18"/>
                <w:szCs w:val="18"/>
              </w:rPr>
              <w:t>Net unrealized (losses) gains on certain available-for-sale securities</w:t>
            </w:r>
          </w:p>
        </w:tc>
        <w:tc>
          <w:tcPr>
            <w:tcW w:w="0" w:type="auto"/>
            <w:vAlign w:val="center"/>
            <w:hideMark/>
          </w:tcPr>
          <w:p w14:paraId="29DDA44B" w14:textId="77777777" w:rsidR="00000000" w:rsidRDefault="009B6C69">
            <w:pPr>
              <w:spacing w:after="100"/>
              <w:rPr>
                <w:rFonts w:eastAsia="Times New Roman"/>
              </w:rPr>
            </w:pPr>
          </w:p>
        </w:tc>
        <w:tc>
          <w:tcPr>
            <w:tcW w:w="0" w:type="auto"/>
            <w:vAlign w:val="center"/>
            <w:hideMark/>
          </w:tcPr>
          <w:p w14:paraId="36F4A9F6" w14:textId="77777777" w:rsidR="00000000" w:rsidRDefault="009B6C69">
            <w:pPr>
              <w:spacing w:after="100"/>
              <w:rPr>
                <w:rFonts w:eastAsia="Times New Roman"/>
                <w:sz w:val="20"/>
                <w:szCs w:val="20"/>
              </w:rPr>
            </w:pPr>
          </w:p>
        </w:tc>
        <w:tc>
          <w:tcPr>
            <w:tcW w:w="0" w:type="auto"/>
            <w:vAlign w:val="center"/>
            <w:hideMark/>
          </w:tcPr>
          <w:p w14:paraId="63291E9A" w14:textId="77777777" w:rsidR="00000000" w:rsidRDefault="009B6C69">
            <w:pPr>
              <w:spacing w:after="100"/>
              <w:rPr>
                <w:rFonts w:eastAsia="Times New Roman"/>
                <w:sz w:val="20"/>
                <w:szCs w:val="20"/>
              </w:rPr>
            </w:pPr>
          </w:p>
        </w:tc>
        <w:tc>
          <w:tcPr>
            <w:tcW w:w="0" w:type="auto"/>
            <w:vAlign w:val="center"/>
            <w:hideMark/>
          </w:tcPr>
          <w:p w14:paraId="3B87EACA" w14:textId="77777777" w:rsidR="00000000" w:rsidRDefault="009B6C69">
            <w:pPr>
              <w:spacing w:after="100"/>
              <w:rPr>
                <w:rFonts w:eastAsia="Times New Roman"/>
                <w:sz w:val="20"/>
                <w:szCs w:val="20"/>
              </w:rPr>
            </w:pPr>
          </w:p>
        </w:tc>
        <w:tc>
          <w:tcPr>
            <w:tcW w:w="0" w:type="auto"/>
            <w:vAlign w:val="center"/>
            <w:hideMark/>
          </w:tcPr>
          <w:p w14:paraId="68470FFC" w14:textId="77777777" w:rsidR="00000000" w:rsidRDefault="009B6C69">
            <w:pPr>
              <w:spacing w:after="100"/>
              <w:rPr>
                <w:rFonts w:eastAsia="Times New Roman"/>
                <w:sz w:val="20"/>
                <w:szCs w:val="20"/>
              </w:rPr>
            </w:pPr>
          </w:p>
        </w:tc>
        <w:tc>
          <w:tcPr>
            <w:tcW w:w="0" w:type="auto"/>
            <w:vAlign w:val="center"/>
            <w:hideMark/>
          </w:tcPr>
          <w:p w14:paraId="093D3721" w14:textId="77777777" w:rsidR="00000000" w:rsidRDefault="009B6C69">
            <w:pPr>
              <w:spacing w:after="100"/>
              <w:rPr>
                <w:rFonts w:eastAsia="Times New Roman"/>
                <w:sz w:val="20"/>
                <w:szCs w:val="20"/>
              </w:rPr>
            </w:pPr>
          </w:p>
        </w:tc>
        <w:tc>
          <w:tcPr>
            <w:tcW w:w="0" w:type="auto"/>
            <w:vAlign w:val="center"/>
            <w:hideMark/>
          </w:tcPr>
          <w:p w14:paraId="0C7894C7"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F05B15" w14:textId="77777777" w:rsidR="00000000" w:rsidRDefault="009B6C69">
            <w:pPr>
              <w:spacing w:after="100"/>
              <w:jc w:val="right"/>
              <w:rPr>
                <w:rFonts w:eastAsia="Times New Roman"/>
              </w:rPr>
            </w:pPr>
            <w:r>
              <w:rPr>
                <w:rFonts w:eastAsia="Times New Roman"/>
                <w:color w:val="000000"/>
                <w:sz w:val="18"/>
                <w:szCs w:val="18"/>
              </w:rPr>
              <w:t>(113)</w:t>
            </w:r>
          </w:p>
        </w:tc>
        <w:tc>
          <w:tcPr>
            <w:tcW w:w="0" w:type="auto"/>
            <w:shd w:val="clear" w:color="auto" w:fill="FFFFFF"/>
            <w:tcMar>
              <w:top w:w="30" w:type="dxa"/>
              <w:left w:w="0" w:type="dxa"/>
              <w:bottom w:w="30" w:type="dxa"/>
              <w:right w:w="20" w:type="dxa"/>
            </w:tcMar>
            <w:vAlign w:val="bottom"/>
            <w:hideMark/>
          </w:tcPr>
          <w:p w14:paraId="07E2DE5E"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79764B"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BBF34A" w14:textId="77777777" w:rsidR="00000000" w:rsidRDefault="009B6C69">
            <w:pPr>
              <w:spacing w:after="100"/>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14:paraId="287121C5"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294BC6"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4CB02A" w14:textId="77777777" w:rsidR="00000000" w:rsidRDefault="009B6C69">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14:paraId="670F0ECD" w14:textId="77777777" w:rsidR="00000000" w:rsidRDefault="009B6C69">
            <w:pPr>
              <w:spacing w:after="100"/>
              <w:jc w:val="right"/>
              <w:rPr>
                <w:rFonts w:eastAsia="Times New Roman"/>
              </w:rPr>
            </w:pPr>
          </w:p>
        </w:tc>
      </w:tr>
      <w:tr w:rsidR="00000000" w14:paraId="7059606A" w14:textId="77777777">
        <w:trPr>
          <w:divId w:val="1399473928"/>
        </w:trPr>
        <w:tc>
          <w:tcPr>
            <w:tcW w:w="0" w:type="auto"/>
            <w:gridSpan w:val="3"/>
            <w:shd w:val="clear" w:color="auto" w:fill="CCEEFF"/>
            <w:tcMar>
              <w:top w:w="30" w:type="dxa"/>
              <w:left w:w="155" w:type="dxa"/>
              <w:bottom w:w="30" w:type="dxa"/>
              <w:right w:w="20" w:type="dxa"/>
            </w:tcMar>
            <w:vAlign w:val="bottom"/>
            <w:hideMark/>
          </w:tcPr>
          <w:p w14:paraId="6ECBD3AF" w14:textId="77777777" w:rsidR="00000000" w:rsidRDefault="009B6C69">
            <w:pPr>
              <w:spacing w:after="100"/>
              <w:rPr>
                <w:rFonts w:eastAsia="Times New Roman"/>
              </w:rPr>
            </w:pPr>
            <w:r>
              <w:rPr>
                <w:rFonts w:eastAsia="Times New Roman"/>
                <w:color w:val="000000"/>
                <w:sz w:val="18"/>
                <w:szCs w:val="18"/>
              </w:rPr>
              <w:t>Net unrealized gains (losses) on derivative instruments</w:t>
            </w:r>
          </w:p>
        </w:tc>
        <w:tc>
          <w:tcPr>
            <w:tcW w:w="0" w:type="auto"/>
            <w:vAlign w:val="center"/>
            <w:hideMark/>
          </w:tcPr>
          <w:p w14:paraId="1C84DC0F" w14:textId="77777777" w:rsidR="00000000" w:rsidRDefault="009B6C69">
            <w:pPr>
              <w:spacing w:after="100"/>
              <w:rPr>
                <w:rFonts w:eastAsia="Times New Roman"/>
              </w:rPr>
            </w:pPr>
          </w:p>
        </w:tc>
        <w:tc>
          <w:tcPr>
            <w:tcW w:w="0" w:type="auto"/>
            <w:vAlign w:val="center"/>
            <w:hideMark/>
          </w:tcPr>
          <w:p w14:paraId="2FFAEC1D" w14:textId="77777777" w:rsidR="00000000" w:rsidRDefault="009B6C69">
            <w:pPr>
              <w:spacing w:after="100"/>
              <w:rPr>
                <w:rFonts w:eastAsia="Times New Roman"/>
                <w:sz w:val="20"/>
                <w:szCs w:val="20"/>
              </w:rPr>
            </w:pPr>
          </w:p>
        </w:tc>
        <w:tc>
          <w:tcPr>
            <w:tcW w:w="0" w:type="auto"/>
            <w:vAlign w:val="center"/>
            <w:hideMark/>
          </w:tcPr>
          <w:p w14:paraId="4840E502" w14:textId="77777777" w:rsidR="00000000" w:rsidRDefault="009B6C69">
            <w:pPr>
              <w:spacing w:after="100"/>
              <w:rPr>
                <w:rFonts w:eastAsia="Times New Roman"/>
                <w:sz w:val="20"/>
                <w:szCs w:val="20"/>
              </w:rPr>
            </w:pPr>
          </w:p>
        </w:tc>
        <w:tc>
          <w:tcPr>
            <w:tcW w:w="0" w:type="auto"/>
            <w:vAlign w:val="center"/>
            <w:hideMark/>
          </w:tcPr>
          <w:p w14:paraId="7C9E5AB6" w14:textId="77777777" w:rsidR="00000000" w:rsidRDefault="009B6C69">
            <w:pPr>
              <w:spacing w:after="100"/>
              <w:rPr>
                <w:rFonts w:eastAsia="Times New Roman"/>
                <w:sz w:val="20"/>
                <w:szCs w:val="20"/>
              </w:rPr>
            </w:pPr>
          </w:p>
        </w:tc>
        <w:tc>
          <w:tcPr>
            <w:tcW w:w="0" w:type="auto"/>
            <w:vAlign w:val="center"/>
            <w:hideMark/>
          </w:tcPr>
          <w:p w14:paraId="620AE1EA" w14:textId="77777777" w:rsidR="00000000" w:rsidRDefault="009B6C69">
            <w:pPr>
              <w:spacing w:after="100"/>
              <w:rPr>
                <w:rFonts w:eastAsia="Times New Roman"/>
                <w:sz w:val="20"/>
                <w:szCs w:val="20"/>
              </w:rPr>
            </w:pPr>
          </w:p>
        </w:tc>
        <w:tc>
          <w:tcPr>
            <w:tcW w:w="0" w:type="auto"/>
            <w:vAlign w:val="center"/>
            <w:hideMark/>
          </w:tcPr>
          <w:p w14:paraId="5689BA21" w14:textId="77777777" w:rsidR="00000000" w:rsidRDefault="009B6C69">
            <w:pPr>
              <w:spacing w:after="100"/>
              <w:rPr>
                <w:rFonts w:eastAsia="Times New Roman"/>
                <w:sz w:val="20"/>
                <w:szCs w:val="20"/>
              </w:rPr>
            </w:pPr>
          </w:p>
        </w:tc>
        <w:tc>
          <w:tcPr>
            <w:tcW w:w="0" w:type="auto"/>
            <w:vAlign w:val="center"/>
            <w:hideMark/>
          </w:tcPr>
          <w:p w14:paraId="7CB661F2"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D87892" w14:textId="77777777" w:rsidR="00000000" w:rsidRDefault="009B6C69">
            <w:pPr>
              <w:spacing w:after="100"/>
              <w:jc w:val="right"/>
              <w:rPr>
                <w:rFonts w:eastAsia="Times New Roman"/>
              </w:rPr>
            </w:pPr>
            <w:r>
              <w:rPr>
                <w:rFonts w:eastAsia="Times New Roman"/>
                <w:color w:val="000000"/>
                <w:sz w:val="18"/>
                <w:szCs w:val="18"/>
              </w:rPr>
              <w:t>361 </w:t>
            </w:r>
          </w:p>
        </w:tc>
        <w:tc>
          <w:tcPr>
            <w:tcW w:w="0" w:type="auto"/>
            <w:shd w:val="clear" w:color="auto" w:fill="CCEEFF"/>
            <w:tcMar>
              <w:top w:w="30" w:type="dxa"/>
              <w:left w:w="0" w:type="dxa"/>
              <w:bottom w:w="30" w:type="dxa"/>
              <w:right w:w="20" w:type="dxa"/>
            </w:tcMar>
            <w:vAlign w:val="bottom"/>
            <w:hideMark/>
          </w:tcPr>
          <w:p w14:paraId="3A967C6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2ECBD7"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4EC3D5" w14:textId="77777777" w:rsidR="00000000" w:rsidRDefault="009B6C69">
            <w:pPr>
              <w:spacing w:after="100"/>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bottom"/>
            <w:hideMark/>
          </w:tcPr>
          <w:p w14:paraId="58BB9C3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64E204"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3F8CD8" w14:textId="77777777" w:rsidR="00000000" w:rsidRDefault="009B6C69">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bottom"/>
            <w:hideMark/>
          </w:tcPr>
          <w:p w14:paraId="060B08B3" w14:textId="77777777" w:rsidR="00000000" w:rsidRDefault="009B6C69">
            <w:pPr>
              <w:spacing w:after="100"/>
              <w:jc w:val="right"/>
              <w:rPr>
                <w:rFonts w:eastAsia="Times New Roman"/>
              </w:rPr>
            </w:pPr>
          </w:p>
        </w:tc>
      </w:tr>
      <w:tr w:rsidR="00000000" w14:paraId="7B4FAC18" w14:textId="77777777">
        <w:trPr>
          <w:divId w:val="1399473928"/>
        </w:trPr>
        <w:tc>
          <w:tcPr>
            <w:tcW w:w="0" w:type="auto"/>
            <w:gridSpan w:val="3"/>
            <w:shd w:val="clear" w:color="auto" w:fill="FFFFFF"/>
            <w:tcMar>
              <w:top w:w="30" w:type="dxa"/>
              <w:left w:w="155" w:type="dxa"/>
              <w:bottom w:w="30" w:type="dxa"/>
              <w:right w:w="20" w:type="dxa"/>
            </w:tcMar>
            <w:vAlign w:val="bottom"/>
            <w:hideMark/>
          </w:tcPr>
          <w:p w14:paraId="2FD4B4DA" w14:textId="77777777" w:rsidR="00000000" w:rsidRDefault="009B6C69">
            <w:pPr>
              <w:spacing w:after="100"/>
              <w:rPr>
                <w:rFonts w:eastAsia="Times New Roman"/>
              </w:rPr>
            </w:pPr>
            <w:r>
              <w:rPr>
                <w:rFonts w:eastAsia="Times New Roman"/>
                <w:color w:val="000000"/>
                <w:sz w:val="18"/>
                <w:szCs w:val="18"/>
              </w:rPr>
              <w:t>Other gains (losses)</w:t>
            </w:r>
          </w:p>
        </w:tc>
        <w:tc>
          <w:tcPr>
            <w:tcW w:w="0" w:type="auto"/>
            <w:vAlign w:val="center"/>
            <w:hideMark/>
          </w:tcPr>
          <w:p w14:paraId="0E2AC9DE" w14:textId="77777777" w:rsidR="00000000" w:rsidRDefault="009B6C69">
            <w:pPr>
              <w:spacing w:after="100"/>
              <w:rPr>
                <w:rFonts w:eastAsia="Times New Roman"/>
              </w:rPr>
            </w:pPr>
          </w:p>
        </w:tc>
        <w:tc>
          <w:tcPr>
            <w:tcW w:w="0" w:type="auto"/>
            <w:vAlign w:val="center"/>
            <w:hideMark/>
          </w:tcPr>
          <w:p w14:paraId="1A8F05BE" w14:textId="77777777" w:rsidR="00000000" w:rsidRDefault="009B6C69">
            <w:pPr>
              <w:spacing w:after="100"/>
              <w:rPr>
                <w:rFonts w:eastAsia="Times New Roman"/>
                <w:sz w:val="20"/>
                <w:szCs w:val="20"/>
              </w:rPr>
            </w:pPr>
          </w:p>
        </w:tc>
        <w:tc>
          <w:tcPr>
            <w:tcW w:w="0" w:type="auto"/>
            <w:vAlign w:val="center"/>
            <w:hideMark/>
          </w:tcPr>
          <w:p w14:paraId="7BDC176C" w14:textId="77777777" w:rsidR="00000000" w:rsidRDefault="009B6C69">
            <w:pPr>
              <w:spacing w:after="100"/>
              <w:rPr>
                <w:rFonts w:eastAsia="Times New Roman"/>
                <w:sz w:val="20"/>
                <w:szCs w:val="20"/>
              </w:rPr>
            </w:pPr>
          </w:p>
        </w:tc>
        <w:tc>
          <w:tcPr>
            <w:tcW w:w="0" w:type="auto"/>
            <w:vAlign w:val="center"/>
            <w:hideMark/>
          </w:tcPr>
          <w:p w14:paraId="457B7C6D" w14:textId="77777777" w:rsidR="00000000" w:rsidRDefault="009B6C69">
            <w:pPr>
              <w:spacing w:after="100"/>
              <w:rPr>
                <w:rFonts w:eastAsia="Times New Roman"/>
                <w:sz w:val="20"/>
                <w:szCs w:val="20"/>
              </w:rPr>
            </w:pPr>
          </w:p>
        </w:tc>
        <w:tc>
          <w:tcPr>
            <w:tcW w:w="0" w:type="auto"/>
            <w:vAlign w:val="center"/>
            <w:hideMark/>
          </w:tcPr>
          <w:p w14:paraId="2D61348B" w14:textId="77777777" w:rsidR="00000000" w:rsidRDefault="009B6C69">
            <w:pPr>
              <w:spacing w:after="100"/>
              <w:rPr>
                <w:rFonts w:eastAsia="Times New Roman"/>
                <w:sz w:val="20"/>
                <w:szCs w:val="20"/>
              </w:rPr>
            </w:pPr>
          </w:p>
        </w:tc>
        <w:tc>
          <w:tcPr>
            <w:tcW w:w="0" w:type="auto"/>
            <w:vAlign w:val="center"/>
            <w:hideMark/>
          </w:tcPr>
          <w:p w14:paraId="05299543" w14:textId="77777777" w:rsidR="00000000" w:rsidRDefault="009B6C69">
            <w:pPr>
              <w:spacing w:after="100"/>
              <w:rPr>
                <w:rFonts w:eastAsia="Times New Roman"/>
                <w:sz w:val="20"/>
                <w:szCs w:val="20"/>
              </w:rPr>
            </w:pPr>
          </w:p>
        </w:tc>
        <w:tc>
          <w:tcPr>
            <w:tcW w:w="0" w:type="auto"/>
            <w:vAlign w:val="center"/>
            <w:hideMark/>
          </w:tcPr>
          <w:p w14:paraId="274FD9DF"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661222" w14:textId="77777777" w:rsidR="00000000" w:rsidRDefault="009B6C69">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bottom"/>
            <w:hideMark/>
          </w:tcPr>
          <w:p w14:paraId="0FD27F3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66304D"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57C7FA" w14:textId="77777777" w:rsidR="00000000" w:rsidRDefault="009B6C69">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14:paraId="429F78A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E51076"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B56D03" w14:textId="77777777" w:rsidR="00000000" w:rsidRDefault="009B6C69">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bottom"/>
            <w:hideMark/>
          </w:tcPr>
          <w:p w14:paraId="0B23E688" w14:textId="77777777" w:rsidR="00000000" w:rsidRDefault="009B6C69">
            <w:pPr>
              <w:spacing w:after="100"/>
              <w:jc w:val="right"/>
              <w:rPr>
                <w:rFonts w:eastAsia="Times New Roman"/>
              </w:rPr>
            </w:pPr>
          </w:p>
        </w:tc>
      </w:tr>
      <w:tr w:rsidR="00000000" w14:paraId="07DF988A" w14:textId="77777777">
        <w:trPr>
          <w:divId w:val="1399473928"/>
        </w:trPr>
        <w:tc>
          <w:tcPr>
            <w:tcW w:w="0" w:type="auto"/>
            <w:gridSpan w:val="3"/>
            <w:shd w:val="clear" w:color="auto" w:fill="CCEEFF"/>
            <w:tcMar>
              <w:top w:w="30" w:type="dxa"/>
              <w:left w:w="155" w:type="dxa"/>
              <w:bottom w:w="30" w:type="dxa"/>
              <w:right w:w="20" w:type="dxa"/>
            </w:tcMar>
            <w:vAlign w:val="bottom"/>
            <w:hideMark/>
          </w:tcPr>
          <w:p w14:paraId="3A8A19DE" w14:textId="77777777" w:rsidR="00000000" w:rsidRDefault="009B6C69">
            <w:pPr>
              <w:spacing w:after="100"/>
              <w:rPr>
                <w:rFonts w:eastAsia="Times New Roman"/>
              </w:rPr>
            </w:pPr>
            <w:r>
              <w:rPr>
                <w:rFonts w:eastAsia="Times New Roman"/>
                <w:color w:val="000000"/>
                <w:sz w:val="18"/>
                <w:szCs w:val="18"/>
              </w:rPr>
              <w:t>Other reclassifications included in net income</w:t>
            </w:r>
          </w:p>
        </w:tc>
        <w:tc>
          <w:tcPr>
            <w:tcW w:w="0" w:type="auto"/>
            <w:vAlign w:val="center"/>
            <w:hideMark/>
          </w:tcPr>
          <w:p w14:paraId="5F0F2AF2" w14:textId="77777777" w:rsidR="00000000" w:rsidRDefault="009B6C69">
            <w:pPr>
              <w:spacing w:after="100"/>
              <w:rPr>
                <w:rFonts w:eastAsia="Times New Roman"/>
              </w:rPr>
            </w:pPr>
          </w:p>
        </w:tc>
        <w:tc>
          <w:tcPr>
            <w:tcW w:w="0" w:type="auto"/>
            <w:vAlign w:val="center"/>
            <w:hideMark/>
          </w:tcPr>
          <w:p w14:paraId="63EF62D3" w14:textId="77777777" w:rsidR="00000000" w:rsidRDefault="009B6C69">
            <w:pPr>
              <w:spacing w:after="100"/>
              <w:rPr>
                <w:rFonts w:eastAsia="Times New Roman"/>
                <w:sz w:val="20"/>
                <w:szCs w:val="20"/>
              </w:rPr>
            </w:pPr>
          </w:p>
        </w:tc>
        <w:tc>
          <w:tcPr>
            <w:tcW w:w="0" w:type="auto"/>
            <w:vAlign w:val="center"/>
            <w:hideMark/>
          </w:tcPr>
          <w:p w14:paraId="71AF1B7B" w14:textId="77777777" w:rsidR="00000000" w:rsidRDefault="009B6C69">
            <w:pPr>
              <w:spacing w:after="100"/>
              <w:rPr>
                <w:rFonts w:eastAsia="Times New Roman"/>
                <w:sz w:val="20"/>
                <w:szCs w:val="20"/>
              </w:rPr>
            </w:pPr>
          </w:p>
        </w:tc>
        <w:tc>
          <w:tcPr>
            <w:tcW w:w="0" w:type="auto"/>
            <w:vAlign w:val="center"/>
            <w:hideMark/>
          </w:tcPr>
          <w:p w14:paraId="65BE2DED" w14:textId="77777777" w:rsidR="00000000" w:rsidRDefault="009B6C69">
            <w:pPr>
              <w:spacing w:after="100"/>
              <w:rPr>
                <w:rFonts w:eastAsia="Times New Roman"/>
                <w:sz w:val="20"/>
                <w:szCs w:val="20"/>
              </w:rPr>
            </w:pPr>
          </w:p>
        </w:tc>
        <w:tc>
          <w:tcPr>
            <w:tcW w:w="0" w:type="auto"/>
            <w:vAlign w:val="center"/>
            <w:hideMark/>
          </w:tcPr>
          <w:p w14:paraId="4BF4BAD5" w14:textId="77777777" w:rsidR="00000000" w:rsidRDefault="009B6C69">
            <w:pPr>
              <w:spacing w:after="100"/>
              <w:rPr>
                <w:rFonts w:eastAsia="Times New Roman"/>
                <w:sz w:val="20"/>
                <w:szCs w:val="20"/>
              </w:rPr>
            </w:pPr>
          </w:p>
        </w:tc>
        <w:tc>
          <w:tcPr>
            <w:tcW w:w="0" w:type="auto"/>
            <w:vAlign w:val="center"/>
            <w:hideMark/>
          </w:tcPr>
          <w:p w14:paraId="06B06023" w14:textId="77777777" w:rsidR="00000000" w:rsidRDefault="009B6C69">
            <w:pPr>
              <w:spacing w:after="100"/>
              <w:rPr>
                <w:rFonts w:eastAsia="Times New Roman"/>
                <w:sz w:val="20"/>
                <w:szCs w:val="20"/>
              </w:rPr>
            </w:pPr>
          </w:p>
        </w:tc>
        <w:tc>
          <w:tcPr>
            <w:tcW w:w="0" w:type="auto"/>
            <w:vAlign w:val="center"/>
            <w:hideMark/>
          </w:tcPr>
          <w:p w14:paraId="3764E1A0"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3098D5"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763F7D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272853"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42EDB7" w14:textId="77777777" w:rsidR="00000000" w:rsidRDefault="009B6C69">
            <w:pPr>
              <w:spacing w:after="100"/>
              <w:jc w:val="right"/>
              <w:rPr>
                <w:rFonts w:eastAsia="Times New Roman"/>
              </w:rPr>
            </w:pPr>
            <w:r>
              <w:rPr>
                <w:rFonts w:eastAsia="Times New Roman"/>
                <w:color w:val="000000"/>
                <w:sz w:val="18"/>
                <w:szCs w:val="18"/>
              </w:rPr>
              <w:t>(59)</w:t>
            </w:r>
          </w:p>
        </w:tc>
        <w:tc>
          <w:tcPr>
            <w:tcW w:w="0" w:type="auto"/>
            <w:shd w:val="clear" w:color="auto" w:fill="CCEEFF"/>
            <w:tcMar>
              <w:top w:w="30" w:type="dxa"/>
              <w:left w:w="0" w:type="dxa"/>
              <w:bottom w:w="30" w:type="dxa"/>
              <w:right w:w="20" w:type="dxa"/>
            </w:tcMar>
            <w:vAlign w:val="bottom"/>
            <w:hideMark/>
          </w:tcPr>
          <w:p w14:paraId="40A65F1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9AFED9"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2FB095" w14:textId="77777777" w:rsidR="00000000" w:rsidRDefault="009B6C69">
            <w:pPr>
              <w:spacing w:after="100"/>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bottom"/>
            <w:hideMark/>
          </w:tcPr>
          <w:p w14:paraId="72963797" w14:textId="77777777" w:rsidR="00000000" w:rsidRDefault="009B6C69">
            <w:pPr>
              <w:spacing w:after="100"/>
              <w:jc w:val="right"/>
              <w:rPr>
                <w:rFonts w:eastAsia="Times New Roman"/>
              </w:rPr>
            </w:pPr>
          </w:p>
        </w:tc>
      </w:tr>
      <w:tr w:rsidR="00000000" w14:paraId="086EFA39" w14:textId="77777777">
        <w:trPr>
          <w:divId w:val="1399473928"/>
        </w:trPr>
        <w:tc>
          <w:tcPr>
            <w:tcW w:w="0" w:type="auto"/>
            <w:gridSpan w:val="3"/>
            <w:shd w:val="clear" w:color="auto" w:fill="FFFFFF"/>
            <w:tcMar>
              <w:top w:w="30" w:type="dxa"/>
              <w:left w:w="20" w:type="dxa"/>
              <w:bottom w:w="30" w:type="dxa"/>
              <w:right w:w="20" w:type="dxa"/>
            </w:tcMar>
            <w:vAlign w:val="bottom"/>
            <w:hideMark/>
          </w:tcPr>
          <w:p w14:paraId="27EBA333" w14:textId="77777777" w:rsidR="00000000" w:rsidRDefault="009B6C69">
            <w:pPr>
              <w:spacing w:after="100"/>
              <w:rPr>
                <w:rFonts w:eastAsia="Times New Roman"/>
              </w:rPr>
            </w:pPr>
            <w:r>
              <w:rPr>
                <w:rFonts w:eastAsia="Times New Roman"/>
                <w:color w:val="000000"/>
                <w:sz w:val="18"/>
                <w:szCs w:val="18"/>
              </w:rPr>
              <w:t>     Total other comprehensive (loss) income</w:t>
            </w:r>
          </w:p>
        </w:tc>
        <w:tc>
          <w:tcPr>
            <w:tcW w:w="0" w:type="auto"/>
            <w:vAlign w:val="center"/>
            <w:hideMark/>
          </w:tcPr>
          <w:p w14:paraId="15E0B6CB" w14:textId="77777777" w:rsidR="00000000" w:rsidRDefault="009B6C69">
            <w:pPr>
              <w:spacing w:after="100"/>
              <w:rPr>
                <w:rFonts w:eastAsia="Times New Roman"/>
              </w:rPr>
            </w:pPr>
          </w:p>
        </w:tc>
        <w:tc>
          <w:tcPr>
            <w:tcW w:w="0" w:type="auto"/>
            <w:vAlign w:val="center"/>
            <w:hideMark/>
          </w:tcPr>
          <w:p w14:paraId="68D1465C" w14:textId="77777777" w:rsidR="00000000" w:rsidRDefault="009B6C69">
            <w:pPr>
              <w:spacing w:after="100"/>
              <w:rPr>
                <w:rFonts w:eastAsia="Times New Roman"/>
                <w:sz w:val="20"/>
                <w:szCs w:val="20"/>
              </w:rPr>
            </w:pPr>
          </w:p>
        </w:tc>
        <w:tc>
          <w:tcPr>
            <w:tcW w:w="0" w:type="auto"/>
            <w:vAlign w:val="center"/>
            <w:hideMark/>
          </w:tcPr>
          <w:p w14:paraId="3F85359A" w14:textId="77777777" w:rsidR="00000000" w:rsidRDefault="009B6C69">
            <w:pPr>
              <w:spacing w:after="100"/>
              <w:rPr>
                <w:rFonts w:eastAsia="Times New Roman"/>
                <w:sz w:val="20"/>
                <w:szCs w:val="20"/>
              </w:rPr>
            </w:pPr>
          </w:p>
        </w:tc>
        <w:tc>
          <w:tcPr>
            <w:tcW w:w="0" w:type="auto"/>
            <w:vAlign w:val="center"/>
            <w:hideMark/>
          </w:tcPr>
          <w:p w14:paraId="74662A49" w14:textId="77777777" w:rsidR="00000000" w:rsidRDefault="009B6C69">
            <w:pPr>
              <w:spacing w:after="100"/>
              <w:rPr>
                <w:rFonts w:eastAsia="Times New Roman"/>
                <w:sz w:val="20"/>
                <w:szCs w:val="20"/>
              </w:rPr>
            </w:pPr>
          </w:p>
        </w:tc>
        <w:tc>
          <w:tcPr>
            <w:tcW w:w="0" w:type="auto"/>
            <w:vAlign w:val="center"/>
            <w:hideMark/>
          </w:tcPr>
          <w:p w14:paraId="0E712E74" w14:textId="77777777" w:rsidR="00000000" w:rsidRDefault="009B6C69">
            <w:pPr>
              <w:spacing w:after="100"/>
              <w:rPr>
                <w:rFonts w:eastAsia="Times New Roman"/>
                <w:sz w:val="20"/>
                <w:szCs w:val="20"/>
              </w:rPr>
            </w:pPr>
          </w:p>
        </w:tc>
        <w:tc>
          <w:tcPr>
            <w:tcW w:w="0" w:type="auto"/>
            <w:vAlign w:val="center"/>
            <w:hideMark/>
          </w:tcPr>
          <w:p w14:paraId="270FDC67" w14:textId="77777777" w:rsidR="00000000" w:rsidRDefault="009B6C69">
            <w:pPr>
              <w:spacing w:after="100"/>
              <w:rPr>
                <w:rFonts w:eastAsia="Times New Roman"/>
                <w:sz w:val="20"/>
                <w:szCs w:val="20"/>
              </w:rPr>
            </w:pPr>
          </w:p>
        </w:tc>
        <w:tc>
          <w:tcPr>
            <w:tcW w:w="0" w:type="auto"/>
            <w:vAlign w:val="center"/>
            <w:hideMark/>
          </w:tcPr>
          <w:p w14:paraId="2687211A" w14:textId="77777777" w:rsidR="00000000" w:rsidRDefault="009B6C69">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0DB970" w14:textId="77777777" w:rsidR="00000000" w:rsidRDefault="009B6C69">
            <w:pPr>
              <w:spacing w:after="100"/>
              <w:jc w:val="right"/>
              <w:rPr>
                <w:rFonts w:eastAsia="Times New Roman"/>
              </w:rPr>
            </w:pPr>
            <w:r>
              <w:rPr>
                <w:rFonts w:eastAsia="Times New Roman"/>
                <w:color w:val="000000"/>
                <w:sz w:val="18"/>
                <w:szCs w:val="18"/>
              </w:rPr>
              <w:t>(150)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8FD31C"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A28F58"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620951" w14:textId="77777777" w:rsidR="00000000" w:rsidRDefault="009B6C69">
            <w:pPr>
              <w:spacing w:after="100"/>
              <w:jc w:val="right"/>
              <w:rPr>
                <w:rFonts w:eastAsia="Times New Roman"/>
              </w:rPr>
            </w:pPr>
            <w:r>
              <w:rPr>
                <w:rFonts w:eastAsia="Times New Roman"/>
                <w:color w:val="000000"/>
                <w:sz w:val="18"/>
                <w:szCs w:val="18"/>
              </w:rPr>
              <w:t>(79)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0C6D4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C8F238"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011561" w14:textId="77777777" w:rsidR="00000000" w:rsidRDefault="009B6C69">
            <w:pPr>
              <w:spacing w:after="100"/>
              <w:jc w:val="right"/>
              <w:rPr>
                <w:rFonts w:eastAsia="Times New Roman"/>
              </w:rPr>
            </w:pPr>
            <w:r>
              <w:rPr>
                <w:rFonts w:eastAsia="Times New Roman"/>
                <w:color w:val="000000"/>
                <w:sz w:val="18"/>
                <w:szCs w:val="18"/>
              </w:rPr>
              <w:t>107 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9DE536" w14:textId="77777777" w:rsidR="00000000" w:rsidRDefault="009B6C69">
            <w:pPr>
              <w:spacing w:after="100"/>
              <w:jc w:val="right"/>
              <w:rPr>
                <w:rFonts w:eastAsia="Times New Roman"/>
              </w:rPr>
            </w:pPr>
          </w:p>
        </w:tc>
      </w:tr>
      <w:tr w:rsidR="00000000" w14:paraId="78443025" w14:textId="77777777">
        <w:trPr>
          <w:divId w:val="1399473928"/>
        </w:trPr>
        <w:tc>
          <w:tcPr>
            <w:tcW w:w="0" w:type="auto"/>
            <w:gridSpan w:val="3"/>
            <w:shd w:val="clear" w:color="auto" w:fill="CCEEFF"/>
            <w:tcMar>
              <w:top w:w="30" w:type="dxa"/>
              <w:left w:w="155" w:type="dxa"/>
              <w:bottom w:w="30" w:type="dxa"/>
              <w:right w:w="20" w:type="dxa"/>
            </w:tcMar>
            <w:vAlign w:val="bottom"/>
            <w:hideMark/>
          </w:tcPr>
          <w:p w14:paraId="248219A0" w14:textId="77777777" w:rsidR="00000000" w:rsidRDefault="009B6C69">
            <w:pPr>
              <w:spacing w:after="100"/>
              <w:rPr>
                <w:rFonts w:eastAsia="Times New Roman"/>
              </w:rPr>
            </w:pPr>
            <w:r>
              <w:rPr>
                <w:rFonts w:eastAsia="Times New Roman"/>
                <w:color w:val="000000"/>
                <w:sz w:val="18"/>
                <w:szCs w:val="18"/>
              </w:rPr>
              <w:t>Comprehensive income</w:t>
            </w:r>
          </w:p>
        </w:tc>
        <w:tc>
          <w:tcPr>
            <w:tcW w:w="0" w:type="auto"/>
            <w:vAlign w:val="center"/>
            <w:hideMark/>
          </w:tcPr>
          <w:p w14:paraId="2E1DDC74" w14:textId="77777777" w:rsidR="00000000" w:rsidRDefault="009B6C69">
            <w:pPr>
              <w:spacing w:after="100"/>
              <w:rPr>
                <w:rFonts w:eastAsia="Times New Roman"/>
              </w:rPr>
            </w:pPr>
          </w:p>
        </w:tc>
        <w:tc>
          <w:tcPr>
            <w:tcW w:w="0" w:type="auto"/>
            <w:vAlign w:val="center"/>
            <w:hideMark/>
          </w:tcPr>
          <w:p w14:paraId="4A9F1300" w14:textId="77777777" w:rsidR="00000000" w:rsidRDefault="009B6C69">
            <w:pPr>
              <w:spacing w:after="100"/>
              <w:rPr>
                <w:rFonts w:eastAsia="Times New Roman"/>
                <w:sz w:val="20"/>
                <w:szCs w:val="20"/>
              </w:rPr>
            </w:pPr>
          </w:p>
        </w:tc>
        <w:tc>
          <w:tcPr>
            <w:tcW w:w="0" w:type="auto"/>
            <w:vAlign w:val="center"/>
            <w:hideMark/>
          </w:tcPr>
          <w:p w14:paraId="53A8BE11" w14:textId="77777777" w:rsidR="00000000" w:rsidRDefault="009B6C69">
            <w:pPr>
              <w:spacing w:after="100"/>
              <w:rPr>
                <w:rFonts w:eastAsia="Times New Roman"/>
                <w:sz w:val="20"/>
                <w:szCs w:val="20"/>
              </w:rPr>
            </w:pPr>
          </w:p>
        </w:tc>
        <w:tc>
          <w:tcPr>
            <w:tcW w:w="0" w:type="auto"/>
            <w:vAlign w:val="center"/>
            <w:hideMark/>
          </w:tcPr>
          <w:p w14:paraId="0B906E91" w14:textId="77777777" w:rsidR="00000000" w:rsidRDefault="009B6C69">
            <w:pPr>
              <w:spacing w:after="100"/>
              <w:rPr>
                <w:rFonts w:eastAsia="Times New Roman"/>
                <w:sz w:val="20"/>
                <w:szCs w:val="20"/>
              </w:rPr>
            </w:pPr>
          </w:p>
        </w:tc>
        <w:tc>
          <w:tcPr>
            <w:tcW w:w="0" w:type="auto"/>
            <w:vAlign w:val="center"/>
            <w:hideMark/>
          </w:tcPr>
          <w:p w14:paraId="3EEE62BA" w14:textId="77777777" w:rsidR="00000000" w:rsidRDefault="009B6C69">
            <w:pPr>
              <w:spacing w:after="100"/>
              <w:rPr>
                <w:rFonts w:eastAsia="Times New Roman"/>
                <w:sz w:val="20"/>
                <w:szCs w:val="20"/>
              </w:rPr>
            </w:pPr>
          </w:p>
        </w:tc>
        <w:tc>
          <w:tcPr>
            <w:tcW w:w="0" w:type="auto"/>
            <w:vAlign w:val="center"/>
            <w:hideMark/>
          </w:tcPr>
          <w:p w14:paraId="5A4E604C" w14:textId="77777777" w:rsidR="00000000" w:rsidRDefault="009B6C69">
            <w:pPr>
              <w:spacing w:after="100"/>
              <w:rPr>
                <w:rFonts w:eastAsia="Times New Roman"/>
                <w:sz w:val="20"/>
                <w:szCs w:val="20"/>
              </w:rPr>
            </w:pPr>
          </w:p>
        </w:tc>
        <w:tc>
          <w:tcPr>
            <w:tcW w:w="0" w:type="auto"/>
            <w:vAlign w:val="center"/>
            <w:hideMark/>
          </w:tcPr>
          <w:p w14:paraId="0BD11E93" w14:textId="77777777" w:rsidR="00000000" w:rsidRDefault="009B6C69">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8EB482"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DAFC787" w14:textId="77777777" w:rsidR="00000000" w:rsidRDefault="009B6C69">
            <w:pPr>
              <w:spacing w:after="100"/>
              <w:jc w:val="right"/>
              <w:rPr>
                <w:rFonts w:eastAsia="Times New Roman"/>
              </w:rPr>
            </w:pPr>
            <w:r>
              <w:rPr>
                <w:rFonts w:eastAsia="Times New Roman"/>
                <w:color w:val="000000"/>
                <w:sz w:val="18"/>
                <w:szCs w:val="18"/>
              </w:rPr>
              <w:t>12,786 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B8659E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333D1E"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BC9811"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2229ADE" w14:textId="77777777" w:rsidR="00000000" w:rsidRDefault="009B6C69">
            <w:pPr>
              <w:spacing w:after="100"/>
              <w:jc w:val="right"/>
              <w:rPr>
                <w:rFonts w:eastAsia="Times New Roman"/>
              </w:rPr>
            </w:pPr>
            <w:r>
              <w:rPr>
                <w:rFonts w:eastAsia="Times New Roman"/>
                <w:color w:val="000000"/>
                <w:sz w:val="18"/>
                <w:szCs w:val="18"/>
              </w:rPr>
              <w:t>8,964 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9C168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1A329B"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F14492A"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8479677" w14:textId="77777777" w:rsidR="00000000" w:rsidRDefault="009B6C69">
            <w:pPr>
              <w:spacing w:after="100"/>
              <w:jc w:val="right"/>
              <w:rPr>
                <w:rFonts w:eastAsia="Times New Roman"/>
              </w:rPr>
            </w:pPr>
            <w:r>
              <w:rPr>
                <w:rFonts w:eastAsia="Times New Roman"/>
                <w:color w:val="000000"/>
                <w:sz w:val="18"/>
                <w:szCs w:val="18"/>
              </w:rPr>
              <w:t>5,305 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D6434A4" w14:textId="77777777" w:rsidR="00000000" w:rsidRDefault="009B6C69">
            <w:pPr>
              <w:spacing w:after="100"/>
              <w:jc w:val="right"/>
              <w:rPr>
                <w:rFonts w:eastAsia="Times New Roman"/>
              </w:rPr>
            </w:pPr>
          </w:p>
        </w:tc>
      </w:tr>
    </w:tbl>
    <w:p w14:paraId="6AF800F6" w14:textId="77777777" w:rsidR="00000000" w:rsidRDefault="009B6C69">
      <w:pPr>
        <w:divId w:val="218171518"/>
        <w:rPr>
          <w:rFonts w:eastAsia="Times New Roman"/>
        </w:rPr>
      </w:pPr>
    </w:p>
    <w:p w14:paraId="4749D195" w14:textId="77777777" w:rsidR="00000000" w:rsidRDefault="009B6C69">
      <w:pPr>
        <w:jc w:val="center"/>
        <w:rPr>
          <w:rFonts w:eastAsia="Times New Roman"/>
        </w:rPr>
      </w:pPr>
      <w:r>
        <w:rPr>
          <w:rFonts w:eastAsia="Times New Roman"/>
          <w:color w:val="000000"/>
          <w:sz w:val="18"/>
          <w:szCs w:val="18"/>
        </w:rPr>
        <w:t>See accompanying notes.</w:t>
      </w:r>
    </w:p>
    <w:p w14:paraId="75FA107A" w14:textId="77777777" w:rsidR="00000000" w:rsidRDefault="009B6C69">
      <w:pPr>
        <w:jc w:val="center"/>
        <w:divId w:val="1546795646"/>
        <w:rPr>
          <w:rFonts w:eastAsia="Times New Roman"/>
        </w:rPr>
      </w:pPr>
      <w:r>
        <w:rPr>
          <w:rFonts w:eastAsia="Times New Roman"/>
          <w:color w:val="000000"/>
          <w:sz w:val="20"/>
          <w:szCs w:val="20"/>
        </w:rPr>
        <w:t>F-5</w:t>
      </w:r>
    </w:p>
    <w:p w14:paraId="1556FFE0" w14:textId="77777777" w:rsidR="00000000" w:rsidRDefault="009B6C69">
      <w:pPr>
        <w:rPr>
          <w:rFonts w:eastAsia="Times New Roman"/>
        </w:rPr>
      </w:pPr>
      <w:r>
        <w:rPr>
          <w:rFonts w:eastAsia="Times New Roman"/>
        </w:rPr>
        <w:pict w14:anchorId="568C65D1">
          <v:rect id="_x0000_i1085" style="width:0;height:1.5pt" o:hralign="center" o:hrstd="t" o:hr="t" fillcolor="#a0a0a0" stroked="f"/>
        </w:pict>
      </w:r>
    </w:p>
    <w:p w14:paraId="45A2E90D" w14:textId="77777777" w:rsidR="00000000" w:rsidRDefault="009B6C69">
      <w:pPr>
        <w:divId w:val="593707505"/>
        <w:rPr>
          <w:rFonts w:eastAsia="Times New Roman"/>
        </w:rPr>
      </w:pPr>
    </w:p>
    <w:p w14:paraId="15D365CD" w14:textId="77777777" w:rsidR="00000000" w:rsidRDefault="009B6C69">
      <w:pPr>
        <w:jc w:val="center"/>
        <w:rPr>
          <w:rFonts w:eastAsia="Times New Roman"/>
        </w:rPr>
      </w:pPr>
      <w:r>
        <w:rPr>
          <w:rFonts w:eastAsia="Times New Roman"/>
          <w:b/>
          <w:bCs/>
          <w:color w:val="000000"/>
          <w:sz w:val="18"/>
          <w:szCs w:val="18"/>
        </w:rPr>
        <w:t>QUALCOMM Incorporated</w:t>
      </w:r>
    </w:p>
    <w:p w14:paraId="69F52749" w14:textId="77777777" w:rsidR="00000000" w:rsidRDefault="009B6C69">
      <w:pPr>
        <w:jc w:val="center"/>
        <w:rPr>
          <w:rFonts w:eastAsia="Times New Roman"/>
        </w:rPr>
      </w:pPr>
      <w:r>
        <w:rPr>
          <w:rFonts w:eastAsia="Times New Roman"/>
          <w:b/>
          <w:bCs/>
          <w:color w:val="000000"/>
          <w:sz w:val="18"/>
          <w:szCs w:val="18"/>
        </w:rPr>
        <w:t xml:space="preserve">CONSOLIDATED STATEMENTS OF CASH FLOWS </w:t>
      </w:r>
    </w:p>
    <w:p w14:paraId="7CF11619" w14:textId="77777777" w:rsidR="00000000" w:rsidRDefault="009B6C69">
      <w:pPr>
        <w:jc w:val="center"/>
        <w:rPr>
          <w:rFonts w:eastAsia="Times New Roman"/>
        </w:rPr>
      </w:pPr>
      <w:r>
        <w:rPr>
          <w:rFonts w:eastAsia="Times New Roman"/>
          <w:b/>
          <w:bCs/>
          <w:color w:val="000000"/>
          <w:sz w:val="18"/>
          <w:szCs w:val="18"/>
        </w:rPr>
        <w:t>(In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020"/>
        <w:gridCol w:w="39"/>
        <w:gridCol w:w="111"/>
        <w:gridCol w:w="865"/>
        <w:gridCol w:w="36"/>
        <w:gridCol w:w="36"/>
        <w:gridCol w:w="36"/>
        <w:gridCol w:w="36"/>
        <w:gridCol w:w="111"/>
        <w:gridCol w:w="830"/>
        <w:gridCol w:w="36"/>
        <w:gridCol w:w="36"/>
        <w:gridCol w:w="36"/>
        <w:gridCol w:w="36"/>
        <w:gridCol w:w="111"/>
        <w:gridCol w:w="830"/>
        <w:gridCol w:w="36"/>
      </w:tblGrid>
      <w:tr w:rsidR="00000000" w14:paraId="6CD4604F" w14:textId="77777777">
        <w:trPr>
          <w:jc w:val="center"/>
        </w:trPr>
        <w:tc>
          <w:tcPr>
            <w:tcW w:w="50" w:type="pct"/>
            <w:vAlign w:val="center"/>
            <w:hideMark/>
          </w:tcPr>
          <w:p w14:paraId="47E9C394" w14:textId="77777777" w:rsidR="00000000" w:rsidRDefault="009B6C69">
            <w:pPr>
              <w:jc w:val="center"/>
              <w:rPr>
                <w:rFonts w:eastAsia="Times New Roman"/>
              </w:rPr>
            </w:pPr>
          </w:p>
        </w:tc>
        <w:tc>
          <w:tcPr>
            <w:tcW w:w="3056" w:type="pct"/>
            <w:vAlign w:val="center"/>
            <w:hideMark/>
          </w:tcPr>
          <w:p w14:paraId="6E00E067" w14:textId="77777777" w:rsidR="00000000" w:rsidRDefault="009B6C69">
            <w:pPr>
              <w:spacing w:after="100"/>
              <w:rPr>
                <w:rFonts w:eastAsia="Times New Roman"/>
                <w:sz w:val="20"/>
                <w:szCs w:val="20"/>
              </w:rPr>
            </w:pPr>
          </w:p>
        </w:tc>
        <w:tc>
          <w:tcPr>
            <w:tcW w:w="5" w:type="pct"/>
            <w:vAlign w:val="center"/>
            <w:hideMark/>
          </w:tcPr>
          <w:p w14:paraId="32ADAEE1" w14:textId="77777777" w:rsidR="00000000" w:rsidRDefault="009B6C69">
            <w:pPr>
              <w:spacing w:after="100"/>
              <w:rPr>
                <w:rFonts w:eastAsia="Times New Roman"/>
                <w:sz w:val="20"/>
                <w:szCs w:val="20"/>
              </w:rPr>
            </w:pPr>
          </w:p>
        </w:tc>
        <w:tc>
          <w:tcPr>
            <w:tcW w:w="50" w:type="pct"/>
            <w:vAlign w:val="center"/>
            <w:hideMark/>
          </w:tcPr>
          <w:p w14:paraId="4C1AB119" w14:textId="77777777" w:rsidR="00000000" w:rsidRDefault="009B6C69">
            <w:pPr>
              <w:spacing w:after="100"/>
              <w:rPr>
                <w:rFonts w:eastAsia="Times New Roman"/>
                <w:sz w:val="20"/>
                <w:szCs w:val="20"/>
              </w:rPr>
            </w:pPr>
          </w:p>
        </w:tc>
        <w:tc>
          <w:tcPr>
            <w:tcW w:w="549" w:type="pct"/>
            <w:vAlign w:val="center"/>
            <w:hideMark/>
          </w:tcPr>
          <w:p w14:paraId="3708F13C" w14:textId="77777777" w:rsidR="00000000" w:rsidRDefault="009B6C69">
            <w:pPr>
              <w:spacing w:after="100"/>
              <w:rPr>
                <w:rFonts w:eastAsia="Times New Roman"/>
                <w:sz w:val="20"/>
                <w:szCs w:val="20"/>
              </w:rPr>
            </w:pPr>
          </w:p>
        </w:tc>
        <w:tc>
          <w:tcPr>
            <w:tcW w:w="5" w:type="pct"/>
            <w:vAlign w:val="center"/>
            <w:hideMark/>
          </w:tcPr>
          <w:p w14:paraId="6D1B6CE0" w14:textId="77777777" w:rsidR="00000000" w:rsidRDefault="009B6C69">
            <w:pPr>
              <w:spacing w:after="100"/>
              <w:rPr>
                <w:rFonts w:eastAsia="Times New Roman"/>
                <w:sz w:val="20"/>
                <w:szCs w:val="20"/>
              </w:rPr>
            </w:pPr>
          </w:p>
        </w:tc>
        <w:tc>
          <w:tcPr>
            <w:tcW w:w="5" w:type="pct"/>
            <w:vAlign w:val="center"/>
            <w:hideMark/>
          </w:tcPr>
          <w:p w14:paraId="502CC4A9" w14:textId="77777777" w:rsidR="00000000" w:rsidRDefault="009B6C69">
            <w:pPr>
              <w:spacing w:after="100"/>
              <w:rPr>
                <w:rFonts w:eastAsia="Times New Roman"/>
                <w:sz w:val="20"/>
                <w:szCs w:val="20"/>
              </w:rPr>
            </w:pPr>
          </w:p>
        </w:tc>
        <w:tc>
          <w:tcPr>
            <w:tcW w:w="27" w:type="pct"/>
            <w:vAlign w:val="center"/>
            <w:hideMark/>
          </w:tcPr>
          <w:p w14:paraId="608167D3" w14:textId="77777777" w:rsidR="00000000" w:rsidRDefault="009B6C69">
            <w:pPr>
              <w:spacing w:after="100"/>
              <w:rPr>
                <w:rFonts w:eastAsia="Times New Roman"/>
                <w:sz w:val="20"/>
                <w:szCs w:val="20"/>
              </w:rPr>
            </w:pPr>
          </w:p>
        </w:tc>
        <w:tc>
          <w:tcPr>
            <w:tcW w:w="5" w:type="pct"/>
            <w:vAlign w:val="center"/>
            <w:hideMark/>
          </w:tcPr>
          <w:p w14:paraId="5F790116" w14:textId="77777777" w:rsidR="00000000" w:rsidRDefault="009B6C69">
            <w:pPr>
              <w:spacing w:after="100"/>
              <w:rPr>
                <w:rFonts w:eastAsia="Times New Roman"/>
                <w:sz w:val="20"/>
                <w:szCs w:val="20"/>
              </w:rPr>
            </w:pPr>
          </w:p>
        </w:tc>
        <w:tc>
          <w:tcPr>
            <w:tcW w:w="50" w:type="pct"/>
            <w:vAlign w:val="center"/>
            <w:hideMark/>
          </w:tcPr>
          <w:p w14:paraId="402B975D" w14:textId="77777777" w:rsidR="00000000" w:rsidRDefault="009B6C69">
            <w:pPr>
              <w:spacing w:after="100"/>
              <w:rPr>
                <w:rFonts w:eastAsia="Times New Roman"/>
                <w:sz w:val="20"/>
                <w:szCs w:val="20"/>
              </w:rPr>
            </w:pPr>
          </w:p>
        </w:tc>
        <w:tc>
          <w:tcPr>
            <w:tcW w:w="549" w:type="pct"/>
            <w:vAlign w:val="center"/>
            <w:hideMark/>
          </w:tcPr>
          <w:p w14:paraId="635A939D" w14:textId="77777777" w:rsidR="00000000" w:rsidRDefault="009B6C69">
            <w:pPr>
              <w:spacing w:after="100"/>
              <w:rPr>
                <w:rFonts w:eastAsia="Times New Roman"/>
                <w:sz w:val="20"/>
                <w:szCs w:val="20"/>
              </w:rPr>
            </w:pPr>
          </w:p>
        </w:tc>
        <w:tc>
          <w:tcPr>
            <w:tcW w:w="5" w:type="pct"/>
            <w:vAlign w:val="center"/>
            <w:hideMark/>
          </w:tcPr>
          <w:p w14:paraId="24DDDD28" w14:textId="77777777" w:rsidR="00000000" w:rsidRDefault="009B6C69">
            <w:pPr>
              <w:spacing w:after="100"/>
              <w:rPr>
                <w:rFonts w:eastAsia="Times New Roman"/>
                <w:sz w:val="20"/>
                <w:szCs w:val="20"/>
              </w:rPr>
            </w:pPr>
          </w:p>
        </w:tc>
        <w:tc>
          <w:tcPr>
            <w:tcW w:w="5" w:type="pct"/>
            <w:vAlign w:val="center"/>
            <w:hideMark/>
          </w:tcPr>
          <w:p w14:paraId="6E7A0951" w14:textId="77777777" w:rsidR="00000000" w:rsidRDefault="009B6C69">
            <w:pPr>
              <w:spacing w:after="100"/>
              <w:rPr>
                <w:rFonts w:eastAsia="Times New Roman"/>
                <w:sz w:val="20"/>
                <w:szCs w:val="20"/>
              </w:rPr>
            </w:pPr>
          </w:p>
        </w:tc>
        <w:tc>
          <w:tcPr>
            <w:tcW w:w="27" w:type="pct"/>
            <w:vAlign w:val="center"/>
            <w:hideMark/>
          </w:tcPr>
          <w:p w14:paraId="5AC454B2" w14:textId="77777777" w:rsidR="00000000" w:rsidRDefault="009B6C69">
            <w:pPr>
              <w:spacing w:after="100"/>
              <w:rPr>
                <w:rFonts w:eastAsia="Times New Roman"/>
                <w:sz w:val="20"/>
                <w:szCs w:val="20"/>
              </w:rPr>
            </w:pPr>
          </w:p>
        </w:tc>
        <w:tc>
          <w:tcPr>
            <w:tcW w:w="5" w:type="pct"/>
            <w:vAlign w:val="center"/>
            <w:hideMark/>
          </w:tcPr>
          <w:p w14:paraId="38F21CA3" w14:textId="77777777" w:rsidR="00000000" w:rsidRDefault="009B6C69">
            <w:pPr>
              <w:spacing w:after="100"/>
              <w:rPr>
                <w:rFonts w:eastAsia="Times New Roman"/>
                <w:sz w:val="20"/>
                <w:szCs w:val="20"/>
              </w:rPr>
            </w:pPr>
          </w:p>
        </w:tc>
        <w:tc>
          <w:tcPr>
            <w:tcW w:w="50" w:type="pct"/>
            <w:vAlign w:val="center"/>
            <w:hideMark/>
          </w:tcPr>
          <w:p w14:paraId="3B41693D" w14:textId="77777777" w:rsidR="00000000" w:rsidRDefault="009B6C69">
            <w:pPr>
              <w:spacing w:after="100"/>
              <w:rPr>
                <w:rFonts w:eastAsia="Times New Roman"/>
                <w:sz w:val="20"/>
                <w:szCs w:val="20"/>
              </w:rPr>
            </w:pPr>
          </w:p>
        </w:tc>
        <w:tc>
          <w:tcPr>
            <w:tcW w:w="549" w:type="pct"/>
            <w:vAlign w:val="center"/>
            <w:hideMark/>
          </w:tcPr>
          <w:p w14:paraId="576F22B3" w14:textId="77777777" w:rsidR="00000000" w:rsidRDefault="009B6C69">
            <w:pPr>
              <w:spacing w:after="100"/>
              <w:rPr>
                <w:rFonts w:eastAsia="Times New Roman"/>
                <w:sz w:val="20"/>
                <w:szCs w:val="20"/>
              </w:rPr>
            </w:pPr>
          </w:p>
        </w:tc>
        <w:tc>
          <w:tcPr>
            <w:tcW w:w="5" w:type="pct"/>
            <w:vAlign w:val="center"/>
            <w:hideMark/>
          </w:tcPr>
          <w:p w14:paraId="5D930930" w14:textId="77777777" w:rsidR="00000000" w:rsidRDefault="009B6C69">
            <w:pPr>
              <w:spacing w:after="100"/>
              <w:rPr>
                <w:rFonts w:eastAsia="Times New Roman"/>
                <w:sz w:val="20"/>
                <w:szCs w:val="20"/>
              </w:rPr>
            </w:pPr>
          </w:p>
        </w:tc>
      </w:tr>
      <w:tr w:rsidR="00000000" w14:paraId="155A5062" w14:textId="77777777">
        <w:trPr>
          <w:jc w:val="center"/>
        </w:trPr>
        <w:tc>
          <w:tcPr>
            <w:tcW w:w="0" w:type="auto"/>
            <w:gridSpan w:val="3"/>
            <w:tcMar>
              <w:top w:w="0" w:type="dxa"/>
              <w:left w:w="20" w:type="dxa"/>
              <w:bottom w:w="0" w:type="dxa"/>
              <w:right w:w="20" w:type="dxa"/>
            </w:tcMar>
            <w:vAlign w:val="center"/>
            <w:hideMark/>
          </w:tcPr>
          <w:p w14:paraId="2A7FA9CA" w14:textId="77777777" w:rsidR="00000000" w:rsidRDefault="009B6C69">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7EA18438" w14:textId="77777777" w:rsidR="00000000" w:rsidRDefault="009B6C69">
            <w:pPr>
              <w:spacing w:after="100"/>
              <w:jc w:val="center"/>
              <w:rPr>
                <w:rFonts w:eastAsia="Times New Roman"/>
              </w:rPr>
            </w:pPr>
            <w:r>
              <w:rPr>
                <w:rFonts w:eastAsia="Times New Roman"/>
                <w:b/>
                <w:bCs/>
                <w:color w:val="000000"/>
                <w:sz w:val="18"/>
                <w:szCs w:val="18"/>
              </w:rPr>
              <w:t>Year Ended</w:t>
            </w:r>
          </w:p>
        </w:tc>
      </w:tr>
      <w:tr w:rsidR="00000000" w14:paraId="2E2984BB" w14:textId="77777777">
        <w:trPr>
          <w:jc w:val="center"/>
        </w:trPr>
        <w:tc>
          <w:tcPr>
            <w:tcW w:w="0" w:type="auto"/>
            <w:gridSpan w:val="3"/>
            <w:tcMar>
              <w:top w:w="0" w:type="dxa"/>
              <w:left w:w="20" w:type="dxa"/>
              <w:bottom w:w="0" w:type="dxa"/>
              <w:right w:w="20" w:type="dxa"/>
            </w:tcMar>
            <w:vAlign w:val="center"/>
            <w:hideMark/>
          </w:tcPr>
          <w:p w14:paraId="44CA72C7"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A21875" w14:textId="77777777" w:rsidR="00000000" w:rsidRDefault="009B6C69">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56910403"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53DA2F" w14:textId="77777777" w:rsidR="00000000" w:rsidRDefault="009B6C69">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14:paraId="6FE5F08C"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4A22E5" w14:textId="77777777" w:rsidR="00000000" w:rsidRDefault="009B6C69">
            <w:pPr>
              <w:spacing w:after="100"/>
              <w:jc w:val="center"/>
              <w:rPr>
                <w:rFonts w:eastAsia="Times New Roman"/>
              </w:rPr>
            </w:pPr>
            <w:r>
              <w:rPr>
                <w:rFonts w:eastAsia="Times New Roman"/>
                <w:b/>
                <w:bCs/>
                <w:color w:val="000000"/>
                <w:sz w:val="18"/>
                <w:szCs w:val="18"/>
              </w:rPr>
              <w:t>September 27,</w:t>
            </w:r>
            <w:r>
              <w:rPr>
                <w:rFonts w:eastAsia="Times New Roman"/>
                <w:b/>
                <w:bCs/>
                <w:color w:val="000000"/>
                <w:sz w:val="18"/>
                <w:szCs w:val="18"/>
              </w:rPr>
              <w:br/>
              <w:t>2020</w:t>
            </w:r>
          </w:p>
        </w:tc>
      </w:tr>
      <w:tr w:rsidR="00000000" w14:paraId="1326DB5F" w14:textId="77777777">
        <w:trPr>
          <w:jc w:val="center"/>
        </w:trPr>
        <w:tc>
          <w:tcPr>
            <w:tcW w:w="0" w:type="auto"/>
            <w:gridSpan w:val="3"/>
            <w:tcMar>
              <w:top w:w="30" w:type="dxa"/>
              <w:left w:w="20" w:type="dxa"/>
              <w:bottom w:w="30" w:type="dxa"/>
              <w:right w:w="20" w:type="dxa"/>
            </w:tcMar>
            <w:vAlign w:val="bottom"/>
            <w:hideMark/>
          </w:tcPr>
          <w:p w14:paraId="09D5D619" w14:textId="77777777" w:rsidR="00000000" w:rsidRDefault="009B6C69">
            <w:pPr>
              <w:spacing w:after="100"/>
              <w:rPr>
                <w:rFonts w:eastAsia="Times New Roman"/>
              </w:rPr>
            </w:pPr>
            <w:r>
              <w:rPr>
                <w:rFonts w:eastAsia="Times New Roman"/>
                <w:b/>
                <w:bCs/>
                <w:color w:val="000000"/>
                <w:sz w:val="18"/>
                <w:szCs w:val="18"/>
              </w:rPr>
              <w:t>Operating Activities:</w:t>
            </w:r>
          </w:p>
        </w:tc>
        <w:tc>
          <w:tcPr>
            <w:tcW w:w="0" w:type="auto"/>
            <w:gridSpan w:val="3"/>
            <w:tcBorders>
              <w:top w:val="single" w:sz="8" w:space="0" w:color="000000"/>
            </w:tcBorders>
            <w:tcMar>
              <w:top w:w="0" w:type="dxa"/>
              <w:left w:w="20" w:type="dxa"/>
              <w:bottom w:w="0" w:type="dxa"/>
              <w:right w:w="20" w:type="dxa"/>
            </w:tcMar>
            <w:vAlign w:val="center"/>
            <w:hideMark/>
          </w:tcPr>
          <w:p w14:paraId="6B834097" w14:textId="77777777" w:rsidR="00000000" w:rsidRDefault="009B6C69">
            <w:pPr>
              <w:spacing w:after="100"/>
              <w:rPr>
                <w:rFonts w:eastAsia="Times New Roman"/>
              </w:rPr>
            </w:pPr>
          </w:p>
        </w:tc>
        <w:tc>
          <w:tcPr>
            <w:tcW w:w="0" w:type="auto"/>
            <w:gridSpan w:val="3"/>
            <w:tcMar>
              <w:top w:w="0" w:type="dxa"/>
              <w:left w:w="20" w:type="dxa"/>
              <w:bottom w:w="0" w:type="dxa"/>
              <w:right w:w="20" w:type="dxa"/>
            </w:tcMar>
            <w:vAlign w:val="center"/>
            <w:hideMark/>
          </w:tcPr>
          <w:p w14:paraId="2551D3F3" w14:textId="77777777" w:rsidR="00000000" w:rsidRDefault="009B6C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F3CC4C1"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54F1C8" w14:textId="77777777" w:rsidR="00000000" w:rsidRDefault="009B6C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ACC8568" w14:textId="77777777" w:rsidR="00000000" w:rsidRDefault="009B6C69">
            <w:pPr>
              <w:spacing w:after="100"/>
              <w:rPr>
                <w:rFonts w:eastAsia="Times New Roman"/>
                <w:sz w:val="20"/>
                <w:szCs w:val="20"/>
              </w:rPr>
            </w:pPr>
          </w:p>
        </w:tc>
      </w:tr>
      <w:tr w:rsidR="00000000" w14:paraId="19C7E0A8" w14:textId="77777777">
        <w:trPr>
          <w:jc w:val="center"/>
        </w:trPr>
        <w:tc>
          <w:tcPr>
            <w:tcW w:w="0" w:type="auto"/>
            <w:gridSpan w:val="3"/>
            <w:shd w:val="clear" w:color="auto" w:fill="CCEEFF"/>
            <w:tcMar>
              <w:top w:w="30" w:type="dxa"/>
              <w:left w:w="155" w:type="dxa"/>
              <w:bottom w:w="30" w:type="dxa"/>
              <w:right w:w="20" w:type="dxa"/>
            </w:tcMar>
            <w:vAlign w:val="bottom"/>
            <w:hideMark/>
          </w:tcPr>
          <w:p w14:paraId="54BA9743" w14:textId="77777777" w:rsidR="00000000" w:rsidRDefault="009B6C69">
            <w:pPr>
              <w:spacing w:after="100"/>
              <w:rPr>
                <w:rFonts w:eastAsia="Times New Roman"/>
              </w:rPr>
            </w:pPr>
            <w:r>
              <w:rPr>
                <w:rFonts w:eastAsia="Times New Roman"/>
                <w:color w:val="000000"/>
                <w:sz w:val="18"/>
                <w:szCs w:val="18"/>
              </w:rPr>
              <w:t>Net income from continuing operations</w:t>
            </w:r>
          </w:p>
        </w:tc>
        <w:tc>
          <w:tcPr>
            <w:tcW w:w="0" w:type="auto"/>
            <w:shd w:val="clear" w:color="auto" w:fill="CCEEFF"/>
            <w:tcMar>
              <w:top w:w="30" w:type="dxa"/>
              <w:left w:w="20" w:type="dxa"/>
              <w:bottom w:w="30" w:type="dxa"/>
              <w:right w:w="0" w:type="dxa"/>
            </w:tcMar>
            <w:vAlign w:val="bottom"/>
            <w:hideMark/>
          </w:tcPr>
          <w:p w14:paraId="1549D7AF"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CE40F18" w14:textId="77777777" w:rsidR="00000000" w:rsidRDefault="009B6C69">
            <w:pPr>
              <w:spacing w:after="100"/>
              <w:jc w:val="right"/>
              <w:rPr>
                <w:rFonts w:eastAsia="Times New Roman"/>
              </w:rPr>
            </w:pPr>
            <w:r>
              <w:rPr>
                <w:rFonts w:eastAsia="Times New Roman"/>
                <w:color w:val="000000"/>
                <w:sz w:val="18"/>
                <w:szCs w:val="18"/>
              </w:rPr>
              <w:t>12,986 </w:t>
            </w:r>
          </w:p>
        </w:tc>
        <w:tc>
          <w:tcPr>
            <w:tcW w:w="0" w:type="auto"/>
            <w:shd w:val="clear" w:color="auto" w:fill="CCEEFF"/>
            <w:tcMar>
              <w:top w:w="30" w:type="dxa"/>
              <w:left w:w="0" w:type="dxa"/>
              <w:bottom w:w="30" w:type="dxa"/>
              <w:right w:w="20" w:type="dxa"/>
            </w:tcMar>
            <w:vAlign w:val="bottom"/>
            <w:hideMark/>
          </w:tcPr>
          <w:p w14:paraId="6423E03C"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E59CD"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1A7FEE9"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4EB30FF" w14:textId="77777777" w:rsidR="00000000" w:rsidRDefault="009B6C69">
            <w:pPr>
              <w:spacing w:after="100"/>
              <w:jc w:val="right"/>
              <w:rPr>
                <w:rFonts w:eastAsia="Times New Roman"/>
              </w:rPr>
            </w:pPr>
            <w:r>
              <w:rPr>
                <w:rFonts w:eastAsia="Times New Roman"/>
                <w:color w:val="000000"/>
                <w:sz w:val="18"/>
                <w:szCs w:val="18"/>
              </w:rPr>
              <w:t>9,043 </w:t>
            </w:r>
          </w:p>
        </w:tc>
        <w:tc>
          <w:tcPr>
            <w:tcW w:w="0" w:type="auto"/>
            <w:shd w:val="clear" w:color="auto" w:fill="CCEEFF"/>
            <w:tcMar>
              <w:top w:w="30" w:type="dxa"/>
              <w:left w:w="0" w:type="dxa"/>
              <w:bottom w:w="30" w:type="dxa"/>
              <w:right w:w="20" w:type="dxa"/>
            </w:tcMar>
            <w:vAlign w:val="bottom"/>
            <w:hideMark/>
          </w:tcPr>
          <w:p w14:paraId="5DC38652"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04CFE8"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0A8C223"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52C7DCD" w14:textId="77777777" w:rsidR="00000000" w:rsidRDefault="009B6C69">
            <w:pPr>
              <w:spacing w:after="100"/>
              <w:jc w:val="right"/>
              <w:rPr>
                <w:rFonts w:eastAsia="Times New Roman"/>
              </w:rPr>
            </w:pPr>
            <w:r>
              <w:rPr>
                <w:rFonts w:eastAsia="Times New Roman"/>
                <w:color w:val="000000"/>
                <w:sz w:val="18"/>
                <w:szCs w:val="18"/>
              </w:rPr>
              <w:t>5,198 </w:t>
            </w:r>
          </w:p>
        </w:tc>
        <w:tc>
          <w:tcPr>
            <w:tcW w:w="0" w:type="auto"/>
            <w:shd w:val="clear" w:color="auto" w:fill="CCEEFF"/>
            <w:tcMar>
              <w:top w:w="30" w:type="dxa"/>
              <w:left w:w="0" w:type="dxa"/>
              <w:bottom w:w="30" w:type="dxa"/>
              <w:right w:w="20" w:type="dxa"/>
            </w:tcMar>
            <w:vAlign w:val="bottom"/>
            <w:hideMark/>
          </w:tcPr>
          <w:p w14:paraId="16E2E715" w14:textId="77777777" w:rsidR="00000000" w:rsidRDefault="009B6C69">
            <w:pPr>
              <w:spacing w:after="100"/>
              <w:jc w:val="right"/>
              <w:rPr>
                <w:rFonts w:eastAsia="Times New Roman"/>
              </w:rPr>
            </w:pPr>
          </w:p>
        </w:tc>
      </w:tr>
      <w:tr w:rsidR="00000000" w14:paraId="139419BC" w14:textId="77777777">
        <w:trPr>
          <w:jc w:val="center"/>
        </w:trPr>
        <w:tc>
          <w:tcPr>
            <w:tcW w:w="0" w:type="auto"/>
            <w:gridSpan w:val="6"/>
            <w:shd w:val="clear" w:color="auto" w:fill="FFFFFF"/>
            <w:tcMar>
              <w:top w:w="30" w:type="dxa"/>
              <w:left w:w="155" w:type="dxa"/>
              <w:bottom w:w="30" w:type="dxa"/>
              <w:right w:w="20" w:type="dxa"/>
            </w:tcMar>
            <w:vAlign w:val="bottom"/>
            <w:hideMark/>
          </w:tcPr>
          <w:p w14:paraId="24024036" w14:textId="77777777" w:rsidR="00000000" w:rsidRDefault="009B6C69">
            <w:pPr>
              <w:spacing w:after="100"/>
              <w:rPr>
                <w:rFonts w:eastAsia="Times New Roman"/>
              </w:rPr>
            </w:pPr>
            <w:r>
              <w:rPr>
                <w:rFonts w:eastAsia="Times New Roman"/>
                <w:color w:val="000000"/>
                <w:sz w:val="18"/>
                <w:szCs w:val="18"/>
              </w:rPr>
              <w:t>Adjustments to reconcile net income to net cash provided by operating activities:</w:t>
            </w:r>
          </w:p>
        </w:tc>
        <w:tc>
          <w:tcPr>
            <w:tcW w:w="0" w:type="auto"/>
            <w:gridSpan w:val="3"/>
            <w:shd w:val="clear" w:color="auto" w:fill="FFFFFF"/>
            <w:tcMar>
              <w:top w:w="0" w:type="dxa"/>
              <w:left w:w="20" w:type="dxa"/>
              <w:bottom w:w="0" w:type="dxa"/>
              <w:right w:w="20" w:type="dxa"/>
            </w:tcMar>
            <w:vAlign w:val="center"/>
            <w:hideMark/>
          </w:tcPr>
          <w:p w14:paraId="05660D6B" w14:textId="77777777" w:rsidR="00000000" w:rsidRDefault="009B6C6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71D8562"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0292CD55" w14:textId="77777777" w:rsidR="00000000" w:rsidRDefault="009B6C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DBE95B" w14:textId="77777777" w:rsidR="00000000" w:rsidRDefault="009B6C69">
            <w:pPr>
              <w:spacing w:after="100"/>
              <w:rPr>
                <w:rFonts w:eastAsia="Times New Roman"/>
                <w:sz w:val="20"/>
                <w:szCs w:val="20"/>
              </w:rPr>
            </w:pPr>
          </w:p>
        </w:tc>
      </w:tr>
      <w:tr w:rsidR="00000000" w14:paraId="4DBE1ABC" w14:textId="77777777">
        <w:trPr>
          <w:jc w:val="center"/>
        </w:trPr>
        <w:tc>
          <w:tcPr>
            <w:tcW w:w="0" w:type="auto"/>
            <w:gridSpan w:val="3"/>
            <w:shd w:val="clear" w:color="auto" w:fill="CCEEFF"/>
            <w:tcMar>
              <w:top w:w="30" w:type="dxa"/>
              <w:left w:w="245" w:type="dxa"/>
              <w:bottom w:w="30" w:type="dxa"/>
              <w:right w:w="20" w:type="dxa"/>
            </w:tcMar>
            <w:vAlign w:val="bottom"/>
            <w:hideMark/>
          </w:tcPr>
          <w:p w14:paraId="33AC0B54" w14:textId="77777777" w:rsidR="00000000" w:rsidRDefault="009B6C69">
            <w:pPr>
              <w:spacing w:after="100"/>
              <w:rPr>
                <w:rFonts w:eastAsia="Times New Roman"/>
              </w:rPr>
            </w:pPr>
            <w:r>
              <w:rPr>
                <w:rFonts w:eastAsia="Times New Roman"/>
                <w:color w:val="000000"/>
                <w:sz w:val="18"/>
                <w:szCs w:val="18"/>
              </w:rPr>
              <w:t>Depreciation and amortization expense</w:t>
            </w:r>
          </w:p>
        </w:tc>
        <w:tc>
          <w:tcPr>
            <w:tcW w:w="0" w:type="auto"/>
            <w:gridSpan w:val="2"/>
            <w:shd w:val="clear" w:color="auto" w:fill="CCEEFF"/>
            <w:tcMar>
              <w:top w:w="30" w:type="dxa"/>
              <w:left w:w="20" w:type="dxa"/>
              <w:bottom w:w="30" w:type="dxa"/>
              <w:right w:w="0" w:type="dxa"/>
            </w:tcMar>
            <w:vAlign w:val="bottom"/>
            <w:hideMark/>
          </w:tcPr>
          <w:p w14:paraId="6A3B5AAC" w14:textId="77777777" w:rsidR="00000000" w:rsidRDefault="009B6C69">
            <w:pPr>
              <w:spacing w:after="100"/>
              <w:jc w:val="right"/>
              <w:rPr>
                <w:rFonts w:eastAsia="Times New Roman"/>
              </w:rPr>
            </w:pPr>
            <w:r>
              <w:rPr>
                <w:rFonts w:eastAsia="Times New Roman"/>
                <w:color w:val="000000"/>
                <w:sz w:val="18"/>
                <w:szCs w:val="18"/>
              </w:rPr>
              <w:t>1,762 </w:t>
            </w:r>
          </w:p>
        </w:tc>
        <w:tc>
          <w:tcPr>
            <w:tcW w:w="0" w:type="auto"/>
            <w:shd w:val="clear" w:color="auto" w:fill="CCEEFF"/>
            <w:tcMar>
              <w:top w:w="30" w:type="dxa"/>
              <w:left w:w="0" w:type="dxa"/>
              <w:bottom w:w="30" w:type="dxa"/>
              <w:right w:w="20" w:type="dxa"/>
            </w:tcMar>
            <w:vAlign w:val="bottom"/>
            <w:hideMark/>
          </w:tcPr>
          <w:p w14:paraId="02126B6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B00081"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10086A" w14:textId="77777777" w:rsidR="00000000" w:rsidRDefault="009B6C69">
            <w:pPr>
              <w:spacing w:after="100"/>
              <w:jc w:val="right"/>
              <w:rPr>
                <w:rFonts w:eastAsia="Times New Roman"/>
              </w:rPr>
            </w:pPr>
            <w:r>
              <w:rPr>
                <w:rFonts w:eastAsia="Times New Roman"/>
                <w:color w:val="000000"/>
                <w:sz w:val="18"/>
                <w:szCs w:val="18"/>
              </w:rPr>
              <w:t>1,582 </w:t>
            </w:r>
          </w:p>
        </w:tc>
        <w:tc>
          <w:tcPr>
            <w:tcW w:w="0" w:type="auto"/>
            <w:shd w:val="clear" w:color="auto" w:fill="CCEEFF"/>
            <w:tcMar>
              <w:top w:w="30" w:type="dxa"/>
              <w:left w:w="0" w:type="dxa"/>
              <w:bottom w:w="30" w:type="dxa"/>
              <w:right w:w="20" w:type="dxa"/>
            </w:tcMar>
            <w:vAlign w:val="bottom"/>
            <w:hideMark/>
          </w:tcPr>
          <w:p w14:paraId="401FBA2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35365F"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73A9F0" w14:textId="77777777" w:rsidR="00000000" w:rsidRDefault="009B6C69">
            <w:pPr>
              <w:spacing w:after="100"/>
              <w:jc w:val="right"/>
              <w:rPr>
                <w:rFonts w:eastAsia="Times New Roman"/>
              </w:rPr>
            </w:pPr>
            <w:r>
              <w:rPr>
                <w:rFonts w:eastAsia="Times New Roman"/>
                <w:color w:val="000000"/>
                <w:sz w:val="18"/>
                <w:szCs w:val="18"/>
              </w:rPr>
              <w:t>1,393 </w:t>
            </w:r>
          </w:p>
        </w:tc>
        <w:tc>
          <w:tcPr>
            <w:tcW w:w="0" w:type="auto"/>
            <w:shd w:val="clear" w:color="auto" w:fill="CCEEFF"/>
            <w:tcMar>
              <w:top w:w="30" w:type="dxa"/>
              <w:left w:w="0" w:type="dxa"/>
              <w:bottom w:w="30" w:type="dxa"/>
              <w:right w:w="20" w:type="dxa"/>
            </w:tcMar>
            <w:vAlign w:val="bottom"/>
            <w:hideMark/>
          </w:tcPr>
          <w:p w14:paraId="304B2458" w14:textId="77777777" w:rsidR="00000000" w:rsidRDefault="009B6C69">
            <w:pPr>
              <w:spacing w:after="100"/>
              <w:jc w:val="right"/>
              <w:rPr>
                <w:rFonts w:eastAsia="Times New Roman"/>
              </w:rPr>
            </w:pPr>
          </w:p>
        </w:tc>
      </w:tr>
      <w:tr w:rsidR="00000000" w14:paraId="08E10A41" w14:textId="77777777">
        <w:trPr>
          <w:jc w:val="center"/>
        </w:trPr>
        <w:tc>
          <w:tcPr>
            <w:tcW w:w="0" w:type="auto"/>
            <w:gridSpan w:val="3"/>
            <w:shd w:val="clear" w:color="auto" w:fill="FFFFFF"/>
            <w:tcMar>
              <w:top w:w="30" w:type="dxa"/>
              <w:left w:w="245" w:type="dxa"/>
              <w:bottom w:w="30" w:type="dxa"/>
              <w:right w:w="20" w:type="dxa"/>
            </w:tcMar>
            <w:vAlign w:val="bottom"/>
            <w:hideMark/>
          </w:tcPr>
          <w:p w14:paraId="1114852D" w14:textId="77777777" w:rsidR="00000000" w:rsidRDefault="009B6C69">
            <w:pPr>
              <w:spacing w:after="100"/>
              <w:rPr>
                <w:rFonts w:eastAsia="Times New Roman"/>
              </w:rPr>
            </w:pPr>
            <w:r>
              <w:rPr>
                <w:rFonts w:eastAsia="Times New Roman"/>
                <w:color w:val="000000"/>
                <w:sz w:val="18"/>
                <w:szCs w:val="18"/>
              </w:rPr>
              <w:t>Income tax provision less than income tax payments</w:t>
            </w:r>
          </w:p>
        </w:tc>
        <w:tc>
          <w:tcPr>
            <w:tcW w:w="0" w:type="auto"/>
            <w:gridSpan w:val="2"/>
            <w:shd w:val="clear" w:color="auto" w:fill="FFFFFF"/>
            <w:tcMar>
              <w:top w:w="30" w:type="dxa"/>
              <w:left w:w="20" w:type="dxa"/>
              <w:bottom w:w="30" w:type="dxa"/>
              <w:right w:w="0" w:type="dxa"/>
            </w:tcMar>
            <w:vAlign w:val="bottom"/>
            <w:hideMark/>
          </w:tcPr>
          <w:p w14:paraId="5B45D1E2" w14:textId="77777777" w:rsidR="00000000" w:rsidRDefault="009B6C69">
            <w:pPr>
              <w:spacing w:after="100"/>
              <w:jc w:val="right"/>
              <w:rPr>
                <w:rFonts w:eastAsia="Times New Roman"/>
              </w:rPr>
            </w:pPr>
            <w:r>
              <w:rPr>
                <w:rFonts w:eastAsia="Times New Roman"/>
                <w:color w:val="000000"/>
                <w:sz w:val="18"/>
                <w:szCs w:val="18"/>
              </w:rPr>
              <w:t>(138)</w:t>
            </w:r>
          </w:p>
        </w:tc>
        <w:tc>
          <w:tcPr>
            <w:tcW w:w="0" w:type="auto"/>
            <w:shd w:val="clear" w:color="auto" w:fill="FFFFFF"/>
            <w:tcMar>
              <w:top w:w="30" w:type="dxa"/>
              <w:left w:w="0" w:type="dxa"/>
              <w:bottom w:w="30" w:type="dxa"/>
              <w:right w:w="20" w:type="dxa"/>
            </w:tcMar>
            <w:vAlign w:val="bottom"/>
            <w:hideMark/>
          </w:tcPr>
          <w:p w14:paraId="2091B055"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266F91"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92DA7B" w14:textId="77777777" w:rsidR="00000000" w:rsidRDefault="009B6C69">
            <w:pPr>
              <w:spacing w:after="100"/>
              <w:jc w:val="right"/>
              <w:rPr>
                <w:rFonts w:eastAsia="Times New Roman"/>
              </w:rPr>
            </w:pPr>
            <w:r>
              <w:rPr>
                <w:rFonts w:eastAsia="Times New Roman"/>
                <w:color w:val="000000"/>
                <w:sz w:val="18"/>
                <w:szCs w:val="18"/>
              </w:rPr>
              <w:t>(245)</w:t>
            </w:r>
          </w:p>
        </w:tc>
        <w:tc>
          <w:tcPr>
            <w:tcW w:w="0" w:type="auto"/>
            <w:shd w:val="clear" w:color="auto" w:fill="FFFFFF"/>
            <w:tcMar>
              <w:top w:w="30" w:type="dxa"/>
              <w:left w:w="0" w:type="dxa"/>
              <w:bottom w:w="30" w:type="dxa"/>
              <w:right w:w="20" w:type="dxa"/>
            </w:tcMar>
            <w:vAlign w:val="bottom"/>
            <w:hideMark/>
          </w:tcPr>
          <w:p w14:paraId="75D45B20"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B8CE89"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D85DF9" w14:textId="77777777" w:rsidR="00000000" w:rsidRDefault="009B6C69">
            <w:pPr>
              <w:spacing w:after="100"/>
              <w:jc w:val="right"/>
              <w:rPr>
                <w:rFonts w:eastAsia="Times New Roman"/>
              </w:rPr>
            </w:pPr>
            <w:r>
              <w:rPr>
                <w:rFonts w:eastAsia="Times New Roman"/>
                <w:color w:val="000000"/>
                <w:sz w:val="18"/>
                <w:szCs w:val="18"/>
              </w:rPr>
              <w:t>(309)</w:t>
            </w:r>
          </w:p>
        </w:tc>
        <w:tc>
          <w:tcPr>
            <w:tcW w:w="0" w:type="auto"/>
            <w:shd w:val="clear" w:color="auto" w:fill="FFFFFF"/>
            <w:tcMar>
              <w:top w:w="30" w:type="dxa"/>
              <w:left w:w="0" w:type="dxa"/>
              <w:bottom w:w="30" w:type="dxa"/>
              <w:right w:w="20" w:type="dxa"/>
            </w:tcMar>
            <w:vAlign w:val="bottom"/>
            <w:hideMark/>
          </w:tcPr>
          <w:p w14:paraId="0199EB35" w14:textId="77777777" w:rsidR="00000000" w:rsidRDefault="009B6C69">
            <w:pPr>
              <w:spacing w:after="100"/>
              <w:jc w:val="right"/>
              <w:rPr>
                <w:rFonts w:eastAsia="Times New Roman"/>
              </w:rPr>
            </w:pPr>
          </w:p>
        </w:tc>
      </w:tr>
      <w:tr w:rsidR="00000000" w14:paraId="076BD6C8" w14:textId="77777777">
        <w:trPr>
          <w:jc w:val="center"/>
        </w:trPr>
        <w:tc>
          <w:tcPr>
            <w:tcW w:w="0" w:type="auto"/>
            <w:gridSpan w:val="3"/>
            <w:shd w:val="clear" w:color="auto" w:fill="CCEEFF"/>
            <w:tcMar>
              <w:top w:w="30" w:type="dxa"/>
              <w:left w:w="245" w:type="dxa"/>
              <w:bottom w:w="30" w:type="dxa"/>
              <w:right w:w="20" w:type="dxa"/>
            </w:tcMar>
            <w:vAlign w:val="bottom"/>
            <w:hideMark/>
          </w:tcPr>
          <w:p w14:paraId="3C53035B" w14:textId="77777777" w:rsidR="00000000" w:rsidRDefault="009B6C69">
            <w:pPr>
              <w:spacing w:after="100"/>
              <w:rPr>
                <w:rFonts w:eastAsia="Times New Roman"/>
              </w:rPr>
            </w:pPr>
            <w:r>
              <w:rPr>
                <w:rFonts w:eastAsia="Times New Roman"/>
                <w:color w:val="000000"/>
                <w:sz w:val="18"/>
                <w:szCs w:val="18"/>
              </w:rPr>
              <w:t>Share-based compensation expense</w:t>
            </w:r>
          </w:p>
        </w:tc>
        <w:tc>
          <w:tcPr>
            <w:tcW w:w="0" w:type="auto"/>
            <w:gridSpan w:val="2"/>
            <w:shd w:val="clear" w:color="auto" w:fill="CCEEFF"/>
            <w:tcMar>
              <w:top w:w="30" w:type="dxa"/>
              <w:left w:w="20" w:type="dxa"/>
              <w:bottom w:w="30" w:type="dxa"/>
              <w:right w:w="0" w:type="dxa"/>
            </w:tcMar>
            <w:vAlign w:val="bottom"/>
            <w:hideMark/>
          </w:tcPr>
          <w:p w14:paraId="57B491B0" w14:textId="77777777" w:rsidR="00000000" w:rsidRDefault="009B6C69">
            <w:pPr>
              <w:spacing w:after="100"/>
              <w:jc w:val="right"/>
              <w:rPr>
                <w:rFonts w:eastAsia="Times New Roman"/>
              </w:rPr>
            </w:pPr>
            <w:r>
              <w:rPr>
                <w:rFonts w:eastAsia="Times New Roman"/>
                <w:color w:val="000000"/>
                <w:sz w:val="18"/>
                <w:szCs w:val="18"/>
              </w:rPr>
              <w:t>2,031 </w:t>
            </w:r>
          </w:p>
        </w:tc>
        <w:tc>
          <w:tcPr>
            <w:tcW w:w="0" w:type="auto"/>
            <w:shd w:val="clear" w:color="auto" w:fill="CCEEFF"/>
            <w:tcMar>
              <w:top w:w="30" w:type="dxa"/>
              <w:left w:w="0" w:type="dxa"/>
              <w:bottom w:w="30" w:type="dxa"/>
              <w:right w:w="20" w:type="dxa"/>
            </w:tcMar>
            <w:vAlign w:val="bottom"/>
            <w:hideMark/>
          </w:tcPr>
          <w:p w14:paraId="4545E40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48D6C0"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635C2A" w14:textId="77777777" w:rsidR="00000000" w:rsidRDefault="009B6C69">
            <w:pPr>
              <w:spacing w:after="100"/>
              <w:jc w:val="right"/>
              <w:rPr>
                <w:rFonts w:eastAsia="Times New Roman"/>
              </w:rPr>
            </w:pPr>
            <w:r>
              <w:rPr>
                <w:rFonts w:eastAsia="Times New Roman"/>
                <w:color w:val="000000"/>
                <w:sz w:val="18"/>
                <w:szCs w:val="18"/>
              </w:rPr>
              <w:t>1,663 </w:t>
            </w:r>
          </w:p>
        </w:tc>
        <w:tc>
          <w:tcPr>
            <w:tcW w:w="0" w:type="auto"/>
            <w:shd w:val="clear" w:color="auto" w:fill="CCEEFF"/>
            <w:tcMar>
              <w:top w:w="30" w:type="dxa"/>
              <w:left w:w="0" w:type="dxa"/>
              <w:bottom w:w="30" w:type="dxa"/>
              <w:right w:w="20" w:type="dxa"/>
            </w:tcMar>
            <w:vAlign w:val="bottom"/>
            <w:hideMark/>
          </w:tcPr>
          <w:p w14:paraId="5CD39DFC"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60A796"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09F391" w14:textId="77777777" w:rsidR="00000000" w:rsidRDefault="009B6C69">
            <w:pPr>
              <w:spacing w:after="100"/>
              <w:jc w:val="right"/>
              <w:rPr>
                <w:rFonts w:eastAsia="Times New Roman"/>
              </w:rPr>
            </w:pPr>
            <w:r>
              <w:rPr>
                <w:rFonts w:eastAsia="Times New Roman"/>
                <w:color w:val="000000"/>
                <w:sz w:val="18"/>
                <w:szCs w:val="18"/>
              </w:rPr>
              <w:t>1,212 </w:t>
            </w:r>
          </w:p>
        </w:tc>
        <w:tc>
          <w:tcPr>
            <w:tcW w:w="0" w:type="auto"/>
            <w:shd w:val="clear" w:color="auto" w:fill="CCEEFF"/>
            <w:tcMar>
              <w:top w:w="30" w:type="dxa"/>
              <w:left w:w="0" w:type="dxa"/>
              <w:bottom w:w="30" w:type="dxa"/>
              <w:right w:w="20" w:type="dxa"/>
            </w:tcMar>
            <w:vAlign w:val="bottom"/>
            <w:hideMark/>
          </w:tcPr>
          <w:p w14:paraId="58D1E5DB" w14:textId="77777777" w:rsidR="00000000" w:rsidRDefault="009B6C69">
            <w:pPr>
              <w:spacing w:after="100"/>
              <w:jc w:val="right"/>
              <w:rPr>
                <w:rFonts w:eastAsia="Times New Roman"/>
              </w:rPr>
            </w:pPr>
          </w:p>
        </w:tc>
      </w:tr>
      <w:tr w:rsidR="00000000" w14:paraId="1E8796C9" w14:textId="77777777">
        <w:trPr>
          <w:jc w:val="center"/>
        </w:trPr>
        <w:tc>
          <w:tcPr>
            <w:tcW w:w="0" w:type="auto"/>
            <w:gridSpan w:val="3"/>
            <w:shd w:val="clear" w:color="auto" w:fill="FFFFFF"/>
            <w:tcMar>
              <w:top w:w="30" w:type="dxa"/>
              <w:left w:w="245" w:type="dxa"/>
              <w:bottom w:w="30" w:type="dxa"/>
              <w:right w:w="20" w:type="dxa"/>
            </w:tcMar>
            <w:vAlign w:val="bottom"/>
            <w:hideMark/>
          </w:tcPr>
          <w:p w14:paraId="4F1B706D" w14:textId="77777777" w:rsidR="00000000" w:rsidRDefault="009B6C69">
            <w:pPr>
              <w:spacing w:after="100"/>
              <w:rPr>
                <w:rFonts w:eastAsia="Times New Roman"/>
              </w:rPr>
            </w:pPr>
            <w:r>
              <w:rPr>
                <w:rFonts w:eastAsia="Times New Roman"/>
                <w:color w:val="000000"/>
                <w:sz w:val="18"/>
                <w:szCs w:val="18"/>
              </w:rPr>
              <w:t>Net losses (gains) on marketable securities and other investments</w:t>
            </w:r>
          </w:p>
        </w:tc>
        <w:tc>
          <w:tcPr>
            <w:tcW w:w="0" w:type="auto"/>
            <w:gridSpan w:val="2"/>
            <w:shd w:val="clear" w:color="auto" w:fill="FFFFFF"/>
            <w:tcMar>
              <w:top w:w="30" w:type="dxa"/>
              <w:left w:w="20" w:type="dxa"/>
              <w:bottom w:w="30" w:type="dxa"/>
              <w:right w:w="0" w:type="dxa"/>
            </w:tcMar>
            <w:vAlign w:val="bottom"/>
            <w:hideMark/>
          </w:tcPr>
          <w:p w14:paraId="6AB4E128" w14:textId="77777777" w:rsidR="00000000" w:rsidRDefault="009B6C69">
            <w:pPr>
              <w:spacing w:after="100"/>
              <w:jc w:val="right"/>
              <w:rPr>
                <w:rFonts w:eastAsia="Times New Roman"/>
              </w:rPr>
            </w:pPr>
            <w:r>
              <w:rPr>
                <w:rFonts w:eastAsia="Times New Roman"/>
                <w:color w:val="000000"/>
                <w:sz w:val="18"/>
                <w:szCs w:val="18"/>
              </w:rPr>
              <w:t>432 </w:t>
            </w:r>
          </w:p>
        </w:tc>
        <w:tc>
          <w:tcPr>
            <w:tcW w:w="0" w:type="auto"/>
            <w:shd w:val="clear" w:color="auto" w:fill="FFFFFF"/>
            <w:tcMar>
              <w:top w:w="30" w:type="dxa"/>
              <w:left w:w="0" w:type="dxa"/>
              <w:bottom w:w="30" w:type="dxa"/>
              <w:right w:w="20" w:type="dxa"/>
            </w:tcMar>
            <w:vAlign w:val="bottom"/>
            <w:hideMark/>
          </w:tcPr>
          <w:p w14:paraId="382EBA63"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B12F4B"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704D73" w14:textId="77777777" w:rsidR="00000000" w:rsidRDefault="009B6C69">
            <w:pPr>
              <w:spacing w:after="100"/>
              <w:jc w:val="right"/>
              <w:rPr>
                <w:rFonts w:eastAsia="Times New Roman"/>
              </w:rPr>
            </w:pPr>
            <w:r>
              <w:rPr>
                <w:rFonts w:eastAsia="Times New Roman"/>
                <w:color w:val="000000"/>
                <w:sz w:val="18"/>
                <w:szCs w:val="18"/>
              </w:rPr>
              <w:t>(1,002)</w:t>
            </w:r>
          </w:p>
        </w:tc>
        <w:tc>
          <w:tcPr>
            <w:tcW w:w="0" w:type="auto"/>
            <w:shd w:val="clear" w:color="auto" w:fill="FFFFFF"/>
            <w:tcMar>
              <w:top w:w="30" w:type="dxa"/>
              <w:left w:w="0" w:type="dxa"/>
              <w:bottom w:w="30" w:type="dxa"/>
              <w:right w:w="20" w:type="dxa"/>
            </w:tcMar>
            <w:vAlign w:val="bottom"/>
            <w:hideMark/>
          </w:tcPr>
          <w:p w14:paraId="425822B3"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37F27C"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5E677F" w14:textId="77777777" w:rsidR="00000000" w:rsidRDefault="009B6C69">
            <w:pPr>
              <w:spacing w:after="100"/>
              <w:jc w:val="right"/>
              <w:rPr>
                <w:rFonts w:eastAsia="Times New Roman"/>
              </w:rPr>
            </w:pPr>
            <w:r>
              <w:rPr>
                <w:rFonts w:eastAsia="Times New Roman"/>
                <w:color w:val="000000"/>
                <w:sz w:val="18"/>
                <w:szCs w:val="18"/>
              </w:rPr>
              <w:t>(336)</w:t>
            </w:r>
          </w:p>
        </w:tc>
        <w:tc>
          <w:tcPr>
            <w:tcW w:w="0" w:type="auto"/>
            <w:shd w:val="clear" w:color="auto" w:fill="FFFFFF"/>
            <w:tcMar>
              <w:top w:w="30" w:type="dxa"/>
              <w:left w:w="0" w:type="dxa"/>
              <w:bottom w:w="30" w:type="dxa"/>
              <w:right w:w="20" w:type="dxa"/>
            </w:tcMar>
            <w:vAlign w:val="bottom"/>
            <w:hideMark/>
          </w:tcPr>
          <w:p w14:paraId="43B554EB" w14:textId="77777777" w:rsidR="00000000" w:rsidRDefault="009B6C69">
            <w:pPr>
              <w:spacing w:after="100"/>
              <w:jc w:val="right"/>
              <w:rPr>
                <w:rFonts w:eastAsia="Times New Roman"/>
              </w:rPr>
            </w:pPr>
          </w:p>
        </w:tc>
      </w:tr>
      <w:tr w:rsidR="00000000" w14:paraId="1B672418" w14:textId="77777777">
        <w:trPr>
          <w:jc w:val="center"/>
        </w:trPr>
        <w:tc>
          <w:tcPr>
            <w:tcW w:w="0" w:type="auto"/>
            <w:gridSpan w:val="3"/>
            <w:vAlign w:val="center"/>
            <w:hideMark/>
          </w:tcPr>
          <w:p w14:paraId="52B06793" w14:textId="77777777" w:rsidR="00000000" w:rsidRDefault="009B6C69">
            <w:pPr>
              <w:spacing w:after="100"/>
              <w:jc w:val="right"/>
              <w:rPr>
                <w:rFonts w:eastAsia="Times New Roman"/>
                <w:sz w:val="20"/>
                <w:szCs w:val="20"/>
              </w:rPr>
            </w:pPr>
          </w:p>
        </w:tc>
        <w:tc>
          <w:tcPr>
            <w:tcW w:w="0" w:type="auto"/>
            <w:gridSpan w:val="3"/>
            <w:vAlign w:val="center"/>
            <w:hideMark/>
          </w:tcPr>
          <w:p w14:paraId="548241FA" w14:textId="77777777" w:rsidR="00000000" w:rsidRDefault="009B6C69">
            <w:pPr>
              <w:spacing w:after="100"/>
              <w:rPr>
                <w:rFonts w:eastAsia="Times New Roman"/>
                <w:sz w:val="20"/>
                <w:szCs w:val="20"/>
              </w:rPr>
            </w:pPr>
          </w:p>
        </w:tc>
        <w:tc>
          <w:tcPr>
            <w:tcW w:w="0" w:type="auto"/>
            <w:gridSpan w:val="3"/>
            <w:vAlign w:val="center"/>
            <w:hideMark/>
          </w:tcPr>
          <w:p w14:paraId="2429E9EA" w14:textId="77777777" w:rsidR="00000000" w:rsidRDefault="009B6C69">
            <w:pPr>
              <w:spacing w:after="100"/>
              <w:rPr>
                <w:rFonts w:eastAsia="Times New Roman"/>
                <w:sz w:val="20"/>
                <w:szCs w:val="20"/>
              </w:rPr>
            </w:pPr>
          </w:p>
        </w:tc>
        <w:tc>
          <w:tcPr>
            <w:tcW w:w="0" w:type="auto"/>
            <w:gridSpan w:val="3"/>
            <w:vAlign w:val="center"/>
            <w:hideMark/>
          </w:tcPr>
          <w:p w14:paraId="76FF8488" w14:textId="77777777" w:rsidR="00000000" w:rsidRDefault="009B6C69">
            <w:pPr>
              <w:spacing w:after="100"/>
              <w:rPr>
                <w:rFonts w:eastAsia="Times New Roman"/>
                <w:sz w:val="20"/>
                <w:szCs w:val="20"/>
              </w:rPr>
            </w:pPr>
          </w:p>
        </w:tc>
        <w:tc>
          <w:tcPr>
            <w:tcW w:w="0" w:type="auto"/>
            <w:gridSpan w:val="3"/>
            <w:vAlign w:val="center"/>
            <w:hideMark/>
          </w:tcPr>
          <w:p w14:paraId="438C3D08" w14:textId="77777777" w:rsidR="00000000" w:rsidRDefault="009B6C69">
            <w:pPr>
              <w:spacing w:after="100"/>
              <w:rPr>
                <w:rFonts w:eastAsia="Times New Roman"/>
                <w:sz w:val="20"/>
                <w:szCs w:val="20"/>
              </w:rPr>
            </w:pPr>
          </w:p>
        </w:tc>
        <w:tc>
          <w:tcPr>
            <w:tcW w:w="0" w:type="auto"/>
            <w:gridSpan w:val="3"/>
            <w:vAlign w:val="center"/>
            <w:hideMark/>
          </w:tcPr>
          <w:p w14:paraId="760E3DD6" w14:textId="77777777" w:rsidR="00000000" w:rsidRDefault="009B6C69">
            <w:pPr>
              <w:spacing w:after="100"/>
              <w:rPr>
                <w:rFonts w:eastAsia="Times New Roman"/>
                <w:sz w:val="20"/>
                <w:szCs w:val="20"/>
              </w:rPr>
            </w:pPr>
          </w:p>
        </w:tc>
      </w:tr>
      <w:tr w:rsidR="00000000" w14:paraId="2828BC2C" w14:textId="77777777">
        <w:trPr>
          <w:jc w:val="center"/>
        </w:trPr>
        <w:tc>
          <w:tcPr>
            <w:tcW w:w="0" w:type="auto"/>
            <w:gridSpan w:val="3"/>
            <w:shd w:val="clear" w:color="auto" w:fill="CCEEFF"/>
            <w:tcMar>
              <w:top w:w="30" w:type="dxa"/>
              <w:left w:w="245" w:type="dxa"/>
              <w:bottom w:w="30" w:type="dxa"/>
              <w:right w:w="20" w:type="dxa"/>
            </w:tcMar>
            <w:vAlign w:val="bottom"/>
            <w:hideMark/>
          </w:tcPr>
          <w:p w14:paraId="5EE06F2E" w14:textId="77777777" w:rsidR="00000000" w:rsidRDefault="009B6C69">
            <w:pPr>
              <w:spacing w:after="100"/>
              <w:rPr>
                <w:rFonts w:eastAsia="Times New Roman"/>
              </w:rPr>
            </w:pPr>
            <w:r>
              <w:rPr>
                <w:rFonts w:eastAsia="Times New Roman"/>
                <w:color w:val="000000"/>
                <w:sz w:val="18"/>
                <w:szCs w:val="18"/>
              </w:rPr>
              <w:t>Impairment losses on marketable securities and other investments</w:t>
            </w:r>
          </w:p>
        </w:tc>
        <w:tc>
          <w:tcPr>
            <w:tcW w:w="0" w:type="auto"/>
            <w:gridSpan w:val="2"/>
            <w:shd w:val="clear" w:color="auto" w:fill="CCEEFF"/>
            <w:tcMar>
              <w:top w:w="30" w:type="dxa"/>
              <w:left w:w="20" w:type="dxa"/>
              <w:bottom w:w="30" w:type="dxa"/>
              <w:right w:w="0" w:type="dxa"/>
            </w:tcMar>
            <w:vAlign w:val="bottom"/>
            <w:hideMark/>
          </w:tcPr>
          <w:p w14:paraId="631615F8" w14:textId="77777777" w:rsidR="00000000" w:rsidRDefault="009B6C69">
            <w:pPr>
              <w:spacing w:after="100"/>
              <w:jc w:val="right"/>
              <w:rPr>
                <w:rFonts w:eastAsia="Times New Roman"/>
              </w:rPr>
            </w:pPr>
            <w:r>
              <w:rPr>
                <w:rFonts w:eastAsia="Times New Roman"/>
                <w:color w:val="000000"/>
                <w:sz w:val="18"/>
                <w:szCs w:val="18"/>
              </w:rPr>
              <w:t>47 </w:t>
            </w:r>
          </w:p>
        </w:tc>
        <w:tc>
          <w:tcPr>
            <w:tcW w:w="0" w:type="auto"/>
            <w:shd w:val="clear" w:color="auto" w:fill="CCEEFF"/>
            <w:tcMar>
              <w:top w:w="30" w:type="dxa"/>
              <w:left w:w="0" w:type="dxa"/>
              <w:bottom w:w="30" w:type="dxa"/>
              <w:right w:w="20" w:type="dxa"/>
            </w:tcMar>
            <w:vAlign w:val="bottom"/>
            <w:hideMark/>
          </w:tcPr>
          <w:p w14:paraId="6155B84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8AD522"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1F3751" w14:textId="77777777" w:rsidR="00000000" w:rsidRDefault="009B6C69">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14:paraId="1D9A009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152C05"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469821" w14:textId="77777777" w:rsidR="00000000" w:rsidRDefault="009B6C69">
            <w:pPr>
              <w:spacing w:after="100"/>
              <w:jc w:val="right"/>
              <w:rPr>
                <w:rFonts w:eastAsia="Times New Roman"/>
              </w:rPr>
            </w:pPr>
            <w:r>
              <w:rPr>
                <w:rFonts w:eastAsia="Times New Roman"/>
                <w:color w:val="000000"/>
                <w:sz w:val="18"/>
                <w:szCs w:val="18"/>
              </w:rPr>
              <w:t>405 </w:t>
            </w:r>
          </w:p>
        </w:tc>
        <w:tc>
          <w:tcPr>
            <w:tcW w:w="0" w:type="auto"/>
            <w:shd w:val="clear" w:color="auto" w:fill="CCEEFF"/>
            <w:tcMar>
              <w:top w:w="30" w:type="dxa"/>
              <w:left w:w="0" w:type="dxa"/>
              <w:bottom w:w="30" w:type="dxa"/>
              <w:right w:w="20" w:type="dxa"/>
            </w:tcMar>
            <w:vAlign w:val="bottom"/>
            <w:hideMark/>
          </w:tcPr>
          <w:p w14:paraId="7246FB6F" w14:textId="77777777" w:rsidR="00000000" w:rsidRDefault="009B6C69">
            <w:pPr>
              <w:spacing w:after="100"/>
              <w:jc w:val="right"/>
              <w:rPr>
                <w:rFonts w:eastAsia="Times New Roman"/>
              </w:rPr>
            </w:pPr>
          </w:p>
        </w:tc>
      </w:tr>
      <w:tr w:rsidR="00000000" w14:paraId="062803B5" w14:textId="77777777">
        <w:trPr>
          <w:jc w:val="center"/>
        </w:trPr>
        <w:tc>
          <w:tcPr>
            <w:tcW w:w="0" w:type="auto"/>
            <w:gridSpan w:val="3"/>
            <w:vAlign w:val="center"/>
            <w:hideMark/>
          </w:tcPr>
          <w:p w14:paraId="3DC7BEB9" w14:textId="77777777" w:rsidR="00000000" w:rsidRDefault="009B6C69">
            <w:pPr>
              <w:spacing w:after="100"/>
              <w:jc w:val="right"/>
              <w:rPr>
                <w:rFonts w:eastAsia="Times New Roman"/>
                <w:sz w:val="20"/>
                <w:szCs w:val="20"/>
              </w:rPr>
            </w:pPr>
          </w:p>
        </w:tc>
        <w:tc>
          <w:tcPr>
            <w:tcW w:w="0" w:type="auto"/>
            <w:gridSpan w:val="3"/>
            <w:vAlign w:val="center"/>
            <w:hideMark/>
          </w:tcPr>
          <w:p w14:paraId="32EC97C6" w14:textId="77777777" w:rsidR="00000000" w:rsidRDefault="009B6C69">
            <w:pPr>
              <w:spacing w:after="100"/>
              <w:rPr>
                <w:rFonts w:eastAsia="Times New Roman"/>
                <w:sz w:val="20"/>
                <w:szCs w:val="20"/>
              </w:rPr>
            </w:pPr>
          </w:p>
        </w:tc>
        <w:tc>
          <w:tcPr>
            <w:tcW w:w="0" w:type="auto"/>
            <w:gridSpan w:val="3"/>
            <w:vAlign w:val="center"/>
            <w:hideMark/>
          </w:tcPr>
          <w:p w14:paraId="3987553B" w14:textId="77777777" w:rsidR="00000000" w:rsidRDefault="009B6C69">
            <w:pPr>
              <w:spacing w:after="100"/>
              <w:rPr>
                <w:rFonts w:eastAsia="Times New Roman"/>
                <w:sz w:val="20"/>
                <w:szCs w:val="20"/>
              </w:rPr>
            </w:pPr>
          </w:p>
        </w:tc>
        <w:tc>
          <w:tcPr>
            <w:tcW w:w="0" w:type="auto"/>
            <w:gridSpan w:val="3"/>
            <w:vAlign w:val="center"/>
            <w:hideMark/>
          </w:tcPr>
          <w:p w14:paraId="17DD8B28" w14:textId="77777777" w:rsidR="00000000" w:rsidRDefault="009B6C69">
            <w:pPr>
              <w:spacing w:after="100"/>
              <w:rPr>
                <w:rFonts w:eastAsia="Times New Roman"/>
                <w:sz w:val="20"/>
                <w:szCs w:val="20"/>
              </w:rPr>
            </w:pPr>
          </w:p>
        </w:tc>
        <w:tc>
          <w:tcPr>
            <w:tcW w:w="0" w:type="auto"/>
            <w:gridSpan w:val="3"/>
            <w:vAlign w:val="center"/>
            <w:hideMark/>
          </w:tcPr>
          <w:p w14:paraId="29304564" w14:textId="77777777" w:rsidR="00000000" w:rsidRDefault="009B6C69">
            <w:pPr>
              <w:spacing w:after="100"/>
              <w:rPr>
                <w:rFonts w:eastAsia="Times New Roman"/>
                <w:sz w:val="20"/>
                <w:szCs w:val="20"/>
              </w:rPr>
            </w:pPr>
          </w:p>
        </w:tc>
        <w:tc>
          <w:tcPr>
            <w:tcW w:w="0" w:type="auto"/>
            <w:gridSpan w:val="3"/>
            <w:vAlign w:val="center"/>
            <w:hideMark/>
          </w:tcPr>
          <w:p w14:paraId="3BE2C839" w14:textId="77777777" w:rsidR="00000000" w:rsidRDefault="009B6C69">
            <w:pPr>
              <w:spacing w:after="100"/>
              <w:rPr>
                <w:rFonts w:eastAsia="Times New Roman"/>
                <w:sz w:val="20"/>
                <w:szCs w:val="20"/>
              </w:rPr>
            </w:pPr>
          </w:p>
        </w:tc>
      </w:tr>
      <w:tr w:rsidR="00000000" w14:paraId="6F17322E" w14:textId="77777777">
        <w:trPr>
          <w:jc w:val="center"/>
        </w:trPr>
        <w:tc>
          <w:tcPr>
            <w:tcW w:w="0" w:type="auto"/>
            <w:gridSpan w:val="3"/>
            <w:vAlign w:val="center"/>
            <w:hideMark/>
          </w:tcPr>
          <w:p w14:paraId="4822F7CB" w14:textId="77777777" w:rsidR="00000000" w:rsidRDefault="009B6C69">
            <w:pPr>
              <w:spacing w:after="100"/>
              <w:rPr>
                <w:rFonts w:eastAsia="Times New Roman"/>
                <w:sz w:val="20"/>
                <w:szCs w:val="20"/>
              </w:rPr>
            </w:pPr>
          </w:p>
        </w:tc>
        <w:tc>
          <w:tcPr>
            <w:tcW w:w="0" w:type="auto"/>
            <w:gridSpan w:val="3"/>
            <w:vAlign w:val="center"/>
            <w:hideMark/>
          </w:tcPr>
          <w:p w14:paraId="0088F3B4" w14:textId="77777777" w:rsidR="00000000" w:rsidRDefault="009B6C69">
            <w:pPr>
              <w:spacing w:after="100"/>
              <w:rPr>
                <w:rFonts w:eastAsia="Times New Roman"/>
                <w:sz w:val="20"/>
                <w:szCs w:val="20"/>
              </w:rPr>
            </w:pPr>
          </w:p>
        </w:tc>
        <w:tc>
          <w:tcPr>
            <w:tcW w:w="0" w:type="auto"/>
            <w:gridSpan w:val="3"/>
            <w:vAlign w:val="center"/>
            <w:hideMark/>
          </w:tcPr>
          <w:p w14:paraId="20F9E269" w14:textId="77777777" w:rsidR="00000000" w:rsidRDefault="009B6C69">
            <w:pPr>
              <w:spacing w:after="100"/>
              <w:rPr>
                <w:rFonts w:eastAsia="Times New Roman"/>
                <w:sz w:val="20"/>
                <w:szCs w:val="20"/>
              </w:rPr>
            </w:pPr>
          </w:p>
        </w:tc>
        <w:tc>
          <w:tcPr>
            <w:tcW w:w="0" w:type="auto"/>
            <w:gridSpan w:val="3"/>
            <w:vAlign w:val="center"/>
            <w:hideMark/>
          </w:tcPr>
          <w:p w14:paraId="2D6F9B75" w14:textId="77777777" w:rsidR="00000000" w:rsidRDefault="009B6C69">
            <w:pPr>
              <w:spacing w:after="100"/>
              <w:rPr>
                <w:rFonts w:eastAsia="Times New Roman"/>
                <w:sz w:val="20"/>
                <w:szCs w:val="20"/>
              </w:rPr>
            </w:pPr>
          </w:p>
        </w:tc>
        <w:tc>
          <w:tcPr>
            <w:tcW w:w="0" w:type="auto"/>
            <w:gridSpan w:val="3"/>
            <w:vAlign w:val="center"/>
            <w:hideMark/>
          </w:tcPr>
          <w:p w14:paraId="2DAB9728" w14:textId="77777777" w:rsidR="00000000" w:rsidRDefault="009B6C69">
            <w:pPr>
              <w:spacing w:after="100"/>
              <w:rPr>
                <w:rFonts w:eastAsia="Times New Roman"/>
                <w:sz w:val="20"/>
                <w:szCs w:val="20"/>
              </w:rPr>
            </w:pPr>
          </w:p>
        </w:tc>
        <w:tc>
          <w:tcPr>
            <w:tcW w:w="0" w:type="auto"/>
            <w:gridSpan w:val="3"/>
            <w:vAlign w:val="center"/>
            <w:hideMark/>
          </w:tcPr>
          <w:p w14:paraId="2AD2ABD7" w14:textId="77777777" w:rsidR="00000000" w:rsidRDefault="009B6C69">
            <w:pPr>
              <w:spacing w:after="100"/>
              <w:rPr>
                <w:rFonts w:eastAsia="Times New Roman"/>
                <w:sz w:val="20"/>
                <w:szCs w:val="20"/>
              </w:rPr>
            </w:pPr>
          </w:p>
        </w:tc>
      </w:tr>
      <w:tr w:rsidR="00000000" w14:paraId="2242987E" w14:textId="77777777">
        <w:trPr>
          <w:jc w:val="center"/>
        </w:trPr>
        <w:tc>
          <w:tcPr>
            <w:tcW w:w="0" w:type="auto"/>
            <w:gridSpan w:val="3"/>
            <w:shd w:val="clear" w:color="auto" w:fill="FFFFFF"/>
            <w:tcMar>
              <w:top w:w="30" w:type="dxa"/>
              <w:left w:w="245" w:type="dxa"/>
              <w:bottom w:w="30" w:type="dxa"/>
              <w:right w:w="20" w:type="dxa"/>
            </w:tcMar>
            <w:vAlign w:val="bottom"/>
            <w:hideMark/>
          </w:tcPr>
          <w:p w14:paraId="67ECF373" w14:textId="77777777" w:rsidR="00000000" w:rsidRDefault="009B6C69">
            <w:pPr>
              <w:spacing w:after="100"/>
              <w:rPr>
                <w:rFonts w:eastAsia="Times New Roman"/>
              </w:rPr>
            </w:pPr>
            <w:r>
              <w:rPr>
                <w:rFonts w:eastAsia="Times New Roman"/>
                <w:color w:val="000000"/>
                <w:sz w:val="18"/>
                <w:szCs w:val="18"/>
              </w:rPr>
              <w:t>Other items, net</w:t>
            </w:r>
          </w:p>
        </w:tc>
        <w:tc>
          <w:tcPr>
            <w:tcW w:w="0" w:type="auto"/>
            <w:gridSpan w:val="2"/>
            <w:shd w:val="clear" w:color="auto" w:fill="FFFFFF"/>
            <w:tcMar>
              <w:top w:w="30" w:type="dxa"/>
              <w:left w:w="20" w:type="dxa"/>
              <w:bottom w:w="30" w:type="dxa"/>
              <w:right w:w="0" w:type="dxa"/>
            </w:tcMar>
            <w:vAlign w:val="bottom"/>
            <w:hideMark/>
          </w:tcPr>
          <w:p w14:paraId="08447832" w14:textId="77777777" w:rsidR="00000000" w:rsidRDefault="009B6C69">
            <w:pPr>
              <w:spacing w:after="100"/>
              <w:jc w:val="right"/>
              <w:rPr>
                <w:rFonts w:eastAsia="Times New Roman"/>
              </w:rPr>
            </w:pPr>
            <w:r>
              <w:rPr>
                <w:rFonts w:eastAsia="Times New Roman"/>
                <w:color w:val="000000"/>
                <w:sz w:val="18"/>
                <w:szCs w:val="18"/>
              </w:rPr>
              <w:t>(54)</w:t>
            </w:r>
          </w:p>
        </w:tc>
        <w:tc>
          <w:tcPr>
            <w:tcW w:w="0" w:type="auto"/>
            <w:shd w:val="clear" w:color="auto" w:fill="FFFFFF"/>
            <w:tcMar>
              <w:top w:w="30" w:type="dxa"/>
              <w:left w:w="0" w:type="dxa"/>
              <w:bottom w:w="30" w:type="dxa"/>
              <w:right w:w="20" w:type="dxa"/>
            </w:tcMar>
            <w:vAlign w:val="bottom"/>
            <w:hideMark/>
          </w:tcPr>
          <w:p w14:paraId="45C3BB7A"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FC22B2"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CBC54D" w14:textId="77777777" w:rsidR="00000000" w:rsidRDefault="009B6C69">
            <w:pPr>
              <w:spacing w:after="100"/>
              <w:jc w:val="right"/>
              <w:rPr>
                <w:rFonts w:eastAsia="Times New Roman"/>
              </w:rPr>
            </w:pPr>
            <w:r>
              <w:rPr>
                <w:rFonts w:eastAsia="Times New Roman"/>
                <w:color w:val="000000"/>
                <w:sz w:val="18"/>
                <w:szCs w:val="18"/>
              </w:rPr>
              <w:t>(77)</w:t>
            </w:r>
          </w:p>
        </w:tc>
        <w:tc>
          <w:tcPr>
            <w:tcW w:w="0" w:type="auto"/>
            <w:shd w:val="clear" w:color="auto" w:fill="FFFFFF"/>
            <w:tcMar>
              <w:top w:w="30" w:type="dxa"/>
              <w:left w:w="0" w:type="dxa"/>
              <w:bottom w:w="30" w:type="dxa"/>
              <w:right w:w="20" w:type="dxa"/>
            </w:tcMar>
            <w:vAlign w:val="bottom"/>
            <w:hideMark/>
          </w:tcPr>
          <w:p w14:paraId="1B5D157C"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0DF450"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6278BA" w14:textId="77777777" w:rsidR="00000000" w:rsidRDefault="009B6C69">
            <w:pPr>
              <w:spacing w:after="100"/>
              <w:jc w:val="right"/>
              <w:rPr>
                <w:rFonts w:eastAsia="Times New Roman"/>
              </w:rPr>
            </w:pPr>
            <w:r>
              <w:rPr>
                <w:rFonts w:eastAsia="Times New Roman"/>
                <w:color w:val="000000"/>
                <w:sz w:val="18"/>
                <w:szCs w:val="18"/>
              </w:rPr>
              <w:t>(142)</w:t>
            </w:r>
          </w:p>
        </w:tc>
        <w:tc>
          <w:tcPr>
            <w:tcW w:w="0" w:type="auto"/>
            <w:shd w:val="clear" w:color="auto" w:fill="FFFFFF"/>
            <w:tcMar>
              <w:top w:w="30" w:type="dxa"/>
              <w:left w:w="0" w:type="dxa"/>
              <w:bottom w:w="30" w:type="dxa"/>
              <w:right w:w="20" w:type="dxa"/>
            </w:tcMar>
            <w:vAlign w:val="bottom"/>
            <w:hideMark/>
          </w:tcPr>
          <w:p w14:paraId="0BBE6558" w14:textId="77777777" w:rsidR="00000000" w:rsidRDefault="009B6C69">
            <w:pPr>
              <w:spacing w:after="100"/>
              <w:jc w:val="right"/>
              <w:rPr>
                <w:rFonts w:eastAsia="Times New Roman"/>
              </w:rPr>
            </w:pPr>
          </w:p>
        </w:tc>
      </w:tr>
      <w:tr w:rsidR="00000000" w14:paraId="0C24D9FA" w14:textId="77777777">
        <w:trPr>
          <w:jc w:val="center"/>
        </w:trPr>
        <w:tc>
          <w:tcPr>
            <w:tcW w:w="0" w:type="auto"/>
            <w:gridSpan w:val="3"/>
            <w:shd w:val="clear" w:color="auto" w:fill="CCEEFF"/>
            <w:tcMar>
              <w:top w:w="30" w:type="dxa"/>
              <w:left w:w="155" w:type="dxa"/>
              <w:bottom w:w="30" w:type="dxa"/>
              <w:right w:w="20" w:type="dxa"/>
            </w:tcMar>
            <w:vAlign w:val="bottom"/>
            <w:hideMark/>
          </w:tcPr>
          <w:p w14:paraId="6FE0E41A" w14:textId="77777777" w:rsidR="00000000" w:rsidRDefault="009B6C69">
            <w:pPr>
              <w:spacing w:after="100"/>
              <w:rPr>
                <w:rFonts w:eastAsia="Times New Roman"/>
              </w:rPr>
            </w:pPr>
            <w:r>
              <w:rPr>
                <w:rFonts w:eastAsia="Times New Roman"/>
                <w:color w:val="000000"/>
                <w:sz w:val="18"/>
                <w:szCs w:val="18"/>
              </w:rPr>
              <w:t>Changes in assets and liabilities:</w:t>
            </w:r>
          </w:p>
        </w:tc>
        <w:tc>
          <w:tcPr>
            <w:tcW w:w="0" w:type="auto"/>
            <w:gridSpan w:val="3"/>
            <w:shd w:val="clear" w:color="auto" w:fill="CCEEFF"/>
            <w:tcMar>
              <w:top w:w="30" w:type="dxa"/>
              <w:left w:w="20" w:type="dxa"/>
              <w:bottom w:w="30" w:type="dxa"/>
              <w:right w:w="20" w:type="dxa"/>
            </w:tcMar>
            <w:vAlign w:val="bottom"/>
            <w:hideMark/>
          </w:tcPr>
          <w:p w14:paraId="219B9A7B"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69821CD9" w14:textId="77777777" w:rsidR="00000000" w:rsidRDefault="009B6C6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F99AB91"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0557A163" w14:textId="77777777" w:rsidR="00000000" w:rsidRDefault="009B6C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D6FFED" w14:textId="77777777" w:rsidR="00000000" w:rsidRDefault="009B6C69">
            <w:pPr>
              <w:spacing w:after="100"/>
              <w:rPr>
                <w:rFonts w:eastAsia="Times New Roman"/>
                <w:sz w:val="20"/>
                <w:szCs w:val="20"/>
              </w:rPr>
            </w:pPr>
          </w:p>
        </w:tc>
      </w:tr>
      <w:tr w:rsidR="00000000" w14:paraId="40F75F14" w14:textId="77777777">
        <w:trPr>
          <w:jc w:val="center"/>
        </w:trPr>
        <w:tc>
          <w:tcPr>
            <w:tcW w:w="0" w:type="auto"/>
            <w:gridSpan w:val="3"/>
            <w:shd w:val="clear" w:color="auto" w:fill="FFFFFF"/>
            <w:tcMar>
              <w:top w:w="30" w:type="dxa"/>
              <w:left w:w="245" w:type="dxa"/>
              <w:bottom w:w="30" w:type="dxa"/>
              <w:right w:w="20" w:type="dxa"/>
            </w:tcMar>
            <w:vAlign w:val="bottom"/>
            <w:hideMark/>
          </w:tcPr>
          <w:p w14:paraId="7CCB0C1B" w14:textId="77777777" w:rsidR="00000000" w:rsidRDefault="009B6C69">
            <w:pPr>
              <w:spacing w:after="100"/>
              <w:rPr>
                <w:rFonts w:eastAsia="Times New Roman"/>
              </w:rPr>
            </w:pPr>
            <w:r>
              <w:rPr>
                <w:rFonts w:eastAsia="Times New Roman"/>
                <w:color w:val="000000"/>
                <w:sz w:val="18"/>
                <w:szCs w:val="18"/>
              </w:rPr>
              <w:t>Accounts receivable, net</w:t>
            </w:r>
          </w:p>
        </w:tc>
        <w:tc>
          <w:tcPr>
            <w:tcW w:w="0" w:type="auto"/>
            <w:gridSpan w:val="2"/>
            <w:shd w:val="clear" w:color="auto" w:fill="FFFFFF"/>
            <w:tcMar>
              <w:top w:w="30" w:type="dxa"/>
              <w:left w:w="20" w:type="dxa"/>
              <w:bottom w:w="30" w:type="dxa"/>
              <w:right w:w="0" w:type="dxa"/>
            </w:tcMar>
            <w:vAlign w:val="bottom"/>
            <w:hideMark/>
          </w:tcPr>
          <w:p w14:paraId="149C622B" w14:textId="77777777" w:rsidR="00000000" w:rsidRDefault="009B6C69">
            <w:pPr>
              <w:spacing w:after="100"/>
              <w:jc w:val="right"/>
              <w:rPr>
                <w:rFonts w:eastAsia="Times New Roman"/>
              </w:rPr>
            </w:pPr>
            <w:r>
              <w:rPr>
                <w:rFonts w:eastAsia="Times New Roman"/>
                <w:color w:val="000000"/>
                <w:sz w:val="18"/>
                <w:szCs w:val="18"/>
              </w:rPr>
              <w:t>(2,066)</w:t>
            </w:r>
          </w:p>
        </w:tc>
        <w:tc>
          <w:tcPr>
            <w:tcW w:w="0" w:type="auto"/>
            <w:shd w:val="clear" w:color="auto" w:fill="FFFFFF"/>
            <w:tcMar>
              <w:top w:w="30" w:type="dxa"/>
              <w:left w:w="0" w:type="dxa"/>
              <w:bottom w:w="30" w:type="dxa"/>
              <w:right w:w="20" w:type="dxa"/>
            </w:tcMar>
            <w:vAlign w:val="bottom"/>
            <w:hideMark/>
          </w:tcPr>
          <w:p w14:paraId="4E6ED6EC"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380AA2"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FC95BC" w14:textId="77777777" w:rsidR="00000000" w:rsidRDefault="009B6C69">
            <w:pPr>
              <w:spacing w:after="100"/>
              <w:jc w:val="right"/>
              <w:rPr>
                <w:rFonts w:eastAsia="Times New Roman"/>
              </w:rPr>
            </w:pPr>
            <w:r>
              <w:rPr>
                <w:rFonts w:eastAsia="Times New Roman"/>
                <w:color w:val="000000"/>
                <w:sz w:val="18"/>
                <w:szCs w:val="18"/>
              </w:rPr>
              <w:t>426 </w:t>
            </w:r>
          </w:p>
        </w:tc>
        <w:tc>
          <w:tcPr>
            <w:tcW w:w="0" w:type="auto"/>
            <w:shd w:val="clear" w:color="auto" w:fill="FFFFFF"/>
            <w:tcMar>
              <w:top w:w="30" w:type="dxa"/>
              <w:left w:w="0" w:type="dxa"/>
              <w:bottom w:w="30" w:type="dxa"/>
              <w:right w:w="20" w:type="dxa"/>
            </w:tcMar>
            <w:vAlign w:val="bottom"/>
            <w:hideMark/>
          </w:tcPr>
          <w:p w14:paraId="2A091F92"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0CE873"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3E5765" w14:textId="77777777" w:rsidR="00000000" w:rsidRDefault="009B6C69">
            <w:pPr>
              <w:spacing w:after="100"/>
              <w:jc w:val="right"/>
              <w:rPr>
                <w:rFonts w:eastAsia="Times New Roman"/>
              </w:rPr>
            </w:pPr>
            <w:r>
              <w:rPr>
                <w:rFonts w:eastAsia="Times New Roman"/>
                <w:color w:val="000000"/>
                <w:sz w:val="18"/>
                <w:szCs w:val="18"/>
              </w:rPr>
              <w:t>(1,529)</w:t>
            </w:r>
          </w:p>
        </w:tc>
        <w:tc>
          <w:tcPr>
            <w:tcW w:w="0" w:type="auto"/>
            <w:shd w:val="clear" w:color="auto" w:fill="FFFFFF"/>
            <w:tcMar>
              <w:top w:w="30" w:type="dxa"/>
              <w:left w:w="0" w:type="dxa"/>
              <w:bottom w:w="30" w:type="dxa"/>
              <w:right w:w="20" w:type="dxa"/>
            </w:tcMar>
            <w:vAlign w:val="bottom"/>
            <w:hideMark/>
          </w:tcPr>
          <w:p w14:paraId="67ABB2CD" w14:textId="77777777" w:rsidR="00000000" w:rsidRDefault="009B6C69">
            <w:pPr>
              <w:spacing w:after="100"/>
              <w:jc w:val="right"/>
              <w:rPr>
                <w:rFonts w:eastAsia="Times New Roman"/>
              </w:rPr>
            </w:pPr>
          </w:p>
        </w:tc>
      </w:tr>
      <w:tr w:rsidR="00000000" w14:paraId="07EBF780" w14:textId="77777777">
        <w:trPr>
          <w:jc w:val="center"/>
        </w:trPr>
        <w:tc>
          <w:tcPr>
            <w:tcW w:w="0" w:type="auto"/>
            <w:gridSpan w:val="3"/>
            <w:shd w:val="clear" w:color="auto" w:fill="CCEEFF"/>
            <w:tcMar>
              <w:top w:w="30" w:type="dxa"/>
              <w:left w:w="245" w:type="dxa"/>
              <w:bottom w:w="30" w:type="dxa"/>
              <w:right w:w="20" w:type="dxa"/>
            </w:tcMar>
            <w:vAlign w:val="bottom"/>
            <w:hideMark/>
          </w:tcPr>
          <w:p w14:paraId="6D075EBA" w14:textId="77777777" w:rsidR="00000000" w:rsidRDefault="009B6C69">
            <w:pPr>
              <w:spacing w:after="100"/>
              <w:rPr>
                <w:rFonts w:eastAsia="Times New Roman"/>
              </w:rPr>
            </w:pPr>
            <w:r>
              <w:rPr>
                <w:rFonts w:eastAsia="Times New Roman"/>
                <w:color w:val="000000"/>
                <w:sz w:val="18"/>
                <w:szCs w:val="18"/>
              </w:rPr>
              <w:t>Inventories</w:t>
            </w:r>
          </w:p>
        </w:tc>
        <w:tc>
          <w:tcPr>
            <w:tcW w:w="0" w:type="auto"/>
            <w:gridSpan w:val="2"/>
            <w:shd w:val="clear" w:color="auto" w:fill="CCEEFF"/>
            <w:tcMar>
              <w:top w:w="30" w:type="dxa"/>
              <w:left w:w="20" w:type="dxa"/>
              <w:bottom w:w="30" w:type="dxa"/>
              <w:right w:w="0" w:type="dxa"/>
            </w:tcMar>
            <w:vAlign w:val="bottom"/>
            <w:hideMark/>
          </w:tcPr>
          <w:p w14:paraId="4EC9E4F4" w14:textId="77777777" w:rsidR="00000000" w:rsidRDefault="009B6C69">
            <w:pPr>
              <w:spacing w:after="100"/>
              <w:jc w:val="right"/>
              <w:rPr>
                <w:rFonts w:eastAsia="Times New Roman"/>
              </w:rPr>
            </w:pPr>
            <w:r>
              <w:rPr>
                <w:rFonts w:eastAsia="Times New Roman"/>
                <w:color w:val="000000"/>
                <w:sz w:val="18"/>
                <w:szCs w:val="18"/>
              </w:rPr>
              <w:t>(3,137)</w:t>
            </w:r>
          </w:p>
        </w:tc>
        <w:tc>
          <w:tcPr>
            <w:tcW w:w="0" w:type="auto"/>
            <w:shd w:val="clear" w:color="auto" w:fill="CCEEFF"/>
            <w:tcMar>
              <w:top w:w="30" w:type="dxa"/>
              <w:left w:w="0" w:type="dxa"/>
              <w:bottom w:w="30" w:type="dxa"/>
              <w:right w:w="20" w:type="dxa"/>
            </w:tcMar>
            <w:vAlign w:val="bottom"/>
            <w:hideMark/>
          </w:tcPr>
          <w:p w14:paraId="3261475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9F718"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89398D" w14:textId="77777777" w:rsidR="00000000" w:rsidRDefault="009B6C69">
            <w:pPr>
              <w:spacing w:after="100"/>
              <w:jc w:val="right"/>
              <w:rPr>
                <w:rFonts w:eastAsia="Times New Roman"/>
              </w:rPr>
            </w:pPr>
            <w:r>
              <w:rPr>
                <w:rFonts w:eastAsia="Times New Roman"/>
                <w:color w:val="000000"/>
                <w:sz w:val="18"/>
                <w:szCs w:val="18"/>
              </w:rPr>
              <w:t>(622)</w:t>
            </w:r>
          </w:p>
        </w:tc>
        <w:tc>
          <w:tcPr>
            <w:tcW w:w="0" w:type="auto"/>
            <w:shd w:val="clear" w:color="auto" w:fill="CCEEFF"/>
            <w:tcMar>
              <w:top w:w="30" w:type="dxa"/>
              <w:left w:w="0" w:type="dxa"/>
              <w:bottom w:w="30" w:type="dxa"/>
              <w:right w:w="20" w:type="dxa"/>
            </w:tcMar>
            <w:vAlign w:val="bottom"/>
            <w:hideMark/>
          </w:tcPr>
          <w:p w14:paraId="137183E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DF13A9"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01F7D5" w14:textId="77777777" w:rsidR="00000000" w:rsidRDefault="009B6C69">
            <w:pPr>
              <w:spacing w:after="100"/>
              <w:jc w:val="right"/>
              <w:rPr>
                <w:rFonts w:eastAsia="Times New Roman"/>
              </w:rPr>
            </w:pPr>
            <w:r>
              <w:rPr>
                <w:rFonts w:eastAsia="Times New Roman"/>
                <w:color w:val="000000"/>
                <w:sz w:val="18"/>
                <w:szCs w:val="18"/>
              </w:rPr>
              <w:t>(1,157)</w:t>
            </w:r>
          </w:p>
        </w:tc>
        <w:tc>
          <w:tcPr>
            <w:tcW w:w="0" w:type="auto"/>
            <w:shd w:val="clear" w:color="auto" w:fill="CCEEFF"/>
            <w:tcMar>
              <w:top w:w="30" w:type="dxa"/>
              <w:left w:w="0" w:type="dxa"/>
              <w:bottom w:w="30" w:type="dxa"/>
              <w:right w:w="20" w:type="dxa"/>
            </w:tcMar>
            <w:vAlign w:val="bottom"/>
            <w:hideMark/>
          </w:tcPr>
          <w:p w14:paraId="4F8DA47C" w14:textId="77777777" w:rsidR="00000000" w:rsidRDefault="009B6C69">
            <w:pPr>
              <w:spacing w:after="100"/>
              <w:jc w:val="right"/>
              <w:rPr>
                <w:rFonts w:eastAsia="Times New Roman"/>
              </w:rPr>
            </w:pPr>
          </w:p>
        </w:tc>
      </w:tr>
      <w:tr w:rsidR="00000000" w14:paraId="03280F3E" w14:textId="77777777">
        <w:trPr>
          <w:jc w:val="center"/>
        </w:trPr>
        <w:tc>
          <w:tcPr>
            <w:tcW w:w="0" w:type="auto"/>
            <w:gridSpan w:val="3"/>
            <w:shd w:val="clear" w:color="auto" w:fill="FFFFFF"/>
            <w:tcMar>
              <w:top w:w="30" w:type="dxa"/>
              <w:left w:w="245" w:type="dxa"/>
              <w:bottom w:w="30" w:type="dxa"/>
              <w:right w:w="20" w:type="dxa"/>
            </w:tcMar>
            <w:vAlign w:val="bottom"/>
            <w:hideMark/>
          </w:tcPr>
          <w:p w14:paraId="0282A3CC" w14:textId="77777777" w:rsidR="00000000" w:rsidRDefault="009B6C69">
            <w:pPr>
              <w:spacing w:after="100"/>
              <w:rPr>
                <w:rFonts w:eastAsia="Times New Roman"/>
              </w:rPr>
            </w:pPr>
            <w:r>
              <w:rPr>
                <w:rFonts w:eastAsia="Times New Roman"/>
                <w:color w:val="000000"/>
                <w:sz w:val="18"/>
                <w:szCs w:val="18"/>
              </w:rPr>
              <w:t>Other assets</w:t>
            </w:r>
          </w:p>
        </w:tc>
        <w:tc>
          <w:tcPr>
            <w:tcW w:w="0" w:type="auto"/>
            <w:gridSpan w:val="2"/>
            <w:shd w:val="clear" w:color="auto" w:fill="FFFFFF"/>
            <w:tcMar>
              <w:top w:w="30" w:type="dxa"/>
              <w:left w:w="20" w:type="dxa"/>
              <w:bottom w:w="30" w:type="dxa"/>
              <w:right w:w="0" w:type="dxa"/>
            </w:tcMar>
            <w:vAlign w:val="bottom"/>
            <w:hideMark/>
          </w:tcPr>
          <w:p w14:paraId="68D288B9" w14:textId="77777777" w:rsidR="00000000" w:rsidRDefault="009B6C69">
            <w:pPr>
              <w:spacing w:after="100"/>
              <w:jc w:val="right"/>
              <w:rPr>
                <w:rFonts w:eastAsia="Times New Roman"/>
              </w:rPr>
            </w:pPr>
            <w:r>
              <w:rPr>
                <w:rFonts w:eastAsia="Times New Roman"/>
                <w:color w:val="000000"/>
                <w:sz w:val="18"/>
                <w:szCs w:val="18"/>
              </w:rPr>
              <w:t>(2,266)</w:t>
            </w:r>
          </w:p>
        </w:tc>
        <w:tc>
          <w:tcPr>
            <w:tcW w:w="0" w:type="auto"/>
            <w:shd w:val="clear" w:color="auto" w:fill="FFFFFF"/>
            <w:tcMar>
              <w:top w:w="30" w:type="dxa"/>
              <w:left w:w="0" w:type="dxa"/>
              <w:bottom w:w="30" w:type="dxa"/>
              <w:right w:w="20" w:type="dxa"/>
            </w:tcMar>
            <w:vAlign w:val="bottom"/>
            <w:hideMark/>
          </w:tcPr>
          <w:p w14:paraId="6FD40337"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8C35F0"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FE13D4" w14:textId="77777777" w:rsidR="00000000" w:rsidRDefault="009B6C69">
            <w:pPr>
              <w:spacing w:after="100"/>
              <w:jc w:val="right"/>
              <w:rPr>
                <w:rFonts w:eastAsia="Times New Roman"/>
              </w:rPr>
            </w:pPr>
            <w:r>
              <w:rPr>
                <w:rFonts w:eastAsia="Times New Roman"/>
                <w:color w:val="000000"/>
                <w:sz w:val="18"/>
                <w:szCs w:val="18"/>
              </w:rPr>
              <w:t>(1,649)</w:t>
            </w:r>
          </w:p>
        </w:tc>
        <w:tc>
          <w:tcPr>
            <w:tcW w:w="0" w:type="auto"/>
            <w:shd w:val="clear" w:color="auto" w:fill="FFFFFF"/>
            <w:tcMar>
              <w:top w:w="30" w:type="dxa"/>
              <w:left w:w="0" w:type="dxa"/>
              <w:bottom w:w="30" w:type="dxa"/>
              <w:right w:w="20" w:type="dxa"/>
            </w:tcMar>
            <w:vAlign w:val="bottom"/>
            <w:hideMark/>
          </w:tcPr>
          <w:p w14:paraId="424B651C"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72CCBE"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25929B" w14:textId="77777777" w:rsidR="00000000" w:rsidRDefault="009B6C69">
            <w:pPr>
              <w:spacing w:after="100"/>
              <w:jc w:val="right"/>
              <w:rPr>
                <w:rFonts w:eastAsia="Times New Roman"/>
              </w:rPr>
            </w:pPr>
            <w:r>
              <w:rPr>
                <w:rFonts w:eastAsia="Times New Roman"/>
                <w:color w:val="000000"/>
                <w:sz w:val="18"/>
                <w:szCs w:val="18"/>
              </w:rPr>
              <w:t>(</w:t>
            </w:r>
            <w:r>
              <w:rPr>
                <w:rFonts w:eastAsia="Times New Roman"/>
                <w:color w:val="000000"/>
                <w:sz w:val="18"/>
                <w:szCs w:val="18"/>
              </w:rPr>
              <w:t>110)</w:t>
            </w:r>
          </w:p>
        </w:tc>
        <w:tc>
          <w:tcPr>
            <w:tcW w:w="0" w:type="auto"/>
            <w:shd w:val="clear" w:color="auto" w:fill="FFFFFF"/>
            <w:tcMar>
              <w:top w:w="30" w:type="dxa"/>
              <w:left w:w="0" w:type="dxa"/>
              <w:bottom w:w="30" w:type="dxa"/>
              <w:right w:w="20" w:type="dxa"/>
            </w:tcMar>
            <w:vAlign w:val="bottom"/>
            <w:hideMark/>
          </w:tcPr>
          <w:p w14:paraId="18760845" w14:textId="77777777" w:rsidR="00000000" w:rsidRDefault="009B6C69">
            <w:pPr>
              <w:spacing w:after="100"/>
              <w:jc w:val="right"/>
              <w:rPr>
                <w:rFonts w:eastAsia="Times New Roman"/>
              </w:rPr>
            </w:pPr>
          </w:p>
        </w:tc>
      </w:tr>
      <w:tr w:rsidR="00000000" w14:paraId="5AF602CF" w14:textId="77777777">
        <w:trPr>
          <w:jc w:val="center"/>
        </w:trPr>
        <w:tc>
          <w:tcPr>
            <w:tcW w:w="0" w:type="auto"/>
            <w:gridSpan w:val="3"/>
            <w:shd w:val="clear" w:color="auto" w:fill="CCEEFF"/>
            <w:tcMar>
              <w:top w:w="30" w:type="dxa"/>
              <w:left w:w="245" w:type="dxa"/>
              <w:bottom w:w="30" w:type="dxa"/>
              <w:right w:w="20" w:type="dxa"/>
            </w:tcMar>
            <w:vAlign w:val="bottom"/>
            <w:hideMark/>
          </w:tcPr>
          <w:p w14:paraId="32DD7EA3" w14:textId="77777777" w:rsidR="00000000" w:rsidRDefault="009B6C69">
            <w:pPr>
              <w:spacing w:after="100"/>
              <w:rPr>
                <w:rFonts w:eastAsia="Times New Roman"/>
              </w:rPr>
            </w:pPr>
            <w:r>
              <w:rPr>
                <w:rFonts w:eastAsia="Times New Roman"/>
                <w:color w:val="000000"/>
                <w:sz w:val="18"/>
                <w:szCs w:val="18"/>
              </w:rPr>
              <w:t>Trade accounts payable</w:t>
            </w:r>
          </w:p>
        </w:tc>
        <w:tc>
          <w:tcPr>
            <w:tcW w:w="0" w:type="auto"/>
            <w:gridSpan w:val="2"/>
            <w:shd w:val="clear" w:color="auto" w:fill="CCEEFF"/>
            <w:tcMar>
              <w:top w:w="30" w:type="dxa"/>
              <w:left w:w="20" w:type="dxa"/>
              <w:bottom w:w="30" w:type="dxa"/>
              <w:right w:w="0" w:type="dxa"/>
            </w:tcMar>
            <w:vAlign w:val="bottom"/>
            <w:hideMark/>
          </w:tcPr>
          <w:p w14:paraId="76500722" w14:textId="77777777" w:rsidR="00000000" w:rsidRDefault="009B6C69">
            <w:pPr>
              <w:spacing w:after="100"/>
              <w:jc w:val="right"/>
              <w:rPr>
                <w:rFonts w:eastAsia="Times New Roman"/>
              </w:rPr>
            </w:pPr>
            <w:r>
              <w:rPr>
                <w:rFonts w:eastAsia="Times New Roman"/>
                <w:color w:val="000000"/>
                <w:sz w:val="18"/>
                <w:szCs w:val="18"/>
              </w:rPr>
              <w:t>1,036 </w:t>
            </w:r>
          </w:p>
        </w:tc>
        <w:tc>
          <w:tcPr>
            <w:tcW w:w="0" w:type="auto"/>
            <w:shd w:val="clear" w:color="auto" w:fill="CCEEFF"/>
            <w:tcMar>
              <w:top w:w="30" w:type="dxa"/>
              <w:left w:w="0" w:type="dxa"/>
              <w:bottom w:w="30" w:type="dxa"/>
              <w:right w:w="20" w:type="dxa"/>
            </w:tcMar>
            <w:vAlign w:val="bottom"/>
            <w:hideMark/>
          </w:tcPr>
          <w:p w14:paraId="772EA4F9"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7BEDF3"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64691B" w14:textId="77777777" w:rsidR="00000000" w:rsidRDefault="009B6C69">
            <w:pPr>
              <w:spacing w:after="100"/>
              <w:jc w:val="right"/>
              <w:rPr>
                <w:rFonts w:eastAsia="Times New Roman"/>
              </w:rPr>
            </w:pPr>
            <w:r>
              <w:rPr>
                <w:rFonts w:eastAsia="Times New Roman"/>
                <w:color w:val="000000"/>
                <w:sz w:val="18"/>
                <w:szCs w:val="18"/>
              </w:rPr>
              <w:t>495 </w:t>
            </w:r>
          </w:p>
        </w:tc>
        <w:tc>
          <w:tcPr>
            <w:tcW w:w="0" w:type="auto"/>
            <w:shd w:val="clear" w:color="auto" w:fill="CCEEFF"/>
            <w:tcMar>
              <w:top w:w="30" w:type="dxa"/>
              <w:left w:w="0" w:type="dxa"/>
              <w:bottom w:w="30" w:type="dxa"/>
              <w:right w:w="20" w:type="dxa"/>
            </w:tcMar>
            <w:vAlign w:val="bottom"/>
            <w:hideMark/>
          </w:tcPr>
          <w:p w14:paraId="2B2104E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C4FDF0"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4E9DA2" w14:textId="77777777" w:rsidR="00000000" w:rsidRDefault="009B6C69">
            <w:pPr>
              <w:spacing w:after="100"/>
              <w:jc w:val="right"/>
              <w:rPr>
                <w:rFonts w:eastAsia="Times New Roman"/>
              </w:rPr>
            </w:pPr>
            <w:r>
              <w:rPr>
                <w:rFonts w:eastAsia="Times New Roman"/>
                <w:color w:val="000000"/>
                <w:sz w:val="18"/>
                <w:szCs w:val="18"/>
              </w:rPr>
              <w:t>907 </w:t>
            </w:r>
          </w:p>
        </w:tc>
        <w:tc>
          <w:tcPr>
            <w:tcW w:w="0" w:type="auto"/>
            <w:shd w:val="clear" w:color="auto" w:fill="CCEEFF"/>
            <w:tcMar>
              <w:top w:w="30" w:type="dxa"/>
              <w:left w:w="0" w:type="dxa"/>
              <w:bottom w:w="30" w:type="dxa"/>
              <w:right w:w="20" w:type="dxa"/>
            </w:tcMar>
            <w:vAlign w:val="bottom"/>
            <w:hideMark/>
          </w:tcPr>
          <w:p w14:paraId="0F02013C" w14:textId="77777777" w:rsidR="00000000" w:rsidRDefault="009B6C69">
            <w:pPr>
              <w:spacing w:after="100"/>
              <w:jc w:val="right"/>
              <w:rPr>
                <w:rFonts w:eastAsia="Times New Roman"/>
              </w:rPr>
            </w:pPr>
          </w:p>
        </w:tc>
      </w:tr>
      <w:tr w:rsidR="00000000" w14:paraId="68608BD3" w14:textId="77777777">
        <w:trPr>
          <w:jc w:val="center"/>
        </w:trPr>
        <w:tc>
          <w:tcPr>
            <w:tcW w:w="0" w:type="auto"/>
            <w:gridSpan w:val="3"/>
            <w:shd w:val="clear" w:color="auto" w:fill="FFFFFF"/>
            <w:tcMar>
              <w:top w:w="30" w:type="dxa"/>
              <w:left w:w="245" w:type="dxa"/>
              <w:bottom w:w="30" w:type="dxa"/>
              <w:right w:w="20" w:type="dxa"/>
            </w:tcMar>
            <w:vAlign w:val="bottom"/>
            <w:hideMark/>
          </w:tcPr>
          <w:p w14:paraId="2AD698E4" w14:textId="77777777" w:rsidR="00000000" w:rsidRDefault="009B6C69">
            <w:pPr>
              <w:spacing w:after="100"/>
              <w:rPr>
                <w:rFonts w:eastAsia="Times New Roman"/>
              </w:rPr>
            </w:pPr>
            <w:r>
              <w:rPr>
                <w:rFonts w:eastAsia="Times New Roman"/>
                <w:color w:val="000000"/>
                <w:sz w:val="18"/>
                <w:szCs w:val="18"/>
              </w:rPr>
              <w:t>Payroll, benefits and other liabilities</w:t>
            </w:r>
          </w:p>
        </w:tc>
        <w:tc>
          <w:tcPr>
            <w:tcW w:w="0" w:type="auto"/>
            <w:gridSpan w:val="2"/>
            <w:shd w:val="clear" w:color="auto" w:fill="FFFFFF"/>
            <w:tcMar>
              <w:top w:w="30" w:type="dxa"/>
              <w:left w:w="20" w:type="dxa"/>
              <w:bottom w:w="30" w:type="dxa"/>
              <w:right w:w="0" w:type="dxa"/>
            </w:tcMar>
            <w:vAlign w:val="bottom"/>
            <w:hideMark/>
          </w:tcPr>
          <w:p w14:paraId="05B42691" w14:textId="77777777" w:rsidR="00000000" w:rsidRDefault="009B6C69">
            <w:pPr>
              <w:spacing w:after="100"/>
              <w:jc w:val="right"/>
              <w:rPr>
                <w:rFonts w:eastAsia="Times New Roman"/>
              </w:rPr>
            </w:pPr>
            <w:r>
              <w:rPr>
                <w:rFonts w:eastAsia="Times New Roman"/>
                <w:color w:val="000000"/>
                <w:sz w:val="18"/>
                <w:szCs w:val="18"/>
              </w:rPr>
              <w:t>(1,043)</w:t>
            </w:r>
          </w:p>
        </w:tc>
        <w:tc>
          <w:tcPr>
            <w:tcW w:w="0" w:type="auto"/>
            <w:shd w:val="clear" w:color="auto" w:fill="FFFFFF"/>
            <w:tcMar>
              <w:top w:w="30" w:type="dxa"/>
              <w:left w:w="0" w:type="dxa"/>
              <w:bottom w:w="30" w:type="dxa"/>
              <w:right w:w="20" w:type="dxa"/>
            </w:tcMar>
            <w:vAlign w:val="bottom"/>
            <w:hideMark/>
          </w:tcPr>
          <w:p w14:paraId="6B3843F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936863"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189745" w14:textId="77777777" w:rsidR="00000000" w:rsidRDefault="009B6C69">
            <w:pPr>
              <w:spacing w:after="100"/>
              <w:jc w:val="right"/>
              <w:rPr>
                <w:rFonts w:eastAsia="Times New Roman"/>
              </w:rPr>
            </w:pPr>
            <w:r>
              <w:rPr>
                <w:rFonts w:eastAsia="Times New Roman"/>
                <w:color w:val="000000"/>
                <w:sz w:val="18"/>
                <w:szCs w:val="18"/>
              </w:rPr>
              <w:t>1,091 </w:t>
            </w:r>
          </w:p>
        </w:tc>
        <w:tc>
          <w:tcPr>
            <w:tcW w:w="0" w:type="auto"/>
            <w:shd w:val="clear" w:color="auto" w:fill="FFFFFF"/>
            <w:tcMar>
              <w:top w:w="30" w:type="dxa"/>
              <w:left w:w="0" w:type="dxa"/>
              <w:bottom w:w="30" w:type="dxa"/>
              <w:right w:w="20" w:type="dxa"/>
            </w:tcMar>
            <w:vAlign w:val="bottom"/>
            <w:hideMark/>
          </w:tcPr>
          <w:p w14:paraId="1C703532"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B56DD9"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43D787" w14:textId="77777777" w:rsidR="00000000" w:rsidRDefault="009B6C69">
            <w:pPr>
              <w:spacing w:after="100"/>
              <w:jc w:val="right"/>
              <w:rPr>
                <w:rFonts w:eastAsia="Times New Roman"/>
              </w:rPr>
            </w:pPr>
            <w:r>
              <w:rPr>
                <w:rFonts w:eastAsia="Times New Roman"/>
                <w:color w:val="000000"/>
                <w:sz w:val="18"/>
                <w:szCs w:val="18"/>
              </w:rPr>
              <w:t>528 </w:t>
            </w:r>
          </w:p>
        </w:tc>
        <w:tc>
          <w:tcPr>
            <w:tcW w:w="0" w:type="auto"/>
            <w:shd w:val="clear" w:color="auto" w:fill="FFFFFF"/>
            <w:tcMar>
              <w:top w:w="30" w:type="dxa"/>
              <w:left w:w="0" w:type="dxa"/>
              <w:bottom w:w="30" w:type="dxa"/>
              <w:right w:w="20" w:type="dxa"/>
            </w:tcMar>
            <w:vAlign w:val="bottom"/>
            <w:hideMark/>
          </w:tcPr>
          <w:p w14:paraId="13B02AA4" w14:textId="77777777" w:rsidR="00000000" w:rsidRDefault="009B6C69">
            <w:pPr>
              <w:spacing w:after="100"/>
              <w:jc w:val="right"/>
              <w:rPr>
                <w:rFonts w:eastAsia="Times New Roman"/>
              </w:rPr>
            </w:pPr>
          </w:p>
        </w:tc>
      </w:tr>
      <w:tr w:rsidR="00000000" w14:paraId="495612B2" w14:textId="77777777">
        <w:trPr>
          <w:jc w:val="center"/>
        </w:trPr>
        <w:tc>
          <w:tcPr>
            <w:tcW w:w="0" w:type="auto"/>
            <w:gridSpan w:val="3"/>
            <w:shd w:val="clear" w:color="auto" w:fill="CCEEFF"/>
            <w:tcMar>
              <w:top w:w="30" w:type="dxa"/>
              <w:left w:w="245" w:type="dxa"/>
              <w:bottom w:w="30" w:type="dxa"/>
              <w:right w:w="20" w:type="dxa"/>
            </w:tcMar>
            <w:vAlign w:val="bottom"/>
            <w:hideMark/>
          </w:tcPr>
          <w:p w14:paraId="5AE10AF9" w14:textId="77777777" w:rsidR="00000000" w:rsidRDefault="009B6C69">
            <w:pPr>
              <w:spacing w:after="100"/>
              <w:rPr>
                <w:rFonts w:eastAsia="Times New Roman"/>
              </w:rPr>
            </w:pPr>
            <w:r>
              <w:rPr>
                <w:rFonts w:eastAsia="Times New Roman"/>
                <w:color w:val="000000"/>
                <w:sz w:val="18"/>
                <w:szCs w:val="18"/>
              </w:rPr>
              <w:t>Unearned revenues</w:t>
            </w:r>
          </w:p>
        </w:tc>
        <w:tc>
          <w:tcPr>
            <w:tcW w:w="0" w:type="auto"/>
            <w:gridSpan w:val="2"/>
            <w:shd w:val="clear" w:color="auto" w:fill="CCEEFF"/>
            <w:tcMar>
              <w:top w:w="30" w:type="dxa"/>
              <w:left w:w="20" w:type="dxa"/>
              <w:bottom w:w="30" w:type="dxa"/>
              <w:right w:w="0" w:type="dxa"/>
            </w:tcMar>
            <w:vAlign w:val="bottom"/>
            <w:hideMark/>
          </w:tcPr>
          <w:p w14:paraId="066ECCD3" w14:textId="77777777" w:rsidR="00000000" w:rsidRDefault="009B6C69">
            <w:pPr>
              <w:spacing w:after="100"/>
              <w:jc w:val="right"/>
              <w:rPr>
                <w:rFonts w:eastAsia="Times New Roman"/>
              </w:rPr>
            </w:pPr>
            <w:r>
              <w:rPr>
                <w:rFonts w:eastAsia="Times New Roman"/>
                <w:color w:val="000000"/>
                <w:sz w:val="18"/>
                <w:szCs w:val="18"/>
              </w:rPr>
              <w:t>(324)</w:t>
            </w:r>
          </w:p>
        </w:tc>
        <w:tc>
          <w:tcPr>
            <w:tcW w:w="0" w:type="auto"/>
            <w:shd w:val="clear" w:color="auto" w:fill="CCEEFF"/>
            <w:tcMar>
              <w:top w:w="30" w:type="dxa"/>
              <w:left w:w="0" w:type="dxa"/>
              <w:bottom w:w="30" w:type="dxa"/>
              <w:right w:w="20" w:type="dxa"/>
            </w:tcMar>
            <w:vAlign w:val="bottom"/>
            <w:hideMark/>
          </w:tcPr>
          <w:p w14:paraId="63B47060"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47F5C8"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ACCA82" w14:textId="77777777" w:rsidR="00000000" w:rsidRDefault="009B6C69">
            <w:pPr>
              <w:spacing w:after="100"/>
              <w:jc w:val="right"/>
              <w:rPr>
                <w:rFonts w:eastAsia="Times New Roman"/>
              </w:rPr>
            </w:pPr>
            <w:r>
              <w:rPr>
                <w:rFonts w:eastAsia="Times New Roman"/>
                <w:color w:val="000000"/>
                <w:sz w:val="18"/>
                <w:szCs w:val="18"/>
              </w:rPr>
              <w:t>(202)</w:t>
            </w:r>
          </w:p>
        </w:tc>
        <w:tc>
          <w:tcPr>
            <w:tcW w:w="0" w:type="auto"/>
            <w:shd w:val="clear" w:color="auto" w:fill="CCEEFF"/>
            <w:tcMar>
              <w:top w:w="30" w:type="dxa"/>
              <w:left w:w="0" w:type="dxa"/>
              <w:bottom w:w="30" w:type="dxa"/>
              <w:right w:w="20" w:type="dxa"/>
            </w:tcMar>
            <w:vAlign w:val="bottom"/>
            <w:hideMark/>
          </w:tcPr>
          <w:p w14:paraId="72E1905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6ABBB5"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AFFCD2" w14:textId="77777777" w:rsidR="00000000" w:rsidRDefault="009B6C69">
            <w:pPr>
              <w:spacing w:after="100"/>
              <w:jc w:val="right"/>
              <w:rPr>
                <w:rFonts w:eastAsia="Times New Roman"/>
              </w:rPr>
            </w:pPr>
            <w:r>
              <w:rPr>
                <w:rFonts w:eastAsia="Times New Roman"/>
                <w:color w:val="000000"/>
                <w:sz w:val="18"/>
                <w:szCs w:val="18"/>
              </w:rPr>
              <w:t>(246)</w:t>
            </w:r>
          </w:p>
        </w:tc>
        <w:tc>
          <w:tcPr>
            <w:tcW w:w="0" w:type="auto"/>
            <w:shd w:val="clear" w:color="auto" w:fill="CCEEFF"/>
            <w:tcMar>
              <w:top w:w="30" w:type="dxa"/>
              <w:left w:w="0" w:type="dxa"/>
              <w:bottom w:w="30" w:type="dxa"/>
              <w:right w:w="20" w:type="dxa"/>
            </w:tcMar>
            <w:vAlign w:val="bottom"/>
            <w:hideMark/>
          </w:tcPr>
          <w:p w14:paraId="7182FDF8" w14:textId="77777777" w:rsidR="00000000" w:rsidRDefault="009B6C69">
            <w:pPr>
              <w:spacing w:after="100"/>
              <w:jc w:val="right"/>
              <w:rPr>
                <w:rFonts w:eastAsia="Times New Roman"/>
              </w:rPr>
            </w:pPr>
          </w:p>
        </w:tc>
      </w:tr>
      <w:tr w:rsidR="00000000" w14:paraId="58A35D6F" w14:textId="77777777">
        <w:trPr>
          <w:jc w:val="center"/>
        </w:trPr>
        <w:tc>
          <w:tcPr>
            <w:tcW w:w="0" w:type="auto"/>
            <w:gridSpan w:val="3"/>
            <w:shd w:val="clear" w:color="auto" w:fill="FFFFFF"/>
            <w:tcMar>
              <w:top w:w="30" w:type="dxa"/>
              <w:left w:w="155" w:type="dxa"/>
              <w:bottom w:w="30" w:type="dxa"/>
              <w:right w:w="20" w:type="dxa"/>
            </w:tcMar>
            <w:vAlign w:val="bottom"/>
            <w:hideMark/>
          </w:tcPr>
          <w:p w14:paraId="06181D65" w14:textId="77777777" w:rsidR="00000000" w:rsidRDefault="009B6C69">
            <w:pPr>
              <w:spacing w:after="100"/>
              <w:rPr>
                <w:rFonts w:eastAsia="Times New Roman"/>
              </w:rPr>
            </w:pPr>
            <w:r>
              <w:rPr>
                <w:rFonts w:eastAsia="Times New Roman"/>
                <w:color w:val="000000"/>
                <w:sz w:val="18"/>
                <w:szCs w:val="18"/>
              </w:rPr>
              <w:t>Net cash used by operating activities from discontinued operations</w:t>
            </w:r>
          </w:p>
        </w:tc>
        <w:tc>
          <w:tcPr>
            <w:tcW w:w="0" w:type="auto"/>
            <w:gridSpan w:val="2"/>
            <w:shd w:val="clear" w:color="auto" w:fill="FFFFFF"/>
            <w:tcMar>
              <w:top w:w="30" w:type="dxa"/>
              <w:left w:w="20" w:type="dxa"/>
              <w:bottom w:w="30" w:type="dxa"/>
              <w:right w:w="0" w:type="dxa"/>
            </w:tcMar>
            <w:vAlign w:val="bottom"/>
            <w:hideMark/>
          </w:tcPr>
          <w:p w14:paraId="662C604A" w14:textId="77777777" w:rsidR="00000000" w:rsidRDefault="009B6C69">
            <w:pPr>
              <w:spacing w:after="100"/>
              <w:jc w:val="right"/>
              <w:rPr>
                <w:rFonts w:eastAsia="Times New Roman"/>
              </w:rPr>
            </w:pPr>
            <w:r>
              <w:rPr>
                <w:rFonts w:eastAsia="Times New Roman"/>
                <w:color w:val="000000"/>
                <w:sz w:val="18"/>
                <w:szCs w:val="18"/>
              </w:rPr>
              <w:t>(170)</w:t>
            </w:r>
          </w:p>
        </w:tc>
        <w:tc>
          <w:tcPr>
            <w:tcW w:w="0" w:type="auto"/>
            <w:shd w:val="clear" w:color="auto" w:fill="FFFFFF"/>
            <w:tcMar>
              <w:top w:w="30" w:type="dxa"/>
              <w:left w:w="0" w:type="dxa"/>
              <w:bottom w:w="30" w:type="dxa"/>
              <w:right w:w="20" w:type="dxa"/>
            </w:tcMar>
            <w:vAlign w:val="bottom"/>
            <w:hideMark/>
          </w:tcPr>
          <w:p w14:paraId="4F76E45A"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2338FF"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4E627C"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B24EC5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8B8F68"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0985C4"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B5D62C8" w14:textId="77777777" w:rsidR="00000000" w:rsidRDefault="009B6C69">
            <w:pPr>
              <w:spacing w:after="100"/>
              <w:jc w:val="right"/>
              <w:rPr>
                <w:rFonts w:eastAsia="Times New Roman"/>
              </w:rPr>
            </w:pPr>
          </w:p>
        </w:tc>
      </w:tr>
      <w:tr w:rsidR="00000000" w14:paraId="3FD335D9" w14:textId="77777777">
        <w:trPr>
          <w:jc w:val="center"/>
        </w:trPr>
        <w:tc>
          <w:tcPr>
            <w:tcW w:w="0" w:type="auto"/>
            <w:gridSpan w:val="3"/>
            <w:shd w:val="clear" w:color="auto" w:fill="CCEEFF"/>
            <w:tcMar>
              <w:top w:w="30" w:type="dxa"/>
              <w:left w:w="380" w:type="dxa"/>
              <w:bottom w:w="30" w:type="dxa"/>
              <w:right w:w="20" w:type="dxa"/>
            </w:tcMar>
            <w:vAlign w:val="bottom"/>
            <w:hideMark/>
          </w:tcPr>
          <w:p w14:paraId="0E444FCE" w14:textId="77777777" w:rsidR="00000000" w:rsidRDefault="009B6C69">
            <w:pPr>
              <w:spacing w:after="100"/>
              <w:rPr>
                <w:rFonts w:eastAsia="Times New Roman"/>
              </w:rPr>
            </w:pPr>
            <w:r>
              <w:rPr>
                <w:rFonts w:eastAsia="Times New Roman"/>
                <w:color w:val="000000"/>
                <w:sz w:val="18"/>
                <w:szCs w:val="18"/>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B65B90" w14:textId="77777777" w:rsidR="00000000" w:rsidRDefault="009B6C69">
            <w:pPr>
              <w:spacing w:after="100"/>
              <w:jc w:val="right"/>
              <w:rPr>
                <w:rFonts w:eastAsia="Times New Roman"/>
              </w:rPr>
            </w:pPr>
            <w:r>
              <w:rPr>
                <w:rFonts w:eastAsia="Times New Roman"/>
                <w:color w:val="000000"/>
                <w:sz w:val="18"/>
                <w:szCs w:val="18"/>
              </w:rPr>
              <w:t>9,096 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E3995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7DE24A"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5F0242" w14:textId="77777777" w:rsidR="00000000" w:rsidRDefault="009B6C69">
            <w:pPr>
              <w:spacing w:after="100"/>
              <w:jc w:val="right"/>
              <w:rPr>
                <w:rFonts w:eastAsia="Times New Roman"/>
              </w:rPr>
            </w:pPr>
            <w:r>
              <w:rPr>
                <w:rFonts w:eastAsia="Times New Roman"/>
                <w:color w:val="000000"/>
                <w:sz w:val="18"/>
                <w:szCs w:val="18"/>
              </w:rPr>
              <w:t>10,536 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E65B7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50CF7C"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34924E" w14:textId="77777777" w:rsidR="00000000" w:rsidRDefault="009B6C69">
            <w:pPr>
              <w:spacing w:after="100"/>
              <w:jc w:val="right"/>
              <w:rPr>
                <w:rFonts w:eastAsia="Times New Roman"/>
              </w:rPr>
            </w:pPr>
            <w:r>
              <w:rPr>
                <w:rFonts w:eastAsia="Times New Roman"/>
                <w:color w:val="000000"/>
                <w:sz w:val="18"/>
                <w:szCs w:val="18"/>
              </w:rPr>
              <w:t>5,814 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DD6E09" w14:textId="77777777" w:rsidR="00000000" w:rsidRDefault="009B6C69">
            <w:pPr>
              <w:spacing w:after="100"/>
              <w:jc w:val="right"/>
              <w:rPr>
                <w:rFonts w:eastAsia="Times New Roman"/>
              </w:rPr>
            </w:pPr>
          </w:p>
        </w:tc>
      </w:tr>
      <w:tr w:rsidR="00000000" w14:paraId="1D72A5A8" w14:textId="77777777">
        <w:trPr>
          <w:jc w:val="center"/>
        </w:trPr>
        <w:tc>
          <w:tcPr>
            <w:tcW w:w="0" w:type="auto"/>
            <w:gridSpan w:val="3"/>
            <w:shd w:val="clear" w:color="auto" w:fill="FFFFFF"/>
            <w:tcMar>
              <w:top w:w="30" w:type="dxa"/>
              <w:left w:w="20" w:type="dxa"/>
              <w:bottom w:w="30" w:type="dxa"/>
              <w:right w:w="20" w:type="dxa"/>
            </w:tcMar>
            <w:vAlign w:val="bottom"/>
            <w:hideMark/>
          </w:tcPr>
          <w:p w14:paraId="24C592EF" w14:textId="77777777" w:rsidR="00000000" w:rsidRDefault="009B6C69">
            <w:pPr>
              <w:spacing w:after="100"/>
              <w:rPr>
                <w:rFonts w:eastAsia="Times New Roman"/>
              </w:rPr>
            </w:pPr>
            <w:r>
              <w:rPr>
                <w:rFonts w:eastAsia="Times New Roman"/>
                <w:b/>
                <w:bCs/>
                <w:color w:val="000000"/>
                <w:sz w:val="18"/>
                <w:szCs w:val="18"/>
              </w:rPr>
              <w:t>Investing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AA2B124"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5E729582" w14:textId="77777777" w:rsidR="00000000" w:rsidRDefault="009B6C6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CDE777D"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2D9AD964" w14:textId="77777777" w:rsidR="00000000" w:rsidRDefault="009B6C69">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892A939" w14:textId="77777777" w:rsidR="00000000" w:rsidRDefault="009B6C69">
            <w:pPr>
              <w:spacing w:after="100"/>
              <w:rPr>
                <w:rFonts w:eastAsia="Times New Roman"/>
                <w:sz w:val="20"/>
                <w:szCs w:val="20"/>
              </w:rPr>
            </w:pPr>
          </w:p>
        </w:tc>
      </w:tr>
      <w:tr w:rsidR="00000000" w14:paraId="4A7B1F6A" w14:textId="77777777">
        <w:trPr>
          <w:jc w:val="center"/>
        </w:trPr>
        <w:tc>
          <w:tcPr>
            <w:tcW w:w="0" w:type="auto"/>
            <w:gridSpan w:val="3"/>
            <w:shd w:val="clear" w:color="auto" w:fill="CCEEFF"/>
            <w:tcMar>
              <w:top w:w="30" w:type="dxa"/>
              <w:left w:w="155" w:type="dxa"/>
              <w:bottom w:w="30" w:type="dxa"/>
              <w:right w:w="20" w:type="dxa"/>
            </w:tcMar>
            <w:vAlign w:val="bottom"/>
            <w:hideMark/>
          </w:tcPr>
          <w:p w14:paraId="5249EF7A" w14:textId="77777777" w:rsidR="00000000" w:rsidRDefault="009B6C69">
            <w:pPr>
              <w:spacing w:after="100"/>
              <w:rPr>
                <w:rFonts w:eastAsia="Times New Roman"/>
              </w:rPr>
            </w:pPr>
            <w:r>
              <w:rPr>
                <w:rFonts w:eastAsia="Times New Roman"/>
                <w:color w:val="000000"/>
                <w:sz w:val="18"/>
                <w:szCs w:val="18"/>
              </w:rPr>
              <w:t>Capital expenditures</w:t>
            </w:r>
          </w:p>
        </w:tc>
        <w:tc>
          <w:tcPr>
            <w:tcW w:w="0" w:type="auto"/>
            <w:gridSpan w:val="2"/>
            <w:shd w:val="clear" w:color="auto" w:fill="CCEEFF"/>
            <w:tcMar>
              <w:top w:w="30" w:type="dxa"/>
              <w:left w:w="20" w:type="dxa"/>
              <w:bottom w:w="30" w:type="dxa"/>
              <w:right w:w="0" w:type="dxa"/>
            </w:tcMar>
            <w:vAlign w:val="bottom"/>
            <w:hideMark/>
          </w:tcPr>
          <w:p w14:paraId="7975062A" w14:textId="77777777" w:rsidR="00000000" w:rsidRDefault="009B6C69">
            <w:pPr>
              <w:spacing w:after="100"/>
              <w:jc w:val="right"/>
              <w:rPr>
                <w:rFonts w:eastAsia="Times New Roman"/>
              </w:rPr>
            </w:pPr>
            <w:r>
              <w:rPr>
                <w:rFonts w:eastAsia="Times New Roman"/>
                <w:color w:val="000000"/>
                <w:sz w:val="18"/>
                <w:szCs w:val="18"/>
              </w:rPr>
              <w:t>(2,262)</w:t>
            </w:r>
          </w:p>
        </w:tc>
        <w:tc>
          <w:tcPr>
            <w:tcW w:w="0" w:type="auto"/>
            <w:shd w:val="clear" w:color="auto" w:fill="CCEEFF"/>
            <w:tcMar>
              <w:top w:w="30" w:type="dxa"/>
              <w:left w:w="0" w:type="dxa"/>
              <w:bottom w:w="30" w:type="dxa"/>
              <w:right w:w="20" w:type="dxa"/>
            </w:tcMar>
            <w:vAlign w:val="bottom"/>
            <w:hideMark/>
          </w:tcPr>
          <w:p w14:paraId="197A7A3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AF3453"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770B4C" w14:textId="77777777" w:rsidR="00000000" w:rsidRDefault="009B6C69">
            <w:pPr>
              <w:spacing w:after="100"/>
              <w:jc w:val="right"/>
              <w:rPr>
                <w:rFonts w:eastAsia="Times New Roman"/>
              </w:rPr>
            </w:pPr>
            <w:r>
              <w:rPr>
                <w:rFonts w:eastAsia="Times New Roman"/>
                <w:color w:val="000000"/>
                <w:sz w:val="18"/>
                <w:szCs w:val="18"/>
              </w:rPr>
              <w:t>(</w:t>
            </w:r>
            <w:r>
              <w:rPr>
                <w:rFonts w:eastAsia="Times New Roman"/>
                <w:color w:val="000000"/>
                <w:sz w:val="18"/>
                <w:szCs w:val="18"/>
              </w:rPr>
              <w:t>1,888)</w:t>
            </w:r>
          </w:p>
        </w:tc>
        <w:tc>
          <w:tcPr>
            <w:tcW w:w="0" w:type="auto"/>
            <w:shd w:val="clear" w:color="auto" w:fill="CCEEFF"/>
            <w:tcMar>
              <w:top w:w="30" w:type="dxa"/>
              <w:left w:w="0" w:type="dxa"/>
              <w:bottom w:w="30" w:type="dxa"/>
              <w:right w:w="20" w:type="dxa"/>
            </w:tcMar>
            <w:vAlign w:val="bottom"/>
            <w:hideMark/>
          </w:tcPr>
          <w:p w14:paraId="37F956D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84AC00"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C7638D" w14:textId="77777777" w:rsidR="00000000" w:rsidRDefault="009B6C69">
            <w:pPr>
              <w:spacing w:after="100"/>
              <w:jc w:val="right"/>
              <w:rPr>
                <w:rFonts w:eastAsia="Times New Roman"/>
              </w:rPr>
            </w:pPr>
            <w:r>
              <w:rPr>
                <w:rFonts w:eastAsia="Times New Roman"/>
                <w:color w:val="000000"/>
                <w:sz w:val="18"/>
                <w:szCs w:val="18"/>
              </w:rPr>
              <w:t>(1,407)</w:t>
            </w:r>
          </w:p>
        </w:tc>
        <w:tc>
          <w:tcPr>
            <w:tcW w:w="0" w:type="auto"/>
            <w:shd w:val="clear" w:color="auto" w:fill="CCEEFF"/>
            <w:tcMar>
              <w:top w:w="30" w:type="dxa"/>
              <w:left w:w="0" w:type="dxa"/>
              <w:bottom w:w="30" w:type="dxa"/>
              <w:right w:w="20" w:type="dxa"/>
            </w:tcMar>
            <w:vAlign w:val="bottom"/>
            <w:hideMark/>
          </w:tcPr>
          <w:p w14:paraId="5342F342" w14:textId="77777777" w:rsidR="00000000" w:rsidRDefault="009B6C69">
            <w:pPr>
              <w:spacing w:after="100"/>
              <w:jc w:val="right"/>
              <w:rPr>
                <w:rFonts w:eastAsia="Times New Roman"/>
              </w:rPr>
            </w:pPr>
          </w:p>
        </w:tc>
      </w:tr>
      <w:tr w:rsidR="00000000" w14:paraId="4DF714BD" w14:textId="77777777">
        <w:trPr>
          <w:jc w:val="center"/>
        </w:trPr>
        <w:tc>
          <w:tcPr>
            <w:tcW w:w="0" w:type="auto"/>
            <w:gridSpan w:val="3"/>
            <w:shd w:val="clear" w:color="auto" w:fill="FFFFFF"/>
            <w:tcMar>
              <w:top w:w="30" w:type="dxa"/>
              <w:left w:w="155" w:type="dxa"/>
              <w:bottom w:w="30" w:type="dxa"/>
              <w:right w:w="20" w:type="dxa"/>
            </w:tcMar>
            <w:vAlign w:val="bottom"/>
            <w:hideMark/>
          </w:tcPr>
          <w:p w14:paraId="707109AF" w14:textId="77777777" w:rsidR="00000000" w:rsidRDefault="009B6C69">
            <w:pPr>
              <w:spacing w:after="100"/>
              <w:rPr>
                <w:rFonts w:eastAsia="Times New Roman"/>
              </w:rPr>
            </w:pPr>
            <w:r>
              <w:rPr>
                <w:rFonts w:eastAsia="Times New Roman"/>
                <w:color w:val="000000"/>
                <w:sz w:val="18"/>
                <w:szCs w:val="18"/>
              </w:rPr>
              <w:t>Purchases of debt and equity marketable securities</w:t>
            </w:r>
          </w:p>
        </w:tc>
        <w:tc>
          <w:tcPr>
            <w:tcW w:w="0" w:type="auto"/>
            <w:gridSpan w:val="2"/>
            <w:shd w:val="clear" w:color="auto" w:fill="FFFFFF"/>
            <w:tcMar>
              <w:top w:w="30" w:type="dxa"/>
              <w:left w:w="20" w:type="dxa"/>
              <w:bottom w:w="30" w:type="dxa"/>
              <w:right w:w="0" w:type="dxa"/>
            </w:tcMar>
            <w:vAlign w:val="bottom"/>
            <w:hideMark/>
          </w:tcPr>
          <w:p w14:paraId="3B8D7928" w14:textId="77777777" w:rsidR="00000000" w:rsidRDefault="009B6C69">
            <w:pPr>
              <w:spacing w:after="100"/>
              <w:jc w:val="right"/>
              <w:rPr>
                <w:rFonts w:eastAsia="Times New Roman"/>
              </w:rPr>
            </w:pPr>
            <w:r>
              <w:rPr>
                <w:rFonts w:eastAsia="Times New Roman"/>
                <w:color w:val="000000"/>
                <w:sz w:val="18"/>
                <w:szCs w:val="18"/>
              </w:rPr>
              <w:t>(1,414)</w:t>
            </w:r>
          </w:p>
        </w:tc>
        <w:tc>
          <w:tcPr>
            <w:tcW w:w="0" w:type="auto"/>
            <w:shd w:val="clear" w:color="auto" w:fill="FFFFFF"/>
            <w:tcMar>
              <w:top w:w="30" w:type="dxa"/>
              <w:left w:w="0" w:type="dxa"/>
              <w:bottom w:w="30" w:type="dxa"/>
              <w:right w:w="20" w:type="dxa"/>
            </w:tcMar>
            <w:vAlign w:val="bottom"/>
            <w:hideMark/>
          </w:tcPr>
          <w:p w14:paraId="3D6DD3AA"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5DFC52"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A5AE47" w14:textId="77777777" w:rsidR="00000000" w:rsidRDefault="009B6C69">
            <w:pPr>
              <w:spacing w:after="100"/>
              <w:jc w:val="right"/>
              <w:rPr>
                <w:rFonts w:eastAsia="Times New Roman"/>
              </w:rPr>
            </w:pPr>
            <w:r>
              <w:rPr>
                <w:rFonts w:eastAsia="Times New Roman"/>
                <w:color w:val="000000"/>
                <w:sz w:val="18"/>
                <w:szCs w:val="18"/>
              </w:rPr>
              <w:t>(5,907)</w:t>
            </w:r>
          </w:p>
        </w:tc>
        <w:tc>
          <w:tcPr>
            <w:tcW w:w="0" w:type="auto"/>
            <w:shd w:val="clear" w:color="auto" w:fill="FFFFFF"/>
            <w:tcMar>
              <w:top w:w="30" w:type="dxa"/>
              <w:left w:w="0" w:type="dxa"/>
              <w:bottom w:w="30" w:type="dxa"/>
              <w:right w:w="20" w:type="dxa"/>
            </w:tcMar>
            <w:vAlign w:val="bottom"/>
            <w:hideMark/>
          </w:tcPr>
          <w:p w14:paraId="201BC77E"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C0DD40"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F4CE18" w14:textId="77777777" w:rsidR="00000000" w:rsidRDefault="009B6C69">
            <w:pPr>
              <w:spacing w:after="100"/>
              <w:jc w:val="right"/>
              <w:rPr>
                <w:rFonts w:eastAsia="Times New Roman"/>
              </w:rPr>
            </w:pPr>
            <w:r>
              <w:rPr>
                <w:rFonts w:eastAsia="Times New Roman"/>
                <w:color w:val="000000"/>
                <w:sz w:val="18"/>
                <w:szCs w:val="18"/>
              </w:rPr>
              <w:t>(6,213)</w:t>
            </w:r>
          </w:p>
        </w:tc>
        <w:tc>
          <w:tcPr>
            <w:tcW w:w="0" w:type="auto"/>
            <w:shd w:val="clear" w:color="auto" w:fill="FFFFFF"/>
            <w:tcMar>
              <w:top w:w="30" w:type="dxa"/>
              <w:left w:w="0" w:type="dxa"/>
              <w:bottom w:w="30" w:type="dxa"/>
              <w:right w:w="20" w:type="dxa"/>
            </w:tcMar>
            <w:vAlign w:val="bottom"/>
            <w:hideMark/>
          </w:tcPr>
          <w:p w14:paraId="2B935380" w14:textId="77777777" w:rsidR="00000000" w:rsidRDefault="009B6C69">
            <w:pPr>
              <w:spacing w:after="100"/>
              <w:jc w:val="right"/>
              <w:rPr>
                <w:rFonts w:eastAsia="Times New Roman"/>
              </w:rPr>
            </w:pPr>
          </w:p>
        </w:tc>
      </w:tr>
      <w:tr w:rsidR="00000000" w14:paraId="70017DBE" w14:textId="77777777">
        <w:trPr>
          <w:jc w:val="center"/>
        </w:trPr>
        <w:tc>
          <w:tcPr>
            <w:tcW w:w="0" w:type="auto"/>
            <w:gridSpan w:val="3"/>
            <w:shd w:val="clear" w:color="auto" w:fill="CCEEFF"/>
            <w:tcMar>
              <w:top w:w="30" w:type="dxa"/>
              <w:left w:w="155" w:type="dxa"/>
              <w:bottom w:w="30" w:type="dxa"/>
              <w:right w:w="20" w:type="dxa"/>
            </w:tcMar>
            <w:vAlign w:val="bottom"/>
            <w:hideMark/>
          </w:tcPr>
          <w:p w14:paraId="1AE37C31" w14:textId="77777777" w:rsidR="00000000" w:rsidRDefault="009B6C69">
            <w:pPr>
              <w:spacing w:after="100"/>
              <w:rPr>
                <w:rFonts w:eastAsia="Times New Roman"/>
              </w:rPr>
            </w:pPr>
            <w:r>
              <w:rPr>
                <w:rFonts w:eastAsia="Times New Roman"/>
                <w:color w:val="000000"/>
                <w:sz w:val="18"/>
                <w:szCs w:val="18"/>
              </w:rPr>
              <w:t>Proceeds from sales and maturities of debt and equity marketable securities</w:t>
            </w:r>
          </w:p>
        </w:tc>
        <w:tc>
          <w:tcPr>
            <w:tcW w:w="0" w:type="auto"/>
            <w:gridSpan w:val="2"/>
            <w:shd w:val="clear" w:color="auto" w:fill="CCEEFF"/>
            <w:tcMar>
              <w:top w:w="30" w:type="dxa"/>
              <w:left w:w="20" w:type="dxa"/>
              <w:bottom w:w="30" w:type="dxa"/>
              <w:right w:w="0" w:type="dxa"/>
            </w:tcMar>
            <w:vAlign w:val="bottom"/>
            <w:hideMark/>
          </w:tcPr>
          <w:p w14:paraId="24201C00" w14:textId="77777777" w:rsidR="00000000" w:rsidRDefault="009B6C69">
            <w:pPr>
              <w:spacing w:after="100"/>
              <w:jc w:val="right"/>
              <w:rPr>
                <w:rFonts w:eastAsia="Times New Roman"/>
              </w:rPr>
            </w:pPr>
            <w:r>
              <w:rPr>
                <w:rFonts w:eastAsia="Times New Roman"/>
                <w:color w:val="000000"/>
                <w:sz w:val="18"/>
                <w:szCs w:val="18"/>
              </w:rPr>
              <w:t>2,622 </w:t>
            </w:r>
          </w:p>
        </w:tc>
        <w:tc>
          <w:tcPr>
            <w:tcW w:w="0" w:type="auto"/>
            <w:shd w:val="clear" w:color="auto" w:fill="CCEEFF"/>
            <w:tcMar>
              <w:top w:w="30" w:type="dxa"/>
              <w:left w:w="0" w:type="dxa"/>
              <w:bottom w:w="30" w:type="dxa"/>
              <w:right w:w="20" w:type="dxa"/>
            </w:tcMar>
            <w:vAlign w:val="bottom"/>
            <w:hideMark/>
          </w:tcPr>
          <w:p w14:paraId="7EDEE850"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834DBB"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49E4C2" w14:textId="77777777" w:rsidR="00000000" w:rsidRDefault="009B6C69">
            <w:pPr>
              <w:spacing w:after="100"/>
              <w:jc w:val="right"/>
              <w:rPr>
                <w:rFonts w:eastAsia="Times New Roman"/>
              </w:rPr>
            </w:pPr>
            <w:r>
              <w:rPr>
                <w:rFonts w:eastAsia="Times New Roman"/>
                <w:color w:val="000000"/>
                <w:sz w:val="18"/>
                <w:szCs w:val="18"/>
              </w:rPr>
              <w:t>5,555 </w:t>
            </w:r>
          </w:p>
        </w:tc>
        <w:tc>
          <w:tcPr>
            <w:tcW w:w="0" w:type="auto"/>
            <w:shd w:val="clear" w:color="auto" w:fill="CCEEFF"/>
            <w:tcMar>
              <w:top w:w="30" w:type="dxa"/>
              <w:left w:w="0" w:type="dxa"/>
              <w:bottom w:w="30" w:type="dxa"/>
              <w:right w:w="20" w:type="dxa"/>
            </w:tcMar>
            <w:vAlign w:val="bottom"/>
            <w:hideMark/>
          </w:tcPr>
          <w:p w14:paraId="5DD9E0E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961CFF"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E307A7" w14:textId="77777777" w:rsidR="00000000" w:rsidRDefault="009B6C69">
            <w:pPr>
              <w:spacing w:after="100"/>
              <w:jc w:val="right"/>
              <w:rPr>
                <w:rFonts w:eastAsia="Times New Roman"/>
              </w:rPr>
            </w:pPr>
            <w:r>
              <w:rPr>
                <w:rFonts w:eastAsia="Times New Roman"/>
                <w:color w:val="000000"/>
                <w:sz w:val="18"/>
                <w:szCs w:val="18"/>
              </w:rPr>
              <w:t>2,399 </w:t>
            </w:r>
          </w:p>
        </w:tc>
        <w:tc>
          <w:tcPr>
            <w:tcW w:w="0" w:type="auto"/>
            <w:shd w:val="clear" w:color="auto" w:fill="CCEEFF"/>
            <w:tcMar>
              <w:top w:w="30" w:type="dxa"/>
              <w:left w:w="0" w:type="dxa"/>
              <w:bottom w:w="30" w:type="dxa"/>
              <w:right w:w="20" w:type="dxa"/>
            </w:tcMar>
            <w:vAlign w:val="bottom"/>
            <w:hideMark/>
          </w:tcPr>
          <w:p w14:paraId="0FA9612C" w14:textId="77777777" w:rsidR="00000000" w:rsidRDefault="009B6C69">
            <w:pPr>
              <w:spacing w:after="100"/>
              <w:jc w:val="right"/>
              <w:rPr>
                <w:rFonts w:eastAsia="Times New Roman"/>
              </w:rPr>
            </w:pPr>
          </w:p>
        </w:tc>
      </w:tr>
      <w:tr w:rsidR="00000000" w14:paraId="056A1479" w14:textId="77777777">
        <w:trPr>
          <w:jc w:val="center"/>
        </w:trPr>
        <w:tc>
          <w:tcPr>
            <w:tcW w:w="0" w:type="auto"/>
            <w:gridSpan w:val="3"/>
            <w:vAlign w:val="center"/>
            <w:hideMark/>
          </w:tcPr>
          <w:p w14:paraId="0441DB09" w14:textId="77777777" w:rsidR="00000000" w:rsidRDefault="009B6C69">
            <w:pPr>
              <w:spacing w:after="100"/>
              <w:jc w:val="right"/>
              <w:rPr>
                <w:rFonts w:eastAsia="Times New Roman"/>
                <w:sz w:val="20"/>
                <w:szCs w:val="20"/>
              </w:rPr>
            </w:pPr>
          </w:p>
        </w:tc>
        <w:tc>
          <w:tcPr>
            <w:tcW w:w="0" w:type="auto"/>
            <w:gridSpan w:val="3"/>
            <w:vAlign w:val="center"/>
            <w:hideMark/>
          </w:tcPr>
          <w:p w14:paraId="6D7CA93B" w14:textId="77777777" w:rsidR="00000000" w:rsidRDefault="009B6C69">
            <w:pPr>
              <w:spacing w:after="100"/>
              <w:rPr>
                <w:rFonts w:eastAsia="Times New Roman"/>
                <w:sz w:val="20"/>
                <w:szCs w:val="20"/>
              </w:rPr>
            </w:pPr>
          </w:p>
        </w:tc>
        <w:tc>
          <w:tcPr>
            <w:tcW w:w="0" w:type="auto"/>
            <w:gridSpan w:val="3"/>
            <w:vAlign w:val="center"/>
            <w:hideMark/>
          </w:tcPr>
          <w:p w14:paraId="627528C7" w14:textId="77777777" w:rsidR="00000000" w:rsidRDefault="009B6C69">
            <w:pPr>
              <w:spacing w:after="100"/>
              <w:rPr>
                <w:rFonts w:eastAsia="Times New Roman"/>
                <w:sz w:val="20"/>
                <w:szCs w:val="20"/>
              </w:rPr>
            </w:pPr>
          </w:p>
        </w:tc>
        <w:tc>
          <w:tcPr>
            <w:tcW w:w="0" w:type="auto"/>
            <w:gridSpan w:val="3"/>
            <w:vAlign w:val="center"/>
            <w:hideMark/>
          </w:tcPr>
          <w:p w14:paraId="43AA4D4F" w14:textId="77777777" w:rsidR="00000000" w:rsidRDefault="009B6C69">
            <w:pPr>
              <w:spacing w:after="100"/>
              <w:rPr>
                <w:rFonts w:eastAsia="Times New Roman"/>
                <w:sz w:val="20"/>
                <w:szCs w:val="20"/>
              </w:rPr>
            </w:pPr>
          </w:p>
        </w:tc>
        <w:tc>
          <w:tcPr>
            <w:tcW w:w="0" w:type="auto"/>
            <w:gridSpan w:val="3"/>
            <w:vAlign w:val="center"/>
            <w:hideMark/>
          </w:tcPr>
          <w:p w14:paraId="7764A291" w14:textId="77777777" w:rsidR="00000000" w:rsidRDefault="009B6C69">
            <w:pPr>
              <w:spacing w:after="100"/>
              <w:rPr>
                <w:rFonts w:eastAsia="Times New Roman"/>
                <w:sz w:val="20"/>
                <w:szCs w:val="20"/>
              </w:rPr>
            </w:pPr>
          </w:p>
        </w:tc>
        <w:tc>
          <w:tcPr>
            <w:tcW w:w="0" w:type="auto"/>
            <w:gridSpan w:val="3"/>
            <w:vAlign w:val="center"/>
            <w:hideMark/>
          </w:tcPr>
          <w:p w14:paraId="6ABD90D4" w14:textId="77777777" w:rsidR="00000000" w:rsidRDefault="009B6C69">
            <w:pPr>
              <w:spacing w:after="100"/>
              <w:rPr>
                <w:rFonts w:eastAsia="Times New Roman"/>
                <w:sz w:val="20"/>
                <w:szCs w:val="20"/>
              </w:rPr>
            </w:pPr>
          </w:p>
        </w:tc>
      </w:tr>
      <w:tr w:rsidR="00000000" w14:paraId="2D9371C5" w14:textId="77777777">
        <w:trPr>
          <w:jc w:val="center"/>
        </w:trPr>
        <w:tc>
          <w:tcPr>
            <w:tcW w:w="0" w:type="auto"/>
            <w:gridSpan w:val="3"/>
            <w:vAlign w:val="center"/>
            <w:hideMark/>
          </w:tcPr>
          <w:p w14:paraId="51A0184F" w14:textId="77777777" w:rsidR="00000000" w:rsidRDefault="009B6C69">
            <w:pPr>
              <w:spacing w:after="100"/>
              <w:rPr>
                <w:rFonts w:eastAsia="Times New Roman"/>
                <w:sz w:val="20"/>
                <w:szCs w:val="20"/>
              </w:rPr>
            </w:pPr>
          </w:p>
        </w:tc>
        <w:tc>
          <w:tcPr>
            <w:tcW w:w="0" w:type="auto"/>
            <w:gridSpan w:val="3"/>
            <w:vAlign w:val="center"/>
            <w:hideMark/>
          </w:tcPr>
          <w:p w14:paraId="05D16AF1" w14:textId="77777777" w:rsidR="00000000" w:rsidRDefault="009B6C69">
            <w:pPr>
              <w:spacing w:after="100"/>
              <w:rPr>
                <w:rFonts w:eastAsia="Times New Roman"/>
                <w:sz w:val="20"/>
                <w:szCs w:val="20"/>
              </w:rPr>
            </w:pPr>
          </w:p>
        </w:tc>
        <w:tc>
          <w:tcPr>
            <w:tcW w:w="0" w:type="auto"/>
            <w:gridSpan w:val="3"/>
            <w:vAlign w:val="center"/>
            <w:hideMark/>
          </w:tcPr>
          <w:p w14:paraId="4E0043AA" w14:textId="77777777" w:rsidR="00000000" w:rsidRDefault="009B6C69">
            <w:pPr>
              <w:spacing w:after="100"/>
              <w:rPr>
                <w:rFonts w:eastAsia="Times New Roman"/>
                <w:sz w:val="20"/>
                <w:szCs w:val="20"/>
              </w:rPr>
            </w:pPr>
          </w:p>
        </w:tc>
        <w:tc>
          <w:tcPr>
            <w:tcW w:w="0" w:type="auto"/>
            <w:gridSpan w:val="3"/>
            <w:vAlign w:val="center"/>
            <w:hideMark/>
          </w:tcPr>
          <w:p w14:paraId="7B30BFB9" w14:textId="77777777" w:rsidR="00000000" w:rsidRDefault="009B6C69">
            <w:pPr>
              <w:spacing w:after="100"/>
              <w:rPr>
                <w:rFonts w:eastAsia="Times New Roman"/>
                <w:sz w:val="20"/>
                <w:szCs w:val="20"/>
              </w:rPr>
            </w:pPr>
          </w:p>
        </w:tc>
        <w:tc>
          <w:tcPr>
            <w:tcW w:w="0" w:type="auto"/>
            <w:gridSpan w:val="3"/>
            <w:vAlign w:val="center"/>
            <w:hideMark/>
          </w:tcPr>
          <w:p w14:paraId="18381CC9" w14:textId="77777777" w:rsidR="00000000" w:rsidRDefault="009B6C69">
            <w:pPr>
              <w:spacing w:after="100"/>
              <w:rPr>
                <w:rFonts w:eastAsia="Times New Roman"/>
                <w:sz w:val="20"/>
                <w:szCs w:val="20"/>
              </w:rPr>
            </w:pPr>
          </w:p>
        </w:tc>
        <w:tc>
          <w:tcPr>
            <w:tcW w:w="0" w:type="auto"/>
            <w:gridSpan w:val="3"/>
            <w:vAlign w:val="center"/>
            <w:hideMark/>
          </w:tcPr>
          <w:p w14:paraId="3BB5192C" w14:textId="77777777" w:rsidR="00000000" w:rsidRDefault="009B6C69">
            <w:pPr>
              <w:spacing w:after="100"/>
              <w:rPr>
                <w:rFonts w:eastAsia="Times New Roman"/>
                <w:sz w:val="20"/>
                <w:szCs w:val="20"/>
              </w:rPr>
            </w:pPr>
          </w:p>
        </w:tc>
      </w:tr>
      <w:tr w:rsidR="00000000" w14:paraId="6DF36A31" w14:textId="77777777">
        <w:trPr>
          <w:jc w:val="center"/>
        </w:trPr>
        <w:tc>
          <w:tcPr>
            <w:tcW w:w="0" w:type="auto"/>
            <w:gridSpan w:val="3"/>
            <w:vAlign w:val="center"/>
            <w:hideMark/>
          </w:tcPr>
          <w:p w14:paraId="0C8062AB" w14:textId="77777777" w:rsidR="00000000" w:rsidRDefault="009B6C69">
            <w:pPr>
              <w:spacing w:after="100"/>
              <w:rPr>
                <w:rFonts w:eastAsia="Times New Roman"/>
                <w:sz w:val="20"/>
                <w:szCs w:val="20"/>
              </w:rPr>
            </w:pPr>
          </w:p>
        </w:tc>
        <w:tc>
          <w:tcPr>
            <w:tcW w:w="0" w:type="auto"/>
            <w:gridSpan w:val="3"/>
            <w:vAlign w:val="center"/>
            <w:hideMark/>
          </w:tcPr>
          <w:p w14:paraId="3455F444" w14:textId="77777777" w:rsidR="00000000" w:rsidRDefault="009B6C69">
            <w:pPr>
              <w:spacing w:after="100"/>
              <w:rPr>
                <w:rFonts w:eastAsia="Times New Roman"/>
                <w:sz w:val="20"/>
                <w:szCs w:val="20"/>
              </w:rPr>
            </w:pPr>
          </w:p>
        </w:tc>
        <w:tc>
          <w:tcPr>
            <w:tcW w:w="0" w:type="auto"/>
            <w:gridSpan w:val="3"/>
            <w:vAlign w:val="center"/>
            <w:hideMark/>
          </w:tcPr>
          <w:p w14:paraId="6088ACBE" w14:textId="77777777" w:rsidR="00000000" w:rsidRDefault="009B6C69">
            <w:pPr>
              <w:spacing w:after="100"/>
              <w:rPr>
                <w:rFonts w:eastAsia="Times New Roman"/>
                <w:sz w:val="20"/>
                <w:szCs w:val="20"/>
              </w:rPr>
            </w:pPr>
          </w:p>
        </w:tc>
        <w:tc>
          <w:tcPr>
            <w:tcW w:w="0" w:type="auto"/>
            <w:gridSpan w:val="3"/>
            <w:vAlign w:val="center"/>
            <w:hideMark/>
          </w:tcPr>
          <w:p w14:paraId="7657DF45" w14:textId="77777777" w:rsidR="00000000" w:rsidRDefault="009B6C69">
            <w:pPr>
              <w:spacing w:after="100"/>
              <w:rPr>
                <w:rFonts w:eastAsia="Times New Roman"/>
                <w:sz w:val="20"/>
                <w:szCs w:val="20"/>
              </w:rPr>
            </w:pPr>
          </w:p>
        </w:tc>
        <w:tc>
          <w:tcPr>
            <w:tcW w:w="0" w:type="auto"/>
            <w:gridSpan w:val="3"/>
            <w:vAlign w:val="center"/>
            <w:hideMark/>
          </w:tcPr>
          <w:p w14:paraId="241D49A3" w14:textId="77777777" w:rsidR="00000000" w:rsidRDefault="009B6C69">
            <w:pPr>
              <w:spacing w:after="100"/>
              <w:rPr>
                <w:rFonts w:eastAsia="Times New Roman"/>
                <w:sz w:val="20"/>
                <w:szCs w:val="20"/>
              </w:rPr>
            </w:pPr>
          </w:p>
        </w:tc>
        <w:tc>
          <w:tcPr>
            <w:tcW w:w="0" w:type="auto"/>
            <w:gridSpan w:val="3"/>
            <w:vAlign w:val="center"/>
            <w:hideMark/>
          </w:tcPr>
          <w:p w14:paraId="129EB787" w14:textId="77777777" w:rsidR="00000000" w:rsidRDefault="009B6C69">
            <w:pPr>
              <w:spacing w:after="100"/>
              <w:rPr>
                <w:rFonts w:eastAsia="Times New Roman"/>
                <w:sz w:val="20"/>
                <w:szCs w:val="20"/>
              </w:rPr>
            </w:pPr>
          </w:p>
        </w:tc>
      </w:tr>
      <w:tr w:rsidR="00000000" w14:paraId="6631A16B" w14:textId="77777777">
        <w:trPr>
          <w:jc w:val="center"/>
        </w:trPr>
        <w:tc>
          <w:tcPr>
            <w:tcW w:w="0" w:type="auto"/>
            <w:gridSpan w:val="3"/>
            <w:vAlign w:val="center"/>
            <w:hideMark/>
          </w:tcPr>
          <w:p w14:paraId="2E3DC3D3" w14:textId="77777777" w:rsidR="00000000" w:rsidRDefault="009B6C69">
            <w:pPr>
              <w:spacing w:after="100"/>
              <w:rPr>
                <w:rFonts w:eastAsia="Times New Roman"/>
                <w:sz w:val="20"/>
                <w:szCs w:val="20"/>
              </w:rPr>
            </w:pPr>
          </w:p>
        </w:tc>
        <w:tc>
          <w:tcPr>
            <w:tcW w:w="0" w:type="auto"/>
            <w:gridSpan w:val="3"/>
            <w:vAlign w:val="center"/>
            <w:hideMark/>
          </w:tcPr>
          <w:p w14:paraId="128E5065" w14:textId="77777777" w:rsidR="00000000" w:rsidRDefault="009B6C69">
            <w:pPr>
              <w:spacing w:after="100"/>
              <w:rPr>
                <w:rFonts w:eastAsia="Times New Roman"/>
                <w:sz w:val="20"/>
                <w:szCs w:val="20"/>
              </w:rPr>
            </w:pPr>
          </w:p>
        </w:tc>
        <w:tc>
          <w:tcPr>
            <w:tcW w:w="0" w:type="auto"/>
            <w:gridSpan w:val="3"/>
            <w:vAlign w:val="center"/>
            <w:hideMark/>
          </w:tcPr>
          <w:p w14:paraId="78AEE4E4" w14:textId="77777777" w:rsidR="00000000" w:rsidRDefault="009B6C69">
            <w:pPr>
              <w:spacing w:after="100"/>
              <w:rPr>
                <w:rFonts w:eastAsia="Times New Roman"/>
                <w:sz w:val="20"/>
                <w:szCs w:val="20"/>
              </w:rPr>
            </w:pPr>
          </w:p>
        </w:tc>
        <w:tc>
          <w:tcPr>
            <w:tcW w:w="0" w:type="auto"/>
            <w:gridSpan w:val="3"/>
            <w:vAlign w:val="center"/>
            <w:hideMark/>
          </w:tcPr>
          <w:p w14:paraId="688FF37D" w14:textId="77777777" w:rsidR="00000000" w:rsidRDefault="009B6C69">
            <w:pPr>
              <w:spacing w:after="100"/>
              <w:rPr>
                <w:rFonts w:eastAsia="Times New Roman"/>
                <w:sz w:val="20"/>
                <w:szCs w:val="20"/>
              </w:rPr>
            </w:pPr>
          </w:p>
        </w:tc>
        <w:tc>
          <w:tcPr>
            <w:tcW w:w="0" w:type="auto"/>
            <w:gridSpan w:val="3"/>
            <w:vAlign w:val="center"/>
            <w:hideMark/>
          </w:tcPr>
          <w:p w14:paraId="757CFB91" w14:textId="77777777" w:rsidR="00000000" w:rsidRDefault="009B6C69">
            <w:pPr>
              <w:spacing w:after="100"/>
              <w:rPr>
                <w:rFonts w:eastAsia="Times New Roman"/>
                <w:sz w:val="20"/>
                <w:szCs w:val="20"/>
              </w:rPr>
            </w:pPr>
          </w:p>
        </w:tc>
        <w:tc>
          <w:tcPr>
            <w:tcW w:w="0" w:type="auto"/>
            <w:gridSpan w:val="3"/>
            <w:vAlign w:val="center"/>
            <w:hideMark/>
          </w:tcPr>
          <w:p w14:paraId="56CBDEDD" w14:textId="77777777" w:rsidR="00000000" w:rsidRDefault="009B6C69">
            <w:pPr>
              <w:spacing w:after="100"/>
              <w:rPr>
                <w:rFonts w:eastAsia="Times New Roman"/>
                <w:sz w:val="20"/>
                <w:szCs w:val="20"/>
              </w:rPr>
            </w:pPr>
          </w:p>
        </w:tc>
      </w:tr>
      <w:tr w:rsidR="00000000" w14:paraId="323C3CB6" w14:textId="77777777">
        <w:trPr>
          <w:jc w:val="center"/>
        </w:trPr>
        <w:tc>
          <w:tcPr>
            <w:tcW w:w="0" w:type="auto"/>
            <w:gridSpan w:val="3"/>
            <w:shd w:val="clear" w:color="auto" w:fill="FFFFFF"/>
            <w:tcMar>
              <w:top w:w="30" w:type="dxa"/>
              <w:left w:w="155" w:type="dxa"/>
              <w:bottom w:w="30" w:type="dxa"/>
              <w:right w:w="20" w:type="dxa"/>
            </w:tcMar>
            <w:vAlign w:val="bottom"/>
            <w:hideMark/>
          </w:tcPr>
          <w:p w14:paraId="190A7D9C" w14:textId="77777777" w:rsidR="00000000" w:rsidRDefault="009B6C69">
            <w:pPr>
              <w:spacing w:after="100"/>
              <w:rPr>
                <w:rFonts w:eastAsia="Times New Roman"/>
              </w:rPr>
            </w:pPr>
            <w:r>
              <w:rPr>
                <w:rFonts w:eastAsia="Times New Roman"/>
                <w:color w:val="000000"/>
                <w:sz w:val="18"/>
                <w:szCs w:val="18"/>
              </w:rPr>
              <w:t>Acquisitions and other investments, net of cash acquired</w:t>
            </w:r>
          </w:p>
        </w:tc>
        <w:tc>
          <w:tcPr>
            <w:tcW w:w="0" w:type="auto"/>
            <w:gridSpan w:val="2"/>
            <w:shd w:val="clear" w:color="auto" w:fill="FFFFFF"/>
            <w:tcMar>
              <w:top w:w="30" w:type="dxa"/>
              <w:left w:w="20" w:type="dxa"/>
              <w:bottom w:w="30" w:type="dxa"/>
              <w:right w:w="0" w:type="dxa"/>
            </w:tcMar>
            <w:vAlign w:val="bottom"/>
            <w:hideMark/>
          </w:tcPr>
          <w:p w14:paraId="42818730" w14:textId="77777777" w:rsidR="00000000" w:rsidRDefault="009B6C69">
            <w:pPr>
              <w:spacing w:after="100"/>
              <w:jc w:val="right"/>
              <w:rPr>
                <w:rFonts w:eastAsia="Times New Roman"/>
              </w:rPr>
            </w:pPr>
            <w:r>
              <w:rPr>
                <w:rFonts w:eastAsia="Times New Roman"/>
                <w:color w:val="000000"/>
                <w:sz w:val="18"/>
                <w:szCs w:val="18"/>
              </w:rPr>
              <w:t>(4,912)</w:t>
            </w:r>
          </w:p>
        </w:tc>
        <w:tc>
          <w:tcPr>
            <w:tcW w:w="0" w:type="auto"/>
            <w:shd w:val="clear" w:color="auto" w:fill="FFFFFF"/>
            <w:tcMar>
              <w:top w:w="30" w:type="dxa"/>
              <w:left w:w="0" w:type="dxa"/>
              <w:bottom w:w="30" w:type="dxa"/>
              <w:right w:w="20" w:type="dxa"/>
            </w:tcMar>
            <w:vAlign w:val="bottom"/>
            <w:hideMark/>
          </w:tcPr>
          <w:p w14:paraId="7E2C1B25"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1A4B0E"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BE5896" w14:textId="77777777" w:rsidR="00000000" w:rsidRDefault="009B6C69">
            <w:pPr>
              <w:spacing w:after="100"/>
              <w:jc w:val="right"/>
              <w:rPr>
                <w:rFonts w:eastAsia="Times New Roman"/>
              </w:rPr>
            </w:pPr>
            <w:r>
              <w:rPr>
                <w:rFonts w:eastAsia="Times New Roman"/>
                <w:color w:val="000000"/>
                <w:sz w:val="18"/>
                <w:szCs w:val="18"/>
              </w:rPr>
              <w:t>(1,377)</w:t>
            </w:r>
          </w:p>
        </w:tc>
        <w:tc>
          <w:tcPr>
            <w:tcW w:w="0" w:type="auto"/>
            <w:shd w:val="clear" w:color="auto" w:fill="FFFFFF"/>
            <w:tcMar>
              <w:top w:w="30" w:type="dxa"/>
              <w:left w:w="0" w:type="dxa"/>
              <w:bottom w:w="30" w:type="dxa"/>
              <w:right w:w="20" w:type="dxa"/>
            </w:tcMar>
            <w:vAlign w:val="bottom"/>
            <w:hideMark/>
          </w:tcPr>
          <w:p w14:paraId="4559601D"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C9087D"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574F9F" w14:textId="77777777" w:rsidR="00000000" w:rsidRDefault="009B6C69">
            <w:pPr>
              <w:spacing w:after="100"/>
              <w:jc w:val="right"/>
              <w:rPr>
                <w:rFonts w:eastAsia="Times New Roman"/>
              </w:rPr>
            </w:pPr>
            <w:r>
              <w:rPr>
                <w:rFonts w:eastAsia="Times New Roman"/>
                <w:color w:val="000000"/>
                <w:sz w:val="18"/>
                <w:szCs w:val="18"/>
              </w:rPr>
              <w:t>(185)</w:t>
            </w:r>
          </w:p>
        </w:tc>
        <w:tc>
          <w:tcPr>
            <w:tcW w:w="0" w:type="auto"/>
            <w:shd w:val="clear" w:color="auto" w:fill="FFFFFF"/>
            <w:tcMar>
              <w:top w:w="30" w:type="dxa"/>
              <w:left w:w="0" w:type="dxa"/>
              <w:bottom w:w="30" w:type="dxa"/>
              <w:right w:w="20" w:type="dxa"/>
            </w:tcMar>
            <w:vAlign w:val="bottom"/>
            <w:hideMark/>
          </w:tcPr>
          <w:p w14:paraId="2F9640AF" w14:textId="77777777" w:rsidR="00000000" w:rsidRDefault="009B6C69">
            <w:pPr>
              <w:spacing w:after="100"/>
              <w:jc w:val="right"/>
              <w:rPr>
                <w:rFonts w:eastAsia="Times New Roman"/>
              </w:rPr>
            </w:pPr>
          </w:p>
        </w:tc>
      </w:tr>
      <w:tr w:rsidR="00000000" w14:paraId="21B8C687" w14:textId="77777777">
        <w:trPr>
          <w:jc w:val="center"/>
        </w:trPr>
        <w:tc>
          <w:tcPr>
            <w:tcW w:w="0" w:type="auto"/>
            <w:gridSpan w:val="3"/>
            <w:shd w:val="clear" w:color="auto" w:fill="CCEEFF"/>
            <w:tcMar>
              <w:top w:w="30" w:type="dxa"/>
              <w:left w:w="155" w:type="dxa"/>
              <w:bottom w:w="30" w:type="dxa"/>
              <w:right w:w="20" w:type="dxa"/>
            </w:tcMar>
            <w:vAlign w:val="bottom"/>
            <w:hideMark/>
          </w:tcPr>
          <w:p w14:paraId="4BF1E25D" w14:textId="77777777" w:rsidR="00000000" w:rsidRDefault="009B6C69">
            <w:pPr>
              <w:spacing w:after="100"/>
              <w:rPr>
                <w:rFonts w:eastAsia="Times New Roman"/>
              </w:rPr>
            </w:pPr>
            <w:r>
              <w:rPr>
                <w:rFonts w:eastAsia="Times New Roman"/>
                <w:color w:val="000000"/>
                <w:sz w:val="18"/>
                <w:szCs w:val="18"/>
              </w:rPr>
              <w:t>Proceeds from other investments</w:t>
            </w:r>
          </w:p>
        </w:tc>
        <w:tc>
          <w:tcPr>
            <w:tcW w:w="0" w:type="auto"/>
            <w:gridSpan w:val="2"/>
            <w:shd w:val="clear" w:color="auto" w:fill="CCEEFF"/>
            <w:tcMar>
              <w:top w:w="30" w:type="dxa"/>
              <w:left w:w="20" w:type="dxa"/>
              <w:bottom w:w="30" w:type="dxa"/>
              <w:right w:w="0" w:type="dxa"/>
            </w:tcMar>
            <w:vAlign w:val="bottom"/>
            <w:hideMark/>
          </w:tcPr>
          <w:p w14:paraId="1985F83B" w14:textId="77777777" w:rsidR="00000000" w:rsidRDefault="009B6C69">
            <w:pPr>
              <w:spacing w:after="100"/>
              <w:jc w:val="right"/>
              <w:rPr>
                <w:rFonts w:eastAsia="Times New Roman"/>
              </w:rPr>
            </w:pPr>
            <w:r>
              <w:rPr>
                <w:rFonts w:eastAsia="Times New Roman"/>
                <w:color w:val="000000"/>
                <w:sz w:val="18"/>
                <w:szCs w:val="18"/>
              </w:rPr>
              <w:t>132 </w:t>
            </w:r>
          </w:p>
        </w:tc>
        <w:tc>
          <w:tcPr>
            <w:tcW w:w="0" w:type="auto"/>
            <w:shd w:val="clear" w:color="auto" w:fill="CCEEFF"/>
            <w:tcMar>
              <w:top w:w="30" w:type="dxa"/>
              <w:left w:w="0" w:type="dxa"/>
              <w:bottom w:w="30" w:type="dxa"/>
              <w:right w:w="20" w:type="dxa"/>
            </w:tcMar>
            <w:vAlign w:val="bottom"/>
            <w:hideMark/>
          </w:tcPr>
          <w:p w14:paraId="4390BF3B"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05256F"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79D57D" w14:textId="77777777" w:rsidR="00000000" w:rsidRDefault="009B6C69">
            <w:pPr>
              <w:spacing w:after="100"/>
              <w:jc w:val="right"/>
              <w:rPr>
                <w:rFonts w:eastAsia="Times New Roman"/>
              </w:rPr>
            </w:pPr>
            <w:r>
              <w:rPr>
                <w:rFonts w:eastAsia="Times New Roman"/>
                <w:color w:val="000000"/>
                <w:sz w:val="18"/>
                <w:szCs w:val="18"/>
              </w:rPr>
              <w:t>320 </w:t>
            </w:r>
          </w:p>
        </w:tc>
        <w:tc>
          <w:tcPr>
            <w:tcW w:w="0" w:type="auto"/>
            <w:shd w:val="clear" w:color="auto" w:fill="CCEEFF"/>
            <w:tcMar>
              <w:top w:w="30" w:type="dxa"/>
              <w:left w:w="0" w:type="dxa"/>
              <w:bottom w:w="30" w:type="dxa"/>
              <w:right w:w="20" w:type="dxa"/>
            </w:tcMar>
            <w:vAlign w:val="bottom"/>
            <w:hideMark/>
          </w:tcPr>
          <w:p w14:paraId="37FFDECC"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130F66"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42AD58" w14:textId="77777777" w:rsidR="00000000" w:rsidRDefault="009B6C69">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bottom"/>
            <w:hideMark/>
          </w:tcPr>
          <w:p w14:paraId="5500FB62" w14:textId="77777777" w:rsidR="00000000" w:rsidRDefault="009B6C69">
            <w:pPr>
              <w:spacing w:after="100"/>
              <w:jc w:val="right"/>
              <w:rPr>
                <w:rFonts w:eastAsia="Times New Roman"/>
              </w:rPr>
            </w:pPr>
          </w:p>
        </w:tc>
      </w:tr>
      <w:tr w:rsidR="00000000" w14:paraId="10052B4C" w14:textId="77777777">
        <w:trPr>
          <w:jc w:val="center"/>
        </w:trPr>
        <w:tc>
          <w:tcPr>
            <w:tcW w:w="0" w:type="auto"/>
            <w:gridSpan w:val="3"/>
            <w:vAlign w:val="center"/>
            <w:hideMark/>
          </w:tcPr>
          <w:p w14:paraId="48A50069" w14:textId="77777777" w:rsidR="00000000" w:rsidRDefault="009B6C69">
            <w:pPr>
              <w:spacing w:after="100"/>
              <w:jc w:val="right"/>
              <w:rPr>
                <w:rFonts w:eastAsia="Times New Roman"/>
                <w:sz w:val="20"/>
                <w:szCs w:val="20"/>
              </w:rPr>
            </w:pPr>
          </w:p>
        </w:tc>
        <w:tc>
          <w:tcPr>
            <w:tcW w:w="0" w:type="auto"/>
            <w:gridSpan w:val="3"/>
            <w:vAlign w:val="center"/>
            <w:hideMark/>
          </w:tcPr>
          <w:p w14:paraId="7D0D8E0A" w14:textId="77777777" w:rsidR="00000000" w:rsidRDefault="009B6C69">
            <w:pPr>
              <w:spacing w:after="100"/>
              <w:rPr>
                <w:rFonts w:eastAsia="Times New Roman"/>
                <w:sz w:val="20"/>
                <w:szCs w:val="20"/>
              </w:rPr>
            </w:pPr>
          </w:p>
        </w:tc>
        <w:tc>
          <w:tcPr>
            <w:tcW w:w="0" w:type="auto"/>
            <w:gridSpan w:val="3"/>
            <w:vAlign w:val="center"/>
            <w:hideMark/>
          </w:tcPr>
          <w:p w14:paraId="0C0F03EE" w14:textId="77777777" w:rsidR="00000000" w:rsidRDefault="009B6C69">
            <w:pPr>
              <w:spacing w:after="100"/>
              <w:rPr>
                <w:rFonts w:eastAsia="Times New Roman"/>
                <w:sz w:val="20"/>
                <w:szCs w:val="20"/>
              </w:rPr>
            </w:pPr>
          </w:p>
        </w:tc>
        <w:tc>
          <w:tcPr>
            <w:tcW w:w="0" w:type="auto"/>
            <w:gridSpan w:val="3"/>
            <w:vAlign w:val="center"/>
            <w:hideMark/>
          </w:tcPr>
          <w:p w14:paraId="37168353" w14:textId="77777777" w:rsidR="00000000" w:rsidRDefault="009B6C69">
            <w:pPr>
              <w:spacing w:after="100"/>
              <w:rPr>
                <w:rFonts w:eastAsia="Times New Roman"/>
                <w:sz w:val="20"/>
                <w:szCs w:val="20"/>
              </w:rPr>
            </w:pPr>
          </w:p>
        </w:tc>
        <w:tc>
          <w:tcPr>
            <w:tcW w:w="0" w:type="auto"/>
            <w:gridSpan w:val="3"/>
            <w:vAlign w:val="center"/>
            <w:hideMark/>
          </w:tcPr>
          <w:p w14:paraId="75B8D407" w14:textId="77777777" w:rsidR="00000000" w:rsidRDefault="009B6C69">
            <w:pPr>
              <w:spacing w:after="100"/>
              <w:rPr>
                <w:rFonts w:eastAsia="Times New Roman"/>
                <w:sz w:val="20"/>
                <w:szCs w:val="20"/>
              </w:rPr>
            </w:pPr>
          </w:p>
        </w:tc>
        <w:tc>
          <w:tcPr>
            <w:tcW w:w="0" w:type="auto"/>
            <w:gridSpan w:val="3"/>
            <w:vAlign w:val="center"/>
            <w:hideMark/>
          </w:tcPr>
          <w:p w14:paraId="4EAAF851" w14:textId="77777777" w:rsidR="00000000" w:rsidRDefault="009B6C69">
            <w:pPr>
              <w:spacing w:after="100"/>
              <w:rPr>
                <w:rFonts w:eastAsia="Times New Roman"/>
                <w:sz w:val="20"/>
                <w:szCs w:val="20"/>
              </w:rPr>
            </w:pPr>
          </w:p>
        </w:tc>
      </w:tr>
      <w:tr w:rsidR="00000000" w14:paraId="2E380DC6" w14:textId="77777777">
        <w:trPr>
          <w:jc w:val="center"/>
        </w:trPr>
        <w:tc>
          <w:tcPr>
            <w:tcW w:w="0" w:type="auto"/>
            <w:gridSpan w:val="3"/>
            <w:shd w:val="clear" w:color="auto" w:fill="FFFFFF"/>
            <w:tcMar>
              <w:top w:w="30" w:type="dxa"/>
              <w:left w:w="155" w:type="dxa"/>
              <w:bottom w:w="30" w:type="dxa"/>
              <w:right w:w="20" w:type="dxa"/>
            </w:tcMar>
            <w:vAlign w:val="bottom"/>
            <w:hideMark/>
          </w:tcPr>
          <w:p w14:paraId="315ABD5B" w14:textId="77777777" w:rsidR="00000000" w:rsidRDefault="009B6C69">
            <w:pPr>
              <w:spacing w:after="100"/>
              <w:rPr>
                <w:rFonts w:eastAsia="Times New Roman"/>
              </w:rPr>
            </w:pPr>
            <w:r>
              <w:rPr>
                <w:rFonts w:eastAsia="Times New Roman"/>
                <w:color w:val="000000"/>
                <w:sz w:val="18"/>
                <w:szCs w:val="18"/>
              </w:rPr>
              <w:t>Other items, net</w:t>
            </w:r>
          </w:p>
        </w:tc>
        <w:tc>
          <w:tcPr>
            <w:tcW w:w="0" w:type="auto"/>
            <w:gridSpan w:val="2"/>
            <w:shd w:val="clear" w:color="auto" w:fill="FFFFFF"/>
            <w:tcMar>
              <w:top w:w="30" w:type="dxa"/>
              <w:left w:w="20" w:type="dxa"/>
              <w:bottom w:w="30" w:type="dxa"/>
              <w:right w:w="0" w:type="dxa"/>
            </w:tcMar>
            <w:vAlign w:val="bottom"/>
            <w:hideMark/>
          </w:tcPr>
          <w:p w14:paraId="011F0F20" w14:textId="77777777" w:rsidR="00000000" w:rsidRDefault="009B6C69">
            <w:pPr>
              <w:spacing w:after="100"/>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bottom"/>
            <w:hideMark/>
          </w:tcPr>
          <w:p w14:paraId="1F93E18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405DB4"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5776F4" w14:textId="77777777" w:rsidR="00000000" w:rsidRDefault="009B6C69">
            <w:pPr>
              <w:spacing w:after="100"/>
              <w:jc w:val="right"/>
              <w:rPr>
                <w:rFonts w:eastAsia="Times New Roman"/>
              </w:rPr>
            </w:pPr>
            <w:r>
              <w:rPr>
                <w:rFonts w:eastAsia="Times New Roman"/>
                <w:color w:val="000000"/>
                <w:sz w:val="18"/>
                <w:szCs w:val="18"/>
              </w:rPr>
              <w:t>(59)</w:t>
            </w:r>
          </w:p>
        </w:tc>
        <w:tc>
          <w:tcPr>
            <w:tcW w:w="0" w:type="auto"/>
            <w:shd w:val="clear" w:color="auto" w:fill="FFFFFF"/>
            <w:tcMar>
              <w:top w:w="30" w:type="dxa"/>
              <w:left w:w="0" w:type="dxa"/>
              <w:bottom w:w="30" w:type="dxa"/>
              <w:right w:w="20" w:type="dxa"/>
            </w:tcMar>
            <w:vAlign w:val="bottom"/>
            <w:hideMark/>
          </w:tcPr>
          <w:p w14:paraId="757B457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23FDA2"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C5F3D0" w14:textId="77777777" w:rsidR="00000000" w:rsidRDefault="009B6C69">
            <w:pPr>
              <w:spacing w:after="100"/>
              <w:jc w:val="right"/>
              <w:rPr>
                <w:rFonts w:eastAsia="Times New Roman"/>
              </w:rPr>
            </w:pPr>
            <w:r>
              <w:rPr>
                <w:rFonts w:eastAsia="Times New Roman"/>
                <w:color w:val="000000"/>
                <w:sz w:val="18"/>
                <w:szCs w:val="18"/>
              </w:rPr>
              <w:t>43 </w:t>
            </w:r>
          </w:p>
        </w:tc>
        <w:tc>
          <w:tcPr>
            <w:tcW w:w="0" w:type="auto"/>
            <w:shd w:val="clear" w:color="auto" w:fill="FFFFFF"/>
            <w:tcMar>
              <w:top w:w="30" w:type="dxa"/>
              <w:left w:w="0" w:type="dxa"/>
              <w:bottom w:w="30" w:type="dxa"/>
              <w:right w:w="20" w:type="dxa"/>
            </w:tcMar>
            <w:vAlign w:val="bottom"/>
            <w:hideMark/>
          </w:tcPr>
          <w:p w14:paraId="652742BC" w14:textId="77777777" w:rsidR="00000000" w:rsidRDefault="009B6C69">
            <w:pPr>
              <w:spacing w:after="100"/>
              <w:jc w:val="right"/>
              <w:rPr>
                <w:rFonts w:eastAsia="Times New Roman"/>
              </w:rPr>
            </w:pPr>
          </w:p>
        </w:tc>
      </w:tr>
      <w:tr w:rsidR="00000000" w14:paraId="7208B92D" w14:textId="77777777">
        <w:trPr>
          <w:jc w:val="center"/>
        </w:trPr>
        <w:tc>
          <w:tcPr>
            <w:tcW w:w="0" w:type="auto"/>
            <w:gridSpan w:val="3"/>
            <w:shd w:val="clear" w:color="auto" w:fill="CCEEFF"/>
            <w:tcMar>
              <w:top w:w="30" w:type="dxa"/>
              <w:left w:w="380" w:type="dxa"/>
              <w:bottom w:w="30" w:type="dxa"/>
              <w:right w:w="20" w:type="dxa"/>
            </w:tcMar>
            <w:vAlign w:val="bottom"/>
            <w:hideMark/>
          </w:tcPr>
          <w:p w14:paraId="377538DA" w14:textId="77777777" w:rsidR="00000000" w:rsidRDefault="009B6C69">
            <w:pPr>
              <w:spacing w:after="100"/>
              <w:rPr>
                <w:rFonts w:eastAsia="Times New Roman"/>
              </w:rPr>
            </w:pPr>
            <w:r>
              <w:rPr>
                <w:rFonts w:eastAsia="Times New Roman"/>
                <w:color w:val="000000"/>
                <w:sz w:val="18"/>
                <w:szCs w:val="18"/>
              </w:rPr>
              <w:t>Net cash used by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12C775" w14:textId="77777777" w:rsidR="00000000" w:rsidRDefault="009B6C69">
            <w:pPr>
              <w:spacing w:after="100"/>
              <w:jc w:val="right"/>
              <w:rPr>
                <w:rFonts w:eastAsia="Times New Roman"/>
              </w:rPr>
            </w:pPr>
            <w:r>
              <w:rPr>
                <w:rFonts w:eastAsia="Times New Roman"/>
                <w:color w:val="000000"/>
                <w:sz w:val="18"/>
                <w:szCs w:val="18"/>
              </w:rPr>
              <w:t>(5,804)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7A993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539D6D"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CB5A61" w14:textId="77777777" w:rsidR="00000000" w:rsidRDefault="009B6C69">
            <w:pPr>
              <w:spacing w:after="100"/>
              <w:jc w:val="right"/>
              <w:rPr>
                <w:rFonts w:eastAsia="Times New Roman"/>
              </w:rPr>
            </w:pPr>
            <w:r>
              <w:rPr>
                <w:rFonts w:eastAsia="Times New Roman"/>
                <w:color w:val="000000"/>
                <w:sz w:val="18"/>
                <w:szCs w:val="18"/>
              </w:rPr>
              <w:t>(3,356)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5717C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37ED47"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96C1A4" w14:textId="77777777" w:rsidR="00000000" w:rsidRDefault="009B6C69">
            <w:pPr>
              <w:spacing w:after="100"/>
              <w:jc w:val="right"/>
              <w:rPr>
                <w:rFonts w:eastAsia="Times New Roman"/>
              </w:rPr>
            </w:pPr>
            <w:r>
              <w:rPr>
                <w:rFonts w:eastAsia="Times New Roman"/>
                <w:color w:val="000000"/>
                <w:sz w:val="18"/>
                <w:szCs w:val="18"/>
              </w:rPr>
              <w:t>(5,263)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8F8C5D" w14:textId="77777777" w:rsidR="00000000" w:rsidRDefault="009B6C69">
            <w:pPr>
              <w:spacing w:after="100"/>
              <w:jc w:val="right"/>
              <w:rPr>
                <w:rFonts w:eastAsia="Times New Roman"/>
              </w:rPr>
            </w:pPr>
          </w:p>
        </w:tc>
      </w:tr>
      <w:tr w:rsidR="00000000" w14:paraId="1F23B35F" w14:textId="77777777">
        <w:trPr>
          <w:jc w:val="center"/>
        </w:trPr>
        <w:tc>
          <w:tcPr>
            <w:tcW w:w="0" w:type="auto"/>
            <w:gridSpan w:val="3"/>
            <w:shd w:val="clear" w:color="auto" w:fill="FFFFFF"/>
            <w:tcMar>
              <w:top w:w="30" w:type="dxa"/>
              <w:left w:w="20" w:type="dxa"/>
              <w:bottom w:w="30" w:type="dxa"/>
              <w:right w:w="20" w:type="dxa"/>
            </w:tcMar>
            <w:vAlign w:val="bottom"/>
            <w:hideMark/>
          </w:tcPr>
          <w:p w14:paraId="53B4FB0B" w14:textId="77777777" w:rsidR="00000000" w:rsidRDefault="009B6C69">
            <w:pPr>
              <w:spacing w:after="100"/>
              <w:rPr>
                <w:rFonts w:eastAsia="Times New Roman"/>
              </w:rPr>
            </w:pPr>
            <w:r>
              <w:rPr>
                <w:rFonts w:eastAsia="Times New Roman"/>
                <w:b/>
                <w:bCs/>
                <w:color w:val="000000"/>
                <w:sz w:val="18"/>
                <w:szCs w:val="18"/>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10FAD09" w14:textId="77777777" w:rsidR="00000000" w:rsidRDefault="009B6C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E1C85" w14:textId="77777777" w:rsidR="00000000" w:rsidRDefault="009B6C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848E385"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4D50EA" w14:textId="77777777" w:rsidR="00000000" w:rsidRDefault="009B6C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425F48D" w14:textId="77777777" w:rsidR="00000000" w:rsidRDefault="009B6C69">
            <w:pPr>
              <w:spacing w:after="100"/>
              <w:rPr>
                <w:rFonts w:eastAsia="Times New Roman"/>
                <w:sz w:val="20"/>
                <w:szCs w:val="20"/>
              </w:rPr>
            </w:pPr>
          </w:p>
        </w:tc>
      </w:tr>
      <w:tr w:rsidR="00000000" w14:paraId="531CB0CE" w14:textId="77777777">
        <w:trPr>
          <w:jc w:val="center"/>
        </w:trPr>
        <w:tc>
          <w:tcPr>
            <w:tcW w:w="0" w:type="auto"/>
            <w:gridSpan w:val="3"/>
            <w:shd w:val="clear" w:color="auto" w:fill="CCEEFF"/>
            <w:tcMar>
              <w:top w:w="30" w:type="dxa"/>
              <w:left w:w="155" w:type="dxa"/>
              <w:bottom w:w="30" w:type="dxa"/>
              <w:right w:w="20" w:type="dxa"/>
            </w:tcMar>
            <w:vAlign w:val="bottom"/>
            <w:hideMark/>
          </w:tcPr>
          <w:p w14:paraId="37A4F770" w14:textId="77777777" w:rsidR="00000000" w:rsidRDefault="009B6C69">
            <w:pPr>
              <w:spacing w:after="100"/>
              <w:rPr>
                <w:rFonts w:eastAsia="Times New Roman"/>
              </w:rPr>
            </w:pPr>
            <w:r>
              <w:rPr>
                <w:rFonts w:eastAsia="Times New Roman"/>
                <w:color w:val="000000"/>
                <w:sz w:val="18"/>
                <w:szCs w:val="18"/>
              </w:rPr>
              <w:t>Proceeds from short-term debt</w:t>
            </w:r>
          </w:p>
        </w:tc>
        <w:tc>
          <w:tcPr>
            <w:tcW w:w="0" w:type="auto"/>
            <w:gridSpan w:val="2"/>
            <w:shd w:val="clear" w:color="auto" w:fill="CCEEFF"/>
            <w:tcMar>
              <w:top w:w="30" w:type="dxa"/>
              <w:left w:w="20" w:type="dxa"/>
              <w:bottom w:w="30" w:type="dxa"/>
              <w:right w:w="0" w:type="dxa"/>
            </w:tcMar>
            <w:vAlign w:val="bottom"/>
            <w:hideMark/>
          </w:tcPr>
          <w:p w14:paraId="4EB558CE" w14:textId="77777777" w:rsidR="00000000" w:rsidRDefault="009B6C69">
            <w:pPr>
              <w:spacing w:after="100"/>
              <w:jc w:val="right"/>
              <w:rPr>
                <w:rFonts w:eastAsia="Times New Roman"/>
              </w:rPr>
            </w:pPr>
            <w:r>
              <w:rPr>
                <w:rFonts w:eastAsia="Times New Roman"/>
                <w:color w:val="000000"/>
                <w:sz w:val="18"/>
                <w:szCs w:val="18"/>
              </w:rPr>
              <w:t>7,000 </w:t>
            </w:r>
          </w:p>
        </w:tc>
        <w:tc>
          <w:tcPr>
            <w:tcW w:w="0" w:type="auto"/>
            <w:shd w:val="clear" w:color="auto" w:fill="CCEEFF"/>
            <w:tcMar>
              <w:top w:w="30" w:type="dxa"/>
              <w:left w:w="0" w:type="dxa"/>
              <w:bottom w:w="30" w:type="dxa"/>
              <w:right w:w="20" w:type="dxa"/>
            </w:tcMar>
            <w:vAlign w:val="bottom"/>
            <w:hideMark/>
          </w:tcPr>
          <w:p w14:paraId="1E1CBDD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AC97C2"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46CA77" w14:textId="77777777" w:rsidR="00000000" w:rsidRDefault="009B6C69">
            <w:pPr>
              <w:spacing w:after="100"/>
              <w:jc w:val="right"/>
              <w:rPr>
                <w:rFonts w:eastAsia="Times New Roman"/>
              </w:rPr>
            </w:pPr>
            <w:r>
              <w:rPr>
                <w:rFonts w:eastAsia="Times New Roman"/>
                <w:color w:val="000000"/>
                <w:sz w:val="18"/>
                <w:szCs w:val="18"/>
              </w:rPr>
              <w:t>2,886 </w:t>
            </w:r>
          </w:p>
        </w:tc>
        <w:tc>
          <w:tcPr>
            <w:tcW w:w="0" w:type="auto"/>
            <w:shd w:val="clear" w:color="auto" w:fill="CCEEFF"/>
            <w:tcMar>
              <w:top w:w="30" w:type="dxa"/>
              <w:left w:w="0" w:type="dxa"/>
              <w:bottom w:w="30" w:type="dxa"/>
              <w:right w:w="20" w:type="dxa"/>
            </w:tcMar>
            <w:vAlign w:val="bottom"/>
            <w:hideMark/>
          </w:tcPr>
          <w:p w14:paraId="55D1FAAA"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8A37E0"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8E90B3" w14:textId="77777777" w:rsidR="00000000" w:rsidRDefault="009B6C69">
            <w:pPr>
              <w:spacing w:after="100"/>
              <w:jc w:val="right"/>
              <w:rPr>
                <w:rFonts w:eastAsia="Times New Roman"/>
              </w:rPr>
            </w:pPr>
            <w:r>
              <w:rPr>
                <w:rFonts w:eastAsia="Times New Roman"/>
                <w:color w:val="000000"/>
                <w:sz w:val="18"/>
                <w:szCs w:val="18"/>
              </w:rPr>
              <w:t>2,848 </w:t>
            </w:r>
          </w:p>
        </w:tc>
        <w:tc>
          <w:tcPr>
            <w:tcW w:w="0" w:type="auto"/>
            <w:shd w:val="clear" w:color="auto" w:fill="CCEEFF"/>
            <w:tcMar>
              <w:top w:w="30" w:type="dxa"/>
              <w:left w:w="0" w:type="dxa"/>
              <w:bottom w:w="30" w:type="dxa"/>
              <w:right w:w="20" w:type="dxa"/>
            </w:tcMar>
            <w:vAlign w:val="bottom"/>
            <w:hideMark/>
          </w:tcPr>
          <w:p w14:paraId="3051F47A" w14:textId="77777777" w:rsidR="00000000" w:rsidRDefault="009B6C69">
            <w:pPr>
              <w:spacing w:after="100"/>
              <w:jc w:val="right"/>
              <w:rPr>
                <w:rFonts w:eastAsia="Times New Roman"/>
              </w:rPr>
            </w:pPr>
          </w:p>
        </w:tc>
      </w:tr>
      <w:tr w:rsidR="00000000" w14:paraId="16B765E8" w14:textId="77777777">
        <w:trPr>
          <w:jc w:val="center"/>
        </w:trPr>
        <w:tc>
          <w:tcPr>
            <w:tcW w:w="0" w:type="auto"/>
            <w:gridSpan w:val="3"/>
            <w:shd w:val="clear" w:color="auto" w:fill="FFFFFF"/>
            <w:tcMar>
              <w:top w:w="30" w:type="dxa"/>
              <w:left w:w="155" w:type="dxa"/>
              <w:bottom w:w="30" w:type="dxa"/>
              <w:right w:w="20" w:type="dxa"/>
            </w:tcMar>
            <w:vAlign w:val="bottom"/>
            <w:hideMark/>
          </w:tcPr>
          <w:p w14:paraId="0EB7A96D" w14:textId="77777777" w:rsidR="00000000" w:rsidRDefault="009B6C69">
            <w:pPr>
              <w:spacing w:after="100"/>
              <w:rPr>
                <w:rFonts w:eastAsia="Times New Roman"/>
              </w:rPr>
            </w:pPr>
            <w:r>
              <w:rPr>
                <w:rFonts w:eastAsia="Times New Roman"/>
                <w:color w:val="000000"/>
                <w:sz w:val="18"/>
                <w:szCs w:val="18"/>
              </w:rPr>
              <w:t>Repayment of short-term debt</w:t>
            </w:r>
          </w:p>
        </w:tc>
        <w:tc>
          <w:tcPr>
            <w:tcW w:w="0" w:type="auto"/>
            <w:gridSpan w:val="2"/>
            <w:shd w:val="clear" w:color="auto" w:fill="FFFFFF"/>
            <w:tcMar>
              <w:top w:w="30" w:type="dxa"/>
              <w:left w:w="20" w:type="dxa"/>
              <w:bottom w:w="30" w:type="dxa"/>
              <w:right w:w="0" w:type="dxa"/>
            </w:tcMar>
            <w:vAlign w:val="bottom"/>
            <w:hideMark/>
          </w:tcPr>
          <w:p w14:paraId="36EB853A" w14:textId="77777777" w:rsidR="00000000" w:rsidRDefault="009B6C69">
            <w:pPr>
              <w:spacing w:after="100"/>
              <w:jc w:val="right"/>
              <w:rPr>
                <w:rFonts w:eastAsia="Times New Roman"/>
              </w:rPr>
            </w:pPr>
            <w:r>
              <w:rPr>
                <w:rFonts w:eastAsia="Times New Roman"/>
                <w:color w:val="000000"/>
                <w:sz w:val="18"/>
                <w:szCs w:val="18"/>
              </w:rPr>
              <w:t>(7,003)</w:t>
            </w:r>
          </w:p>
        </w:tc>
        <w:tc>
          <w:tcPr>
            <w:tcW w:w="0" w:type="auto"/>
            <w:shd w:val="clear" w:color="auto" w:fill="FFFFFF"/>
            <w:tcMar>
              <w:top w:w="30" w:type="dxa"/>
              <w:left w:w="0" w:type="dxa"/>
              <w:bottom w:w="30" w:type="dxa"/>
              <w:right w:w="20" w:type="dxa"/>
            </w:tcMar>
            <w:vAlign w:val="bottom"/>
            <w:hideMark/>
          </w:tcPr>
          <w:p w14:paraId="0462D89E"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1CD101"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8B08A0" w14:textId="77777777" w:rsidR="00000000" w:rsidRDefault="009B6C69">
            <w:pPr>
              <w:spacing w:after="100"/>
              <w:jc w:val="right"/>
              <w:rPr>
                <w:rFonts w:eastAsia="Times New Roman"/>
              </w:rPr>
            </w:pPr>
            <w:r>
              <w:rPr>
                <w:rFonts w:eastAsia="Times New Roman"/>
                <w:color w:val="000000"/>
                <w:sz w:val="18"/>
                <w:szCs w:val="18"/>
              </w:rPr>
              <w:t>(2,885)</w:t>
            </w:r>
          </w:p>
        </w:tc>
        <w:tc>
          <w:tcPr>
            <w:tcW w:w="0" w:type="auto"/>
            <w:shd w:val="clear" w:color="auto" w:fill="FFFFFF"/>
            <w:tcMar>
              <w:top w:w="30" w:type="dxa"/>
              <w:left w:w="0" w:type="dxa"/>
              <w:bottom w:w="30" w:type="dxa"/>
              <w:right w:w="20" w:type="dxa"/>
            </w:tcMar>
            <w:vAlign w:val="bottom"/>
            <w:hideMark/>
          </w:tcPr>
          <w:p w14:paraId="43D6C63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7F92B0"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2B27D4" w14:textId="77777777" w:rsidR="00000000" w:rsidRDefault="009B6C69">
            <w:pPr>
              <w:spacing w:after="100"/>
              <w:jc w:val="right"/>
              <w:rPr>
                <w:rFonts w:eastAsia="Times New Roman"/>
              </w:rPr>
            </w:pPr>
            <w:r>
              <w:rPr>
                <w:rFonts w:eastAsia="Times New Roman"/>
                <w:color w:val="000000"/>
                <w:sz w:val="18"/>
                <w:szCs w:val="18"/>
              </w:rPr>
              <w:t>(2,846)</w:t>
            </w:r>
          </w:p>
        </w:tc>
        <w:tc>
          <w:tcPr>
            <w:tcW w:w="0" w:type="auto"/>
            <w:shd w:val="clear" w:color="auto" w:fill="FFFFFF"/>
            <w:tcMar>
              <w:top w:w="30" w:type="dxa"/>
              <w:left w:w="0" w:type="dxa"/>
              <w:bottom w:w="30" w:type="dxa"/>
              <w:right w:w="20" w:type="dxa"/>
            </w:tcMar>
            <w:vAlign w:val="bottom"/>
            <w:hideMark/>
          </w:tcPr>
          <w:p w14:paraId="30A3CB34" w14:textId="77777777" w:rsidR="00000000" w:rsidRDefault="009B6C69">
            <w:pPr>
              <w:spacing w:after="100"/>
              <w:jc w:val="right"/>
              <w:rPr>
                <w:rFonts w:eastAsia="Times New Roman"/>
              </w:rPr>
            </w:pPr>
          </w:p>
        </w:tc>
      </w:tr>
      <w:tr w:rsidR="00000000" w14:paraId="165EC8B7" w14:textId="77777777">
        <w:trPr>
          <w:jc w:val="center"/>
        </w:trPr>
        <w:tc>
          <w:tcPr>
            <w:tcW w:w="0" w:type="auto"/>
            <w:gridSpan w:val="3"/>
            <w:shd w:val="clear" w:color="auto" w:fill="CCEEFF"/>
            <w:tcMar>
              <w:top w:w="30" w:type="dxa"/>
              <w:left w:w="155" w:type="dxa"/>
              <w:bottom w:w="30" w:type="dxa"/>
              <w:right w:w="20" w:type="dxa"/>
            </w:tcMar>
            <w:vAlign w:val="bottom"/>
            <w:hideMark/>
          </w:tcPr>
          <w:p w14:paraId="14CD2ADC" w14:textId="77777777" w:rsidR="00000000" w:rsidRDefault="009B6C69">
            <w:pPr>
              <w:spacing w:after="100"/>
              <w:rPr>
                <w:rFonts w:eastAsia="Times New Roman"/>
              </w:rPr>
            </w:pPr>
            <w:r>
              <w:rPr>
                <w:rFonts w:eastAsia="Times New Roman"/>
                <w:color w:val="000000"/>
                <w:sz w:val="18"/>
                <w:szCs w:val="18"/>
              </w:rPr>
              <w:t>Repayment of debt of acquired company</w:t>
            </w:r>
          </w:p>
        </w:tc>
        <w:tc>
          <w:tcPr>
            <w:tcW w:w="0" w:type="auto"/>
            <w:gridSpan w:val="2"/>
            <w:shd w:val="clear" w:color="auto" w:fill="CCEEFF"/>
            <w:tcMar>
              <w:top w:w="30" w:type="dxa"/>
              <w:left w:w="20" w:type="dxa"/>
              <w:bottom w:w="30" w:type="dxa"/>
              <w:right w:w="0" w:type="dxa"/>
            </w:tcMar>
            <w:vAlign w:val="bottom"/>
            <w:hideMark/>
          </w:tcPr>
          <w:p w14:paraId="1DF1E888" w14:textId="77777777" w:rsidR="00000000" w:rsidRDefault="009B6C69">
            <w:pPr>
              <w:spacing w:after="100"/>
              <w:jc w:val="right"/>
              <w:rPr>
                <w:rFonts w:eastAsia="Times New Roman"/>
              </w:rPr>
            </w:pPr>
            <w:r>
              <w:rPr>
                <w:rFonts w:eastAsia="Times New Roman"/>
                <w:color w:val="000000"/>
                <w:sz w:val="18"/>
                <w:szCs w:val="18"/>
              </w:rPr>
              <w:t>(349)</w:t>
            </w:r>
          </w:p>
        </w:tc>
        <w:tc>
          <w:tcPr>
            <w:tcW w:w="0" w:type="auto"/>
            <w:shd w:val="clear" w:color="auto" w:fill="CCEEFF"/>
            <w:tcMar>
              <w:top w:w="30" w:type="dxa"/>
              <w:left w:w="0" w:type="dxa"/>
              <w:bottom w:w="30" w:type="dxa"/>
              <w:right w:w="20" w:type="dxa"/>
            </w:tcMar>
            <w:vAlign w:val="bottom"/>
            <w:hideMark/>
          </w:tcPr>
          <w:p w14:paraId="64725C2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455D12"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10316B"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A4479F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08A785"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0F4D2C"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11038C5" w14:textId="77777777" w:rsidR="00000000" w:rsidRDefault="009B6C69">
            <w:pPr>
              <w:spacing w:after="100"/>
              <w:jc w:val="right"/>
              <w:rPr>
                <w:rFonts w:eastAsia="Times New Roman"/>
              </w:rPr>
            </w:pPr>
          </w:p>
        </w:tc>
      </w:tr>
      <w:tr w:rsidR="00000000" w14:paraId="566125DC" w14:textId="77777777">
        <w:trPr>
          <w:jc w:val="center"/>
        </w:trPr>
        <w:tc>
          <w:tcPr>
            <w:tcW w:w="0" w:type="auto"/>
            <w:gridSpan w:val="3"/>
            <w:shd w:val="clear" w:color="auto" w:fill="FFFFFF"/>
            <w:tcMar>
              <w:top w:w="30" w:type="dxa"/>
              <w:left w:w="155" w:type="dxa"/>
              <w:bottom w:w="30" w:type="dxa"/>
              <w:right w:w="20" w:type="dxa"/>
            </w:tcMar>
            <w:vAlign w:val="bottom"/>
            <w:hideMark/>
          </w:tcPr>
          <w:p w14:paraId="4D46E4BA" w14:textId="77777777" w:rsidR="00000000" w:rsidRDefault="009B6C69">
            <w:pPr>
              <w:spacing w:after="100"/>
              <w:rPr>
                <w:rFonts w:eastAsia="Times New Roman"/>
              </w:rPr>
            </w:pPr>
            <w:r>
              <w:rPr>
                <w:rFonts w:eastAsia="Times New Roman"/>
                <w:color w:val="000000"/>
                <w:sz w:val="18"/>
                <w:szCs w:val="18"/>
              </w:rPr>
              <w:t>Proceeds from long-term debt</w:t>
            </w:r>
          </w:p>
        </w:tc>
        <w:tc>
          <w:tcPr>
            <w:tcW w:w="0" w:type="auto"/>
            <w:gridSpan w:val="2"/>
            <w:shd w:val="clear" w:color="auto" w:fill="FFFFFF"/>
            <w:tcMar>
              <w:top w:w="30" w:type="dxa"/>
              <w:left w:w="20" w:type="dxa"/>
              <w:bottom w:w="30" w:type="dxa"/>
              <w:right w:w="0" w:type="dxa"/>
            </w:tcMar>
            <w:vAlign w:val="bottom"/>
            <w:hideMark/>
          </w:tcPr>
          <w:p w14:paraId="33C1A204" w14:textId="77777777" w:rsidR="00000000" w:rsidRDefault="009B6C69">
            <w:pPr>
              <w:spacing w:after="100"/>
              <w:jc w:val="right"/>
              <w:rPr>
                <w:rFonts w:eastAsia="Times New Roman"/>
              </w:rPr>
            </w:pPr>
            <w:r>
              <w:rPr>
                <w:rFonts w:eastAsia="Times New Roman"/>
                <w:color w:val="000000"/>
                <w:sz w:val="18"/>
                <w:szCs w:val="18"/>
              </w:rPr>
              <w:t>1,477 </w:t>
            </w:r>
          </w:p>
        </w:tc>
        <w:tc>
          <w:tcPr>
            <w:tcW w:w="0" w:type="auto"/>
            <w:shd w:val="clear" w:color="auto" w:fill="FFFFFF"/>
            <w:tcMar>
              <w:top w:w="30" w:type="dxa"/>
              <w:left w:w="0" w:type="dxa"/>
              <w:bottom w:w="30" w:type="dxa"/>
              <w:right w:w="20" w:type="dxa"/>
            </w:tcMar>
            <w:vAlign w:val="bottom"/>
            <w:hideMark/>
          </w:tcPr>
          <w:p w14:paraId="2671434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2DD93F"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F42E6A"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9A55AE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9CDA7B"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7691F9" w14:textId="77777777" w:rsidR="00000000" w:rsidRDefault="009B6C69">
            <w:pPr>
              <w:spacing w:after="100"/>
              <w:jc w:val="right"/>
              <w:rPr>
                <w:rFonts w:eastAsia="Times New Roman"/>
              </w:rPr>
            </w:pPr>
            <w:r>
              <w:rPr>
                <w:rFonts w:eastAsia="Times New Roman"/>
                <w:color w:val="000000"/>
                <w:sz w:val="18"/>
                <w:szCs w:val="18"/>
              </w:rPr>
              <w:t>1,988 </w:t>
            </w:r>
          </w:p>
        </w:tc>
        <w:tc>
          <w:tcPr>
            <w:tcW w:w="0" w:type="auto"/>
            <w:shd w:val="clear" w:color="auto" w:fill="FFFFFF"/>
            <w:tcMar>
              <w:top w:w="30" w:type="dxa"/>
              <w:left w:w="0" w:type="dxa"/>
              <w:bottom w:w="30" w:type="dxa"/>
              <w:right w:w="20" w:type="dxa"/>
            </w:tcMar>
            <w:vAlign w:val="bottom"/>
            <w:hideMark/>
          </w:tcPr>
          <w:p w14:paraId="7ACAEFDF" w14:textId="77777777" w:rsidR="00000000" w:rsidRDefault="009B6C69">
            <w:pPr>
              <w:spacing w:after="100"/>
              <w:jc w:val="right"/>
              <w:rPr>
                <w:rFonts w:eastAsia="Times New Roman"/>
              </w:rPr>
            </w:pPr>
          </w:p>
        </w:tc>
      </w:tr>
      <w:tr w:rsidR="00000000" w14:paraId="5C4A7ACA" w14:textId="77777777">
        <w:trPr>
          <w:jc w:val="center"/>
        </w:trPr>
        <w:tc>
          <w:tcPr>
            <w:tcW w:w="0" w:type="auto"/>
            <w:gridSpan w:val="3"/>
            <w:shd w:val="clear" w:color="auto" w:fill="CCEEFF"/>
            <w:tcMar>
              <w:top w:w="30" w:type="dxa"/>
              <w:left w:w="155" w:type="dxa"/>
              <w:bottom w:w="30" w:type="dxa"/>
              <w:right w:w="20" w:type="dxa"/>
            </w:tcMar>
            <w:vAlign w:val="bottom"/>
            <w:hideMark/>
          </w:tcPr>
          <w:p w14:paraId="67F65FD5" w14:textId="77777777" w:rsidR="00000000" w:rsidRDefault="009B6C69">
            <w:pPr>
              <w:spacing w:after="100"/>
              <w:rPr>
                <w:rFonts w:eastAsia="Times New Roman"/>
              </w:rPr>
            </w:pPr>
            <w:r>
              <w:rPr>
                <w:rFonts w:eastAsia="Times New Roman"/>
                <w:color w:val="000000"/>
                <w:sz w:val="18"/>
                <w:szCs w:val="18"/>
              </w:rPr>
              <w:t>Repayment of long-term debt</w:t>
            </w:r>
          </w:p>
        </w:tc>
        <w:tc>
          <w:tcPr>
            <w:tcW w:w="0" w:type="auto"/>
            <w:gridSpan w:val="2"/>
            <w:shd w:val="clear" w:color="auto" w:fill="CCEEFF"/>
            <w:tcMar>
              <w:top w:w="30" w:type="dxa"/>
              <w:left w:w="20" w:type="dxa"/>
              <w:bottom w:w="30" w:type="dxa"/>
              <w:right w:w="0" w:type="dxa"/>
            </w:tcMar>
            <w:vAlign w:val="bottom"/>
            <w:hideMark/>
          </w:tcPr>
          <w:p w14:paraId="71C75255" w14:textId="77777777" w:rsidR="00000000" w:rsidRDefault="009B6C69">
            <w:pPr>
              <w:spacing w:after="100"/>
              <w:jc w:val="right"/>
              <w:rPr>
                <w:rFonts w:eastAsia="Times New Roman"/>
              </w:rPr>
            </w:pPr>
            <w:r>
              <w:rPr>
                <w:rFonts w:eastAsia="Times New Roman"/>
                <w:color w:val="000000"/>
                <w:sz w:val="18"/>
                <w:szCs w:val="18"/>
              </w:rPr>
              <w:t>(1,540)</w:t>
            </w:r>
          </w:p>
        </w:tc>
        <w:tc>
          <w:tcPr>
            <w:tcW w:w="0" w:type="auto"/>
            <w:shd w:val="clear" w:color="auto" w:fill="CCEEFF"/>
            <w:tcMar>
              <w:top w:w="30" w:type="dxa"/>
              <w:left w:w="0" w:type="dxa"/>
              <w:bottom w:w="30" w:type="dxa"/>
              <w:right w:w="20" w:type="dxa"/>
            </w:tcMar>
            <w:vAlign w:val="bottom"/>
            <w:hideMark/>
          </w:tcPr>
          <w:p w14:paraId="06AE6C8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877028"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E68FF1"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22CC920"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2C896D"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A0C1F0" w14:textId="77777777" w:rsidR="00000000" w:rsidRDefault="009B6C69">
            <w:pPr>
              <w:spacing w:after="100"/>
              <w:jc w:val="right"/>
              <w:rPr>
                <w:rFonts w:eastAsia="Times New Roman"/>
              </w:rPr>
            </w:pPr>
            <w:r>
              <w:rPr>
                <w:rFonts w:eastAsia="Times New Roman"/>
                <w:color w:val="000000"/>
                <w:sz w:val="18"/>
                <w:szCs w:val="18"/>
              </w:rPr>
              <w:t>(2,219)</w:t>
            </w:r>
          </w:p>
        </w:tc>
        <w:tc>
          <w:tcPr>
            <w:tcW w:w="0" w:type="auto"/>
            <w:shd w:val="clear" w:color="auto" w:fill="CCEEFF"/>
            <w:tcMar>
              <w:top w:w="30" w:type="dxa"/>
              <w:left w:w="0" w:type="dxa"/>
              <w:bottom w:w="30" w:type="dxa"/>
              <w:right w:w="20" w:type="dxa"/>
            </w:tcMar>
            <w:vAlign w:val="bottom"/>
            <w:hideMark/>
          </w:tcPr>
          <w:p w14:paraId="203CEC85" w14:textId="77777777" w:rsidR="00000000" w:rsidRDefault="009B6C69">
            <w:pPr>
              <w:spacing w:after="100"/>
              <w:jc w:val="right"/>
              <w:rPr>
                <w:rFonts w:eastAsia="Times New Roman"/>
              </w:rPr>
            </w:pPr>
          </w:p>
        </w:tc>
      </w:tr>
      <w:tr w:rsidR="00000000" w14:paraId="5E530179" w14:textId="77777777">
        <w:trPr>
          <w:jc w:val="center"/>
        </w:trPr>
        <w:tc>
          <w:tcPr>
            <w:tcW w:w="0" w:type="auto"/>
            <w:gridSpan w:val="3"/>
            <w:shd w:val="clear" w:color="auto" w:fill="FFFFFF"/>
            <w:tcMar>
              <w:top w:w="30" w:type="dxa"/>
              <w:left w:w="155" w:type="dxa"/>
              <w:bottom w:w="30" w:type="dxa"/>
              <w:right w:w="20" w:type="dxa"/>
            </w:tcMar>
            <w:vAlign w:val="bottom"/>
            <w:hideMark/>
          </w:tcPr>
          <w:p w14:paraId="3055745F" w14:textId="77777777" w:rsidR="00000000" w:rsidRDefault="009B6C69">
            <w:pPr>
              <w:spacing w:after="100"/>
              <w:rPr>
                <w:rFonts w:eastAsia="Times New Roman"/>
              </w:rPr>
            </w:pPr>
            <w:r>
              <w:rPr>
                <w:rFonts w:eastAsia="Times New Roman"/>
                <w:color w:val="000000"/>
                <w:sz w:val="18"/>
                <w:szCs w:val="18"/>
              </w:rPr>
              <w:t>Proceeds from issuance of common stock</w:t>
            </w:r>
          </w:p>
        </w:tc>
        <w:tc>
          <w:tcPr>
            <w:tcW w:w="0" w:type="auto"/>
            <w:gridSpan w:val="2"/>
            <w:shd w:val="clear" w:color="auto" w:fill="FFFFFF"/>
            <w:tcMar>
              <w:top w:w="30" w:type="dxa"/>
              <w:left w:w="20" w:type="dxa"/>
              <w:bottom w:w="30" w:type="dxa"/>
              <w:right w:w="0" w:type="dxa"/>
            </w:tcMar>
            <w:vAlign w:val="bottom"/>
            <w:hideMark/>
          </w:tcPr>
          <w:p w14:paraId="595E23F2" w14:textId="77777777" w:rsidR="00000000" w:rsidRDefault="009B6C69">
            <w:pPr>
              <w:spacing w:after="100"/>
              <w:jc w:val="right"/>
              <w:rPr>
                <w:rFonts w:eastAsia="Times New Roman"/>
              </w:rPr>
            </w:pPr>
            <w:r>
              <w:rPr>
                <w:rFonts w:eastAsia="Times New Roman"/>
                <w:color w:val="000000"/>
                <w:sz w:val="18"/>
                <w:szCs w:val="18"/>
              </w:rPr>
              <w:t>356 </w:t>
            </w:r>
          </w:p>
        </w:tc>
        <w:tc>
          <w:tcPr>
            <w:tcW w:w="0" w:type="auto"/>
            <w:shd w:val="clear" w:color="auto" w:fill="FFFFFF"/>
            <w:tcMar>
              <w:top w:w="30" w:type="dxa"/>
              <w:left w:w="0" w:type="dxa"/>
              <w:bottom w:w="30" w:type="dxa"/>
              <w:right w:w="20" w:type="dxa"/>
            </w:tcMar>
            <w:vAlign w:val="bottom"/>
            <w:hideMark/>
          </w:tcPr>
          <w:p w14:paraId="0B95E70A"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CD223C"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A702BC" w14:textId="77777777" w:rsidR="00000000" w:rsidRDefault="009B6C69">
            <w:pPr>
              <w:spacing w:after="100"/>
              <w:jc w:val="right"/>
              <w:rPr>
                <w:rFonts w:eastAsia="Times New Roman"/>
              </w:rPr>
            </w:pPr>
            <w:r>
              <w:rPr>
                <w:rFonts w:eastAsia="Times New Roman"/>
                <w:color w:val="000000"/>
                <w:sz w:val="18"/>
                <w:szCs w:val="18"/>
              </w:rPr>
              <w:t>347 </w:t>
            </w:r>
          </w:p>
        </w:tc>
        <w:tc>
          <w:tcPr>
            <w:tcW w:w="0" w:type="auto"/>
            <w:shd w:val="clear" w:color="auto" w:fill="FFFFFF"/>
            <w:tcMar>
              <w:top w:w="30" w:type="dxa"/>
              <w:left w:w="0" w:type="dxa"/>
              <w:bottom w:w="30" w:type="dxa"/>
              <w:right w:w="20" w:type="dxa"/>
            </w:tcMar>
            <w:vAlign w:val="bottom"/>
            <w:hideMark/>
          </w:tcPr>
          <w:p w14:paraId="2A209CD9"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2DED4D"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F56CDA" w14:textId="77777777" w:rsidR="00000000" w:rsidRDefault="009B6C69">
            <w:pPr>
              <w:spacing w:after="100"/>
              <w:jc w:val="right"/>
              <w:rPr>
                <w:rFonts w:eastAsia="Times New Roman"/>
              </w:rPr>
            </w:pPr>
            <w:r>
              <w:rPr>
                <w:rFonts w:eastAsia="Times New Roman"/>
                <w:color w:val="000000"/>
                <w:sz w:val="18"/>
                <w:szCs w:val="18"/>
              </w:rPr>
              <w:t>329 </w:t>
            </w:r>
          </w:p>
        </w:tc>
        <w:tc>
          <w:tcPr>
            <w:tcW w:w="0" w:type="auto"/>
            <w:shd w:val="clear" w:color="auto" w:fill="FFFFFF"/>
            <w:tcMar>
              <w:top w:w="30" w:type="dxa"/>
              <w:left w:w="0" w:type="dxa"/>
              <w:bottom w:w="30" w:type="dxa"/>
              <w:right w:w="20" w:type="dxa"/>
            </w:tcMar>
            <w:vAlign w:val="bottom"/>
            <w:hideMark/>
          </w:tcPr>
          <w:p w14:paraId="2E5DC4C8" w14:textId="77777777" w:rsidR="00000000" w:rsidRDefault="009B6C69">
            <w:pPr>
              <w:spacing w:after="100"/>
              <w:jc w:val="right"/>
              <w:rPr>
                <w:rFonts w:eastAsia="Times New Roman"/>
              </w:rPr>
            </w:pPr>
          </w:p>
        </w:tc>
      </w:tr>
      <w:tr w:rsidR="00000000" w14:paraId="3DD33684" w14:textId="77777777">
        <w:trPr>
          <w:jc w:val="center"/>
        </w:trPr>
        <w:tc>
          <w:tcPr>
            <w:tcW w:w="0" w:type="auto"/>
            <w:gridSpan w:val="3"/>
            <w:shd w:val="clear" w:color="auto" w:fill="CCEEFF"/>
            <w:tcMar>
              <w:top w:w="30" w:type="dxa"/>
              <w:left w:w="155" w:type="dxa"/>
              <w:bottom w:w="30" w:type="dxa"/>
              <w:right w:w="20" w:type="dxa"/>
            </w:tcMar>
            <w:vAlign w:val="bottom"/>
            <w:hideMark/>
          </w:tcPr>
          <w:p w14:paraId="316C7079" w14:textId="77777777" w:rsidR="00000000" w:rsidRDefault="009B6C69">
            <w:pPr>
              <w:spacing w:after="100"/>
              <w:rPr>
                <w:rFonts w:eastAsia="Times New Roman"/>
              </w:rPr>
            </w:pPr>
            <w:r>
              <w:rPr>
                <w:rFonts w:eastAsia="Times New Roman"/>
                <w:color w:val="000000"/>
                <w:sz w:val="18"/>
                <w:szCs w:val="18"/>
              </w:rPr>
              <w:t>Repurchases and retirements of common stock</w:t>
            </w:r>
          </w:p>
        </w:tc>
        <w:tc>
          <w:tcPr>
            <w:tcW w:w="0" w:type="auto"/>
            <w:gridSpan w:val="2"/>
            <w:shd w:val="clear" w:color="auto" w:fill="CCEEFF"/>
            <w:tcMar>
              <w:top w:w="30" w:type="dxa"/>
              <w:left w:w="20" w:type="dxa"/>
              <w:bottom w:w="30" w:type="dxa"/>
              <w:right w:w="0" w:type="dxa"/>
            </w:tcMar>
            <w:vAlign w:val="bottom"/>
            <w:hideMark/>
          </w:tcPr>
          <w:p w14:paraId="2823B2EB" w14:textId="77777777" w:rsidR="00000000" w:rsidRDefault="009B6C69">
            <w:pPr>
              <w:spacing w:after="100"/>
              <w:jc w:val="right"/>
              <w:rPr>
                <w:rFonts w:eastAsia="Times New Roman"/>
              </w:rPr>
            </w:pPr>
            <w:r>
              <w:rPr>
                <w:rFonts w:eastAsia="Times New Roman"/>
                <w:color w:val="000000"/>
                <w:sz w:val="18"/>
                <w:szCs w:val="18"/>
              </w:rPr>
              <w:t>(3,129)</w:t>
            </w:r>
          </w:p>
        </w:tc>
        <w:tc>
          <w:tcPr>
            <w:tcW w:w="0" w:type="auto"/>
            <w:shd w:val="clear" w:color="auto" w:fill="CCEEFF"/>
            <w:tcMar>
              <w:top w:w="30" w:type="dxa"/>
              <w:left w:w="0" w:type="dxa"/>
              <w:bottom w:w="30" w:type="dxa"/>
              <w:right w:w="20" w:type="dxa"/>
            </w:tcMar>
            <w:vAlign w:val="bottom"/>
            <w:hideMark/>
          </w:tcPr>
          <w:p w14:paraId="7C93967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0157A9"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8CB9D9" w14:textId="77777777" w:rsidR="00000000" w:rsidRDefault="009B6C69">
            <w:pPr>
              <w:spacing w:after="100"/>
              <w:jc w:val="right"/>
              <w:rPr>
                <w:rFonts w:eastAsia="Times New Roman"/>
              </w:rPr>
            </w:pPr>
            <w:r>
              <w:rPr>
                <w:rFonts w:eastAsia="Times New Roman"/>
                <w:color w:val="000000"/>
                <w:sz w:val="18"/>
                <w:szCs w:val="18"/>
              </w:rPr>
              <w:t>(3,366)</w:t>
            </w:r>
          </w:p>
        </w:tc>
        <w:tc>
          <w:tcPr>
            <w:tcW w:w="0" w:type="auto"/>
            <w:shd w:val="clear" w:color="auto" w:fill="CCEEFF"/>
            <w:tcMar>
              <w:top w:w="30" w:type="dxa"/>
              <w:left w:w="0" w:type="dxa"/>
              <w:bottom w:w="30" w:type="dxa"/>
              <w:right w:w="20" w:type="dxa"/>
            </w:tcMar>
            <w:vAlign w:val="bottom"/>
            <w:hideMark/>
          </w:tcPr>
          <w:p w14:paraId="34C2904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26A4FA"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93DDD8" w14:textId="77777777" w:rsidR="00000000" w:rsidRDefault="009B6C69">
            <w:pPr>
              <w:spacing w:after="100"/>
              <w:jc w:val="right"/>
              <w:rPr>
                <w:rFonts w:eastAsia="Times New Roman"/>
              </w:rPr>
            </w:pPr>
            <w:r>
              <w:rPr>
                <w:rFonts w:eastAsia="Times New Roman"/>
                <w:color w:val="000000"/>
                <w:sz w:val="18"/>
                <w:szCs w:val="18"/>
              </w:rPr>
              <w:t>(2,450)</w:t>
            </w:r>
          </w:p>
        </w:tc>
        <w:tc>
          <w:tcPr>
            <w:tcW w:w="0" w:type="auto"/>
            <w:shd w:val="clear" w:color="auto" w:fill="CCEEFF"/>
            <w:tcMar>
              <w:top w:w="30" w:type="dxa"/>
              <w:left w:w="0" w:type="dxa"/>
              <w:bottom w:w="30" w:type="dxa"/>
              <w:right w:w="20" w:type="dxa"/>
            </w:tcMar>
            <w:vAlign w:val="bottom"/>
            <w:hideMark/>
          </w:tcPr>
          <w:p w14:paraId="13B264D7" w14:textId="77777777" w:rsidR="00000000" w:rsidRDefault="009B6C69">
            <w:pPr>
              <w:spacing w:after="100"/>
              <w:jc w:val="right"/>
              <w:rPr>
                <w:rFonts w:eastAsia="Times New Roman"/>
              </w:rPr>
            </w:pPr>
          </w:p>
        </w:tc>
      </w:tr>
      <w:tr w:rsidR="00000000" w14:paraId="681C2618" w14:textId="77777777">
        <w:trPr>
          <w:jc w:val="center"/>
        </w:trPr>
        <w:tc>
          <w:tcPr>
            <w:tcW w:w="0" w:type="auto"/>
            <w:gridSpan w:val="3"/>
            <w:shd w:val="clear" w:color="auto" w:fill="FFFFFF"/>
            <w:tcMar>
              <w:top w:w="30" w:type="dxa"/>
              <w:left w:w="155" w:type="dxa"/>
              <w:bottom w:w="30" w:type="dxa"/>
              <w:right w:w="20" w:type="dxa"/>
            </w:tcMar>
            <w:vAlign w:val="bottom"/>
            <w:hideMark/>
          </w:tcPr>
          <w:p w14:paraId="6ADF3872" w14:textId="77777777" w:rsidR="00000000" w:rsidRDefault="009B6C69">
            <w:pPr>
              <w:spacing w:after="100"/>
              <w:rPr>
                <w:rFonts w:eastAsia="Times New Roman"/>
              </w:rPr>
            </w:pPr>
            <w:r>
              <w:rPr>
                <w:rFonts w:eastAsia="Times New Roman"/>
                <w:color w:val="000000"/>
                <w:sz w:val="18"/>
                <w:szCs w:val="18"/>
              </w:rPr>
              <w:t>Dividends paid</w:t>
            </w:r>
          </w:p>
        </w:tc>
        <w:tc>
          <w:tcPr>
            <w:tcW w:w="0" w:type="auto"/>
            <w:gridSpan w:val="2"/>
            <w:shd w:val="clear" w:color="auto" w:fill="FFFFFF"/>
            <w:tcMar>
              <w:top w:w="30" w:type="dxa"/>
              <w:left w:w="20" w:type="dxa"/>
              <w:bottom w:w="30" w:type="dxa"/>
              <w:right w:w="0" w:type="dxa"/>
            </w:tcMar>
            <w:vAlign w:val="bottom"/>
            <w:hideMark/>
          </w:tcPr>
          <w:p w14:paraId="10856D18" w14:textId="77777777" w:rsidR="00000000" w:rsidRDefault="009B6C69">
            <w:pPr>
              <w:spacing w:after="100"/>
              <w:jc w:val="right"/>
              <w:rPr>
                <w:rFonts w:eastAsia="Times New Roman"/>
              </w:rPr>
            </w:pPr>
            <w:r>
              <w:rPr>
                <w:rFonts w:eastAsia="Times New Roman"/>
                <w:color w:val="000000"/>
                <w:sz w:val="18"/>
                <w:szCs w:val="18"/>
              </w:rPr>
              <w:t>(3,212)</w:t>
            </w:r>
          </w:p>
        </w:tc>
        <w:tc>
          <w:tcPr>
            <w:tcW w:w="0" w:type="auto"/>
            <w:shd w:val="clear" w:color="auto" w:fill="FFFFFF"/>
            <w:tcMar>
              <w:top w:w="30" w:type="dxa"/>
              <w:left w:w="0" w:type="dxa"/>
              <w:bottom w:w="30" w:type="dxa"/>
              <w:right w:w="20" w:type="dxa"/>
            </w:tcMar>
            <w:vAlign w:val="bottom"/>
            <w:hideMark/>
          </w:tcPr>
          <w:p w14:paraId="69B6F8F9"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7A5EB2"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8F9E45" w14:textId="77777777" w:rsidR="00000000" w:rsidRDefault="009B6C69">
            <w:pPr>
              <w:spacing w:after="100"/>
              <w:jc w:val="right"/>
              <w:rPr>
                <w:rFonts w:eastAsia="Times New Roman"/>
              </w:rPr>
            </w:pPr>
            <w:r>
              <w:rPr>
                <w:rFonts w:eastAsia="Times New Roman"/>
                <w:color w:val="000000"/>
                <w:sz w:val="18"/>
                <w:szCs w:val="18"/>
              </w:rPr>
              <w:t>(3,008)</w:t>
            </w:r>
          </w:p>
        </w:tc>
        <w:tc>
          <w:tcPr>
            <w:tcW w:w="0" w:type="auto"/>
            <w:shd w:val="clear" w:color="auto" w:fill="FFFFFF"/>
            <w:tcMar>
              <w:top w:w="30" w:type="dxa"/>
              <w:left w:w="0" w:type="dxa"/>
              <w:bottom w:w="30" w:type="dxa"/>
              <w:right w:w="20" w:type="dxa"/>
            </w:tcMar>
            <w:vAlign w:val="bottom"/>
            <w:hideMark/>
          </w:tcPr>
          <w:p w14:paraId="70B77B1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FAA3EF"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6FDBAC" w14:textId="77777777" w:rsidR="00000000" w:rsidRDefault="009B6C69">
            <w:pPr>
              <w:spacing w:after="100"/>
              <w:jc w:val="right"/>
              <w:rPr>
                <w:rFonts w:eastAsia="Times New Roman"/>
              </w:rPr>
            </w:pPr>
            <w:r>
              <w:rPr>
                <w:rFonts w:eastAsia="Times New Roman"/>
                <w:color w:val="000000"/>
                <w:sz w:val="18"/>
                <w:szCs w:val="18"/>
              </w:rPr>
              <w:t>(2,882)</w:t>
            </w:r>
          </w:p>
        </w:tc>
        <w:tc>
          <w:tcPr>
            <w:tcW w:w="0" w:type="auto"/>
            <w:shd w:val="clear" w:color="auto" w:fill="FFFFFF"/>
            <w:tcMar>
              <w:top w:w="30" w:type="dxa"/>
              <w:left w:w="0" w:type="dxa"/>
              <w:bottom w:w="30" w:type="dxa"/>
              <w:right w:w="20" w:type="dxa"/>
            </w:tcMar>
            <w:vAlign w:val="bottom"/>
            <w:hideMark/>
          </w:tcPr>
          <w:p w14:paraId="714B12C6" w14:textId="77777777" w:rsidR="00000000" w:rsidRDefault="009B6C69">
            <w:pPr>
              <w:spacing w:after="100"/>
              <w:jc w:val="right"/>
              <w:rPr>
                <w:rFonts w:eastAsia="Times New Roman"/>
              </w:rPr>
            </w:pPr>
          </w:p>
        </w:tc>
      </w:tr>
      <w:tr w:rsidR="00000000" w14:paraId="2F580150" w14:textId="77777777">
        <w:trPr>
          <w:jc w:val="center"/>
        </w:trPr>
        <w:tc>
          <w:tcPr>
            <w:tcW w:w="0" w:type="auto"/>
            <w:gridSpan w:val="3"/>
            <w:shd w:val="clear" w:color="auto" w:fill="CCEEFF"/>
            <w:tcMar>
              <w:top w:w="30" w:type="dxa"/>
              <w:left w:w="155" w:type="dxa"/>
              <w:bottom w:w="30" w:type="dxa"/>
              <w:right w:w="20" w:type="dxa"/>
            </w:tcMar>
            <w:vAlign w:val="bottom"/>
            <w:hideMark/>
          </w:tcPr>
          <w:p w14:paraId="1AEE63C7" w14:textId="77777777" w:rsidR="00000000" w:rsidRDefault="009B6C69">
            <w:pPr>
              <w:spacing w:after="100"/>
              <w:rPr>
                <w:rFonts w:eastAsia="Times New Roman"/>
              </w:rPr>
            </w:pPr>
            <w:r>
              <w:rPr>
                <w:rFonts w:eastAsia="Times New Roman"/>
                <w:color w:val="000000"/>
                <w:sz w:val="18"/>
                <w:szCs w:val="18"/>
              </w:rPr>
              <w:t>Payments of tax withholdings related to vesting of share-based awards</w:t>
            </w:r>
          </w:p>
        </w:tc>
        <w:tc>
          <w:tcPr>
            <w:tcW w:w="0" w:type="auto"/>
            <w:gridSpan w:val="2"/>
            <w:shd w:val="clear" w:color="auto" w:fill="CCEEFF"/>
            <w:tcMar>
              <w:top w:w="30" w:type="dxa"/>
              <w:left w:w="20" w:type="dxa"/>
              <w:bottom w:w="30" w:type="dxa"/>
              <w:right w:w="0" w:type="dxa"/>
            </w:tcMar>
            <w:vAlign w:val="bottom"/>
            <w:hideMark/>
          </w:tcPr>
          <w:p w14:paraId="467682D6" w14:textId="77777777" w:rsidR="00000000" w:rsidRDefault="009B6C69">
            <w:pPr>
              <w:spacing w:after="100"/>
              <w:jc w:val="right"/>
              <w:rPr>
                <w:rFonts w:eastAsia="Times New Roman"/>
              </w:rPr>
            </w:pPr>
            <w:r>
              <w:rPr>
                <w:rFonts w:eastAsia="Times New Roman"/>
                <w:color w:val="000000"/>
                <w:sz w:val="18"/>
                <w:szCs w:val="18"/>
              </w:rPr>
              <w:t>(766)</w:t>
            </w:r>
          </w:p>
        </w:tc>
        <w:tc>
          <w:tcPr>
            <w:tcW w:w="0" w:type="auto"/>
            <w:shd w:val="clear" w:color="auto" w:fill="CCEEFF"/>
            <w:tcMar>
              <w:top w:w="30" w:type="dxa"/>
              <w:left w:w="0" w:type="dxa"/>
              <w:bottom w:w="30" w:type="dxa"/>
              <w:right w:w="20" w:type="dxa"/>
            </w:tcMar>
            <w:vAlign w:val="bottom"/>
            <w:hideMark/>
          </w:tcPr>
          <w:p w14:paraId="4B8638C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3C75B1"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7BF3DF" w14:textId="77777777" w:rsidR="00000000" w:rsidRDefault="009B6C69">
            <w:pPr>
              <w:spacing w:after="100"/>
              <w:jc w:val="right"/>
              <w:rPr>
                <w:rFonts w:eastAsia="Times New Roman"/>
              </w:rPr>
            </w:pPr>
            <w:r>
              <w:rPr>
                <w:rFonts w:eastAsia="Times New Roman"/>
                <w:color w:val="000000"/>
                <w:sz w:val="18"/>
                <w:szCs w:val="18"/>
              </w:rPr>
              <w:t>(737)</w:t>
            </w:r>
          </w:p>
        </w:tc>
        <w:tc>
          <w:tcPr>
            <w:tcW w:w="0" w:type="auto"/>
            <w:shd w:val="clear" w:color="auto" w:fill="CCEEFF"/>
            <w:tcMar>
              <w:top w:w="30" w:type="dxa"/>
              <w:left w:w="0" w:type="dxa"/>
              <w:bottom w:w="30" w:type="dxa"/>
              <w:right w:w="20" w:type="dxa"/>
            </w:tcMar>
            <w:vAlign w:val="bottom"/>
            <w:hideMark/>
          </w:tcPr>
          <w:p w14:paraId="5F47937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F22EAD"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F57DE4" w14:textId="77777777" w:rsidR="00000000" w:rsidRDefault="009B6C69">
            <w:pPr>
              <w:spacing w:after="100"/>
              <w:jc w:val="right"/>
              <w:rPr>
                <w:rFonts w:eastAsia="Times New Roman"/>
              </w:rPr>
            </w:pPr>
            <w:r>
              <w:rPr>
                <w:rFonts w:eastAsia="Times New Roman"/>
                <w:color w:val="000000"/>
                <w:sz w:val="18"/>
                <w:szCs w:val="18"/>
              </w:rPr>
              <w:t>(347)</w:t>
            </w:r>
          </w:p>
        </w:tc>
        <w:tc>
          <w:tcPr>
            <w:tcW w:w="0" w:type="auto"/>
            <w:shd w:val="clear" w:color="auto" w:fill="CCEEFF"/>
            <w:tcMar>
              <w:top w:w="30" w:type="dxa"/>
              <w:left w:w="0" w:type="dxa"/>
              <w:bottom w:w="30" w:type="dxa"/>
              <w:right w:w="20" w:type="dxa"/>
            </w:tcMar>
            <w:vAlign w:val="bottom"/>
            <w:hideMark/>
          </w:tcPr>
          <w:p w14:paraId="64EB3B8A" w14:textId="77777777" w:rsidR="00000000" w:rsidRDefault="009B6C69">
            <w:pPr>
              <w:spacing w:after="100"/>
              <w:jc w:val="right"/>
              <w:rPr>
                <w:rFonts w:eastAsia="Times New Roman"/>
              </w:rPr>
            </w:pPr>
          </w:p>
        </w:tc>
      </w:tr>
      <w:tr w:rsidR="00000000" w14:paraId="44B855DA" w14:textId="77777777">
        <w:trPr>
          <w:jc w:val="center"/>
        </w:trPr>
        <w:tc>
          <w:tcPr>
            <w:tcW w:w="0" w:type="auto"/>
            <w:gridSpan w:val="3"/>
            <w:vAlign w:val="center"/>
            <w:hideMark/>
          </w:tcPr>
          <w:p w14:paraId="5E3739BF" w14:textId="77777777" w:rsidR="00000000" w:rsidRDefault="009B6C69">
            <w:pPr>
              <w:spacing w:after="100"/>
              <w:jc w:val="right"/>
              <w:rPr>
                <w:rFonts w:eastAsia="Times New Roman"/>
                <w:sz w:val="20"/>
                <w:szCs w:val="20"/>
              </w:rPr>
            </w:pPr>
          </w:p>
        </w:tc>
        <w:tc>
          <w:tcPr>
            <w:tcW w:w="0" w:type="auto"/>
            <w:gridSpan w:val="3"/>
            <w:vAlign w:val="center"/>
            <w:hideMark/>
          </w:tcPr>
          <w:p w14:paraId="07AF2C82" w14:textId="77777777" w:rsidR="00000000" w:rsidRDefault="009B6C69">
            <w:pPr>
              <w:spacing w:after="100"/>
              <w:rPr>
                <w:rFonts w:eastAsia="Times New Roman"/>
                <w:sz w:val="20"/>
                <w:szCs w:val="20"/>
              </w:rPr>
            </w:pPr>
          </w:p>
        </w:tc>
        <w:tc>
          <w:tcPr>
            <w:tcW w:w="0" w:type="auto"/>
            <w:gridSpan w:val="3"/>
            <w:vAlign w:val="center"/>
            <w:hideMark/>
          </w:tcPr>
          <w:p w14:paraId="664B1BB7" w14:textId="77777777" w:rsidR="00000000" w:rsidRDefault="009B6C69">
            <w:pPr>
              <w:spacing w:after="100"/>
              <w:rPr>
                <w:rFonts w:eastAsia="Times New Roman"/>
                <w:sz w:val="20"/>
                <w:szCs w:val="20"/>
              </w:rPr>
            </w:pPr>
          </w:p>
        </w:tc>
        <w:tc>
          <w:tcPr>
            <w:tcW w:w="0" w:type="auto"/>
            <w:gridSpan w:val="3"/>
            <w:vAlign w:val="center"/>
            <w:hideMark/>
          </w:tcPr>
          <w:p w14:paraId="6A7326ED" w14:textId="77777777" w:rsidR="00000000" w:rsidRDefault="009B6C69">
            <w:pPr>
              <w:spacing w:after="100"/>
              <w:rPr>
                <w:rFonts w:eastAsia="Times New Roman"/>
                <w:sz w:val="20"/>
                <w:szCs w:val="20"/>
              </w:rPr>
            </w:pPr>
          </w:p>
        </w:tc>
        <w:tc>
          <w:tcPr>
            <w:tcW w:w="0" w:type="auto"/>
            <w:gridSpan w:val="3"/>
            <w:vAlign w:val="center"/>
            <w:hideMark/>
          </w:tcPr>
          <w:p w14:paraId="5EA93E11" w14:textId="77777777" w:rsidR="00000000" w:rsidRDefault="009B6C69">
            <w:pPr>
              <w:spacing w:after="100"/>
              <w:rPr>
                <w:rFonts w:eastAsia="Times New Roman"/>
                <w:sz w:val="20"/>
                <w:szCs w:val="20"/>
              </w:rPr>
            </w:pPr>
          </w:p>
        </w:tc>
        <w:tc>
          <w:tcPr>
            <w:tcW w:w="0" w:type="auto"/>
            <w:gridSpan w:val="3"/>
            <w:vAlign w:val="center"/>
            <w:hideMark/>
          </w:tcPr>
          <w:p w14:paraId="1DBF0891" w14:textId="77777777" w:rsidR="00000000" w:rsidRDefault="009B6C69">
            <w:pPr>
              <w:spacing w:after="100"/>
              <w:rPr>
                <w:rFonts w:eastAsia="Times New Roman"/>
                <w:sz w:val="20"/>
                <w:szCs w:val="20"/>
              </w:rPr>
            </w:pPr>
          </w:p>
        </w:tc>
      </w:tr>
      <w:tr w:rsidR="00000000" w14:paraId="0C876B49" w14:textId="77777777">
        <w:trPr>
          <w:jc w:val="center"/>
        </w:trPr>
        <w:tc>
          <w:tcPr>
            <w:tcW w:w="0" w:type="auto"/>
            <w:gridSpan w:val="3"/>
            <w:vAlign w:val="center"/>
            <w:hideMark/>
          </w:tcPr>
          <w:p w14:paraId="6EC2685B" w14:textId="77777777" w:rsidR="00000000" w:rsidRDefault="009B6C69">
            <w:pPr>
              <w:spacing w:after="100"/>
              <w:rPr>
                <w:rFonts w:eastAsia="Times New Roman"/>
                <w:sz w:val="20"/>
                <w:szCs w:val="20"/>
              </w:rPr>
            </w:pPr>
          </w:p>
        </w:tc>
        <w:tc>
          <w:tcPr>
            <w:tcW w:w="0" w:type="auto"/>
            <w:gridSpan w:val="3"/>
            <w:vAlign w:val="center"/>
            <w:hideMark/>
          </w:tcPr>
          <w:p w14:paraId="332A54EF" w14:textId="77777777" w:rsidR="00000000" w:rsidRDefault="009B6C69">
            <w:pPr>
              <w:spacing w:after="100"/>
              <w:rPr>
                <w:rFonts w:eastAsia="Times New Roman"/>
                <w:sz w:val="20"/>
                <w:szCs w:val="20"/>
              </w:rPr>
            </w:pPr>
          </w:p>
        </w:tc>
        <w:tc>
          <w:tcPr>
            <w:tcW w:w="0" w:type="auto"/>
            <w:gridSpan w:val="3"/>
            <w:vAlign w:val="center"/>
            <w:hideMark/>
          </w:tcPr>
          <w:p w14:paraId="7A09219F" w14:textId="77777777" w:rsidR="00000000" w:rsidRDefault="009B6C69">
            <w:pPr>
              <w:spacing w:after="100"/>
              <w:rPr>
                <w:rFonts w:eastAsia="Times New Roman"/>
                <w:sz w:val="20"/>
                <w:szCs w:val="20"/>
              </w:rPr>
            </w:pPr>
          </w:p>
        </w:tc>
        <w:tc>
          <w:tcPr>
            <w:tcW w:w="0" w:type="auto"/>
            <w:gridSpan w:val="3"/>
            <w:vAlign w:val="center"/>
            <w:hideMark/>
          </w:tcPr>
          <w:p w14:paraId="4B5BD7EF" w14:textId="77777777" w:rsidR="00000000" w:rsidRDefault="009B6C69">
            <w:pPr>
              <w:spacing w:after="100"/>
              <w:rPr>
                <w:rFonts w:eastAsia="Times New Roman"/>
                <w:sz w:val="20"/>
                <w:szCs w:val="20"/>
              </w:rPr>
            </w:pPr>
          </w:p>
        </w:tc>
        <w:tc>
          <w:tcPr>
            <w:tcW w:w="0" w:type="auto"/>
            <w:gridSpan w:val="3"/>
            <w:vAlign w:val="center"/>
            <w:hideMark/>
          </w:tcPr>
          <w:p w14:paraId="1D77B961" w14:textId="77777777" w:rsidR="00000000" w:rsidRDefault="009B6C69">
            <w:pPr>
              <w:spacing w:after="100"/>
              <w:rPr>
                <w:rFonts w:eastAsia="Times New Roman"/>
                <w:sz w:val="20"/>
                <w:szCs w:val="20"/>
              </w:rPr>
            </w:pPr>
          </w:p>
        </w:tc>
        <w:tc>
          <w:tcPr>
            <w:tcW w:w="0" w:type="auto"/>
            <w:gridSpan w:val="3"/>
            <w:vAlign w:val="center"/>
            <w:hideMark/>
          </w:tcPr>
          <w:p w14:paraId="150F71A4" w14:textId="77777777" w:rsidR="00000000" w:rsidRDefault="009B6C69">
            <w:pPr>
              <w:spacing w:after="100"/>
              <w:rPr>
                <w:rFonts w:eastAsia="Times New Roman"/>
                <w:sz w:val="20"/>
                <w:szCs w:val="20"/>
              </w:rPr>
            </w:pPr>
          </w:p>
        </w:tc>
      </w:tr>
      <w:tr w:rsidR="00000000" w14:paraId="576BD67B" w14:textId="77777777">
        <w:trPr>
          <w:jc w:val="center"/>
        </w:trPr>
        <w:tc>
          <w:tcPr>
            <w:tcW w:w="0" w:type="auto"/>
            <w:gridSpan w:val="3"/>
            <w:shd w:val="clear" w:color="auto" w:fill="FFFFFF"/>
            <w:tcMar>
              <w:top w:w="30" w:type="dxa"/>
              <w:left w:w="155" w:type="dxa"/>
              <w:bottom w:w="30" w:type="dxa"/>
              <w:right w:w="20" w:type="dxa"/>
            </w:tcMar>
            <w:vAlign w:val="bottom"/>
            <w:hideMark/>
          </w:tcPr>
          <w:p w14:paraId="422B86AB" w14:textId="77777777" w:rsidR="00000000" w:rsidRDefault="009B6C69">
            <w:pPr>
              <w:spacing w:after="100"/>
              <w:rPr>
                <w:rFonts w:eastAsia="Times New Roman"/>
              </w:rPr>
            </w:pPr>
            <w:r>
              <w:rPr>
                <w:rFonts w:eastAsia="Times New Roman"/>
                <w:color w:val="000000"/>
                <w:sz w:val="18"/>
                <w:szCs w:val="18"/>
              </w:rPr>
              <w:t>Other items, net</w:t>
            </w:r>
          </w:p>
        </w:tc>
        <w:tc>
          <w:tcPr>
            <w:tcW w:w="0" w:type="auto"/>
            <w:gridSpan w:val="2"/>
            <w:shd w:val="clear" w:color="auto" w:fill="FFFFFF"/>
            <w:tcMar>
              <w:top w:w="30" w:type="dxa"/>
              <w:left w:w="20" w:type="dxa"/>
              <w:bottom w:w="30" w:type="dxa"/>
              <w:right w:w="0" w:type="dxa"/>
            </w:tcMar>
            <w:vAlign w:val="bottom"/>
            <w:hideMark/>
          </w:tcPr>
          <w:p w14:paraId="1ADA1BF9" w14:textId="77777777" w:rsidR="00000000" w:rsidRDefault="009B6C69">
            <w:pPr>
              <w:spacing w:after="100"/>
              <w:jc w:val="right"/>
              <w:rPr>
                <w:rFonts w:eastAsia="Times New Roman"/>
              </w:rPr>
            </w:pPr>
            <w:r>
              <w:rPr>
                <w:rFonts w:eastAsia="Times New Roman"/>
                <w:color w:val="000000"/>
                <w:sz w:val="18"/>
                <w:szCs w:val="18"/>
              </w:rPr>
              <w:t>(30)</w:t>
            </w:r>
          </w:p>
        </w:tc>
        <w:tc>
          <w:tcPr>
            <w:tcW w:w="0" w:type="auto"/>
            <w:shd w:val="clear" w:color="auto" w:fill="FFFFFF"/>
            <w:tcMar>
              <w:top w:w="30" w:type="dxa"/>
              <w:left w:w="0" w:type="dxa"/>
              <w:bottom w:w="30" w:type="dxa"/>
              <w:right w:w="20" w:type="dxa"/>
            </w:tcMar>
            <w:vAlign w:val="bottom"/>
            <w:hideMark/>
          </w:tcPr>
          <w:p w14:paraId="3C6FEEB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265C85"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B812F7" w14:textId="77777777" w:rsidR="00000000" w:rsidRDefault="009B6C69">
            <w:pPr>
              <w:spacing w:after="100"/>
              <w:jc w:val="right"/>
              <w:rPr>
                <w:rFonts w:eastAsia="Times New Roman"/>
              </w:rPr>
            </w:pPr>
            <w:r>
              <w:rPr>
                <w:rFonts w:eastAsia="Times New Roman"/>
                <w:color w:val="000000"/>
                <w:sz w:val="18"/>
                <w:szCs w:val="18"/>
              </w:rPr>
              <w:t>(35)</w:t>
            </w:r>
          </w:p>
        </w:tc>
        <w:tc>
          <w:tcPr>
            <w:tcW w:w="0" w:type="auto"/>
            <w:shd w:val="clear" w:color="auto" w:fill="FFFFFF"/>
            <w:tcMar>
              <w:top w:w="30" w:type="dxa"/>
              <w:left w:w="0" w:type="dxa"/>
              <w:bottom w:w="30" w:type="dxa"/>
              <w:right w:w="20" w:type="dxa"/>
            </w:tcMar>
            <w:vAlign w:val="bottom"/>
            <w:hideMark/>
          </w:tcPr>
          <w:p w14:paraId="37BC4D7F"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F5CAB7"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6EB68E" w14:textId="77777777" w:rsidR="00000000" w:rsidRDefault="009B6C69">
            <w:pPr>
              <w:spacing w:after="100"/>
              <w:jc w:val="right"/>
              <w:rPr>
                <w:rFonts w:eastAsia="Times New Roman"/>
              </w:rPr>
            </w:pPr>
            <w:r>
              <w:rPr>
                <w:rFonts w:eastAsia="Times New Roman"/>
                <w:color w:val="000000"/>
                <w:sz w:val="18"/>
                <w:szCs w:val="18"/>
              </w:rPr>
              <w:t>(128)</w:t>
            </w:r>
          </w:p>
        </w:tc>
        <w:tc>
          <w:tcPr>
            <w:tcW w:w="0" w:type="auto"/>
            <w:shd w:val="clear" w:color="auto" w:fill="FFFFFF"/>
            <w:tcMar>
              <w:top w:w="30" w:type="dxa"/>
              <w:left w:w="0" w:type="dxa"/>
              <w:bottom w:w="30" w:type="dxa"/>
              <w:right w:w="20" w:type="dxa"/>
            </w:tcMar>
            <w:vAlign w:val="bottom"/>
            <w:hideMark/>
          </w:tcPr>
          <w:p w14:paraId="575E4AE3" w14:textId="77777777" w:rsidR="00000000" w:rsidRDefault="009B6C69">
            <w:pPr>
              <w:spacing w:after="100"/>
              <w:jc w:val="right"/>
              <w:rPr>
                <w:rFonts w:eastAsia="Times New Roman"/>
              </w:rPr>
            </w:pPr>
          </w:p>
        </w:tc>
      </w:tr>
      <w:tr w:rsidR="00000000" w14:paraId="430E1EA6" w14:textId="77777777">
        <w:trPr>
          <w:jc w:val="center"/>
        </w:trPr>
        <w:tc>
          <w:tcPr>
            <w:tcW w:w="0" w:type="auto"/>
            <w:gridSpan w:val="3"/>
            <w:shd w:val="clear" w:color="auto" w:fill="CCEEFF"/>
            <w:tcMar>
              <w:top w:w="30" w:type="dxa"/>
              <w:left w:w="380" w:type="dxa"/>
              <w:bottom w:w="30" w:type="dxa"/>
              <w:right w:w="20" w:type="dxa"/>
            </w:tcMar>
            <w:vAlign w:val="bottom"/>
            <w:hideMark/>
          </w:tcPr>
          <w:p w14:paraId="5F101BBA" w14:textId="77777777" w:rsidR="00000000" w:rsidRDefault="009B6C69">
            <w:pPr>
              <w:spacing w:after="100"/>
              <w:rPr>
                <w:rFonts w:eastAsia="Times New Roman"/>
              </w:rPr>
            </w:pPr>
            <w:r>
              <w:rPr>
                <w:rFonts w:eastAsia="Times New Roman"/>
                <w:color w:val="000000"/>
                <w:sz w:val="18"/>
                <w:szCs w:val="18"/>
              </w:rPr>
              <w:t>Net cash used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048FC2" w14:textId="77777777" w:rsidR="00000000" w:rsidRDefault="009B6C69">
            <w:pPr>
              <w:spacing w:after="100"/>
              <w:jc w:val="right"/>
              <w:rPr>
                <w:rFonts w:eastAsia="Times New Roman"/>
              </w:rPr>
            </w:pPr>
            <w:r>
              <w:rPr>
                <w:rFonts w:eastAsia="Times New Roman"/>
                <w:color w:val="000000"/>
                <w:sz w:val="18"/>
                <w:szCs w:val="18"/>
              </w:rPr>
              <w:t>(7,196)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0BA925"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4B59B"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97A186" w14:textId="77777777" w:rsidR="00000000" w:rsidRDefault="009B6C69">
            <w:pPr>
              <w:spacing w:after="100"/>
              <w:jc w:val="right"/>
              <w:rPr>
                <w:rFonts w:eastAsia="Times New Roman"/>
              </w:rPr>
            </w:pPr>
            <w:r>
              <w:rPr>
                <w:rFonts w:eastAsia="Times New Roman"/>
                <w:color w:val="000000"/>
                <w:sz w:val="18"/>
                <w:szCs w:val="18"/>
              </w:rPr>
              <w:t>(6,798)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1C5D9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3EF70B"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9839A3" w14:textId="77777777" w:rsidR="00000000" w:rsidRDefault="009B6C69">
            <w:pPr>
              <w:spacing w:after="100"/>
              <w:jc w:val="right"/>
              <w:rPr>
                <w:rFonts w:eastAsia="Times New Roman"/>
              </w:rPr>
            </w:pPr>
            <w:r>
              <w:rPr>
                <w:rFonts w:eastAsia="Times New Roman"/>
                <w:color w:val="000000"/>
                <w:sz w:val="18"/>
                <w:szCs w:val="18"/>
              </w:rPr>
              <w:t>(5,707)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E7F77C" w14:textId="77777777" w:rsidR="00000000" w:rsidRDefault="009B6C69">
            <w:pPr>
              <w:spacing w:after="100"/>
              <w:jc w:val="right"/>
              <w:rPr>
                <w:rFonts w:eastAsia="Times New Roman"/>
              </w:rPr>
            </w:pPr>
          </w:p>
        </w:tc>
      </w:tr>
      <w:tr w:rsidR="00000000" w14:paraId="4D89074C" w14:textId="77777777">
        <w:trPr>
          <w:jc w:val="center"/>
        </w:trPr>
        <w:tc>
          <w:tcPr>
            <w:tcW w:w="0" w:type="auto"/>
            <w:gridSpan w:val="3"/>
            <w:shd w:val="clear" w:color="auto" w:fill="FFFFFF"/>
            <w:tcMar>
              <w:top w:w="30" w:type="dxa"/>
              <w:left w:w="155" w:type="dxa"/>
              <w:bottom w:w="30" w:type="dxa"/>
              <w:right w:w="20" w:type="dxa"/>
            </w:tcMar>
            <w:vAlign w:val="bottom"/>
            <w:hideMark/>
          </w:tcPr>
          <w:p w14:paraId="0FBA8E8A" w14:textId="77777777" w:rsidR="00000000" w:rsidRDefault="009B6C69">
            <w:pPr>
              <w:spacing w:after="100"/>
              <w:rPr>
                <w:rFonts w:eastAsia="Times New Roman"/>
              </w:rPr>
            </w:pPr>
            <w:r>
              <w:rPr>
                <w:rFonts w:eastAsia="Times New Roman"/>
                <w:color w:val="000000"/>
                <w:sz w:val="18"/>
                <w:szCs w:val="18"/>
              </w:rPr>
              <w:t>Effect of exchange rate changes on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FAFB82" w14:textId="77777777" w:rsidR="00000000" w:rsidRDefault="009B6C69">
            <w:pPr>
              <w:spacing w:after="100"/>
              <w:jc w:val="right"/>
              <w:rPr>
                <w:rFonts w:eastAsia="Times New Roman"/>
              </w:rPr>
            </w:pPr>
            <w:r>
              <w:rPr>
                <w:rFonts w:eastAsia="Times New Roman"/>
                <w:color w:val="000000"/>
                <w:sz w:val="18"/>
                <w:szCs w:val="18"/>
              </w:rPr>
              <w:t>(113)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8F669E"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60A4AD"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9A5333" w14:textId="77777777" w:rsidR="00000000" w:rsidRDefault="009B6C69">
            <w:pPr>
              <w:spacing w:after="100"/>
              <w:jc w:val="right"/>
              <w:rPr>
                <w:rFonts w:eastAsia="Times New Roman"/>
              </w:rPr>
            </w:pPr>
            <w:r>
              <w:rPr>
                <w:rFonts w:eastAsia="Times New Roman"/>
                <w:color w:val="000000"/>
                <w:sz w:val="18"/>
                <w:szCs w:val="18"/>
              </w:rPr>
              <w:t>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76708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C853FF"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4B2CC3" w14:textId="77777777" w:rsidR="00000000" w:rsidRDefault="009B6C69">
            <w:pPr>
              <w:spacing w:after="100"/>
              <w:jc w:val="right"/>
              <w:rPr>
                <w:rFonts w:eastAsia="Times New Roman"/>
              </w:rPr>
            </w:pPr>
            <w:r>
              <w:rPr>
                <w:rFonts w:eastAsia="Times New Roman"/>
                <w:color w:val="000000"/>
                <w:sz w:val="18"/>
                <w:szCs w:val="18"/>
              </w:rPr>
              <w:t>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01077D" w14:textId="77777777" w:rsidR="00000000" w:rsidRDefault="009B6C69">
            <w:pPr>
              <w:spacing w:after="100"/>
              <w:jc w:val="right"/>
              <w:rPr>
                <w:rFonts w:eastAsia="Times New Roman"/>
              </w:rPr>
            </w:pPr>
          </w:p>
        </w:tc>
      </w:tr>
      <w:tr w:rsidR="00000000" w14:paraId="3BB37E0B" w14:textId="77777777">
        <w:trPr>
          <w:jc w:val="center"/>
        </w:trPr>
        <w:tc>
          <w:tcPr>
            <w:tcW w:w="0" w:type="auto"/>
            <w:gridSpan w:val="3"/>
            <w:shd w:val="clear" w:color="auto" w:fill="CCEEFF"/>
            <w:tcMar>
              <w:top w:w="30" w:type="dxa"/>
              <w:left w:w="380" w:type="dxa"/>
              <w:bottom w:w="30" w:type="dxa"/>
              <w:right w:w="20" w:type="dxa"/>
            </w:tcMar>
            <w:vAlign w:val="bottom"/>
            <w:hideMark/>
          </w:tcPr>
          <w:p w14:paraId="1CE9D3FD" w14:textId="77777777" w:rsidR="00000000" w:rsidRDefault="009B6C69">
            <w:pPr>
              <w:spacing w:after="100"/>
              <w:rPr>
                <w:rFonts w:eastAsia="Times New Roman"/>
              </w:rPr>
            </w:pPr>
            <w:r>
              <w:rPr>
                <w:rFonts w:eastAsia="Times New Roman"/>
                <w:b/>
                <w:bCs/>
                <w:color w:val="000000"/>
                <w:sz w:val="18"/>
                <w:szCs w:val="18"/>
              </w:rPr>
              <w:t>Net (decrease) increase in total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766188" w14:textId="77777777" w:rsidR="00000000" w:rsidRDefault="009B6C69">
            <w:pPr>
              <w:spacing w:after="100"/>
              <w:jc w:val="right"/>
              <w:rPr>
                <w:rFonts w:eastAsia="Times New Roman"/>
              </w:rPr>
            </w:pPr>
            <w:r>
              <w:rPr>
                <w:rFonts w:eastAsia="Times New Roman"/>
                <w:color w:val="000000"/>
                <w:sz w:val="18"/>
                <w:szCs w:val="18"/>
              </w:rPr>
              <w:t>(4,017)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88895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093D13"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78C869" w14:textId="77777777" w:rsidR="00000000" w:rsidRDefault="009B6C69">
            <w:pPr>
              <w:spacing w:after="100"/>
              <w:jc w:val="right"/>
              <w:rPr>
                <w:rFonts w:eastAsia="Times New Roman"/>
              </w:rPr>
            </w:pPr>
            <w:r>
              <w:rPr>
                <w:rFonts w:eastAsia="Times New Roman"/>
                <w:color w:val="000000"/>
                <w:sz w:val="18"/>
                <w:szCs w:val="18"/>
              </w:rPr>
              <w:t>409 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AD3B10"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BFA343"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E72200" w14:textId="77777777" w:rsidR="00000000" w:rsidRDefault="009B6C69">
            <w:pPr>
              <w:spacing w:after="100"/>
              <w:jc w:val="right"/>
              <w:rPr>
                <w:rFonts w:eastAsia="Times New Roman"/>
              </w:rPr>
            </w:pPr>
            <w:r>
              <w:rPr>
                <w:rFonts w:eastAsia="Times New Roman"/>
                <w:color w:val="000000"/>
                <w:sz w:val="18"/>
                <w:szCs w:val="18"/>
              </w:rPr>
              <w:t>(5,132)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10199E" w14:textId="77777777" w:rsidR="00000000" w:rsidRDefault="009B6C69">
            <w:pPr>
              <w:spacing w:after="100"/>
              <w:jc w:val="right"/>
              <w:rPr>
                <w:rFonts w:eastAsia="Times New Roman"/>
              </w:rPr>
            </w:pPr>
          </w:p>
        </w:tc>
      </w:tr>
      <w:tr w:rsidR="00000000" w14:paraId="11362355" w14:textId="77777777">
        <w:trPr>
          <w:jc w:val="center"/>
        </w:trPr>
        <w:tc>
          <w:tcPr>
            <w:tcW w:w="0" w:type="auto"/>
            <w:gridSpan w:val="3"/>
            <w:shd w:val="clear" w:color="auto" w:fill="FFFFFF"/>
            <w:tcMar>
              <w:top w:w="30" w:type="dxa"/>
              <w:left w:w="20" w:type="dxa"/>
              <w:bottom w:w="30" w:type="dxa"/>
              <w:right w:w="20" w:type="dxa"/>
            </w:tcMar>
            <w:vAlign w:val="bottom"/>
            <w:hideMark/>
          </w:tcPr>
          <w:p w14:paraId="6FF735F3" w14:textId="77777777" w:rsidR="00000000" w:rsidRDefault="009B6C69">
            <w:pPr>
              <w:spacing w:after="100"/>
              <w:rPr>
                <w:rFonts w:eastAsia="Times New Roman"/>
              </w:rPr>
            </w:pPr>
            <w:r>
              <w:rPr>
                <w:rFonts w:eastAsia="Times New Roman"/>
                <w:b/>
                <w:bCs/>
                <w:color w:val="000000"/>
                <w:sz w:val="18"/>
                <w:szCs w:val="18"/>
              </w:rPr>
              <w:t>Total cash and cash equivalents at beginning of period</w:t>
            </w:r>
          </w:p>
        </w:tc>
        <w:tc>
          <w:tcPr>
            <w:tcW w:w="0" w:type="auto"/>
            <w:gridSpan w:val="2"/>
            <w:shd w:val="clear" w:color="auto" w:fill="FFFFFF"/>
            <w:tcMar>
              <w:top w:w="30" w:type="dxa"/>
              <w:left w:w="20" w:type="dxa"/>
              <w:bottom w:w="30" w:type="dxa"/>
              <w:right w:w="0" w:type="dxa"/>
            </w:tcMar>
            <w:vAlign w:val="bottom"/>
            <w:hideMark/>
          </w:tcPr>
          <w:p w14:paraId="79DD8FD4" w14:textId="77777777" w:rsidR="00000000" w:rsidRDefault="009B6C69">
            <w:pPr>
              <w:spacing w:after="100"/>
              <w:jc w:val="right"/>
              <w:rPr>
                <w:rFonts w:eastAsia="Times New Roman"/>
              </w:rPr>
            </w:pPr>
            <w:r>
              <w:rPr>
                <w:rFonts w:eastAsia="Times New Roman"/>
                <w:color w:val="000000"/>
                <w:sz w:val="18"/>
                <w:szCs w:val="18"/>
              </w:rPr>
              <w:t>7,116 </w:t>
            </w:r>
          </w:p>
        </w:tc>
        <w:tc>
          <w:tcPr>
            <w:tcW w:w="0" w:type="auto"/>
            <w:shd w:val="clear" w:color="auto" w:fill="FFFFFF"/>
            <w:tcMar>
              <w:top w:w="30" w:type="dxa"/>
              <w:left w:w="0" w:type="dxa"/>
              <w:bottom w:w="30" w:type="dxa"/>
              <w:right w:w="20" w:type="dxa"/>
            </w:tcMar>
            <w:vAlign w:val="bottom"/>
            <w:hideMark/>
          </w:tcPr>
          <w:p w14:paraId="43E3AF3A"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C61D9D"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6AC5D6" w14:textId="77777777" w:rsidR="00000000" w:rsidRDefault="009B6C69">
            <w:pPr>
              <w:spacing w:after="100"/>
              <w:jc w:val="right"/>
              <w:rPr>
                <w:rFonts w:eastAsia="Times New Roman"/>
              </w:rPr>
            </w:pPr>
            <w:r>
              <w:rPr>
                <w:rFonts w:eastAsia="Times New Roman"/>
                <w:color w:val="000000"/>
                <w:sz w:val="18"/>
                <w:szCs w:val="18"/>
              </w:rPr>
              <w:t>6,707 </w:t>
            </w:r>
          </w:p>
        </w:tc>
        <w:tc>
          <w:tcPr>
            <w:tcW w:w="0" w:type="auto"/>
            <w:shd w:val="clear" w:color="auto" w:fill="FFFFFF"/>
            <w:tcMar>
              <w:top w:w="30" w:type="dxa"/>
              <w:left w:w="0" w:type="dxa"/>
              <w:bottom w:w="30" w:type="dxa"/>
              <w:right w:w="20" w:type="dxa"/>
            </w:tcMar>
            <w:vAlign w:val="bottom"/>
            <w:hideMark/>
          </w:tcPr>
          <w:p w14:paraId="6A346640"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439856"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381B71" w14:textId="77777777" w:rsidR="00000000" w:rsidRDefault="009B6C69">
            <w:pPr>
              <w:spacing w:after="100"/>
              <w:jc w:val="right"/>
              <w:rPr>
                <w:rFonts w:eastAsia="Times New Roman"/>
              </w:rPr>
            </w:pPr>
            <w:r>
              <w:rPr>
                <w:rFonts w:eastAsia="Times New Roman"/>
                <w:color w:val="000000"/>
                <w:sz w:val="18"/>
                <w:szCs w:val="18"/>
              </w:rPr>
              <w:t>11,839 </w:t>
            </w:r>
          </w:p>
        </w:tc>
        <w:tc>
          <w:tcPr>
            <w:tcW w:w="0" w:type="auto"/>
            <w:shd w:val="clear" w:color="auto" w:fill="FFFFFF"/>
            <w:tcMar>
              <w:top w:w="30" w:type="dxa"/>
              <w:left w:w="0" w:type="dxa"/>
              <w:bottom w:w="30" w:type="dxa"/>
              <w:right w:w="20" w:type="dxa"/>
            </w:tcMar>
            <w:vAlign w:val="bottom"/>
            <w:hideMark/>
          </w:tcPr>
          <w:p w14:paraId="3E81B629" w14:textId="77777777" w:rsidR="00000000" w:rsidRDefault="009B6C69">
            <w:pPr>
              <w:spacing w:after="100"/>
              <w:jc w:val="right"/>
              <w:rPr>
                <w:rFonts w:eastAsia="Times New Roman"/>
              </w:rPr>
            </w:pPr>
          </w:p>
        </w:tc>
      </w:tr>
      <w:tr w:rsidR="00000000" w14:paraId="0771C9A5" w14:textId="77777777">
        <w:trPr>
          <w:jc w:val="center"/>
        </w:trPr>
        <w:tc>
          <w:tcPr>
            <w:tcW w:w="0" w:type="auto"/>
            <w:gridSpan w:val="3"/>
            <w:shd w:val="clear" w:color="auto" w:fill="CCEEFF"/>
            <w:tcMar>
              <w:top w:w="30" w:type="dxa"/>
              <w:left w:w="20" w:type="dxa"/>
              <w:bottom w:w="30" w:type="dxa"/>
              <w:right w:w="20" w:type="dxa"/>
            </w:tcMar>
            <w:vAlign w:val="bottom"/>
            <w:hideMark/>
          </w:tcPr>
          <w:p w14:paraId="64F61E96" w14:textId="77777777" w:rsidR="00000000" w:rsidRDefault="009B6C69">
            <w:pPr>
              <w:spacing w:after="100"/>
              <w:divId w:val="697848949"/>
              <w:rPr>
                <w:rFonts w:eastAsia="Times New Roman"/>
              </w:rPr>
            </w:pPr>
            <w:r>
              <w:rPr>
                <w:rFonts w:eastAsia="Times New Roman"/>
                <w:b/>
                <w:bCs/>
                <w:color w:val="000000"/>
                <w:sz w:val="18"/>
                <w:szCs w:val="18"/>
              </w:rPr>
              <w:t>Total cash and cash equivalents at end of period (including $326 million classified as held for sale at September 25, 2022)</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004EDC"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3DE3D1E" w14:textId="77777777" w:rsidR="00000000" w:rsidRDefault="009B6C69">
            <w:pPr>
              <w:spacing w:after="100"/>
              <w:jc w:val="right"/>
              <w:rPr>
                <w:rFonts w:eastAsia="Times New Roman"/>
              </w:rPr>
            </w:pPr>
            <w:r>
              <w:rPr>
                <w:rFonts w:eastAsia="Times New Roman"/>
                <w:color w:val="000000"/>
                <w:sz w:val="18"/>
                <w:szCs w:val="18"/>
              </w:rPr>
              <w:t>3,099 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DB70A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7D9ED2"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42A432"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DA1FE10" w14:textId="77777777" w:rsidR="00000000" w:rsidRDefault="009B6C69">
            <w:pPr>
              <w:spacing w:after="100"/>
              <w:jc w:val="right"/>
              <w:rPr>
                <w:rFonts w:eastAsia="Times New Roman"/>
              </w:rPr>
            </w:pPr>
            <w:r>
              <w:rPr>
                <w:rFonts w:eastAsia="Times New Roman"/>
                <w:color w:val="000000"/>
                <w:sz w:val="18"/>
                <w:szCs w:val="18"/>
              </w:rPr>
              <w:t>7,116 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9C74D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3C464F"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662207D"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D852271" w14:textId="77777777" w:rsidR="00000000" w:rsidRDefault="009B6C69">
            <w:pPr>
              <w:spacing w:after="100"/>
              <w:jc w:val="right"/>
              <w:rPr>
                <w:rFonts w:eastAsia="Times New Roman"/>
              </w:rPr>
            </w:pPr>
            <w:r>
              <w:rPr>
                <w:rFonts w:eastAsia="Times New Roman"/>
                <w:color w:val="000000"/>
                <w:sz w:val="18"/>
                <w:szCs w:val="18"/>
              </w:rPr>
              <w:t>6,707 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7872A62" w14:textId="77777777" w:rsidR="00000000" w:rsidRDefault="009B6C69">
            <w:pPr>
              <w:spacing w:after="100"/>
              <w:jc w:val="right"/>
              <w:rPr>
                <w:rFonts w:eastAsia="Times New Roman"/>
              </w:rPr>
            </w:pPr>
          </w:p>
        </w:tc>
      </w:tr>
      <w:tr w:rsidR="00000000" w14:paraId="5C158685" w14:textId="77777777">
        <w:trPr>
          <w:jc w:val="center"/>
        </w:trPr>
        <w:tc>
          <w:tcPr>
            <w:tcW w:w="0" w:type="auto"/>
            <w:gridSpan w:val="3"/>
            <w:vAlign w:val="center"/>
            <w:hideMark/>
          </w:tcPr>
          <w:p w14:paraId="335182D4" w14:textId="77777777" w:rsidR="00000000" w:rsidRDefault="009B6C69">
            <w:pPr>
              <w:spacing w:after="100"/>
              <w:jc w:val="right"/>
              <w:rPr>
                <w:rFonts w:eastAsia="Times New Roman"/>
                <w:sz w:val="20"/>
                <w:szCs w:val="20"/>
              </w:rPr>
            </w:pPr>
          </w:p>
        </w:tc>
        <w:tc>
          <w:tcPr>
            <w:tcW w:w="0" w:type="auto"/>
            <w:gridSpan w:val="3"/>
            <w:vAlign w:val="center"/>
            <w:hideMark/>
          </w:tcPr>
          <w:p w14:paraId="5914C838" w14:textId="77777777" w:rsidR="00000000" w:rsidRDefault="009B6C69">
            <w:pPr>
              <w:spacing w:after="100"/>
              <w:rPr>
                <w:rFonts w:eastAsia="Times New Roman"/>
                <w:sz w:val="20"/>
                <w:szCs w:val="20"/>
              </w:rPr>
            </w:pPr>
          </w:p>
        </w:tc>
        <w:tc>
          <w:tcPr>
            <w:tcW w:w="0" w:type="auto"/>
            <w:gridSpan w:val="3"/>
            <w:vAlign w:val="center"/>
            <w:hideMark/>
          </w:tcPr>
          <w:p w14:paraId="0D51F7F2" w14:textId="77777777" w:rsidR="00000000" w:rsidRDefault="009B6C69">
            <w:pPr>
              <w:spacing w:after="100"/>
              <w:rPr>
                <w:rFonts w:eastAsia="Times New Roman"/>
                <w:sz w:val="20"/>
                <w:szCs w:val="20"/>
              </w:rPr>
            </w:pPr>
          </w:p>
        </w:tc>
        <w:tc>
          <w:tcPr>
            <w:tcW w:w="0" w:type="auto"/>
            <w:gridSpan w:val="3"/>
            <w:vAlign w:val="center"/>
            <w:hideMark/>
          </w:tcPr>
          <w:p w14:paraId="1CA1AC19" w14:textId="77777777" w:rsidR="00000000" w:rsidRDefault="009B6C69">
            <w:pPr>
              <w:spacing w:after="100"/>
              <w:rPr>
                <w:rFonts w:eastAsia="Times New Roman"/>
                <w:sz w:val="20"/>
                <w:szCs w:val="20"/>
              </w:rPr>
            </w:pPr>
          </w:p>
        </w:tc>
        <w:tc>
          <w:tcPr>
            <w:tcW w:w="0" w:type="auto"/>
            <w:gridSpan w:val="3"/>
            <w:vAlign w:val="center"/>
            <w:hideMark/>
          </w:tcPr>
          <w:p w14:paraId="015402DE" w14:textId="77777777" w:rsidR="00000000" w:rsidRDefault="009B6C69">
            <w:pPr>
              <w:spacing w:after="100"/>
              <w:rPr>
                <w:rFonts w:eastAsia="Times New Roman"/>
                <w:sz w:val="20"/>
                <w:szCs w:val="20"/>
              </w:rPr>
            </w:pPr>
          </w:p>
        </w:tc>
        <w:tc>
          <w:tcPr>
            <w:tcW w:w="0" w:type="auto"/>
            <w:gridSpan w:val="3"/>
            <w:vAlign w:val="center"/>
            <w:hideMark/>
          </w:tcPr>
          <w:p w14:paraId="0EFEB294" w14:textId="77777777" w:rsidR="00000000" w:rsidRDefault="009B6C69">
            <w:pPr>
              <w:spacing w:after="100"/>
              <w:rPr>
                <w:rFonts w:eastAsia="Times New Roman"/>
                <w:sz w:val="20"/>
                <w:szCs w:val="20"/>
              </w:rPr>
            </w:pPr>
          </w:p>
        </w:tc>
      </w:tr>
      <w:tr w:rsidR="00000000" w14:paraId="3FACECD3" w14:textId="77777777">
        <w:trPr>
          <w:jc w:val="center"/>
        </w:trPr>
        <w:tc>
          <w:tcPr>
            <w:tcW w:w="0" w:type="auto"/>
            <w:gridSpan w:val="3"/>
            <w:vAlign w:val="center"/>
            <w:hideMark/>
          </w:tcPr>
          <w:p w14:paraId="40D68ED8" w14:textId="77777777" w:rsidR="00000000" w:rsidRDefault="009B6C69">
            <w:pPr>
              <w:spacing w:after="100"/>
              <w:rPr>
                <w:rFonts w:eastAsia="Times New Roman"/>
                <w:sz w:val="20"/>
                <w:szCs w:val="20"/>
              </w:rPr>
            </w:pPr>
          </w:p>
        </w:tc>
        <w:tc>
          <w:tcPr>
            <w:tcW w:w="0" w:type="auto"/>
            <w:gridSpan w:val="3"/>
            <w:vAlign w:val="center"/>
            <w:hideMark/>
          </w:tcPr>
          <w:p w14:paraId="0232D3A2" w14:textId="77777777" w:rsidR="00000000" w:rsidRDefault="009B6C69">
            <w:pPr>
              <w:spacing w:after="100"/>
              <w:rPr>
                <w:rFonts w:eastAsia="Times New Roman"/>
                <w:sz w:val="20"/>
                <w:szCs w:val="20"/>
              </w:rPr>
            </w:pPr>
          </w:p>
        </w:tc>
        <w:tc>
          <w:tcPr>
            <w:tcW w:w="0" w:type="auto"/>
            <w:gridSpan w:val="3"/>
            <w:vAlign w:val="center"/>
            <w:hideMark/>
          </w:tcPr>
          <w:p w14:paraId="72ED9530" w14:textId="77777777" w:rsidR="00000000" w:rsidRDefault="009B6C69">
            <w:pPr>
              <w:spacing w:after="100"/>
              <w:rPr>
                <w:rFonts w:eastAsia="Times New Roman"/>
                <w:sz w:val="20"/>
                <w:szCs w:val="20"/>
              </w:rPr>
            </w:pPr>
          </w:p>
        </w:tc>
        <w:tc>
          <w:tcPr>
            <w:tcW w:w="0" w:type="auto"/>
            <w:gridSpan w:val="3"/>
            <w:vAlign w:val="center"/>
            <w:hideMark/>
          </w:tcPr>
          <w:p w14:paraId="1F813A25" w14:textId="77777777" w:rsidR="00000000" w:rsidRDefault="009B6C69">
            <w:pPr>
              <w:spacing w:after="100"/>
              <w:rPr>
                <w:rFonts w:eastAsia="Times New Roman"/>
                <w:sz w:val="20"/>
                <w:szCs w:val="20"/>
              </w:rPr>
            </w:pPr>
          </w:p>
        </w:tc>
        <w:tc>
          <w:tcPr>
            <w:tcW w:w="0" w:type="auto"/>
            <w:gridSpan w:val="3"/>
            <w:vAlign w:val="center"/>
            <w:hideMark/>
          </w:tcPr>
          <w:p w14:paraId="3BA0509E" w14:textId="77777777" w:rsidR="00000000" w:rsidRDefault="009B6C69">
            <w:pPr>
              <w:spacing w:after="100"/>
              <w:rPr>
                <w:rFonts w:eastAsia="Times New Roman"/>
                <w:sz w:val="20"/>
                <w:szCs w:val="20"/>
              </w:rPr>
            </w:pPr>
          </w:p>
        </w:tc>
        <w:tc>
          <w:tcPr>
            <w:tcW w:w="0" w:type="auto"/>
            <w:gridSpan w:val="3"/>
            <w:vAlign w:val="center"/>
            <w:hideMark/>
          </w:tcPr>
          <w:p w14:paraId="10419990" w14:textId="77777777" w:rsidR="00000000" w:rsidRDefault="009B6C69">
            <w:pPr>
              <w:spacing w:after="100"/>
              <w:rPr>
                <w:rFonts w:eastAsia="Times New Roman"/>
                <w:sz w:val="20"/>
                <w:szCs w:val="20"/>
              </w:rPr>
            </w:pPr>
          </w:p>
        </w:tc>
      </w:tr>
      <w:tr w:rsidR="00000000" w14:paraId="695B2D85" w14:textId="77777777">
        <w:trPr>
          <w:jc w:val="center"/>
        </w:trPr>
        <w:tc>
          <w:tcPr>
            <w:tcW w:w="0" w:type="auto"/>
            <w:gridSpan w:val="3"/>
            <w:vAlign w:val="center"/>
            <w:hideMark/>
          </w:tcPr>
          <w:p w14:paraId="68062760" w14:textId="77777777" w:rsidR="00000000" w:rsidRDefault="009B6C69">
            <w:pPr>
              <w:spacing w:after="100"/>
              <w:rPr>
                <w:rFonts w:eastAsia="Times New Roman"/>
                <w:sz w:val="20"/>
                <w:szCs w:val="20"/>
              </w:rPr>
            </w:pPr>
          </w:p>
        </w:tc>
        <w:tc>
          <w:tcPr>
            <w:tcW w:w="0" w:type="auto"/>
            <w:gridSpan w:val="3"/>
            <w:vAlign w:val="center"/>
            <w:hideMark/>
          </w:tcPr>
          <w:p w14:paraId="4F218E14" w14:textId="77777777" w:rsidR="00000000" w:rsidRDefault="009B6C69">
            <w:pPr>
              <w:spacing w:after="100"/>
              <w:rPr>
                <w:rFonts w:eastAsia="Times New Roman"/>
                <w:sz w:val="20"/>
                <w:szCs w:val="20"/>
              </w:rPr>
            </w:pPr>
          </w:p>
        </w:tc>
        <w:tc>
          <w:tcPr>
            <w:tcW w:w="0" w:type="auto"/>
            <w:gridSpan w:val="3"/>
            <w:vAlign w:val="center"/>
            <w:hideMark/>
          </w:tcPr>
          <w:p w14:paraId="555466F0" w14:textId="77777777" w:rsidR="00000000" w:rsidRDefault="009B6C69">
            <w:pPr>
              <w:spacing w:after="100"/>
              <w:rPr>
                <w:rFonts w:eastAsia="Times New Roman"/>
                <w:sz w:val="20"/>
                <w:szCs w:val="20"/>
              </w:rPr>
            </w:pPr>
          </w:p>
        </w:tc>
        <w:tc>
          <w:tcPr>
            <w:tcW w:w="0" w:type="auto"/>
            <w:gridSpan w:val="3"/>
            <w:vAlign w:val="center"/>
            <w:hideMark/>
          </w:tcPr>
          <w:p w14:paraId="21FDDE94" w14:textId="77777777" w:rsidR="00000000" w:rsidRDefault="009B6C69">
            <w:pPr>
              <w:spacing w:after="100"/>
              <w:rPr>
                <w:rFonts w:eastAsia="Times New Roman"/>
                <w:sz w:val="20"/>
                <w:szCs w:val="20"/>
              </w:rPr>
            </w:pPr>
          </w:p>
        </w:tc>
        <w:tc>
          <w:tcPr>
            <w:tcW w:w="0" w:type="auto"/>
            <w:gridSpan w:val="3"/>
            <w:vAlign w:val="center"/>
            <w:hideMark/>
          </w:tcPr>
          <w:p w14:paraId="2350A1FE" w14:textId="77777777" w:rsidR="00000000" w:rsidRDefault="009B6C69">
            <w:pPr>
              <w:spacing w:after="100"/>
              <w:rPr>
                <w:rFonts w:eastAsia="Times New Roman"/>
                <w:sz w:val="20"/>
                <w:szCs w:val="20"/>
              </w:rPr>
            </w:pPr>
          </w:p>
        </w:tc>
        <w:tc>
          <w:tcPr>
            <w:tcW w:w="0" w:type="auto"/>
            <w:gridSpan w:val="3"/>
            <w:vAlign w:val="center"/>
            <w:hideMark/>
          </w:tcPr>
          <w:p w14:paraId="67635906" w14:textId="77777777" w:rsidR="00000000" w:rsidRDefault="009B6C69">
            <w:pPr>
              <w:spacing w:after="100"/>
              <w:rPr>
                <w:rFonts w:eastAsia="Times New Roman"/>
                <w:sz w:val="20"/>
                <w:szCs w:val="20"/>
              </w:rPr>
            </w:pPr>
          </w:p>
        </w:tc>
      </w:tr>
      <w:tr w:rsidR="00000000" w14:paraId="4DB7A3DF" w14:textId="77777777">
        <w:trPr>
          <w:jc w:val="center"/>
        </w:trPr>
        <w:tc>
          <w:tcPr>
            <w:tcW w:w="0" w:type="auto"/>
            <w:gridSpan w:val="3"/>
            <w:vAlign w:val="center"/>
            <w:hideMark/>
          </w:tcPr>
          <w:p w14:paraId="69EE2832" w14:textId="77777777" w:rsidR="00000000" w:rsidRDefault="009B6C69">
            <w:pPr>
              <w:spacing w:after="100"/>
              <w:rPr>
                <w:rFonts w:eastAsia="Times New Roman"/>
                <w:sz w:val="20"/>
                <w:szCs w:val="20"/>
              </w:rPr>
            </w:pPr>
          </w:p>
        </w:tc>
        <w:tc>
          <w:tcPr>
            <w:tcW w:w="0" w:type="auto"/>
            <w:gridSpan w:val="3"/>
            <w:vAlign w:val="center"/>
            <w:hideMark/>
          </w:tcPr>
          <w:p w14:paraId="7089010B" w14:textId="77777777" w:rsidR="00000000" w:rsidRDefault="009B6C69">
            <w:pPr>
              <w:spacing w:after="100"/>
              <w:rPr>
                <w:rFonts w:eastAsia="Times New Roman"/>
                <w:sz w:val="20"/>
                <w:szCs w:val="20"/>
              </w:rPr>
            </w:pPr>
          </w:p>
        </w:tc>
        <w:tc>
          <w:tcPr>
            <w:tcW w:w="0" w:type="auto"/>
            <w:gridSpan w:val="3"/>
            <w:vAlign w:val="center"/>
            <w:hideMark/>
          </w:tcPr>
          <w:p w14:paraId="52F9FF00" w14:textId="77777777" w:rsidR="00000000" w:rsidRDefault="009B6C69">
            <w:pPr>
              <w:spacing w:after="100"/>
              <w:rPr>
                <w:rFonts w:eastAsia="Times New Roman"/>
                <w:sz w:val="20"/>
                <w:szCs w:val="20"/>
              </w:rPr>
            </w:pPr>
          </w:p>
        </w:tc>
        <w:tc>
          <w:tcPr>
            <w:tcW w:w="0" w:type="auto"/>
            <w:gridSpan w:val="3"/>
            <w:vAlign w:val="center"/>
            <w:hideMark/>
          </w:tcPr>
          <w:p w14:paraId="5BB89484" w14:textId="77777777" w:rsidR="00000000" w:rsidRDefault="009B6C69">
            <w:pPr>
              <w:spacing w:after="100"/>
              <w:rPr>
                <w:rFonts w:eastAsia="Times New Roman"/>
                <w:sz w:val="20"/>
                <w:szCs w:val="20"/>
              </w:rPr>
            </w:pPr>
          </w:p>
        </w:tc>
        <w:tc>
          <w:tcPr>
            <w:tcW w:w="0" w:type="auto"/>
            <w:gridSpan w:val="3"/>
            <w:vAlign w:val="center"/>
            <w:hideMark/>
          </w:tcPr>
          <w:p w14:paraId="53266CE9" w14:textId="77777777" w:rsidR="00000000" w:rsidRDefault="009B6C69">
            <w:pPr>
              <w:spacing w:after="100"/>
              <w:rPr>
                <w:rFonts w:eastAsia="Times New Roman"/>
                <w:sz w:val="20"/>
                <w:szCs w:val="20"/>
              </w:rPr>
            </w:pPr>
          </w:p>
        </w:tc>
        <w:tc>
          <w:tcPr>
            <w:tcW w:w="0" w:type="auto"/>
            <w:gridSpan w:val="3"/>
            <w:vAlign w:val="center"/>
            <w:hideMark/>
          </w:tcPr>
          <w:p w14:paraId="042D0223" w14:textId="77777777" w:rsidR="00000000" w:rsidRDefault="009B6C69">
            <w:pPr>
              <w:spacing w:after="100"/>
              <w:rPr>
                <w:rFonts w:eastAsia="Times New Roman"/>
                <w:sz w:val="20"/>
                <w:szCs w:val="20"/>
              </w:rPr>
            </w:pPr>
          </w:p>
        </w:tc>
      </w:tr>
      <w:tr w:rsidR="00000000" w14:paraId="4DD871F6" w14:textId="77777777">
        <w:trPr>
          <w:jc w:val="center"/>
        </w:trPr>
        <w:tc>
          <w:tcPr>
            <w:tcW w:w="0" w:type="auto"/>
            <w:gridSpan w:val="3"/>
            <w:vAlign w:val="center"/>
            <w:hideMark/>
          </w:tcPr>
          <w:p w14:paraId="191693D5" w14:textId="77777777" w:rsidR="00000000" w:rsidRDefault="009B6C69">
            <w:pPr>
              <w:spacing w:after="100"/>
              <w:rPr>
                <w:rFonts w:eastAsia="Times New Roman"/>
                <w:sz w:val="20"/>
                <w:szCs w:val="20"/>
              </w:rPr>
            </w:pPr>
          </w:p>
        </w:tc>
        <w:tc>
          <w:tcPr>
            <w:tcW w:w="0" w:type="auto"/>
            <w:gridSpan w:val="3"/>
            <w:vAlign w:val="center"/>
            <w:hideMark/>
          </w:tcPr>
          <w:p w14:paraId="1232027C" w14:textId="77777777" w:rsidR="00000000" w:rsidRDefault="009B6C69">
            <w:pPr>
              <w:spacing w:after="100"/>
              <w:rPr>
                <w:rFonts w:eastAsia="Times New Roman"/>
                <w:sz w:val="20"/>
                <w:szCs w:val="20"/>
              </w:rPr>
            </w:pPr>
          </w:p>
        </w:tc>
        <w:tc>
          <w:tcPr>
            <w:tcW w:w="0" w:type="auto"/>
            <w:gridSpan w:val="3"/>
            <w:vAlign w:val="center"/>
            <w:hideMark/>
          </w:tcPr>
          <w:p w14:paraId="23961A0D" w14:textId="77777777" w:rsidR="00000000" w:rsidRDefault="009B6C69">
            <w:pPr>
              <w:spacing w:after="100"/>
              <w:rPr>
                <w:rFonts w:eastAsia="Times New Roman"/>
                <w:sz w:val="20"/>
                <w:szCs w:val="20"/>
              </w:rPr>
            </w:pPr>
          </w:p>
        </w:tc>
        <w:tc>
          <w:tcPr>
            <w:tcW w:w="0" w:type="auto"/>
            <w:gridSpan w:val="3"/>
            <w:vAlign w:val="center"/>
            <w:hideMark/>
          </w:tcPr>
          <w:p w14:paraId="507237BE" w14:textId="77777777" w:rsidR="00000000" w:rsidRDefault="009B6C69">
            <w:pPr>
              <w:spacing w:after="100"/>
              <w:rPr>
                <w:rFonts w:eastAsia="Times New Roman"/>
                <w:sz w:val="20"/>
                <w:szCs w:val="20"/>
              </w:rPr>
            </w:pPr>
          </w:p>
        </w:tc>
        <w:tc>
          <w:tcPr>
            <w:tcW w:w="0" w:type="auto"/>
            <w:gridSpan w:val="3"/>
            <w:vAlign w:val="center"/>
            <w:hideMark/>
          </w:tcPr>
          <w:p w14:paraId="48D157C1" w14:textId="77777777" w:rsidR="00000000" w:rsidRDefault="009B6C69">
            <w:pPr>
              <w:spacing w:after="100"/>
              <w:rPr>
                <w:rFonts w:eastAsia="Times New Roman"/>
                <w:sz w:val="20"/>
                <w:szCs w:val="20"/>
              </w:rPr>
            </w:pPr>
          </w:p>
        </w:tc>
        <w:tc>
          <w:tcPr>
            <w:tcW w:w="0" w:type="auto"/>
            <w:gridSpan w:val="3"/>
            <w:vAlign w:val="center"/>
            <w:hideMark/>
          </w:tcPr>
          <w:p w14:paraId="222057E3" w14:textId="77777777" w:rsidR="00000000" w:rsidRDefault="009B6C69">
            <w:pPr>
              <w:spacing w:after="100"/>
              <w:rPr>
                <w:rFonts w:eastAsia="Times New Roman"/>
                <w:sz w:val="20"/>
                <w:szCs w:val="20"/>
              </w:rPr>
            </w:pPr>
          </w:p>
        </w:tc>
      </w:tr>
    </w:tbl>
    <w:p w14:paraId="0398C3B0" w14:textId="77777777" w:rsidR="00000000" w:rsidRDefault="009B6C69">
      <w:pPr>
        <w:jc w:val="center"/>
        <w:rPr>
          <w:rFonts w:eastAsia="Times New Roman"/>
        </w:rPr>
      </w:pPr>
    </w:p>
    <w:p w14:paraId="1697D7D5" w14:textId="77777777" w:rsidR="00000000" w:rsidRDefault="009B6C69">
      <w:pPr>
        <w:jc w:val="center"/>
        <w:rPr>
          <w:rFonts w:eastAsia="Times New Roman"/>
        </w:rPr>
      </w:pPr>
      <w:r>
        <w:rPr>
          <w:rFonts w:eastAsia="Times New Roman"/>
          <w:color w:val="000000"/>
          <w:sz w:val="18"/>
          <w:szCs w:val="18"/>
        </w:rPr>
        <w:t>See accompanying notes.</w:t>
      </w:r>
    </w:p>
    <w:p w14:paraId="5A3FD640" w14:textId="77777777" w:rsidR="00000000" w:rsidRDefault="009B6C69">
      <w:pPr>
        <w:jc w:val="center"/>
        <w:divId w:val="157771516"/>
        <w:rPr>
          <w:rFonts w:eastAsia="Times New Roman"/>
        </w:rPr>
      </w:pPr>
      <w:r>
        <w:rPr>
          <w:rFonts w:eastAsia="Times New Roman"/>
          <w:color w:val="000000"/>
          <w:sz w:val="20"/>
          <w:szCs w:val="20"/>
        </w:rPr>
        <w:t>F-6</w:t>
      </w:r>
    </w:p>
    <w:p w14:paraId="5E0B4737" w14:textId="77777777" w:rsidR="00000000" w:rsidRDefault="009B6C69">
      <w:pPr>
        <w:rPr>
          <w:rFonts w:eastAsia="Times New Roman"/>
        </w:rPr>
      </w:pPr>
      <w:r>
        <w:rPr>
          <w:rFonts w:eastAsia="Times New Roman"/>
        </w:rPr>
        <w:pict w14:anchorId="632AE4EE">
          <v:rect id="_x0000_i1086" style="width:0;height:1.5pt" o:hralign="center" o:hrstd="t" o:hr="t" fillcolor="#a0a0a0" stroked="f"/>
        </w:pict>
      </w:r>
    </w:p>
    <w:p w14:paraId="71B7ED62" w14:textId="77777777" w:rsidR="00000000" w:rsidRDefault="009B6C69">
      <w:pPr>
        <w:divId w:val="907692432"/>
        <w:rPr>
          <w:rFonts w:eastAsia="Times New Roman"/>
        </w:rPr>
      </w:pPr>
    </w:p>
    <w:p w14:paraId="381AB1BA" w14:textId="77777777" w:rsidR="00000000" w:rsidRDefault="009B6C69">
      <w:pPr>
        <w:jc w:val="center"/>
        <w:rPr>
          <w:rFonts w:eastAsia="Times New Roman"/>
        </w:rPr>
      </w:pPr>
      <w:r>
        <w:rPr>
          <w:rFonts w:eastAsia="Times New Roman"/>
          <w:b/>
          <w:bCs/>
          <w:color w:val="000000"/>
          <w:sz w:val="18"/>
          <w:szCs w:val="18"/>
        </w:rPr>
        <w:t>QUALCOMM Incorporated</w:t>
      </w:r>
    </w:p>
    <w:p w14:paraId="7321006A" w14:textId="77777777" w:rsidR="00000000" w:rsidRDefault="009B6C69">
      <w:pPr>
        <w:jc w:val="center"/>
        <w:rPr>
          <w:rFonts w:eastAsia="Times New Roman"/>
        </w:rPr>
      </w:pPr>
      <w:r>
        <w:rPr>
          <w:rFonts w:eastAsia="Times New Roman"/>
          <w:b/>
          <w:bCs/>
          <w:color w:val="000000"/>
          <w:sz w:val="18"/>
          <w:szCs w:val="18"/>
        </w:rPr>
        <w:t>CONSOLIDATED STATEMENTS OF STOCKHOLDERS’ EQUITY</w:t>
      </w:r>
    </w:p>
    <w:p w14:paraId="5419C629" w14:textId="77777777" w:rsidR="00000000" w:rsidRDefault="009B6C69">
      <w:pPr>
        <w:jc w:val="center"/>
        <w:rPr>
          <w:rFonts w:eastAsia="Times New Roman"/>
        </w:rPr>
      </w:pPr>
      <w:r>
        <w:rPr>
          <w:rFonts w:eastAsia="Times New Roman"/>
          <w:b/>
          <w:bCs/>
          <w:color w:val="000000"/>
          <w:sz w:val="18"/>
          <w:szCs w:val="18"/>
        </w:rPr>
        <w:t>(In millions, except per share data)</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021"/>
        <w:gridCol w:w="38"/>
        <w:gridCol w:w="111"/>
        <w:gridCol w:w="865"/>
        <w:gridCol w:w="36"/>
        <w:gridCol w:w="36"/>
        <w:gridCol w:w="36"/>
        <w:gridCol w:w="36"/>
        <w:gridCol w:w="111"/>
        <w:gridCol w:w="830"/>
        <w:gridCol w:w="36"/>
        <w:gridCol w:w="36"/>
        <w:gridCol w:w="36"/>
        <w:gridCol w:w="36"/>
        <w:gridCol w:w="111"/>
        <w:gridCol w:w="831"/>
        <w:gridCol w:w="36"/>
      </w:tblGrid>
      <w:tr w:rsidR="00000000" w14:paraId="3818410C" w14:textId="77777777">
        <w:trPr>
          <w:jc w:val="center"/>
        </w:trPr>
        <w:tc>
          <w:tcPr>
            <w:tcW w:w="50" w:type="pct"/>
            <w:vAlign w:val="center"/>
            <w:hideMark/>
          </w:tcPr>
          <w:p w14:paraId="7BD40335" w14:textId="77777777" w:rsidR="00000000" w:rsidRDefault="009B6C69">
            <w:pPr>
              <w:jc w:val="center"/>
              <w:rPr>
                <w:rFonts w:eastAsia="Times New Roman"/>
              </w:rPr>
            </w:pPr>
          </w:p>
        </w:tc>
        <w:tc>
          <w:tcPr>
            <w:tcW w:w="3056" w:type="pct"/>
            <w:vAlign w:val="center"/>
            <w:hideMark/>
          </w:tcPr>
          <w:p w14:paraId="0F8C132D" w14:textId="77777777" w:rsidR="00000000" w:rsidRDefault="009B6C69">
            <w:pPr>
              <w:spacing w:after="100"/>
              <w:rPr>
                <w:rFonts w:eastAsia="Times New Roman"/>
                <w:sz w:val="20"/>
                <w:szCs w:val="20"/>
              </w:rPr>
            </w:pPr>
          </w:p>
        </w:tc>
        <w:tc>
          <w:tcPr>
            <w:tcW w:w="5" w:type="pct"/>
            <w:vAlign w:val="center"/>
            <w:hideMark/>
          </w:tcPr>
          <w:p w14:paraId="0BC84FD6" w14:textId="77777777" w:rsidR="00000000" w:rsidRDefault="009B6C69">
            <w:pPr>
              <w:spacing w:after="100"/>
              <w:rPr>
                <w:rFonts w:eastAsia="Times New Roman"/>
                <w:sz w:val="20"/>
                <w:szCs w:val="20"/>
              </w:rPr>
            </w:pPr>
          </w:p>
        </w:tc>
        <w:tc>
          <w:tcPr>
            <w:tcW w:w="50" w:type="pct"/>
            <w:vAlign w:val="center"/>
            <w:hideMark/>
          </w:tcPr>
          <w:p w14:paraId="1EAB77D8" w14:textId="77777777" w:rsidR="00000000" w:rsidRDefault="009B6C69">
            <w:pPr>
              <w:spacing w:after="100"/>
              <w:rPr>
                <w:rFonts w:eastAsia="Times New Roman"/>
                <w:sz w:val="20"/>
                <w:szCs w:val="20"/>
              </w:rPr>
            </w:pPr>
          </w:p>
        </w:tc>
        <w:tc>
          <w:tcPr>
            <w:tcW w:w="549" w:type="pct"/>
            <w:vAlign w:val="center"/>
            <w:hideMark/>
          </w:tcPr>
          <w:p w14:paraId="33216EAA" w14:textId="77777777" w:rsidR="00000000" w:rsidRDefault="009B6C69">
            <w:pPr>
              <w:spacing w:after="100"/>
              <w:rPr>
                <w:rFonts w:eastAsia="Times New Roman"/>
                <w:sz w:val="20"/>
                <w:szCs w:val="20"/>
              </w:rPr>
            </w:pPr>
          </w:p>
        </w:tc>
        <w:tc>
          <w:tcPr>
            <w:tcW w:w="5" w:type="pct"/>
            <w:vAlign w:val="center"/>
            <w:hideMark/>
          </w:tcPr>
          <w:p w14:paraId="249F3764" w14:textId="77777777" w:rsidR="00000000" w:rsidRDefault="009B6C69">
            <w:pPr>
              <w:spacing w:after="100"/>
              <w:rPr>
                <w:rFonts w:eastAsia="Times New Roman"/>
                <w:sz w:val="20"/>
                <w:szCs w:val="20"/>
              </w:rPr>
            </w:pPr>
          </w:p>
        </w:tc>
        <w:tc>
          <w:tcPr>
            <w:tcW w:w="5" w:type="pct"/>
            <w:vAlign w:val="center"/>
            <w:hideMark/>
          </w:tcPr>
          <w:p w14:paraId="0B1CC3AF" w14:textId="77777777" w:rsidR="00000000" w:rsidRDefault="009B6C69">
            <w:pPr>
              <w:spacing w:after="100"/>
              <w:rPr>
                <w:rFonts w:eastAsia="Times New Roman"/>
                <w:sz w:val="20"/>
                <w:szCs w:val="20"/>
              </w:rPr>
            </w:pPr>
          </w:p>
        </w:tc>
        <w:tc>
          <w:tcPr>
            <w:tcW w:w="27" w:type="pct"/>
            <w:vAlign w:val="center"/>
            <w:hideMark/>
          </w:tcPr>
          <w:p w14:paraId="698BC792" w14:textId="77777777" w:rsidR="00000000" w:rsidRDefault="009B6C69">
            <w:pPr>
              <w:spacing w:after="100"/>
              <w:rPr>
                <w:rFonts w:eastAsia="Times New Roman"/>
                <w:sz w:val="20"/>
                <w:szCs w:val="20"/>
              </w:rPr>
            </w:pPr>
          </w:p>
        </w:tc>
        <w:tc>
          <w:tcPr>
            <w:tcW w:w="5" w:type="pct"/>
            <w:vAlign w:val="center"/>
            <w:hideMark/>
          </w:tcPr>
          <w:p w14:paraId="32741251" w14:textId="77777777" w:rsidR="00000000" w:rsidRDefault="009B6C69">
            <w:pPr>
              <w:spacing w:after="100"/>
              <w:rPr>
                <w:rFonts w:eastAsia="Times New Roman"/>
                <w:sz w:val="20"/>
                <w:szCs w:val="20"/>
              </w:rPr>
            </w:pPr>
          </w:p>
        </w:tc>
        <w:tc>
          <w:tcPr>
            <w:tcW w:w="50" w:type="pct"/>
            <w:vAlign w:val="center"/>
            <w:hideMark/>
          </w:tcPr>
          <w:p w14:paraId="29EF84F2" w14:textId="77777777" w:rsidR="00000000" w:rsidRDefault="009B6C69">
            <w:pPr>
              <w:spacing w:after="100"/>
              <w:rPr>
                <w:rFonts w:eastAsia="Times New Roman"/>
                <w:sz w:val="20"/>
                <w:szCs w:val="20"/>
              </w:rPr>
            </w:pPr>
          </w:p>
        </w:tc>
        <w:tc>
          <w:tcPr>
            <w:tcW w:w="549" w:type="pct"/>
            <w:vAlign w:val="center"/>
            <w:hideMark/>
          </w:tcPr>
          <w:p w14:paraId="64CBF162" w14:textId="77777777" w:rsidR="00000000" w:rsidRDefault="009B6C69">
            <w:pPr>
              <w:spacing w:after="100"/>
              <w:rPr>
                <w:rFonts w:eastAsia="Times New Roman"/>
                <w:sz w:val="20"/>
                <w:szCs w:val="20"/>
              </w:rPr>
            </w:pPr>
          </w:p>
        </w:tc>
        <w:tc>
          <w:tcPr>
            <w:tcW w:w="5" w:type="pct"/>
            <w:vAlign w:val="center"/>
            <w:hideMark/>
          </w:tcPr>
          <w:p w14:paraId="7EF822A6" w14:textId="77777777" w:rsidR="00000000" w:rsidRDefault="009B6C69">
            <w:pPr>
              <w:spacing w:after="100"/>
              <w:rPr>
                <w:rFonts w:eastAsia="Times New Roman"/>
                <w:sz w:val="20"/>
                <w:szCs w:val="20"/>
              </w:rPr>
            </w:pPr>
          </w:p>
        </w:tc>
        <w:tc>
          <w:tcPr>
            <w:tcW w:w="5" w:type="pct"/>
            <w:vAlign w:val="center"/>
            <w:hideMark/>
          </w:tcPr>
          <w:p w14:paraId="105649A5" w14:textId="77777777" w:rsidR="00000000" w:rsidRDefault="009B6C69">
            <w:pPr>
              <w:spacing w:after="100"/>
              <w:rPr>
                <w:rFonts w:eastAsia="Times New Roman"/>
                <w:sz w:val="20"/>
                <w:szCs w:val="20"/>
              </w:rPr>
            </w:pPr>
          </w:p>
        </w:tc>
        <w:tc>
          <w:tcPr>
            <w:tcW w:w="27" w:type="pct"/>
            <w:vAlign w:val="center"/>
            <w:hideMark/>
          </w:tcPr>
          <w:p w14:paraId="595404D9" w14:textId="77777777" w:rsidR="00000000" w:rsidRDefault="009B6C69">
            <w:pPr>
              <w:spacing w:after="100"/>
              <w:rPr>
                <w:rFonts w:eastAsia="Times New Roman"/>
                <w:sz w:val="20"/>
                <w:szCs w:val="20"/>
              </w:rPr>
            </w:pPr>
          </w:p>
        </w:tc>
        <w:tc>
          <w:tcPr>
            <w:tcW w:w="5" w:type="pct"/>
            <w:vAlign w:val="center"/>
            <w:hideMark/>
          </w:tcPr>
          <w:p w14:paraId="074AE4BC" w14:textId="77777777" w:rsidR="00000000" w:rsidRDefault="009B6C69">
            <w:pPr>
              <w:spacing w:after="100"/>
              <w:rPr>
                <w:rFonts w:eastAsia="Times New Roman"/>
                <w:sz w:val="20"/>
                <w:szCs w:val="20"/>
              </w:rPr>
            </w:pPr>
          </w:p>
        </w:tc>
        <w:tc>
          <w:tcPr>
            <w:tcW w:w="50" w:type="pct"/>
            <w:vAlign w:val="center"/>
            <w:hideMark/>
          </w:tcPr>
          <w:p w14:paraId="5F35A2FD" w14:textId="77777777" w:rsidR="00000000" w:rsidRDefault="009B6C69">
            <w:pPr>
              <w:spacing w:after="100"/>
              <w:rPr>
                <w:rFonts w:eastAsia="Times New Roman"/>
                <w:sz w:val="20"/>
                <w:szCs w:val="20"/>
              </w:rPr>
            </w:pPr>
          </w:p>
        </w:tc>
        <w:tc>
          <w:tcPr>
            <w:tcW w:w="549" w:type="pct"/>
            <w:vAlign w:val="center"/>
            <w:hideMark/>
          </w:tcPr>
          <w:p w14:paraId="27BAA193" w14:textId="77777777" w:rsidR="00000000" w:rsidRDefault="009B6C69">
            <w:pPr>
              <w:spacing w:after="100"/>
              <w:rPr>
                <w:rFonts w:eastAsia="Times New Roman"/>
                <w:sz w:val="20"/>
                <w:szCs w:val="20"/>
              </w:rPr>
            </w:pPr>
          </w:p>
        </w:tc>
        <w:tc>
          <w:tcPr>
            <w:tcW w:w="5" w:type="pct"/>
            <w:vAlign w:val="center"/>
            <w:hideMark/>
          </w:tcPr>
          <w:p w14:paraId="3DD539D4" w14:textId="77777777" w:rsidR="00000000" w:rsidRDefault="009B6C69">
            <w:pPr>
              <w:spacing w:after="100"/>
              <w:rPr>
                <w:rFonts w:eastAsia="Times New Roman"/>
                <w:sz w:val="20"/>
                <w:szCs w:val="20"/>
              </w:rPr>
            </w:pPr>
          </w:p>
        </w:tc>
      </w:tr>
      <w:tr w:rsidR="00000000" w14:paraId="15D853FC" w14:textId="77777777">
        <w:trPr>
          <w:jc w:val="center"/>
        </w:trPr>
        <w:tc>
          <w:tcPr>
            <w:tcW w:w="0" w:type="auto"/>
            <w:gridSpan w:val="3"/>
            <w:tcMar>
              <w:top w:w="0" w:type="dxa"/>
              <w:left w:w="20" w:type="dxa"/>
              <w:bottom w:w="0" w:type="dxa"/>
              <w:right w:w="20" w:type="dxa"/>
            </w:tcMar>
            <w:vAlign w:val="center"/>
            <w:hideMark/>
          </w:tcPr>
          <w:p w14:paraId="15844AB2" w14:textId="77777777" w:rsidR="00000000" w:rsidRDefault="009B6C69">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0F324045" w14:textId="77777777" w:rsidR="00000000" w:rsidRDefault="009B6C69">
            <w:pPr>
              <w:spacing w:after="100"/>
              <w:jc w:val="center"/>
              <w:rPr>
                <w:rFonts w:eastAsia="Times New Roman"/>
              </w:rPr>
            </w:pPr>
            <w:r>
              <w:rPr>
                <w:rFonts w:eastAsia="Times New Roman"/>
                <w:b/>
                <w:bCs/>
                <w:color w:val="000000"/>
                <w:sz w:val="18"/>
                <w:szCs w:val="18"/>
              </w:rPr>
              <w:t>Year Ended</w:t>
            </w:r>
          </w:p>
        </w:tc>
      </w:tr>
      <w:tr w:rsidR="00000000" w14:paraId="5DE64C1E" w14:textId="77777777">
        <w:trPr>
          <w:jc w:val="center"/>
        </w:trPr>
        <w:tc>
          <w:tcPr>
            <w:tcW w:w="0" w:type="auto"/>
            <w:gridSpan w:val="3"/>
            <w:tcMar>
              <w:top w:w="0" w:type="dxa"/>
              <w:left w:w="20" w:type="dxa"/>
              <w:bottom w:w="0" w:type="dxa"/>
              <w:right w:w="20" w:type="dxa"/>
            </w:tcMar>
            <w:vAlign w:val="center"/>
            <w:hideMark/>
          </w:tcPr>
          <w:p w14:paraId="271AB7E0"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0CD13C" w14:textId="77777777" w:rsidR="00000000" w:rsidRDefault="009B6C69">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14:paraId="51C3C1DD"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F117AC" w14:textId="77777777" w:rsidR="00000000" w:rsidRDefault="009B6C69">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14:paraId="0525F9E7"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F0D349" w14:textId="77777777" w:rsidR="00000000" w:rsidRDefault="009B6C69">
            <w:pPr>
              <w:spacing w:after="100"/>
              <w:jc w:val="center"/>
              <w:rPr>
                <w:rFonts w:eastAsia="Times New Roman"/>
              </w:rPr>
            </w:pPr>
            <w:r>
              <w:rPr>
                <w:rFonts w:eastAsia="Times New Roman"/>
                <w:b/>
                <w:bCs/>
                <w:color w:val="000000"/>
                <w:sz w:val="18"/>
                <w:szCs w:val="18"/>
              </w:rPr>
              <w:t>September 27,</w:t>
            </w:r>
            <w:r>
              <w:rPr>
                <w:rFonts w:eastAsia="Times New Roman"/>
                <w:b/>
                <w:bCs/>
                <w:color w:val="000000"/>
                <w:sz w:val="18"/>
                <w:szCs w:val="18"/>
              </w:rPr>
              <w:br/>
              <w:t>2020</w:t>
            </w:r>
          </w:p>
        </w:tc>
      </w:tr>
      <w:tr w:rsidR="00000000" w14:paraId="01665CA1" w14:textId="77777777">
        <w:trPr>
          <w:jc w:val="center"/>
        </w:trPr>
        <w:tc>
          <w:tcPr>
            <w:tcW w:w="0" w:type="auto"/>
            <w:gridSpan w:val="3"/>
            <w:shd w:val="clear" w:color="auto" w:fill="CCEEFF"/>
            <w:tcMar>
              <w:top w:w="30" w:type="dxa"/>
              <w:left w:w="20" w:type="dxa"/>
              <w:bottom w:w="30" w:type="dxa"/>
              <w:right w:w="20" w:type="dxa"/>
            </w:tcMar>
            <w:vAlign w:val="bottom"/>
            <w:hideMark/>
          </w:tcPr>
          <w:p w14:paraId="6703085E" w14:textId="77777777" w:rsidR="00000000" w:rsidRDefault="009B6C69">
            <w:pPr>
              <w:spacing w:after="100"/>
              <w:divId w:val="276646577"/>
              <w:rPr>
                <w:rFonts w:eastAsia="Times New Roman"/>
              </w:rPr>
            </w:pPr>
            <w:r>
              <w:rPr>
                <w:rFonts w:eastAsia="Times New Roman"/>
                <w:b/>
                <w:bCs/>
                <w:color w:val="000000"/>
                <w:sz w:val="18"/>
                <w:szCs w:val="18"/>
              </w:rPr>
              <w:t>Total stockholders’ equity, beginning balance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64E672"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E99DA0" w14:textId="77777777" w:rsidR="00000000" w:rsidRDefault="009B6C69">
            <w:pPr>
              <w:spacing w:after="100"/>
              <w:jc w:val="right"/>
              <w:rPr>
                <w:rFonts w:eastAsia="Times New Roman"/>
              </w:rPr>
            </w:pPr>
            <w:r>
              <w:rPr>
                <w:rFonts w:eastAsia="Times New Roman"/>
                <w:color w:val="000000"/>
                <w:sz w:val="18"/>
                <w:szCs w:val="18"/>
              </w:rPr>
              <w:t>9,950 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50C07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F5728B"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38375B"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B0775F" w14:textId="77777777" w:rsidR="00000000" w:rsidRDefault="009B6C69">
            <w:pPr>
              <w:spacing w:after="100"/>
              <w:jc w:val="right"/>
              <w:rPr>
                <w:rFonts w:eastAsia="Times New Roman"/>
              </w:rPr>
            </w:pPr>
            <w:r>
              <w:rPr>
                <w:rFonts w:eastAsia="Times New Roman"/>
                <w:color w:val="000000"/>
                <w:sz w:val="18"/>
                <w:szCs w:val="18"/>
              </w:rPr>
              <w:t>6,077 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E06522"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949939"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C711AD"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FDD7E3" w14:textId="77777777" w:rsidR="00000000" w:rsidRDefault="009B6C69">
            <w:pPr>
              <w:spacing w:after="100"/>
              <w:jc w:val="right"/>
              <w:rPr>
                <w:rFonts w:eastAsia="Times New Roman"/>
              </w:rPr>
            </w:pPr>
            <w:r>
              <w:rPr>
                <w:rFonts w:eastAsia="Times New Roman"/>
                <w:color w:val="000000"/>
                <w:sz w:val="18"/>
                <w:szCs w:val="18"/>
              </w:rPr>
              <w:t>4,909 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500898" w14:textId="77777777" w:rsidR="00000000" w:rsidRDefault="009B6C69">
            <w:pPr>
              <w:spacing w:after="100"/>
              <w:jc w:val="right"/>
              <w:rPr>
                <w:rFonts w:eastAsia="Times New Roman"/>
              </w:rPr>
            </w:pPr>
          </w:p>
        </w:tc>
      </w:tr>
      <w:tr w:rsidR="00000000" w14:paraId="0F3C9E96" w14:textId="77777777">
        <w:trPr>
          <w:trHeight w:val="280"/>
          <w:jc w:val="center"/>
        </w:trPr>
        <w:tc>
          <w:tcPr>
            <w:tcW w:w="0" w:type="auto"/>
            <w:gridSpan w:val="3"/>
            <w:shd w:val="clear" w:color="auto" w:fill="FFFFFF"/>
            <w:tcMar>
              <w:top w:w="0" w:type="dxa"/>
              <w:left w:w="20" w:type="dxa"/>
              <w:bottom w:w="0" w:type="dxa"/>
              <w:right w:w="20" w:type="dxa"/>
            </w:tcMar>
            <w:vAlign w:val="center"/>
            <w:hideMark/>
          </w:tcPr>
          <w:p w14:paraId="4EFC42D0" w14:textId="77777777" w:rsidR="00000000" w:rsidRDefault="009B6C69">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E9BF37D"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D8E41D" w14:textId="77777777" w:rsidR="00000000" w:rsidRDefault="009B6C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EB42758"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5629B8" w14:textId="77777777" w:rsidR="00000000" w:rsidRDefault="009B6C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48B4E03" w14:textId="77777777" w:rsidR="00000000" w:rsidRDefault="009B6C69">
            <w:pPr>
              <w:spacing w:after="100"/>
              <w:rPr>
                <w:rFonts w:eastAsia="Times New Roman"/>
                <w:sz w:val="20"/>
                <w:szCs w:val="20"/>
              </w:rPr>
            </w:pPr>
          </w:p>
        </w:tc>
      </w:tr>
      <w:tr w:rsidR="00000000" w14:paraId="63A3CF63" w14:textId="77777777">
        <w:trPr>
          <w:jc w:val="center"/>
        </w:trPr>
        <w:tc>
          <w:tcPr>
            <w:tcW w:w="0" w:type="auto"/>
            <w:gridSpan w:val="3"/>
            <w:shd w:val="clear" w:color="auto" w:fill="CCEEFF"/>
            <w:tcMar>
              <w:top w:w="30" w:type="dxa"/>
              <w:left w:w="20" w:type="dxa"/>
              <w:bottom w:w="30" w:type="dxa"/>
              <w:right w:w="20" w:type="dxa"/>
            </w:tcMar>
            <w:vAlign w:val="bottom"/>
            <w:hideMark/>
          </w:tcPr>
          <w:p w14:paraId="239C9DA3" w14:textId="77777777" w:rsidR="00000000" w:rsidRDefault="009B6C69">
            <w:pPr>
              <w:spacing w:after="100"/>
              <w:divId w:val="51007292"/>
              <w:rPr>
                <w:rFonts w:eastAsia="Times New Roman"/>
              </w:rPr>
            </w:pPr>
            <w:r>
              <w:rPr>
                <w:rFonts w:eastAsia="Times New Roman"/>
                <w:b/>
                <w:bCs/>
                <w:color w:val="000000"/>
                <w:sz w:val="18"/>
                <w:szCs w:val="18"/>
              </w:rPr>
              <w:t>Common stock and paid-in capital:</w:t>
            </w:r>
          </w:p>
        </w:tc>
        <w:tc>
          <w:tcPr>
            <w:tcW w:w="0" w:type="auto"/>
            <w:gridSpan w:val="3"/>
            <w:shd w:val="clear" w:color="auto" w:fill="CCEEFF"/>
            <w:tcMar>
              <w:top w:w="0" w:type="dxa"/>
              <w:left w:w="20" w:type="dxa"/>
              <w:bottom w:w="0" w:type="dxa"/>
              <w:right w:w="20" w:type="dxa"/>
            </w:tcMar>
            <w:vAlign w:val="center"/>
            <w:hideMark/>
          </w:tcPr>
          <w:p w14:paraId="4A583215" w14:textId="77777777" w:rsidR="00000000" w:rsidRDefault="009B6C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62E7D"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B2499A"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BE6AC4"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12C887" w14:textId="77777777" w:rsidR="00000000" w:rsidRDefault="009B6C69">
            <w:pPr>
              <w:spacing w:after="100"/>
              <w:rPr>
                <w:rFonts w:eastAsia="Times New Roman"/>
                <w:sz w:val="20"/>
                <w:szCs w:val="20"/>
              </w:rPr>
            </w:pPr>
          </w:p>
        </w:tc>
      </w:tr>
      <w:tr w:rsidR="00000000" w14:paraId="37BE519F" w14:textId="77777777">
        <w:trPr>
          <w:jc w:val="center"/>
        </w:trPr>
        <w:tc>
          <w:tcPr>
            <w:tcW w:w="0" w:type="auto"/>
            <w:gridSpan w:val="3"/>
            <w:shd w:val="clear" w:color="auto" w:fill="FFFFFF"/>
            <w:tcMar>
              <w:top w:w="30" w:type="dxa"/>
              <w:left w:w="20" w:type="dxa"/>
              <w:bottom w:w="30" w:type="dxa"/>
              <w:right w:w="20" w:type="dxa"/>
            </w:tcMar>
            <w:vAlign w:val="bottom"/>
            <w:hideMark/>
          </w:tcPr>
          <w:p w14:paraId="1E57FBD5" w14:textId="77777777" w:rsidR="00000000" w:rsidRDefault="009B6C69">
            <w:pPr>
              <w:spacing w:after="100"/>
              <w:divId w:val="1103845864"/>
              <w:rPr>
                <w:rFonts w:eastAsia="Times New Roman"/>
              </w:rPr>
            </w:pPr>
            <w:r>
              <w:rPr>
                <w:rFonts w:eastAsia="Times New Roman"/>
                <w:color w:val="000000"/>
                <w:sz w:val="18"/>
                <w:szCs w:val="18"/>
              </w:rPr>
              <w:t>Balance at beginning of period</w:t>
            </w:r>
          </w:p>
        </w:tc>
        <w:tc>
          <w:tcPr>
            <w:tcW w:w="0" w:type="auto"/>
            <w:gridSpan w:val="2"/>
            <w:shd w:val="clear" w:color="auto" w:fill="FFFFFF"/>
            <w:tcMar>
              <w:top w:w="30" w:type="dxa"/>
              <w:left w:w="20" w:type="dxa"/>
              <w:bottom w:w="30" w:type="dxa"/>
              <w:right w:w="0" w:type="dxa"/>
            </w:tcMar>
            <w:vAlign w:val="bottom"/>
            <w:hideMark/>
          </w:tcPr>
          <w:p w14:paraId="3064DF50"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8D7DE19"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703D58"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EE581E" w14:textId="77777777" w:rsidR="00000000" w:rsidRDefault="009B6C69">
            <w:pPr>
              <w:spacing w:after="100"/>
              <w:jc w:val="right"/>
              <w:rPr>
                <w:rFonts w:eastAsia="Times New Roman"/>
              </w:rPr>
            </w:pPr>
            <w:r>
              <w:rPr>
                <w:rFonts w:eastAsia="Times New Roman"/>
                <w:color w:val="000000"/>
                <w:sz w:val="18"/>
                <w:szCs w:val="18"/>
              </w:rPr>
              <w:t>586 </w:t>
            </w:r>
          </w:p>
        </w:tc>
        <w:tc>
          <w:tcPr>
            <w:tcW w:w="0" w:type="auto"/>
            <w:shd w:val="clear" w:color="auto" w:fill="FFFFFF"/>
            <w:tcMar>
              <w:top w:w="30" w:type="dxa"/>
              <w:left w:w="0" w:type="dxa"/>
              <w:bottom w:w="30" w:type="dxa"/>
              <w:right w:w="20" w:type="dxa"/>
            </w:tcMar>
            <w:vAlign w:val="bottom"/>
            <w:hideMark/>
          </w:tcPr>
          <w:p w14:paraId="6AB7808A"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B21E6"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E04062" w14:textId="77777777" w:rsidR="00000000" w:rsidRDefault="009B6C69">
            <w:pPr>
              <w:spacing w:after="100"/>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14:paraId="3112C28C" w14:textId="77777777" w:rsidR="00000000" w:rsidRDefault="009B6C69">
            <w:pPr>
              <w:spacing w:after="100"/>
              <w:jc w:val="right"/>
              <w:rPr>
                <w:rFonts w:eastAsia="Times New Roman"/>
              </w:rPr>
            </w:pPr>
          </w:p>
        </w:tc>
      </w:tr>
      <w:tr w:rsidR="00000000" w14:paraId="06800A7F" w14:textId="77777777">
        <w:trPr>
          <w:jc w:val="center"/>
        </w:trPr>
        <w:tc>
          <w:tcPr>
            <w:tcW w:w="0" w:type="auto"/>
            <w:gridSpan w:val="3"/>
            <w:shd w:val="clear" w:color="auto" w:fill="CCEEFF"/>
            <w:tcMar>
              <w:top w:w="30" w:type="dxa"/>
              <w:left w:w="245" w:type="dxa"/>
              <w:bottom w:w="30" w:type="dxa"/>
              <w:right w:w="20" w:type="dxa"/>
            </w:tcMar>
            <w:vAlign w:val="bottom"/>
            <w:hideMark/>
          </w:tcPr>
          <w:p w14:paraId="1B4E15A8" w14:textId="77777777" w:rsidR="00000000" w:rsidRDefault="009B6C69">
            <w:pPr>
              <w:spacing w:after="100"/>
              <w:rPr>
                <w:rFonts w:eastAsia="Times New Roman"/>
              </w:rPr>
            </w:pPr>
            <w:r>
              <w:rPr>
                <w:rFonts w:eastAsia="Times New Roman"/>
                <w:color w:val="000000"/>
                <w:sz w:val="18"/>
                <w:szCs w:val="18"/>
              </w:rPr>
              <w:t xml:space="preserve">Common stock issued under employee benefit plans </w:t>
            </w:r>
          </w:p>
        </w:tc>
        <w:tc>
          <w:tcPr>
            <w:tcW w:w="0" w:type="auto"/>
            <w:gridSpan w:val="2"/>
            <w:shd w:val="clear" w:color="auto" w:fill="CCEEFF"/>
            <w:tcMar>
              <w:top w:w="30" w:type="dxa"/>
              <w:left w:w="20" w:type="dxa"/>
              <w:bottom w:w="30" w:type="dxa"/>
              <w:right w:w="0" w:type="dxa"/>
            </w:tcMar>
            <w:vAlign w:val="bottom"/>
            <w:hideMark/>
          </w:tcPr>
          <w:p w14:paraId="1DA1A028" w14:textId="77777777" w:rsidR="00000000" w:rsidRDefault="009B6C69">
            <w:pPr>
              <w:spacing w:after="100"/>
              <w:jc w:val="right"/>
              <w:rPr>
                <w:rFonts w:eastAsia="Times New Roman"/>
              </w:rPr>
            </w:pPr>
            <w:r>
              <w:rPr>
                <w:rFonts w:eastAsia="Times New Roman"/>
                <w:color w:val="000000"/>
                <w:sz w:val="18"/>
                <w:szCs w:val="18"/>
              </w:rPr>
              <w:t>356 </w:t>
            </w:r>
          </w:p>
        </w:tc>
        <w:tc>
          <w:tcPr>
            <w:tcW w:w="0" w:type="auto"/>
            <w:shd w:val="clear" w:color="auto" w:fill="CCEEFF"/>
            <w:tcMar>
              <w:top w:w="30" w:type="dxa"/>
              <w:left w:w="0" w:type="dxa"/>
              <w:bottom w:w="30" w:type="dxa"/>
              <w:right w:w="20" w:type="dxa"/>
            </w:tcMar>
            <w:vAlign w:val="bottom"/>
            <w:hideMark/>
          </w:tcPr>
          <w:p w14:paraId="5C89D50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BD633A"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947612" w14:textId="77777777" w:rsidR="00000000" w:rsidRDefault="009B6C69">
            <w:pPr>
              <w:spacing w:after="100"/>
              <w:jc w:val="right"/>
              <w:rPr>
                <w:rFonts w:eastAsia="Times New Roman"/>
              </w:rPr>
            </w:pPr>
            <w:r>
              <w:rPr>
                <w:rFonts w:eastAsia="Times New Roman"/>
                <w:color w:val="000000"/>
                <w:sz w:val="18"/>
                <w:szCs w:val="18"/>
              </w:rPr>
              <w:t>345 </w:t>
            </w:r>
          </w:p>
        </w:tc>
        <w:tc>
          <w:tcPr>
            <w:tcW w:w="0" w:type="auto"/>
            <w:shd w:val="clear" w:color="auto" w:fill="CCEEFF"/>
            <w:tcMar>
              <w:top w:w="30" w:type="dxa"/>
              <w:left w:w="0" w:type="dxa"/>
              <w:bottom w:w="30" w:type="dxa"/>
              <w:right w:w="20" w:type="dxa"/>
            </w:tcMar>
            <w:vAlign w:val="bottom"/>
            <w:hideMark/>
          </w:tcPr>
          <w:p w14:paraId="04826DC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B93718"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834D1D" w14:textId="77777777" w:rsidR="00000000" w:rsidRDefault="009B6C69">
            <w:pPr>
              <w:spacing w:after="100"/>
              <w:jc w:val="right"/>
              <w:rPr>
                <w:rFonts w:eastAsia="Times New Roman"/>
              </w:rPr>
            </w:pPr>
            <w:r>
              <w:rPr>
                <w:rFonts w:eastAsia="Times New Roman"/>
                <w:color w:val="000000"/>
                <w:sz w:val="18"/>
                <w:szCs w:val="18"/>
              </w:rPr>
              <w:t>331 </w:t>
            </w:r>
          </w:p>
        </w:tc>
        <w:tc>
          <w:tcPr>
            <w:tcW w:w="0" w:type="auto"/>
            <w:shd w:val="clear" w:color="auto" w:fill="CCEEFF"/>
            <w:tcMar>
              <w:top w:w="30" w:type="dxa"/>
              <w:left w:w="0" w:type="dxa"/>
              <w:bottom w:w="30" w:type="dxa"/>
              <w:right w:w="20" w:type="dxa"/>
            </w:tcMar>
            <w:vAlign w:val="bottom"/>
            <w:hideMark/>
          </w:tcPr>
          <w:p w14:paraId="1E32309F" w14:textId="77777777" w:rsidR="00000000" w:rsidRDefault="009B6C69">
            <w:pPr>
              <w:spacing w:after="100"/>
              <w:jc w:val="right"/>
              <w:rPr>
                <w:rFonts w:eastAsia="Times New Roman"/>
              </w:rPr>
            </w:pPr>
          </w:p>
        </w:tc>
      </w:tr>
      <w:tr w:rsidR="00000000" w14:paraId="44F8B82C" w14:textId="77777777">
        <w:trPr>
          <w:jc w:val="center"/>
        </w:trPr>
        <w:tc>
          <w:tcPr>
            <w:tcW w:w="0" w:type="auto"/>
            <w:gridSpan w:val="3"/>
            <w:shd w:val="clear" w:color="auto" w:fill="FFFFFF"/>
            <w:tcMar>
              <w:top w:w="30" w:type="dxa"/>
              <w:left w:w="20" w:type="dxa"/>
              <w:bottom w:w="30" w:type="dxa"/>
              <w:right w:w="20" w:type="dxa"/>
            </w:tcMar>
            <w:vAlign w:val="bottom"/>
            <w:hideMark/>
          </w:tcPr>
          <w:p w14:paraId="791F6F98" w14:textId="77777777" w:rsidR="00000000" w:rsidRDefault="009B6C69">
            <w:pPr>
              <w:spacing w:after="100"/>
              <w:divId w:val="945694879"/>
              <w:rPr>
                <w:rFonts w:eastAsia="Times New Roman"/>
              </w:rPr>
            </w:pPr>
            <w:r>
              <w:rPr>
                <w:rFonts w:eastAsia="Times New Roman"/>
                <w:color w:val="000000"/>
                <w:sz w:val="18"/>
                <w:szCs w:val="18"/>
              </w:rPr>
              <w:t>Repurchases and retirements of common stock</w:t>
            </w:r>
          </w:p>
        </w:tc>
        <w:tc>
          <w:tcPr>
            <w:tcW w:w="0" w:type="auto"/>
            <w:gridSpan w:val="2"/>
            <w:shd w:val="clear" w:color="auto" w:fill="FFFFFF"/>
            <w:tcMar>
              <w:top w:w="30" w:type="dxa"/>
              <w:left w:w="20" w:type="dxa"/>
              <w:bottom w:w="30" w:type="dxa"/>
              <w:right w:w="0" w:type="dxa"/>
            </w:tcMar>
            <w:vAlign w:val="bottom"/>
            <w:hideMark/>
          </w:tcPr>
          <w:p w14:paraId="460902AB" w14:textId="77777777" w:rsidR="00000000" w:rsidRDefault="009B6C69">
            <w:pPr>
              <w:spacing w:after="100"/>
              <w:jc w:val="right"/>
              <w:rPr>
                <w:rFonts w:eastAsia="Times New Roman"/>
              </w:rPr>
            </w:pPr>
            <w:r>
              <w:rPr>
                <w:rFonts w:eastAsia="Times New Roman"/>
                <w:color w:val="000000"/>
                <w:sz w:val="18"/>
                <w:szCs w:val="18"/>
              </w:rPr>
              <w:t>(1,514)</w:t>
            </w:r>
          </w:p>
        </w:tc>
        <w:tc>
          <w:tcPr>
            <w:tcW w:w="0" w:type="auto"/>
            <w:shd w:val="clear" w:color="auto" w:fill="FFFFFF"/>
            <w:tcMar>
              <w:top w:w="30" w:type="dxa"/>
              <w:left w:w="0" w:type="dxa"/>
              <w:bottom w:w="30" w:type="dxa"/>
              <w:right w:w="20" w:type="dxa"/>
            </w:tcMar>
            <w:vAlign w:val="bottom"/>
            <w:hideMark/>
          </w:tcPr>
          <w:p w14:paraId="62B83C0D"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E4A812"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10A336" w14:textId="77777777" w:rsidR="00000000" w:rsidRDefault="009B6C69">
            <w:pPr>
              <w:spacing w:after="100"/>
              <w:jc w:val="right"/>
              <w:rPr>
                <w:rFonts w:eastAsia="Times New Roman"/>
              </w:rPr>
            </w:pPr>
            <w:r>
              <w:rPr>
                <w:rFonts w:eastAsia="Times New Roman"/>
                <w:color w:val="000000"/>
                <w:sz w:val="18"/>
                <w:szCs w:val="18"/>
              </w:rPr>
              <w:t>(1,958)</w:t>
            </w:r>
          </w:p>
        </w:tc>
        <w:tc>
          <w:tcPr>
            <w:tcW w:w="0" w:type="auto"/>
            <w:shd w:val="clear" w:color="auto" w:fill="FFFFFF"/>
            <w:tcMar>
              <w:top w:w="30" w:type="dxa"/>
              <w:left w:w="0" w:type="dxa"/>
              <w:bottom w:w="30" w:type="dxa"/>
              <w:right w:w="20" w:type="dxa"/>
            </w:tcMar>
            <w:vAlign w:val="bottom"/>
            <w:hideMark/>
          </w:tcPr>
          <w:p w14:paraId="6C52454D"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399063"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64F1B7" w14:textId="77777777" w:rsidR="00000000" w:rsidRDefault="009B6C69">
            <w:pPr>
              <w:spacing w:after="100"/>
              <w:jc w:val="right"/>
              <w:rPr>
                <w:rFonts w:eastAsia="Times New Roman"/>
              </w:rPr>
            </w:pPr>
            <w:r>
              <w:rPr>
                <w:rFonts w:eastAsia="Times New Roman"/>
                <w:color w:val="000000"/>
                <w:sz w:val="18"/>
                <w:szCs w:val="18"/>
              </w:rPr>
              <w:t>(1,042)</w:t>
            </w:r>
          </w:p>
        </w:tc>
        <w:tc>
          <w:tcPr>
            <w:tcW w:w="0" w:type="auto"/>
            <w:shd w:val="clear" w:color="auto" w:fill="FFFFFF"/>
            <w:tcMar>
              <w:top w:w="30" w:type="dxa"/>
              <w:left w:w="0" w:type="dxa"/>
              <w:bottom w:w="30" w:type="dxa"/>
              <w:right w:w="20" w:type="dxa"/>
            </w:tcMar>
            <w:vAlign w:val="bottom"/>
            <w:hideMark/>
          </w:tcPr>
          <w:p w14:paraId="6D99EBD2" w14:textId="77777777" w:rsidR="00000000" w:rsidRDefault="009B6C69">
            <w:pPr>
              <w:spacing w:after="100"/>
              <w:jc w:val="right"/>
              <w:rPr>
                <w:rFonts w:eastAsia="Times New Roman"/>
              </w:rPr>
            </w:pPr>
          </w:p>
        </w:tc>
      </w:tr>
      <w:tr w:rsidR="00000000" w14:paraId="0214BF81" w14:textId="77777777">
        <w:trPr>
          <w:jc w:val="center"/>
        </w:trPr>
        <w:tc>
          <w:tcPr>
            <w:tcW w:w="0" w:type="auto"/>
            <w:gridSpan w:val="3"/>
            <w:shd w:val="clear" w:color="auto" w:fill="CCEEFF"/>
            <w:tcMar>
              <w:top w:w="30" w:type="dxa"/>
              <w:left w:w="20" w:type="dxa"/>
              <w:bottom w:w="30" w:type="dxa"/>
              <w:right w:w="20" w:type="dxa"/>
            </w:tcMar>
            <w:vAlign w:val="bottom"/>
            <w:hideMark/>
          </w:tcPr>
          <w:p w14:paraId="14BE4495" w14:textId="77777777" w:rsidR="00000000" w:rsidRDefault="009B6C69">
            <w:pPr>
              <w:spacing w:after="100"/>
              <w:divId w:val="4140732"/>
              <w:rPr>
                <w:rFonts w:eastAsia="Times New Roman"/>
              </w:rPr>
            </w:pPr>
            <w:r>
              <w:rPr>
                <w:rFonts w:eastAsia="Times New Roman"/>
                <w:color w:val="000000"/>
                <w:sz w:val="18"/>
                <w:szCs w:val="18"/>
              </w:rPr>
              <w:t>Share-based compensation</w:t>
            </w:r>
          </w:p>
        </w:tc>
        <w:tc>
          <w:tcPr>
            <w:tcW w:w="0" w:type="auto"/>
            <w:gridSpan w:val="2"/>
            <w:shd w:val="clear" w:color="auto" w:fill="CCEEFF"/>
            <w:tcMar>
              <w:top w:w="30" w:type="dxa"/>
              <w:left w:w="20" w:type="dxa"/>
              <w:bottom w:w="30" w:type="dxa"/>
              <w:right w:w="0" w:type="dxa"/>
            </w:tcMar>
            <w:vAlign w:val="bottom"/>
            <w:hideMark/>
          </w:tcPr>
          <w:p w14:paraId="6259BE60" w14:textId="77777777" w:rsidR="00000000" w:rsidRDefault="009B6C69">
            <w:pPr>
              <w:spacing w:after="100"/>
              <w:jc w:val="right"/>
              <w:rPr>
                <w:rFonts w:eastAsia="Times New Roman"/>
              </w:rPr>
            </w:pPr>
            <w:r>
              <w:rPr>
                <w:rFonts w:eastAsia="Times New Roman"/>
                <w:color w:val="000000"/>
                <w:sz w:val="18"/>
                <w:szCs w:val="18"/>
              </w:rPr>
              <w:t>2,119 </w:t>
            </w:r>
          </w:p>
        </w:tc>
        <w:tc>
          <w:tcPr>
            <w:tcW w:w="0" w:type="auto"/>
            <w:shd w:val="clear" w:color="auto" w:fill="CCEEFF"/>
            <w:tcMar>
              <w:top w:w="30" w:type="dxa"/>
              <w:left w:w="0" w:type="dxa"/>
              <w:bottom w:w="30" w:type="dxa"/>
              <w:right w:w="20" w:type="dxa"/>
            </w:tcMar>
            <w:vAlign w:val="bottom"/>
            <w:hideMark/>
          </w:tcPr>
          <w:p w14:paraId="27E95632"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9C9687"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479521" w14:textId="77777777" w:rsidR="00000000" w:rsidRDefault="009B6C69">
            <w:pPr>
              <w:spacing w:after="100"/>
              <w:jc w:val="right"/>
              <w:rPr>
                <w:rFonts w:eastAsia="Times New Roman"/>
              </w:rPr>
            </w:pPr>
            <w:r>
              <w:rPr>
                <w:rFonts w:eastAsia="Times New Roman"/>
                <w:color w:val="000000"/>
                <w:sz w:val="18"/>
                <w:szCs w:val="18"/>
              </w:rPr>
              <w:t>1,754 </w:t>
            </w:r>
          </w:p>
        </w:tc>
        <w:tc>
          <w:tcPr>
            <w:tcW w:w="0" w:type="auto"/>
            <w:shd w:val="clear" w:color="auto" w:fill="CCEEFF"/>
            <w:tcMar>
              <w:top w:w="30" w:type="dxa"/>
              <w:left w:w="0" w:type="dxa"/>
              <w:bottom w:w="30" w:type="dxa"/>
              <w:right w:w="20" w:type="dxa"/>
            </w:tcMar>
            <w:vAlign w:val="bottom"/>
            <w:hideMark/>
          </w:tcPr>
          <w:p w14:paraId="4430F5E5"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56230A"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8B1018" w14:textId="77777777" w:rsidR="00000000" w:rsidRDefault="009B6C69">
            <w:pPr>
              <w:spacing w:after="100"/>
              <w:jc w:val="right"/>
              <w:rPr>
                <w:rFonts w:eastAsia="Times New Roman"/>
              </w:rPr>
            </w:pPr>
            <w:r>
              <w:rPr>
                <w:rFonts w:eastAsia="Times New Roman"/>
                <w:color w:val="000000"/>
                <w:sz w:val="18"/>
                <w:szCs w:val="18"/>
              </w:rPr>
              <w:t>1,301 </w:t>
            </w:r>
          </w:p>
        </w:tc>
        <w:tc>
          <w:tcPr>
            <w:tcW w:w="0" w:type="auto"/>
            <w:shd w:val="clear" w:color="auto" w:fill="CCEEFF"/>
            <w:tcMar>
              <w:top w:w="30" w:type="dxa"/>
              <w:left w:w="0" w:type="dxa"/>
              <w:bottom w:w="30" w:type="dxa"/>
              <w:right w:w="20" w:type="dxa"/>
            </w:tcMar>
            <w:vAlign w:val="bottom"/>
            <w:hideMark/>
          </w:tcPr>
          <w:p w14:paraId="15F56447" w14:textId="77777777" w:rsidR="00000000" w:rsidRDefault="009B6C69">
            <w:pPr>
              <w:spacing w:after="100"/>
              <w:jc w:val="right"/>
              <w:rPr>
                <w:rFonts w:eastAsia="Times New Roman"/>
              </w:rPr>
            </w:pPr>
          </w:p>
        </w:tc>
      </w:tr>
      <w:tr w:rsidR="00000000" w14:paraId="1DB19176" w14:textId="77777777">
        <w:trPr>
          <w:jc w:val="center"/>
        </w:trPr>
        <w:tc>
          <w:tcPr>
            <w:tcW w:w="0" w:type="auto"/>
            <w:gridSpan w:val="3"/>
            <w:shd w:val="clear" w:color="auto" w:fill="FFFFFF"/>
            <w:tcMar>
              <w:top w:w="30" w:type="dxa"/>
              <w:left w:w="20" w:type="dxa"/>
              <w:bottom w:w="30" w:type="dxa"/>
              <w:right w:w="20" w:type="dxa"/>
            </w:tcMar>
            <w:vAlign w:val="bottom"/>
            <w:hideMark/>
          </w:tcPr>
          <w:p w14:paraId="710364D1" w14:textId="77777777" w:rsidR="00000000" w:rsidRDefault="009B6C69">
            <w:pPr>
              <w:spacing w:after="100"/>
              <w:divId w:val="1793135661"/>
              <w:rPr>
                <w:rFonts w:eastAsia="Times New Roman"/>
              </w:rPr>
            </w:pPr>
            <w:r>
              <w:rPr>
                <w:rFonts w:eastAsia="Times New Roman"/>
                <w:color w:val="000000"/>
                <w:sz w:val="18"/>
                <w:szCs w:val="18"/>
              </w:rPr>
              <w:t>Tax withholdings related to vesting of share-based payments</w:t>
            </w:r>
          </w:p>
        </w:tc>
        <w:tc>
          <w:tcPr>
            <w:tcW w:w="0" w:type="auto"/>
            <w:gridSpan w:val="2"/>
            <w:shd w:val="clear" w:color="auto" w:fill="FFFFFF"/>
            <w:tcMar>
              <w:top w:w="30" w:type="dxa"/>
              <w:left w:w="20" w:type="dxa"/>
              <w:bottom w:w="30" w:type="dxa"/>
              <w:right w:w="0" w:type="dxa"/>
            </w:tcMar>
            <w:vAlign w:val="bottom"/>
            <w:hideMark/>
          </w:tcPr>
          <w:p w14:paraId="2A3FA588" w14:textId="77777777" w:rsidR="00000000" w:rsidRDefault="009B6C69">
            <w:pPr>
              <w:spacing w:after="100"/>
              <w:jc w:val="right"/>
              <w:rPr>
                <w:rFonts w:eastAsia="Times New Roman"/>
              </w:rPr>
            </w:pPr>
            <w:r>
              <w:rPr>
                <w:rFonts w:eastAsia="Times New Roman"/>
                <w:color w:val="000000"/>
                <w:sz w:val="18"/>
                <w:szCs w:val="18"/>
              </w:rPr>
              <w:t>(766)</w:t>
            </w:r>
          </w:p>
        </w:tc>
        <w:tc>
          <w:tcPr>
            <w:tcW w:w="0" w:type="auto"/>
            <w:shd w:val="clear" w:color="auto" w:fill="FFFFFF"/>
            <w:tcMar>
              <w:top w:w="30" w:type="dxa"/>
              <w:left w:w="0" w:type="dxa"/>
              <w:bottom w:w="30" w:type="dxa"/>
              <w:right w:w="20" w:type="dxa"/>
            </w:tcMar>
            <w:vAlign w:val="bottom"/>
            <w:hideMark/>
          </w:tcPr>
          <w:p w14:paraId="66BE29B2"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5282F5"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76BD0F" w14:textId="77777777" w:rsidR="00000000" w:rsidRDefault="009B6C69">
            <w:pPr>
              <w:spacing w:after="100"/>
              <w:jc w:val="right"/>
              <w:rPr>
                <w:rFonts w:eastAsia="Times New Roman"/>
              </w:rPr>
            </w:pPr>
            <w:r>
              <w:rPr>
                <w:rFonts w:eastAsia="Times New Roman"/>
                <w:color w:val="000000"/>
                <w:sz w:val="18"/>
                <w:szCs w:val="18"/>
              </w:rPr>
              <w:t>(737)</w:t>
            </w:r>
          </w:p>
        </w:tc>
        <w:tc>
          <w:tcPr>
            <w:tcW w:w="0" w:type="auto"/>
            <w:shd w:val="clear" w:color="auto" w:fill="FFFFFF"/>
            <w:tcMar>
              <w:top w:w="30" w:type="dxa"/>
              <w:left w:w="0" w:type="dxa"/>
              <w:bottom w:w="30" w:type="dxa"/>
              <w:right w:w="20" w:type="dxa"/>
            </w:tcMar>
            <w:vAlign w:val="bottom"/>
            <w:hideMark/>
          </w:tcPr>
          <w:p w14:paraId="663FA9EF"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672C96"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2657FA" w14:textId="77777777" w:rsidR="00000000" w:rsidRDefault="009B6C69">
            <w:pPr>
              <w:spacing w:after="100"/>
              <w:jc w:val="right"/>
              <w:rPr>
                <w:rFonts w:eastAsia="Times New Roman"/>
              </w:rPr>
            </w:pPr>
            <w:r>
              <w:rPr>
                <w:rFonts w:eastAsia="Times New Roman"/>
                <w:color w:val="000000"/>
                <w:sz w:val="18"/>
                <w:szCs w:val="18"/>
              </w:rPr>
              <w:t>(347)</w:t>
            </w:r>
          </w:p>
        </w:tc>
        <w:tc>
          <w:tcPr>
            <w:tcW w:w="0" w:type="auto"/>
            <w:shd w:val="clear" w:color="auto" w:fill="FFFFFF"/>
            <w:tcMar>
              <w:top w:w="30" w:type="dxa"/>
              <w:left w:w="0" w:type="dxa"/>
              <w:bottom w:w="30" w:type="dxa"/>
              <w:right w:w="20" w:type="dxa"/>
            </w:tcMar>
            <w:vAlign w:val="bottom"/>
            <w:hideMark/>
          </w:tcPr>
          <w:p w14:paraId="1209D15D" w14:textId="77777777" w:rsidR="00000000" w:rsidRDefault="009B6C69">
            <w:pPr>
              <w:spacing w:after="100"/>
              <w:jc w:val="right"/>
              <w:rPr>
                <w:rFonts w:eastAsia="Times New Roman"/>
              </w:rPr>
            </w:pPr>
          </w:p>
        </w:tc>
      </w:tr>
      <w:tr w:rsidR="00000000" w14:paraId="16649F6B" w14:textId="77777777">
        <w:trPr>
          <w:jc w:val="center"/>
        </w:trPr>
        <w:tc>
          <w:tcPr>
            <w:tcW w:w="0" w:type="auto"/>
            <w:gridSpan w:val="3"/>
            <w:shd w:val="clear" w:color="auto" w:fill="CCEEFF"/>
            <w:tcMar>
              <w:top w:w="30" w:type="dxa"/>
              <w:left w:w="245" w:type="dxa"/>
              <w:bottom w:w="30" w:type="dxa"/>
              <w:right w:w="20" w:type="dxa"/>
            </w:tcMar>
            <w:vAlign w:val="bottom"/>
            <w:hideMark/>
          </w:tcPr>
          <w:p w14:paraId="402629F1" w14:textId="77777777" w:rsidR="00000000" w:rsidRDefault="009B6C69">
            <w:pPr>
              <w:spacing w:after="100"/>
              <w:rPr>
                <w:rFonts w:eastAsia="Times New Roman"/>
              </w:rPr>
            </w:pPr>
            <w:r>
              <w:rPr>
                <w:rFonts w:eastAsia="Times New Roman"/>
                <w:color w:val="000000"/>
                <w:sz w:val="18"/>
                <w:szCs w:val="18"/>
              </w:rPr>
              <w:t>Stock awards assumed in acquisition</w:t>
            </w:r>
          </w:p>
        </w:tc>
        <w:tc>
          <w:tcPr>
            <w:tcW w:w="0" w:type="auto"/>
            <w:gridSpan w:val="2"/>
            <w:shd w:val="clear" w:color="auto" w:fill="CCEEFF"/>
            <w:tcMar>
              <w:top w:w="30" w:type="dxa"/>
              <w:left w:w="20" w:type="dxa"/>
              <w:bottom w:w="30" w:type="dxa"/>
              <w:right w:w="0" w:type="dxa"/>
            </w:tcMar>
            <w:vAlign w:val="bottom"/>
            <w:hideMark/>
          </w:tcPr>
          <w:p w14:paraId="1323E6BC"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357682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43804D"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9DE589" w14:textId="77777777" w:rsidR="00000000" w:rsidRDefault="009B6C69">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5F7B9142"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807EAC"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886354"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9575500" w14:textId="77777777" w:rsidR="00000000" w:rsidRDefault="009B6C69">
            <w:pPr>
              <w:spacing w:after="100"/>
              <w:jc w:val="right"/>
              <w:rPr>
                <w:rFonts w:eastAsia="Times New Roman"/>
              </w:rPr>
            </w:pPr>
          </w:p>
        </w:tc>
      </w:tr>
      <w:tr w:rsidR="00000000" w14:paraId="3E8CC1C6" w14:textId="77777777">
        <w:trPr>
          <w:jc w:val="center"/>
        </w:trPr>
        <w:tc>
          <w:tcPr>
            <w:tcW w:w="0" w:type="auto"/>
            <w:gridSpan w:val="3"/>
            <w:shd w:val="clear" w:color="auto" w:fill="FFFFFF"/>
            <w:tcMar>
              <w:top w:w="30" w:type="dxa"/>
              <w:left w:w="20" w:type="dxa"/>
              <w:bottom w:w="30" w:type="dxa"/>
              <w:right w:w="20" w:type="dxa"/>
            </w:tcMar>
            <w:vAlign w:val="bottom"/>
            <w:hideMark/>
          </w:tcPr>
          <w:p w14:paraId="2D448B1D" w14:textId="77777777" w:rsidR="00000000" w:rsidRDefault="009B6C69">
            <w:pPr>
              <w:spacing w:after="100"/>
              <w:divId w:val="379399238"/>
              <w:rPr>
                <w:rFonts w:eastAsia="Times New Roman"/>
              </w:rPr>
            </w:pPr>
            <w:r>
              <w:rPr>
                <w:rFonts w:eastAsia="Times New Roman"/>
                <w:color w:val="000000"/>
                <w:sz w:val="18"/>
                <w:szCs w:val="18"/>
              </w:rPr>
              <w:t>Balance at 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99996B3" w14:textId="77777777" w:rsidR="00000000" w:rsidRDefault="009B6C69">
            <w:pPr>
              <w:spacing w:after="100"/>
              <w:jc w:val="right"/>
              <w:rPr>
                <w:rFonts w:eastAsia="Times New Roman"/>
              </w:rPr>
            </w:pPr>
            <w:r>
              <w:rPr>
                <w:rFonts w:eastAsia="Times New Roman"/>
                <w:color w:val="000000"/>
                <w:sz w:val="18"/>
                <w:szCs w:val="18"/>
              </w:rPr>
              <w:t>195 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372F9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29702C"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C12A4B" w14:textId="77777777" w:rsidR="00000000" w:rsidRDefault="009B6C6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803EB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F2A030"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F823A3" w14:textId="77777777" w:rsidR="00000000" w:rsidRDefault="009B6C69">
            <w:pPr>
              <w:spacing w:after="100"/>
              <w:jc w:val="right"/>
              <w:rPr>
                <w:rFonts w:eastAsia="Times New Roman"/>
              </w:rPr>
            </w:pPr>
            <w:r>
              <w:rPr>
                <w:rFonts w:eastAsia="Times New Roman"/>
                <w:color w:val="000000"/>
                <w:sz w:val="18"/>
                <w:szCs w:val="18"/>
              </w:rPr>
              <w:t>586 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7BE1A8" w14:textId="77777777" w:rsidR="00000000" w:rsidRDefault="009B6C69">
            <w:pPr>
              <w:spacing w:after="100"/>
              <w:jc w:val="right"/>
              <w:rPr>
                <w:rFonts w:eastAsia="Times New Roman"/>
              </w:rPr>
            </w:pPr>
          </w:p>
        </w:tc>
      </w:tr>
      <w:tr w:rsidR="00000000" w14:paraId="5CBCE5AB" w14:textId="77777777">
        <w:trPr>
          <w:trHeight w:val="280"/>
          <w:jc w:val="center"/>
        </w:trPr>
        <w:tc>
          <w:tcPr>
            <w:tcW w:w="0" w:type="auto"/>
            <w:gridSpan w:val="3"/>
            <w:shd w:val="clear" w:color="auto" w:fill="CCEEFF"/>
            <w:tcMar>
              <w:top w:w="0" w:type="dxa"/>
              <w:left w:w="20" w:type="dxa"/>
              <w:bottom w:w="0" w:type="dxa"/>
              <w:right w:w="20" w:type="dxa"/>
            </w:tcMar>
            <w:vAlign w:val="center"/>
            <w:hideMark/>
          </w:tcPr>
          <w:p w14:paraId="38F2974E" w14:textId="77777777" w:rsidR="00000000" w:rsidRDefault="009B6C69">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A36506"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678148" w14:textId="77777777" w:rsidR="00000000" w:rsidRDefault="009B6C6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D7626C"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E7BD12" w14:textId="77777777" w:rsidR="00000000" w:rsidRDefault="009B6C6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4D54DA" w14:textId="77777777" w:rsidR="00000000" w:rsidRDefault="009B6C69">
            <w:pPr>
              <w:spacing w:after="100"/>
              <w:rPr>
                <w:rFonts w:eastAsia="Times New Roman"/>
                <w:sz w:val="20"/>
                <w:szCs w:val="20"/>
              </w:rPr>
            </w:pPr>
          </w:p>
        </w:tc>
      </w:tr>
      <w:tr w:rsidR="00000000" w14:paraId="5BD4DE83" w14:textId="77777777">
        <w:trPr>
          <w:jc w:val="center"/>
        </w:trPr>
        <w:tc>
          <w:tcPr>
            <w:tcW w:w="0" w:type="auto"/>
            <w:gridSpan w:val="3"/>
            <w:shd w:val="clear" w:color="auto" w:fill="FFFFFF"/>
            <w:tcMar>
              <w:top w:w="30" w:type="dxa"/>
              <w:left w:w="20" w:type="dxa"/>
              <w:bottom w:w="30" w:type="dxa"/>
              <w:right w:w="20" w:type="dxa"/>
            </w:tcMar>
            <w:vAlign w:val="bottom"/>
            <w:hideMark/>
          </w:tcPr>
          <w:p w14:paraId="55C3ACFB" w14:textId="77777777" w:rsidR="00000000" w:rsidRDefault="009B6C69">
            <w:pPr>
              <w:spacing w:after="100"/>
              <w:divId w:val="419763066"/>
              <w:rPr>
                <w:rFonts w:eastAsia="Times New Roman"/>
              </w:rPr>
            </w:pPr>
            <w:r>
              <w:rPr>
                <w:rFonts w:eastAsia="Times New Roman"/>
                <w:b/>
                <w:bCs/>
                <w:color w:val="000000"/>
                <w:sz w:val="18"/>
                <w:szCs w:val="18"/>
              </w:rPr>
              <w:t>Retained earnings:</w:t>
            </w:r>
          </w:p>
        </w:tc>
        <w:tc>
          <w:tcPr>
            <w:tcW w:w="0" w:type="auto"/>
            <w:gridSpan w:val="3"/>
            <w:shd w:val="clear" w:color="auto" w:fill="FFFFFF"/>
            <w:tcMar>
              <w:top w:w="0" w:type="dxa"/>
              <w:left w:w="20" w:type="dxa"/>
              <w:bottom w:w="0" w:type="dxa"/>
              <w:right w:w="20" w:type="dxa"/>
            </w:tcMar>
            <w:vAlign w:val="center"/>
            <w:hideMark/>
          </w:tcPr>
          <w:p w14:paraId="4ED00D8C" w14:textId="77777777" w:rsidR="00000000" w:rsidRDefault="009B6C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A49113"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5E37E2"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92927E"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0AF139" w14:textId="77777777" w:rsidR="00000000" w:rsidRDefault="009B6C69">
            <w:pPr>
              <w:spacing w:after="100"/>
              <w:rPr>
                <w:rFonts w:eastAsia="Times New Roman"/>
                <w:sz w:val="20"/>
                <w:szCs w:val="20"/>
              </w:rPr>
            </w:pPr>
          </w:p>
        </w:tc>
      </w:tr>
      <w:tr w:rsidR="00000000" w14:paraId="426FF1B3" w14:textId="77777777">
        <w:trPr>
          <w:jc w:val="center"/>
        </w:trPr>
        <w:tc>
          <w:tcPr>
            <w:tcW w:w="0" w:type="auto"/>
            <w:gridSpan w:val="3"/>
            <w:shd w:val="clear" w:color="auto" w:fill="CCEEFF"/>
            <w:tcMar>
              <w:top w:w="30" w:type="dxa"/>
              <w:left w:w="20" w:type="dxa"/>
              <w:bottom w:w="30" w:type="dxa"/>
              <w:right w:w="20" w:type="dxa"/>
            </w:tcMar>
            <w:vAlign w:val="bottom"/>
            <w:hideMark/>
          </w:tcPr>
          <w:p w14:paraId="10693A62" w14:textId="77777777" w:rsidR="00000000" w:rsidRDefault="009B6C69">
            <w:pPr>
              <w:spacing w:after="100"/>
              <w:divId w:val="703411463"/>
              <w:rPr>
                <w:rFonts w:eastAsia="Times New Roman"/>
              </w:rPr>
            </w:pPr>
            <w:r>
              <w:rPr>
                <w:rFonts w:eastAsia="Times New Roman"/>
                <w:color w:val="000000"/>
                <w:sz w:val="18"/>
                <w:szCs w:val="18"/>
              </w:rPr>
              <w:t>Balance at beginning of period</w:t>
            </w:r>
          </w:p>
        </w:tc>
        <w:tc>
          <w:tcPr>
            <w:tcW w:w="0" w:type="auto"/>
            <w:gridSpan w:val="2"/>
            <w:shd w:val="clear" w:color="auto" w:fill="CCEEFF"/>
            <w:tcMar>
              <w:top w:w="30" w:type="dxa"/>
              <w:left w:w="20" w:type="dxa"/>
              <w:bottom w:w="30" w:type="dxa"/>
              <w:right w:w="0" w:type="dxa"/>
            </w:tcMar>
            <w:vAlign w:val="bottom"/>
            <w:hideMark/>
          </w:tcPr>
          <w:p w14:paraId="2FF17F92" w14:textId="77777777" w:rsidR="00000000" w:rsidRDefault="009B6C69">
            <w:pPr>
              <w:spacing w:after="100"/>
              <w:jc w:val="right"/>
              <w:rPr>
                <w:rFonts w:eastAsia="Times New Roman"/>
              </w:rPr>
            </w:pPr>
            <w:r>
              <w:rPr>
                <w:rFonts w:eastAsia="Times New Roman"/>
                <w:color w:val="000000"/>
                <w:sz w:val="18"/>
                <w:szCs w:val="18"/>
              </w:rPr>
              <w:t>9,822 </w:t>
            </w:r>
          </w:p>
        </w:tc>
        <w:tc>
          <w:tcPr>
            <w:tcW w:w="0" w:type="auto"/>
            <w:shd w:val="clear" w:color="auto" w:fill="CCEEFF"/>
            <w:tcMar>
              <w:top w:w="30" w:type="dxa"/>
              <w:left w:w="0" w:type="dxa"/>
              <w:bottom w:w="30" w:type="dxa"/>
              <w:right w:w="20" w:type="dxa"/>
            </w:tcMar>
            <w:vAlign w:val="bottom"/>
            <w:hideMark/>
          </w:tcPr>
          <w:p w14:paraId="5EB7BFD5"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472645"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940161" w14:textId="77777777" w:rsidR="00000000" w:rsidRDefault="009B6C69">
            <w:pPr>
              <w:spacing w:after="100"/>
              <w:jc w:val="right"/>
              <w:rPr>
                <w:rFonts w:eastAsia="Times New Roman"/>
              </w:rPr>
            </w:pPr>
            <w:r>
              <w:rPr>
                <w:rFonts w:eastAsia="Times New Roman"/>
                <w:color w:val="000000"/>
                <w:sz w:val="18"/>
                <w:szCs w:val="18"/>
              </w:rPr>
              <w:t>5,284 </w:t>
            </w:r>
          </w:p>
        </w:tc>
        <w:tc>
          <w:tcPr>
            <w:tcW w:w="0" w:type="auto"/>
            <w:shd w:val="clear" w:color="auto" w:fill="CCEEFF"/>
            <w:tcMar>
              <w:top w:w="30" w:type="dxa"/>
              <w:left w:w="0" w:type="dxa"/>
              <w:bottom w:w="30" w:type="dxa"/>
              <w:right w:w="20" w:type="dxa"/>
            </w:tcMar>
            <w:vAlign w:val="bottom"/>
            <w:hideMark/>
          </w:tcPr>
          <w:p w14:paraId="1705B7B0"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649F6C"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44CCD3" w14:textId="77777777" w:rsidR="00000000" w:rsidRDefault="009B6C69">
            <w:pPr>
              <w:spacing w:after="100"/>
              <w:jc w:val="right"/>
              <w:rPr>
                <w:rFonts w:eastAsia="Times New Roman"/>
              </w:rPr>
            </w:pPr>
            <w:r>
              <w:rPr>
                <w:rFonts w:eastAsia="Times New Roman"/>
                <w:color w:val="000000"/>
                <w:sz w:val="18"/>
                <w:szCs w:val="18"/>
              </w:rPr>
              <w:t>4,466 </w:t>
            </w:r>
          </w:p>
        </w:tc>
        <w:tc>
          <w:tcPr>
            <w:tcW w:w="0" w:type="auto"/>
            <w:shd w:val="clear" w:color="auto" w:fill="CCEEFF"/>
            <w:tcMar>
              <w:top w:w="30" w:type="dxa"/>
              <w:left w:w="0" w:type="dxa"/>
              <w:bottom w:w="30" w:type="dxa"/>
              <w:right w:w="20" w:type="dxa"/>
            </w:tcMar>
            <w:vAlign w:val="bottom"/>
            <w:hideMark/>
          </w:tcPr>
          <w:p w14:paraId="16728549" w14:textId="77777777" w:rsidR="00000000" w:rsidRDefault="009B6C69">
            <w:pPr>
              <w:spacing w:after="100"/>
              <w:jc w:val="right"/>
              <w:rPr>
                <w:rFonts w:eastAsia="Times New Roman"/>
              </w:rPr>
            </w:pPr>
          </w:p>
        </w:tc>
      </w:tr>
      <w:tr w:rsidR="00000000" w14:paraId="37CEA899" w14:textId="77777777">
        <w:trPr>
          <w:jc w:val="center"/>
        </w:trPr>
        <w:tc>
          <w:tcPr>
            <w:tcW w:w="0" w:type="auto"/>
            <w:gridSpan w:val="3"/>
            <w:vAlign w:val="center"/>
            <w:hideMark/>
          </w:tcPr>
          <w:p w14:paraId="5B9831FF" w14:textId="77777777" w:rsidR="00000000" w:rsidRDefault="009B6C69">
            <w:pPr>
              <w:spacing w:after="100"/>
              <w:jc w:val="right"/>
              <w:rPr>
                <w:rFonts w:eastAsia="Times New Roman"/>
                <w:sz w:val="20"/>
                <w:szCs w:val="20"/>
              </w:rPr>
            </w:pPr>
          </w:p>
        </w:tc>
        <w:tc>
          <w:tcPr>
            <w:tcW w:w="0" w:type="auto"/>
            <w:gridSpan w:val="3"/>
            <w:vAlign w:val="center"/>
            <w:hideMark/>
          </w:tcPr>
          <w:p w14:paraId="78C2F8E5" w14:textId="77777777" w:rsidR="00000000" w:rsidRDefault="009B6C69">
            <w:pPr>
              <w:spacing w:after="100"/>
              <w:rPr>
                <w:rFonts w:eastAsia="Times New Roman"/>
                <w:sz w:val="20"/>
                <w:szCs w:val="20"/>
              </w:rPr>
            </w:pPr>
          </w:p>
        </w:tc>
        <w:tc>
          <w:tcPr>
            <w:tcW w:w="0" w:type="auto"/>
            <w:gridSpan w:val="3"/>
            <w:vAlign w:val="center"/>
            <w:hideMark/>
          </w:tcPr>
          <w:p w14:paraId="6AD373A8" w14:textId="77777777" w:rsidR="00000000" w:rsidRDefault="009B6C69">
            <w:pPr>
              <w:spacing w:after="100"/>
              <w:rPr>
                <w:rFonts w:eastAsia="Times New Roman"/>
                <w:sz w:val="20"/>
                <w:szCs w:val="20"/>
              </w:rPr>
            </w:pPr>
          </w:p>
        </w:tc>
        <w:tc>
          <w:tcPr>
            <w:tcW w:w="0" w:type="auto"/>
            <w:gridSpan w:val="3"/>
            <w:vAlign w:val="center"/>
            <w:hideMark/>
          </w:tcPr>
          <w:p w14:paraId="4D08E7A5" w14:textId="77777777" w:rsidR="00000000" w:rsidRDefault="009B6C69">
            <w:pPr>
              <w:spacing w:after="100"/>
              <w:rPr>
                <w:rFonts w:eastAsia="Times New Roman"/>
                <w:sz w:val="20"/>
                <w:szCs w:val="20"/>
              </w:rPr>
            </w:pPr>
          </w:p>
        </w:tc>
        <w:tc>
          <w:tcPr>
            <w:tcW w:w="0" w:type="auto"/>
            <w:gridSpan w:val="3"/>
            <w:vAlign w:val="center"/>
            <w:hideMark/>
          </w:tcPr>
          <w:p w14:paraId="69AB8945" w14:textId="77777777" w:rsidR="00000000" w:rsidRDefault="009B6C69">
            <w:pPr>
              <w:spacing w:after="100"/>
              <w:rPr>
                <w:rFonts w:eastAsia="Times New Roman"/>
                <w:sz w:val="20"/>
                <w:szCs w:val="20"/>
              </w:rPr>
            </w:pPr>
          </w:p>
        </w:tc>
        <w:tc>
          <w:tcPr>
            <w:tcW w:w="0" w:type="auto"/>
            <w:gridSpan w:val="3"/>
            <w:vAlign w:val="center"/>
            <w:hideMark/>
          </w:tcPr>
          <w:p w14:paraId="74BDFE38" w14:textId="77777777" w:rsidR="00000000" w:rsidRDefault="009B6C69">
            <w:pPr>
              <w:spacing w:after="100"/>
              <w:rPr>
                <w:rFonts w:eastAsia="Times New Roman"/>
                <w:sz w:val="20"/>
                <w:szCs w:val="20"/>
              </w:rPr>
            </w:pPr>
          </w:p>
        </w:tc>
      </w:tr>
      <w:tr w:rsidR="00000000" w14:paraId="44094BC5" w14:textId="77777777">
        <w:trPr>
          <w:jc w:val="center"/>
        </w:trPr>
        <w:tc>
          <w:tcPr>
            <w:tcW w:w="0" w:type="auto"/>
            <w:gridSpan w:val="3"/>
            <w:shd w:val="clear" w:color="auto" w:fill="FFFFFF"/>
            <w:tcMar>
              <w:top w:w="30" w:type="dxa"/>
              <w:left w:w="245" w:type="dxa"/>
              <w:bottom w:w="30" w:type="dxa"/>
              <w:right w:w="20" w:type="dxa"/>
            </w:tcMar>
            <w:vAlign w:val="bottom"/>
            <w:hideMark/>
          </w:tcPr>
          <w:p w14:paraId="0E26D1F9" w14:textId="77777777" w:rsidR="00000000" w:rsidRDefault="009B6C69">
            <w:pPr>
              <w:spacing w:after="100"/>
              <w:rPr>
                <w:rFonts w:eastAsia="Times New Roman"/>
              </w:rPr>
            </w:pPr>
            <w:r>
              <w:rPr>
                <w:rFonts w:eastAsia="Times New Roman"/>
                <w:color w:val="000000"/>
                <w:sz w:val="18"/>
                <w:szCs w:val="18"/>
              </w:rPr>
              <w:t>Net income</w:t>
            </w:r>
          </w:p>
        </w:tc>
        <w:tc>
          <w:tcPr>
            <w:tcW w:w="0" w:type="auto"/>
            <w:gridSpan w:val="2"/>
            <w:shd w:val="clear" w:color="auto" w:fill="FFFFFF"/>
            <w:tcMar>
              <w:top w:w="30" w:type="dxa"/>
              <w:left w:w="20" w:type="dxa"/>
              <w:bottom w:w="30" w:type="dxa"/>
              <w:right w:w="0" w:type="dxa"/>
            </w:tcMar>
            <w:vAlign w:val="bottom"/>
            <w:hideMark/>
          </w:tcPr>
          <w:p w14:paraId="0251EF83" w14:textId="77777777" w:rsidR="00000000" w:rsidRDefault="009B6C69">
            <w:pPr>
              <w:spacing w:after="100"/>
              <w:jc w:val="right"/>
              <w:rPr>
                <w:rFonts w:eastAsia="Times New Roman"/>
              </w:rPr>
            </w:pPr>
            <w:r>
              <w:rPr>
                <w:rFonts w:eastAsia="Times New Roman"/>
                <w:color w:val="000000"/>
                <w:sz w:val="18"/>
                <w:szCs w:val="18"/>
              </w:rPr>
              <w:t>12,936 </w:t>
            </w:r>
          </w:p>
        </w:tc>
        <w:tc>
          <w:tcPr>
            <w:tcW w:w="0" w:type="auto"/>
            <w:shd w:val="clear" w:color="auto" w:fill="FFFFFF"/>
            <w:tcMar>
              <w:top w:w="30" w:type="dxa"/>
              <w:left w:w="0" w:type="dxa"/>
              <w:bottom w:w="30" w:type="dxa"/>
              <w:right w:w="20" w:type="dxa"/>
            </w:tcMar>
            <w:vAlign w:val="bottom"/>
            <w:hideMark/>
          </w:tcPr>
          <w:p w14:paraId="1C5E34F5"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224F9B"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54CB6A" w14:textId="77777777" w:rsidR="00000000" w:rsidRDefault="009B6C69">
            <w:pPr>
              <w:spacing w:after="100"/>
              <w:jc w:val="right"/>
              <w:rPr>
                <w:rFonts w:eastAsia="Times New Roman"/>
              </w:rPr>
            </w:pPr>
            <w:r>
              <w:rPr>
                <w:rFonts w:eastAsia="Times New Roman"/>
                <w:color w:val="000000"/>
                <w:sz w:val="18"/>
                <w:szCs w:val="18"/>
              </w:rPr>
              <w:t>9,043 </w:t>
            </w:r>
          </w:p>
        </w:tc>
        <w:tc>
          <w:tcPr>
            <w:tcW w:w="0" w:type="auto"/>
            <w:shd w:val="clear" w:color="auto" w:fill="FFFFFF"/>
            <w:tcMar>
              <w:top w:w="30" w:type="dxa"/>
              <w:left w:w="0" w:type="dxa"/>
              <w:bottom w:w="30" w:type="dxa"/>
              <w:right w:w="20" w:type="dxa"/>
            </w:tcMar>
            <w:vAlign w:val="bottom"/>
            <w:hideMark/>
          </w:tcPr>
          <w:p w14:paraId="000CA71C"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738B8F"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BD8AC5" w14:textId="77777777" w:rsidR="00000000" w:rsidRDefault="009B6C69">
            <w:pPr>
              <w:spacing w:after="100"/>
              <w:jc w:val="right"/>
              <w:rPr>
                <w:rFonts w:eastAsia="Times New Roman"/>
              </w:rPr>
            </w:pPr>
            <w:r>
              <w:rPr>
                <w:rFonts w:eastAsia="Times New Roman"/>
                <w:color w:val="000000"/>
                <w:sz w:val="18"/>
                <w:szCs w:val="18"/>
              </w:rPr>
              <w:t>5,198 </w:t>
            </w:r>
          </w:p>
        </w:tc>
        <w:tc>
          <w:tcPr>
            <w:tcW w:w="0" w:type="auto"/>
            <w:shd w:val="clear" w:color="auto" w:fill="FFFFFF"/>
            <w:tcMar>
              <w:top w:w="30" w:type="dxa"/>
              <w:left w:w="0" w:type="dxa"/>
              <w:bottom w:w="30" w:type="dxa"/>
              <w:right w:w="20" w:type="dxa"/>
            </w:tcMar>
            <w:vAlign w:val="bottom"/>
            <w:hideMark/>
          </w:tcPr>
          <w:p w14:paraId="61819A4C" w14:textId="77777777" w:rsidR="00000000" w:rsidRDefault="009B6C69">
            <w:pPr>
              <w:spacing w:after="100"/>
              <w:jc w:val="right"/>
              <w:rPr>
                <w:rFonts w:eastAsia="Times New Roman"/>
              </w:rPr>
            </w:pPr>
          </w:p>
        </w:tc>
      </w:tr>
      <w:tr w:rsidR="00000000" w14:paraId="18CBF2C1" w14:textId="77777777">
        <w:trPr>
          <w:jc w:val="center"/>
        </w:trPr>
        <w:tc>
          <w:tcPr>
            <w:tcW w:w="0" w:type="auto"/>
            <w:gridSpan w:val="3"/>
            <w:shd w:val="clear" w:color="auto" w:fill="CCEEFF"/>
            <w:tcMar>
              <w:top w:w="30" w:type="dxa"/>
              <w:left w:w="20" w:type="dxa"/>
              <w:bottom w:w="30" w:type="dxa"/>
              <w:right w:w="20" w:type="dxa"/>
            </w:tcMar>
            <w:vAlign w:val="bottom"/>
            <w:hideMark/>
          </w:tcPr>
          <w:p w14:paraId="33ACAF91" w14:textId="77777777" w:rsidR="00000000" w:rsidRDefault="009B6C69">
            <w:pPr>
              <w:spacing w:after="100"/>
              <w:divId w:val="1774591502"/>
              <w:rPr>
                <w:rFonts w:eastAsia="Times New Roman"/>
              </w:rPr>
            </w:pPr>
            <w:r>
              <w:rPr>
                <w:rFonts w:eastAsia="Times New Roman"/>
                <w:color w:val="000000"/>
                <w:sz w:val="18"/>
                <w:szCs w:val="18"/>
              </w:rPr>
              <w:t>Repurchases and retirements of common stock</w:t>
            </w:r>
          </w:p>
        </w:tc>
        <w:tc>
          <w:tcPr>
            <w:tcW w:w="0" w:type="auto"/>
            <w:gridSpan w:val="2"/>
            <w:shd w:val="clear" w:color="auto" w:fill="CCEEFF"/>
            <w:tcMar>
              <w:top w:w="30" w:type="dxa"/>
              <w:left w:w="20" w:type="dxa"/>
              <w:bottom w:w="30" w:type="dxa"/>
              <w:right w:w="0" w:type="dxa"/>
            </w:tcMar>
            <w:vAlign w:val="bottom"/>
            <w:hideMark/>
          </w:tcPr>
          <w:p w14:paraId="02D80FD7" w14:textId="77777777" w:rsidR="00000000" w:rsidRDefault="009B6C69">
            <w:pPr>
              <w:spacing w:after="100"/>
              <w:jc w:val="right"/>
              <w:rPr>
                <w:rFonts w:eastAsia="Times New Roman"/>
              </w:rPr>
            </w:pPr>
            <w:r>
              <w:rPr>
                <w:rFonts w:eastAsia="Times New Roman"/>
                <w:color w:val="000000"/>
                <w:sz w:val="18"/>
                <w:szCs w:val="18"/>
              </w:rPr>
              <w:t>(1,615)</w:t>
            </w:r>
          </w:p>
        </w:tc>
        <w:tc>
          <w:tcPr>
            <w:tcW w:w="0" w:type="auto"/>
            <w:shd w:val="clear" w:color="auto" w:fill="CCEEFF"/>
            <w:tcMar>
              <w:top w:w="30" w:type="dxa"/>
              <w:left w:w="0" w:type="dxa"/>
              <w:bottom w:w="30" w:type="dxa"/>
              <w:right w:w="20" w:type="dxa"/>
            </w:tcMar>
            <w:vAlign w:val="bottom"/>
            <w:hideMark/>
          </w:tcPr>
          <w:p w14:paraId="35E46D7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495212"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DE381B" w14:textId="77777777" w:rsidR="00000000" w:rsidRDefault="009B6C69">
            <w:pPr>
              <w:spacing w:after="100"/>
              <w:jc w:val="right"/>
              <w:rPr>
                <w:rFonts w:eastAsia="Times New Roman"/>
              </w:rPr>
            </w:pPr>
            <w:r>
              <w:rPr>
                <w:rFonts w:eastAsia="Times New Roman"/>
                <w:color w:val="000000"/>
                <w:sz w:val="18"/>
                <w:szCs w:val="18"/>
              </w:rPr>
              <w:t>(1,408)</w:t>
            </w:r>
          </w:p>
        </w:tc>
        <w:tc>
          <w:tcPr>
            <w:tcW w:w="0" w:type="auto"/>
            <w:shd w:val="clear" w:color="auto" w:fill="CCEEFF"/>
            <w:tcMar>
              <w:top w:w="30" w:type="dxa"/>
              <w:left w:w="0" w:type="dxa"/>
              <w:bottom w:w="30" w:type="dxa"/>
              <w:right w:w="20" w:type="dxa"/>
            </w:tcMar>
            <w:vAlign w:val="bottom"/>
            <w:hideMark/>
          </w:tcPr>
          <w:p w14:paraId="521B4D2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6BE05A"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8AE151" w14:textId="77777777" w:rsidR="00000000" w:rsidRDefault="009B6C69">
            <w:pPr>
              <w:spacing w:after="100"/>
              <w:jc w:val="right"/>
              <w:rPr>
                <w:rFonts w:eastAsia="Times New Roman"/>
              </w:rPr>
            </w:pPr>
            <w:r>
              <w:rPr>
                <w:rFonts w:eastAsia="Times New Roman"/>
                <w:color w:val="000000"/>
                <w:sz w:val="18"/>
                <w:szCs w:val="18"/>
              </w:rPr>
              <w:t>(1,408)</w:t>
            </w:r>
          </w:p>
        </w:tc>
        <w:tc>
          <w:tcPr>
            <w:tcW w:w="0" w:type="auto"/>
            <w:shd w:val="clear" w:color="auto" w:fill="CCEEFF"/>
            <w:tcMar>
              <w:top w:w="30" w:type="dxa"/>
              <w:left w:w="0" w:type="dxa"/>
              <w:bottom w:w="30" w:type="dxa"/>
              <w:right w:w="20" w:type="dxa"/>
            </w:tcMar>
            <w:vAlign w:val="bottom"/>
            <w:hideMark/>
          </w:tcPr>
          <w:p w14:paraId="57F2CDBF" w14:textId="77777777" w:rsidR="00000000" w:rsidRDefault="009B6C69">
            <w:pPr>
              <w:spacing w:after="100"/>
              <w:jc w:val="right"/>
              <w:rPr>
                <w:rFonts w:eastAsia="Times New Roman"/>
              </w:rPr>
            </w:pPr>
          </w:p>
        </w:tc>
      </w:tr>
      <w:tr w:rsidR="00000000" w14:paraId="03FB4952" w14:textId="77777777">
        <w:trPr>
          <w:jc w:val="center"/>
        </w:trPr>
        <w:tc>
          <w:tcPr>
            <w:tcW w:w="0" w:type="auto"/>
            <w:gridSpan w:val="3"/>
            <w:shd w:val="clear" w:color="auto" w:fill="FFFFFF"/>
            <w:tcMar>
              <w:top w:w="30" w:type="dxa"/>
              <w:left w:w="20" w:type="dxa"/>
              <w:bottom w:w="30" w:type="dxa"/>
              <w:right w:w="20" w:type="dxa"/>
            </w:tcMar>
            <w:vAlign w:val="bottom"/>
            <w:hideMark/>
          </w:tcPr>
          <w:p w14:paraId="632C8BD6" w14:textId="77777777" w:rsidR="00000000" w:rsidRDefault="009B6C69">
            <w:pPr>
              <w:spacing w:after="100"/>
              <w:divId w:val="26293505"/>
              <w:rPr>
                <w:rFonts w:eastAsia="Times New Roman"/>
              </w:rPr>
            </w:pPr>
            <w:r>
              <w:rPr>
                <w:rFonts w:eastAsia="Times New Roman"/>
                <w:color w:val="000000"/>
                <w:sz w:val="18"/>
                <w:szCs w:val="18"/>
              </w:rPr>
              <w:t>Dividends</w:t>
            </w:r>
          </w:p>
        </w:tc>
        <w:tc>
          <w:tcPr>
            <w:tcW w:w="0" w:type="auto"/>
            <w:gridSpan w:val="2"/>
            <w:shd w:val="clear" w:color="auto" w:fill="FFFFFF"/>
            <w:tcMar>
              <w:top w:w="30" w:type="dxa"/>
              <w:left w:w="20" w:type="dxa"/>
              <w:bottom w:w="30" w:type="dxa"/>
              <w:right w:w="0" w:type="dxa"/>
            </w:tcMar>
            <w:vAlign w:val="bottom"/>
            <w:hideMark/>
          </w:tcPr>
          <w:p w14:paraId="3EFD73A6" w14:textId="77777777" w:rsidR="00000000" w:rsidRDefault="009B6C69">
            <w:pPr>
              <w:spacing w:after="100"/>
              <w:jc w:val="right"/>
              <w:rPr>
                <w:rFonts w:eastAsia="Times New Roman"/>
              </w:rPr>
            </w:pPr>
            <w:r>
              <w:rPr>
                <w:rFonts w:eastAsia="Times New Roman"/>
                <w:color w:val="000000"/>
                <w:sz w:val="18"/>
                <w:szCs w:val="18"/>
              </w:rPr>
              <w:t>(3,303)</w:t>
            </w:r>
          </w:p>
        </w:tc>
        <w:tc>
          <w:tcPr>
            <w:tcW w:w="0" w:type="auto"/>
            <w:shd w:val="clear" w:color="auto" w:fill="FFFFFF"/>
            <w:tcMar>
              <w:top w:w="30" w:type="dxa"/>
              <w:left w:w="0" w:type="dxa"/>
              <w:bottom w:w="30" w:type="dxa"/>
              <w:right w:w="20" w:type="dxa"/>
            </w:tcMar>
            <w:vAlign w:val="bottom"/>
            <w:hideMark/>
          </w:tcPr>
          <w:p w14:paraId="1C4A7828"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F049A1"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45A10B" w14:textId="77777777" w:rsidR="00000000" w:rsidRDefault="009B6C69">
            <w:pPr>
              <w:spacing w:after="100"/>
              <w:jc w:val="right"/>
              <w:rPr>
                <w:rFonts w:eastAsia="Times New Roman"/>
              </w:rPr>
            </w:pPr>
            <w:r>
              <w:rPr>
                <w:rFonts w:eastAsia="Times New Roman"/>
                <w:color w:val="000000"/>
                <w:sz w:val="18"/>
                <w:szCs w:val="18"/>
              </w:rPr>
              <w:t>(3,097)</w:t>
            </w:r>
          </w:p>
        </w:tc>
        <w:tc>
          <w:tcPr>
            <w:tcW w:w="0" w:type="auto"/>
            <w:shd w:val="clear" w:color="auto" w:fill="FFFFFF"/>
            <w:tcMar>
              <w:top w:w="30" w:type="dxa"/>
              <w:left w:w="0" w:type="dxa"/>
              <w:bottom w:w="30" w:type="dxa"/>
              <w:right w:w="20" w:type="dxa"/>
            </w:tcMar>
            <w:vAlign w:val="bottom"/>
            <w:hideMark/>
          </w:tcPr>
          <w:p w14:paraId="3A40111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DB8C92"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AC9D3F" w14:textId="77777777" w:rsidR="00000000" w:rsidRDefault="009B6C69">
            <w:pPr>
              <w:spacing w:after="100"/>
              <w:jc w:val="right"/>
              <w:rPr>
                <w:rFonts w:eastAsia="Times New Roman"/>
              </w:rPr>
            </w:pPr>
            <w:r>
              <w:rPr>
                <w:rFonts w:eastAsia="Times New Roman"/>
                <w:color w:val="000000"/>
                <w:sz w:val="18"/>
                <w:szCs w:val="18"/>
              </w:rPr>
              <w:t>(2,972)</w:t>
            </w:r>
          </w:p>
        </w:tc>
        <w:tc>
          <w:tcPr>
            <w:tcW w:w="0" w:type="auto"/>
            <w:shd w:val="clear" w:color="auto" w:fill="FFFFFF"/>
            <w:tcMar>
              <w:top w:w="30" w:type="dxa"/>
              <w:left w:w="0" w:type="dxa"/>
              <w:bottom w:w="30" w:type="dxa"/>
              <w:right w:w="20" w:type="dxa"/>
            </w:tcMar>
            <w:vAlign w:val="bottom"/>
            <w:hideMark/>
          </w:tcPr>
          <w:p w14:paraId="4C195C6B" w14:textId="77777777" w:rsidR="00000000" w:rsidRDefault="009B6C69">
            <w:pPr>
              <w:spacing w:after="100"/>
              <w:jc w:val="right"/>
              <w:rPr>
                <w:rFonts w:eastAsia="Times New Roman"/>
              </w:rPr>
            </w:pPr>
          </w:p>
        </w:tc>
      </w:tr>
      <w:tr w:rsidR="00000000" w14:paraId="5D589D3E" w14:textId="77777777">
        <w:trPr>
          <w:jc w:val="center"/>
        </w:trPr>
        <w:tc>
          <w:tcPr>
            <w:tcW w:w="0" w:type="auto"/>
            <w:gridSpan w:val="3"/>
            <w:shd w:val="clear" w:color="auto" w:fill="CCEEFF"/>
            <w:tcMar>
              <w:top w:w="30" w:type="dxa"/>
              <w:left w:w="20" w:type="dxa"/>
              <w:bottom w:w="30" w:type="dxa"/>
              <w:right w:w="20" w:type="dxa"/>
            </w:tcMar>
            <w:vAlign w:val="bottom"/>
            <w:hideMark/>
          </w:tcPr>
          <w:p w14:paraId="5A387719" w14:textId="77777777" w:rsidR="00000000" w:rsidRDefault="009B6C69">
            <w:pPr>
              <w:spacing w:after="100"/>
              <w:divId w:val="53941335"/>
              <w:rPr>
                <w:rFonts w:eastAsia="Times New Roman"/>
              </w:rPr>
            </w:pPr>
            <w:r>
              <w:rPr>
                <w:rFonts w:eastAsia="Times New Roman"/>
                <w:color w:val="000000"/>
                <w:sz w:val="18"/>
                <w:szCs w:val="18"/>
              </w:rPr>
              <w:t>Balance at 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3DEFA5" w14:textId="77777777" w:rsidR="00000000" w:rsidRDefault="009B6C69">
            <w:pPr>
              <w:spacing w:after="100"/>
              <w:jc w:val="right"/>
              <w:rPr>
                <w:rFonts w:eastAsia="Times New Roman"/>
              </w:rPr>
            </w:pPr>
            <w:r>
              <w:rPr>
                <w:rFonts w:eastAsia="Times New Roman"/>
                <w:color w:val="000000"/>
                <w:sz w:val="18"/>
                <w:szCs w:val="18"/>
              </w:rPr>
              <w:t>17,840 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1F668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AE38B7"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C2AA3B" w14:textId="77777777" w:rsidR="00000000" w:rsidRDefault="009B6C69">
            <w:pPr>
              <w:spacing w:after="100"/>
              <w:jc w:val="right"/>
              <w:rPr>
                <w:rFonts w:eastAsia="Times New Roman"/>
              </w:rPr>
            </w:pPr>
            <w:r>
              <w:rPr>
                <w:rFonts w:eastAsia="Times New Roman"/>
                <w:color w:val="000000"/>
                <w:sz w:val="18"/>
                <w:szCs w:val="18"/>
              </w:rPr>
              <w:t>9,822 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098CE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6F29F3"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A91351" w14:textId="77777777" w:rsidR="00000000" w:rsidRDefault="009B6C69">
            <w:pPr>
              <w:spacing w:after="100"/>
              <w:jc w:val="right"/>
              <w:rPr>
                <w:rFonts w:eastAsia="Times New Roman"/>
              </w:rPr>
            </w:pPr>
            <w:r>
              <w:rPr>
                <w:rFonts w:eastAsia="Times New Roman"/>
                <w:color w:val="000000"/>
                <w:sz w:val="18"/>
                <w:szCs w:val="18"/>
              </w:rPr>
              <w:t>5,284 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56BB35" w14:textId="77777777" w:rsidR="00000000" w:rsidRDefault="009B6C69">
            <w:pPr>
              <w:spacing w:after="100"/>
              <w:jc w:val="right"/>
              <w:rPr>
                <w:rFonts w:eastAsia="Times New Roman"/>
              </w:rPr>
            </w:pPr>
          </w:p>
        </w:tc>
      </w:tr>
      <w:tr w:rsidR="00000000" w14:paraId="6511C9FA" w14:textId="77777777">
        <w:trPr>
          <w:trHeight w:val="280"/>
          <w:jc w:val="center"/>
        </w:trPr>
        <w:tc>
          <w:tcPr>
            <w:tcW w:w="0" w:type="auto"/>
            <w:gridSpan w:val="3"/>
            <w:shd w:val="clear" w:color="auto" w:fill="FFFFFF"/>
            <w:tcMar>
              <w:top w:w="0" w:type="dxa"/>
              <w:left w:w="20" w:type="dxa"/>
              <w:bottom w:w="0" w:type="dxa"/>
              <w:right w:w="20" w:type="dxa"/>
            </w:tcMar>
            <w:vAlign w:val="center"/>
            <w:hideMark/>
          </w:tcPr>
          <w:p w14:paraId="2B954E2F" w14:textId="77777777" w:rsidR="00000000" w:rsidRDefault="009B6C69">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9E521D1"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4F0002" w14:textId="77777777" w:rsidR="00000000" w:rsidRDefault="009B6C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FBFFF3B"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AF3E3F" w14:textId="77777777" w:rsidR="00000000" w:rsidRDefault="009B6C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4F3B920" w14:textId="77777777" w:rsidR="00000000" w:rsidRDefault="009B6C69">
            <w:pPr>
              <w:spacing w:after="100"/>
              <w:rPr>
                <w:rFonts w:eastAsia="Times New Roman"/>
                <w:sz w:val="20"/>
                <w:szCs w:val="20"/>
              </w:rPr>
            </w:pPr>
          </w:p>
        </w:tc>
      </w:tr>
      <w:tr w:rsidR="00000000" w14:paraId="79C65EBA" w14:textId="77777777">
        <w:trPr>
          <w:jc w:val="center"/>
        </w:trPr>
        <w:tc>
          <w:tcPr>
            <w:tcW w:w="0" w:type="auto"/>
            <w:gridSpan w:val="3"/>
            <w:shd w:val="clear" w:color="auto" w:fill="CCEEFF"/>
            <w:tcMar>
              <w:top w:w="30" w:type="dxa"/>
              <w:left w:w="20" w:type="dxa"/>
              <w:bottom w:w="30" w:type="dxa"/>
              <w:right w:w="20" w:type="dxa"/>
            </w:tcMar>
            <w:vAlign w:val="bottom"/>
            <w:hideMark/>
          </w:tcPr>
          <w:p w14:paraId="767E755A" w14:textId="77777777" w:rsidR="00000000" w:rsidRDefault="009B6C69">
            <w:pPr>
              <w:spacing w:after="100"/>
              <w:rPr>
                <w:rFonts w:eastAsia="Times New Roman"/>
              </w:rPr>
            </w:pPr>
            <w:r>
              <w:rPr>
                <w:rFonts w:eastAsia="Times New Roman"/>
                <w:b/>
                <w:bCs/>
                <w:color w:val="000000"/>
                <w:sz w:val="18"/>
                <w:szCs w:val="18"/>
              </w:rPr>
              <w:t>Accumulated other comprehensive (loss) income:</w:t>
            </w:r>
          </w:p>
        </w:tc>
        <w:tc>
          <w:tcPr>
            <w:tcW w:w="0" w:type="auto"/>
            <w:gridSpan w:val="3"/>
            <w:shd w:val="clear" w:color="auto" w:fill="CCEEFF"/>
            <w:tcMar>
              <w:top w:w="0" w:type="dxa"/>
              <w:left w:w="20" w:type="dxa"/>
              <w:bottom w:w="0" w:type="dxa"/>
              <w:right w:w="20" w:type="dxa"/>
            </w:tcMar>
            <w:vAlign w:val="center"/>
            <w:hideMark/>
          </w:tcPr>
          <w:p w14:paraId="6C68EF5C" w14:textId="77777777" w:rsidR="00000000" w:rsidRDefault="009B6C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B38B65"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F7559E"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9C6384"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A2A5FC" w14:textId="77777777" w:rsidR="00000000" w:rsidRDefault="009B6C69">
            <w:pPr>
              <w:spacing w:after="100"/>
              <w:rPr>
                <w:rFonts w:eastAsia="Times New Roman"/>
                <w:sz w:val="20"/>
                <w:szCs w:val="20"/>
              </w:rPr>
            </w:pPr>
          </w:p>
        </w:tc>
      </w:tr>
      <w:tr w:rsidR="00000000" w14:paraId="6878A668" w14:textId="77777777">
        <w:trPr>
          <w:jc w:val="center"/>
        </w:trPr>
        <w:tc>
          <w:tcPr>
            <w:tcW w:w="0" w:type="auto"/>
            <w:gridSpan w:val="3"/>
            <w:shd w:val="clear" w:color="auto" w:fill="FFFFFF"/>
            <w:tcMar>
              <w:top w:w="30" w:type="dxa"/>
              <w:left w:w="20" w:type="dxa"/>
              <w:bottom w:w="30" w:type="dxa"/>
              <w:right w:w="20" w:type="dxa"/>
            </w:tcMar>
            <w:vAlign w:val="bottom"/>
            <w:hideMark/>
          </w:tcPr>
          <w:p w14:paraId="4A2D0FE3" w14:textId="77777777" w:rsidR="00000000" w:rsidRDefault="009B6C69">
            <w:pPr>
              <w:spacing w:after="100"/>
              <w:divId w:val="1720548079"/>
              <w:rPr>
                <w:rFonts w:eastAsia="Times New Roman"/>
              </w:rPr>
            </w:pPr>
            <w:r>
              <w:rPr>
                <w:rFonts w:eastAsia="Times New Roman"/>
                <w:color w:val="000000"/>
                <w:sz w:val="18"/>
                <w:szCs w:val="18"/>
              </w:rPr>
              <w:t>Balance at beginning of period</w:t>
            </w:r>
          </w:p>
        </w:tc>
        <w:tc>
          <w:tcPr>
            <w:tcW w:w="0" w:type="auto"/>
            <w:gridSpan w:val="2"/>
            <w:shd w:val="clear" w:color="auto" w:fill="FFFFFF"/>
            <w:tcMar>
              <w:top w:w="30" w:type="dxa"/>
              <w:left w:w="20" w:type="dxa"/>
              <w:bottom w:w="30" w:type="dxa"/>
              <w:right w:w="0" w:type="dxa"/>
            </w:tcMar>
            <w:vAlign w:val="bottom"/>
            <w:hideMark/>
          </w:tcPr>
          <w:p w14:paraId="3DC75D4B" w14:textId="77777777" w:rsidR="00000000" w:rsidRDefault="009B6C69">
            <w:pPr>
              <w:spacing w:after="100"/>
              <w:jc w:val="right"/>
              <w:rPr>
                <w:rFonts w:eastAsia="Times New Roman"/>
              </w:rPr>
            </w:pPr>
            <w:r>
              <w:rPr>
                <w:rFonts w:eastAsia="Times New Roman"/>
                <w:color w:val="000000"/>
                <w:sz w:val="18"/>
                <w:szCs w:val="18"/>
              </w:rPr>
              <w:t>128 </w:t>
            </w:r>
          </w:p>
        </w:tc>
        <w:tc>
          <w:tcPr>
            <w:tcW w:w="0" w:type="auto"/>
            <w:shd w:val="clear" w:color="auto" w:fill="FFFFFF"/>
            <w:tcMar>
              <w:top w:w="30" w:type="dxa"/>
              <w:left w:w="0" w:type="dxa"/>
              <w:bottom w:w="30" w:type="dxa"/>
              <w:right w:w="20" w:type="dxa"/>
            </w:tcMar>
            <w:vAlign w:val="bottom"/>
            <w:hideMark/>
          </w:tcPr>
          <w:p w14:paraId="2452DA5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8E27A0"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92E290" w14:textId="77777777" w:rsidR="00000000" w:rsidRDefault="009B6C69">
            <w:pPr>
              <w:spacing w:after="100"/>
              <w:jc w:val="right"/>
              <w:rPr>
                <w:rFonts w:eastAsia="Times New Roman"/>
              </w:rPr>
            </w:pPr>
            <w:r>
              <w:rPr>
                <w:rFonts w:eastAsia="Times New Roman"/>
                <w:color w:val="000000"/>
                <w:sz w:val="18"/>
                <w:szCs w:val="18"/>
              </w:rPr>
              <w:t>207 </w:t>
            </w:r>
          </w:p>
        </w:tc>
        <w:tc>
          <w:tcPr>
            <w:tcW w:w="0" w:type="auto"/>
            <w:shd w:val="clear" w:color="auto" w:fill="FFFFFF"/>
            <w:tcMar>
              <w:top w:w="30" w:type="dxa"/>
              <w:left w:w="0" w:type="dxa"/>
              <w:bottom w:w="30" w:type="dxa"/>
              <w:right w:w="20" w:type="dxa"/>
            </w:tcMar>
            <w:vAlign w:val="bottom"/>
            <w:hideMark/>
          </w:tcPr>
          <w:p w14:paraId="070AAC6C"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855352"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DA5172" w14:textId="77777777" w:rsidR="00000000" w:rsidRDefault="009B6C69">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bottom"/>
            <w:hideMark/>
          </w:tcPr>
          <w:p w14:paraId="6A736864" w14:textId="77777777" w:rsidR="00000000" w:rsidRDefault="009B6C69">
            <w:pPr>
              <w:spacing w:after="100"/>
              <w:jc w:val="right"/>
              <w:rPr>
                <w:rFonts w:eastAsia="Times New Roman"/>
              </w:rPr>
            </w:pPr>
          </w:p>
        </w:tc>
      </w:tr>
      <w:tr w:rsidR="00000000" w14:paraId="648190D7" w14:textId="77777777">
        <w:trPr>
          <w:jc w:val="center"/>
        </w:trPr>
        <w:tc>
          <w:tcPr>
            <w:tcW w:w="0" w:type="auto"/>
            <w:gridSpan w:val="3"/>
            <w:vAlign w:val="center"/>
            <w:hideMark/>
          </w:tcPr>
          <w:p w14:paraId="7794DB10" w14:textId="77777777" w:rsidR="00000000" w:rsidRDefault="009B6C69">
            <w:pPr>
              <w:spacing w:after="100"/>
              <w:jc w:val="right"/>
              <w:rPr>
                <w:rFonts w:eastAsia="Times New Roman"/>
                <w:sz w:val="20"/>
                <w:szCs w:val="20"/>
              </w:rPr>
            </w:pPr>
          </w:p>
        </w:tc>
        <w:tc>
          <w:tcPr>
            <w:tcW w:w="0" w:type="auto"/>
            <w:gridSpan w:val="3"/>
            <w:vAlign w:val="center"/>
            <w:hideMark/>
          </w:tcPr>
          <w:p w14:paraId="24A4FB9C" w14:textId="77777777" w:rsidR="00000000" w:rsidRDefault="009B6C69">
            <w:pPr>
              <w:spacing w:after="100"/>
              <w:rPr>
                <w:rFonts w:eastAsia="Times New Roman"/>
                <w:sz w:val="20"/>
                <w:szCs w:val="20"/>
              </w:rPr>
            </w:pPr>
          </w:p>
        </w:tc>
        <w:tc>
          <w:tcPr>
            <w:tcW w:w="0" w:type="auto"/>
            <w:gridSpan w:val="3"/>
            <w:vAlign w:val="center"/>
            <w:hideMark/>
          </w:tcPr>
          <w:p w14:paraId="685560D1" w14:textId="77777777" w:rsidR="00000000" w:rsidRDefault="009B6C69">
            <w:pPr>
              <w:spacing w:after="100"/>
              <w:rPr>
                <w:rFonts w:eastAsia="Times New Roman"/>
                <w:sz w:val="20"/>
                <w:szCs w:val="20"/>
              </w:rPr>
            </w:pPr>
          </w:p>
        </w:tc>
        <w:tc>
          <w:tcPr>
            <w:tcW w:w="0" w:type="auto"/>
            <w:gridSpan w:val="3"/>
            <w:vAlign w:val="center"/>
            <w:hideMark/>
          </w:tcPr>
          <w:p w14:paraId="2E702744" w14:textId="77777777" w:rsidR="00000000" w:rsidRDefault="009B6C69">
            <w:pPr>
              <w:spacing w:after="100"/>
              <w:rPr>
                <w:rFonts w:eastAsia="Times New Roman"/>
                <w:sz w:val="20"/>
                <w:szCs w:val="20"/>
              </w:rPr>
            </w:pPr>
          </w:p>
        </w:tc>
        <w:tc>
          <w:tcPr>
            <w:tcW w:w="0" w:type="auto"/>
            <w:gridSpan w:val="3"/>
            <w:vAlign w:val="center"/>
            <w:hideMark/>
          </w:tcPr>
          <w:p w14:paraId="1F9F206A" w14:textId="77777777" w:rsidR="00000000" w:rsidRDefault="009B6C69">
            <w:pPr>
              <w:spacing w:after="100"/>
              <w:rPr>
                <w:rFonts w:eastAsia="Times New Roman"/>
                <w:sz w:val="20"/>
                <w:szCs w:val="20"/>
              </w:rPr>
            </w:pPr>
          </w:p>
        </w:tc>
        <w:tc>
          <w:tcPr>
            <w:tcW w:w="0" w:type="auto"/>
            <w:gridSpan w:val="3"/>
            <w:vAlign w:val="center"/>
            <w:hideMark/>
          </w:tcPr>
          <w:p w14:paraId="36AB4BA4" w14:textId="77777777" w:rsidR="00000000" w:rsidRDefault="009B6C69">
            <w:pPr>
              <w:spacing w:after="100"/>
              <w:rPr>
                <w:rFonts w:eastAsia="Times New Roman"/>
                <w:sz w:val="20"/>
                <w:szCs w:val="20"/>
              </w:rPr>
            </w:pPr>
          </w:p>
        </w:tc>
      </w:tr>
      <w:tr w:rsidR="00000000" w14:paraId="7E394497" w14:textId="77777777">
        <w:trPr>
          <w:jc w:val="center"/>
        </w:trPr>
        <w:tc>
          <w:tcPr>
            <w:tcW w:w="0" w:type="auto"/>
            <w:gridSpan w:val="3"/>
            <w:shd w:val="clear" w:color="auto" w:fill="CCEEFF"/>
            <w:tcMar>
              <w:top w:w="30" w:type="dxa"/>
              <w:left w:w="245" w:type="dxa"/>
              <w:bottom w:w="30" w:type="dxa"/>
              <w:right w:w="20" w:type="dxa"/>
            </w:tcMar>
            <w:vAlign w:val="bottom"/>
            <w:hideMark/>
          </w:tcPr>
          <w:p w14:paraId="599E8622" w14:textId="77777777" w:rsidR="00000000" w:rsidRDefault="009B6C69">
            <w:pPr>
              <w:spacing w:after="100"/>
              <w:rPr>
                <w:rFonts w:eastAsia="Times New Roman"/>
              </w:rPr>
            </w:pPr>
            <w:r>
              <w:rPr>
                <w:rFonts w:eastAsia="Times New Roman"/>
                <w:color w:val="000000"/>
                <w:sz w:val="18"/>
                <w:szCs w:val="18"/>
              </w:rPr>
              <w:t>Other comprehensive (loss) income</w:t>
            </w:r>
          </w:p>
        </w:tc>
        <w:tc>
          <w:tcPr>
            <w:tcW w:w="0" w:type="auto"/>
            <w:gridSpan w:val="2"/>
            <w:shd w:val="clear" w:color="auto" w:fill="CCEEFF"/>
            <w:tcMar>
              <w:top w:w="30" w:type="dxa"/>
              <w:left w:w="20" w:type="dxa"/>
              <w:bottom w:w="30" w:type="dxa"/>
              <w:right w:w="0" w:type="dxa"/>
            </w:tcMar>
            <w:vAlign w:val="bottom"/>
            <w:hideMark/>
          </w:tcPr>
          <w:p w14:paraId="318CB41F" w14:textId="77777777" w:rsidR="00000000" w:rsidRDefault="009B6C69">
            <w:pPr>
              <w:spacing w:after="100"/>
              <w:jc w:val="right"/>
              <w:rPr>
                <w:rFonts w:eastAsia="Times New Roman"/>
              </w:rPr>
            </w:pPr>
            <w:r>
              <w:rPr>
                <w:rFonts w:eastAsia="Times New Roman"/>
                <w:color w:val="000000"/>
                <w:sz w:val="18"/>
                <w:szCs w:val="18"/>
              </w:rPr>
              <w:t>(150)</w:t>
            </w:r>
          </w:p>
        </w:tc>
        <w:tc>
          <w:tcPr>
            <w:tcW w:w="0" w:type="auto"/>
            <w:shd w:val="clear" w:color="auto" w:fill="CCEEFF"/>
            <w:tcMar>
              <w:top w:w="30" w:type="dxa"/>
              <w:left w:w="0" w:type="dxa"/>
              <w:bottom w:w="30" w:type="dxa"/>
              <w:right w:w="20" w:type="dxa"/>
            </w:tcMar>
            <w:vAlign w:val="bottom"/>
            <w:hideMark/>
          </w:tcPr>
          <w:p w14:paraId="7DE6E712"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3B8744"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C0FA91" w14:textId="77777777" w:rsidR="00000000" w:rsidRDefault="009B6C69">
            <w:pPr>
              <w:spacing w:after="100"/>
              <w:jc w:val="right"/>
              <w:rPr>
                <w:rFonts w:eastAsia="Times New Roman"/>
              </w:rPr>
            </w:pPr>
            <w:r>
              <w:rPr>
                <w:rFonts w:eastAsia="Times New Roman"/>
                <w:color w:val="000000"/>
                <w:sz w:val="18"/>
                <w:szCs w:val="18"/>
              </w:rPr>
              <w:t>(79)</w:t>
            </w:r>
          </w:p>
        </w:tc>
        <w:tc>
          <w:tcPr>
            <w:tcW w:w="0" w:type="auto"/>
            <w:shd w:val="clear" w:color="auto" w:fill="CCEEFF"/>
            <w:tcMar>
              <w:top w:w="30" w:type="dxa"/>
              <w:left w:w="0" w:type="dxa"/>
              <w:bottom w:w="30" w:type="dxa"/>
              <w:right w:w="20" w:type="dxa"/>
            </w:tcMar>
            <w:vAlign w:val="bottom"/>
            <w:hideMark/>
          </w:tcPr>
          <w:p w14:paraId="425975BA"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062D85"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0D360F" w14:textId="77777777" w:rsidR="00000000" w:rsidRDefault="009B6C69">
            <w:pPr>
              <w:spacing w:after="100"/>
              <w:jc w:val="right"/>
              <w:rPr>
                <w:rFonts w:eastAsia="Times New Roman"/>
              </w:rPr>
            </w:pPr>
            <w:r>
              <w:rPr>
                <w:rFonts w:eastAsia="Times New Roman"/>
                <w:color w:val="000000"/>
                <w:sz w:val="18"/>
                <w:szCs w:val="18"/>
              </w:rPr>
              <w:t>107 </w:t>
            </w:r>
          </w:p>
        </w:tc>
        <w:tc>
          <w:tcPr>
            <w:tcW w:w="0" w:type="auto"/>
            <w:shd w:val="clear" w:color="auto" w:fill="CCEEFF"/>
            <w:tcMar>
              <w:top w:w="30" w:type="dxa"/>
              <w:left w:w="0" w:type="dxa"/>
              <w:bottom w:w="30" w:type="dxa"/>
              <w:right w:w="20" w:type="dxa"/>
            </w:tcMar>
            <w:vAlign w:val="bottom"/>
            <w:hideMark/>
          </w:tcPr>
          <w:p w14:paraId="22DFC946" w14:textId="77777777" w:rsidR="00000000" w:rsidRDefault="009B6C69">
            <w:pPr>
              <w:spacing w:after="100"/>
              <w:jc w:val="right"/>
              <w:rPr>
                <w:rFonts w:eastAsia="Times New Roman"/>
              </w:rPr>
            </w:pPr>
          </w:p>
        </w:tc>
      </w:tr>
      <w:tr w:rsidR="00000000" w14:paraId="491F3CB7" w14:textId="77777777">
        <w:trPr>
          <w:jc w:val="center"/>
        </w:trPr>
        <w:tc>
          <w:tcPr>
            <w:tcW w:w="0" w:type="auto"/>
            <w:gridSpan w:val="3"/>
            <w:shd w:val="clear" w:color="auto" w:fill="FFFFFF"/>
            <w:tcMar>
              <w:top w:w="30" w:type="dxa"/>
              <w:left w:w="20" w:type="dxa"/>
              <w:bottom w:w="30" w:type="dxa"/>
              <w:right w:w="20" w:type="dxa"/>
            </w:tcMar>
            <w:vAlign w:val="bottom"/>
            <w:hideMark/>
          </w:tcPr>
          <w:p w14:paraId="76093D9A" w14:textId="77777777" w:rsidR="00000000" w:rsidRDefault="009B6C69">
            <w:pPr>
              <w:spacing w:after="100"/>
              <w:divId w:val="1287389541"/>
              <w:rPr>
                <w:rFonts w:eastAsia="Times New Roman"/>
              </w:rPr>
            </w:pPr>
            <w:r>
              <w:rPr>
                <w:rFonts w:eastAsia="Times New Roman"/>
                <w:color w:val="000000"/>
                <w:sz w:val="18"/>
                <w:szCs w:val="18"/>
              </w:rPr>
              <w:t>Balance at 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8D3AC0" w14:textId="77777777" w:rsidR="00000000" w:rsidRDefault="009B6C69">
            <w:pPr>
              <w:spacing w:after="100"/>
              <w:jc w:val="right"/>
              <w:rPr>
                <w:rFonts w:eastAsia="Times New Roman"/>
              </w:rPr>
            </w:pPr>
            <w:r>
              <w:rPr>
                <w:rFonts w:eastAsia="Times New Roman"/>
                <w:color w:val="000000"/>
                <w:sz w:val="18"/>
                <w:szCs w:val="18"/>
              </w:rPr>
              <w:t>(22)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13B0B0"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6E4115"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C380BF" w14:textId="77777777" w:rsidR="00000000" w:rsidRDefault="009B6C69">
            <w:pPr>
              <w:spacing w:after="100"/>
              <w:jc w:val="right"/>
              <w:rPr>
                <w:rFonts w:eastAsia="Times New Roman"/>
              </w:rPr>
            </w:pPr>
            <w:r>
              <w:rPr>
                <w:rFonts w:eastAsia="Times New Roman"/>
                <w:color w:val="000000"/>
                <w:sz w:val="18"/>
                <w:szCs w:val="18"/>
              </w:rPr>
              <w:t>128 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2EE91E"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B1F38D"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D91EEB" w14:textId="77777777" w:rsidR="00000000" w:rsidRDefault="009B6C69">
            <w:pPr>
              <w:spacing w:after="100"/>
              <w:jc w:val="right"/>
              <w:rPr>
                <w:rFonts w:eastAsia="Times New Roman"/>
              </w:rPr>
            </w:pPr>
            <w:r>
              <w:rPr>
                <w:rFonts w:eastAsia="Times New Roman"/>
                <w:color w:val="000000"/>
                <w:sz w:val="18"/>
                <w:szCs w:val="18"/>
              </w:rPr>
              <w:t>207 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840E24" w14:textId="77777777" w:rsidR="00000000" w:rsidRDefault="009B6C69">
            <w:pPr>
              <w:spacing w:after="100"/>
              <w:jc w:val="right"/>
              <w:rPr>
                <w:rFonts w:eastAsia="Times New Roman"/>
              </w:rPr>
            </w:pPr>
          </w:p>
        </w:tc>
      </w:tr>
      <w:tr w:rsidR="00000000" w14:paraId="686F7B85" w14:textId="77777777">
        <w:trPr>
          <w:trHeight w:val="280"/>
          <w:jc w:val="center"/>
        </w:trPr>
        <w:tc>
          <w:tcPr>
            <w:tcW w:w="0" w:type="auto"/>
            <w:gridSpan w:val="3"/>
            <w:shd w:val="clear" w:color="auto" w:fill="CCEEFF"/>
            <w:tcMar>
              <w:top w:w="0" w:type="dxa"/>
              <w:left w:w="20" w:type="dxa"/>
              <w:bottom w:w="0" w:type="dxa"/>
              <w:right w:w="20" w:type="dxa"/>
            </w:tcMar>
            <w:vAlign w:val="center"/>
            <w:hideMark/>
          </w:tcPr>
          <w:p w14:paraId="4E6916D1" w14:textId="77777777" w:rsidR="00000000" w:rsidRDefault="009B6C69">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9D1DB4"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894AB3" w14:textId="77777777" w:rsidR="00000000" w:rsidRDefault="009B6C6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03735F"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6DBBC9" w14:textId="77777777" w:rsidR="00000000" w:rsidRDefault="009B6C6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C9D14E" w14:textId="77777777" w:rsidR="00000000" w:rsidRDefault="009B6C69">
            <w:pPr>
              <w:spacing w:after="100"/>
              <w:rPr>
                <w:rFonts w:eastAsia="Times New Roman"/>
                <w:sz w:val="20"/>
                <w:szCs w:val="20"/>
              </w:rPr>
            </w:pPr>
          </w:p>
        </w:tc>
      </w:tr>
      <w:tr w:rsidR="00000000" w14:paraId="37A77501" w14:textId="77777777">
        <w:trPr>
          <w:jc w:val="center"/>
        </w:trPr>
        <w:tc>
          <w:tcPr>
            <w:tcW w:w="0" w:type="auto"/>
            <w:gridSpan w:val="3"/>
            <w:shd w:val="clear" w:color="auto" w:fill="FFFFFF"/>
            <w:tcMar>
              <w:top w:w="30" w:type="dxa"/>
              <w:left w:w="20" w:type="dxa"/>
              <w:bottom w:w="30" w:type="dxa"/>
              <w:right w:w="20" w:type="dxa"/>
            </w:tcMar>
            <w:vAlign w:val="bottom"/>
            <w:hideMark/>
          </w:tcPr>
          <w:p w14:paraId="17E28385" w14:textId="77777777" w:rsidR="00000000" w:rsidRDefault="009B6C69">
            <w:pPr>
              <w:spacing w:after="100"/>
              <w:divId w:val="416367957"/>
              <w:rPr>
                <w:rFonts w:eastAsia="Times New Roman"/>
              </w:rPr>
            </w:pPr>
            <w:r>
              <w:rPr>
                <w:rFonts w:eastAsia="Times New Roman"/>
                <w:b/>
                <w:bCs/>
                <w:color w:val="000000"/>
                <w:sz w:val="18"/>
                <w:szCs w:val="18"/>
              </w:rPr>
              <w:t>Total stockholders’ equity, ending balance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7DC55DD"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AD6E33E" w14:textId="77777777" w:rsidR="00000000" w:rsidRDefault="009B6C69">
            <w:pPr>
              <w:spacing w:after="100"/>
              <w:jc w:val="right"/>
              <w:rPr>
                <w:rFonts w:eastAsia="Times New Roman"/>
              </w:rPr>
            </w:pPr>
            <w:r>
              <w:rPr>
                <w:rFonts w:eastAsia="Times New Roman"/>
                <w:color w:val="000000"/>
                <w:sz w:val="18"/>
                <w:szCs w:val="18"/>
              </w:rPr>
              <w:t>18,013 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D880D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D37E3D"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89EC49A"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DE904A4" w14:textId="77777777" w:rsidR="00000000" w:rsidRDefault="009B6C69">
            <w:pPr>
              <w:spacing w:after="100"/>
              <w:jc w:val="right"/>
              <w:rPr>
                <w:rFonts w:eastAsia="Times New Roman"/>
              </w:rPr>
            </w:pPr>
            <w:r>
              <w:rPr>
                <w:rFonts w:eastAsia="Times New Roman"/>
                <w:color w:val="000000"/>
                <w:sz w:val="18"/>
                <w:szCs w:val="18"/>
              </w:rPr>
              <w:t>9,950 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63C00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C9913A"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FD50DA6"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B798042" w14:textId="77777777" w:rsidR="00000000" w:rsidRDefault="009B6C69">
            <w:pPr>
              <w:spacing w:after="100"/>
              <w:jc w:val="right"/>
              <w:rPr>
                <w:rFonts w:eastAsia="Times New Roman"/>
              </w:rPr>
            </w:pPr>
            <w:r>
              <w:rPr>
                <w:rFonts w:eastAsia="Times New Roman"/>
                <w:color w:val="000000"/>
                <w:sz w:val="18"/>
                <w:szCs w:val="18"/>
              </w:rPr>
              <w:t>6,077 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3A38F2" w14:textId="77777777" w:rsidR="00000000" w:rsidRDefault="009B6C69">
            <w:pPr>
              <w:spacing w:after="100"/>
              <w:jc w:val="right"/>
              <w:rPr>
                <w:rFonts w:eastAsia="Times New Roman"/>
              </w:rPr>
            </w:pPr>
          </w:p>
        </w:tc>
      </w:tr>
      <w:tr w:rsidR="00000000" w14:paraId="797F4469" w14:textId="77777777">
        <w:trPr>
          <w:trHeight w:val="280"/>
          <w:jc w:val="center"/>
        </w:trPr>
        <w:tc>
          <w:tcPr>
            <w:tcW w:w="0" w:type="auto"/>
            <w:gridSpan w:val="3"/>
            <w:shd w:val="clear" w:color="auto" w:fill="CCEEFF"/>
            <w:tcMar>
              <w:top w:w="0" w:type="dxa"/>
              <w:left w:w="20" w:type="dxa"/>
              <w:bottom w:w="0" w:type="dxa"/>
              <w:right w:w="20" w:type="dxa"/>
            </w:tcMar>
            <w:vAlign w:val="center"/>
            <w:hideMark/>
          </w:tcPr>
          <w:p w14:paraId="2E408014" w14:textId="77777777" w:rsidR="00000000" w:rsidRDefault="009B6C69">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B7E5B80"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892E58" w14:textId="77777777" w:rsidR="00000000" w:rsidRDefault="009B6C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EC3AEB9"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12D75C" w14:textId="77777777" w:rsidR="00000000" w:rsidRDefault="009B6C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1DCAA55" w14:textId="77777777" w:rsidR="00000000" w:rsidRDefault="009B6C69">
            <w:pPr>
              <w:spacing w:after="100"/>
              <w:rPr>
                <w:rFonts w:eastAsia="Times New Roman"/>
                <w:sz w:val="20"/>
                <w:szCs w:val="20"/>
              </w:rPr>
            </w:pPr>
          </w:p>
        </w:tc>
      </w:tr>
      <w:tr w:rsidR="00000000" w14:paraId="1F59D031" w14:textId="77777777">
        <w:trPr>
          <w:jc w:val="center"/>
        </w:trPr>
        <w:tc>
          <w:tcPr>
            <w:tcW w:w="0" w:type="auto"/>
            <w:gridSpan w:val="3"/>
            <w:shd w:val="clear" w:color="auto" w:fill="FFFFFF"/>
            <w:tcMar>
              <w:top w:w="30" w:type="dxa"/>
              <w:left w:w="20" w:type="dxa"/>
              <w:bottom w:w="30" w:type="dxa"/>
              <w:right w:w="20" w:type="dxa"/>
            </w:tcMar>
            <w:vAlign w:val="bottom"/>
            <w:hideMark/>
          </w:tcPr>
          <w:p w14:paraId="22705F91" w14:textId="77777777" w:rsidR="00000000" w:rsidRDefault="009B6C69">
            <w:pPr>
              <w:spacing w:after="100"/>
              <w:divId w:val="1887715075"/>
              <w:rPr>
                <w:rFonts w:eastAsia="Times New Roman"/>
              </w:rPr>
            </w:pPr>
            <w:r>
              <w:rPr>
                <w:rFonts w:eastAsia="Times New Roman"/>
                <w:b/>
                <w:bCs/>
                <w:color w:val="000000"/>
                <w:sz w:val="18"/>
                <w:szCs w:val="18"/>
              </w:rPr>
              <w:t>Dividends per share announced</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4C0EF50C" w14:textId="77777777" w:rsidR="00000000" w:rsidRDefault="009B6C69">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74DBB01D" w14:textId="77777777" w:rsidR="00000000" w:rsidRDefault="009B6C69">
            <w:pPr>
              <w:spacing w:after="100"/>
              <w:jc w:val="right"/>
              <w:rPr>
                <w:rFonts w:eastAsia="Times New Roman"/>
              </w:rPr>
            </w:pPr>
            <w:r>
              <w:rPr>
                <w:rFonts w:eastAsia="Times New Roman"/>
                <w:color w:val="000000"/>
                <w:sz w:val="18"/>
                <w:szCs w:val="18"/>
              </w:rPr>
              <w:t>2.86 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2B0031D0"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83B3FB" w14:textId="77777777" w:rsidR="00000000" w:rsidRDefault="009B6C69">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749C7F98" w14:textId="77777777" w:rsidR="00000000" w:rsidRDefault="009B6C69">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32D7DB23" w14:textId="77777777" w:rsidR="00000000" w:rsidRDefault="009B6C69">
            <w:pPr>
              <w:spacing w:after="100"/>
              <w:jc w:val="right"/>
              <w:rPr>
                <w:rFonts w:eastAsia="Times New Roman"/>
              </w:rPr>
            </w:pPr>
            <w:r>
              <w:rPr>
                <w:rFonts w:eastAsia="Times New Roman"/>
                <w:color w:val="000000"/>
                <w:sz w:val="18"/>
                <w:szCs w:val="18"/>
              </w:rPr>
              <w:t>2.66 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1DFE9D5E"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E7D5D8" w14:textId="77777777" w:rsidR="00000000" w:rsidRDefault="009B6C69">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1803B03D" w14:textId="77777777" w:rsidR="00000000" w:rsidRDefault="009B6C69">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608CD5CC" w14:textId="77777777" w:rsidR="00000000" w:rsidRDefault="009B6C69">
            <w:pPr>
              <w:spacing w:after="100"/>
              <w:jc w:val="right"/>
              <w:rPr>
                <w:rFonts w:eastAsia="Times New Roman"/>
              </w:rPr>
            </w:pPr>
            <w:r>
              <w:rPr>
                <w:rFonts w:eastAsia="Times New Roman"/>
                <w:color w:val="000000"/>
                <w:sz w:val="18"/>
                <w:szCs w:val="18"/>
              </w:rPr>
              <w:t>2.54 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15F2D172" w14:textId="77777777" w:rsidR="00000000" w:rsidRDefault="009B6C69">
            <w:pPr>
              <w:spacing w:after="100"/>
              <w:jc w:val="right"/>
              <w:rPr>
                <w:rFonts w:eastAsia="Times New Roman"/>
              </w:rPr>
            </w:pPr>
          </w:p>
        </w:tc>
      </w:tr>
    </w:tbl>
    <w:p w14:paraId="5394B01B" w14:textId="77777777" w:rsidR="00000000" w:rsidRDefault="009B6C69">
      <w:pPr>
        <w:divId w:val="1696225397"/>
        <w:rPr>
          <w:rFonts w:eastAsia="Times New Roman"/>
        </w:rPr>
      </w:pPr>
    </w:p>
    <w:p w14:paraId="0A34E084" w14:textId="77777777" w:rsidR="00000000" w:rsidRDefault="009B6C69">
      <w:pPr>
        <w:jc w:val="center"/>
        <w:rPr>
          <w:rFonts w:eastAsia="Times New Roman"/>
        </w:rPr>
      </w:pPr>
      <w:r>
        <w:rPr>
          <w:rFonts w:eastAsia="Times New Roman"/>
          <w:color w:val="000000"/>
          <w:sz w:val="18"/>
          <w:szCs w:val="18"/>
        </w:rPr>
        <w:t>See accompanying notes.</w:t>
      </w:r>
    </w:p>
    <w:p w14:paraId="2995E03A" w14:textId="77777777" w:rsidR="00000000" w:rsidRDefault="009B6C69">
      <w:pPr>
        <w:jc w:val="center"/>
        <w:divId w:val="412316708"/>
        <w:rPr>
          <w:rFonts w:eastAsia="Times New Roman"/>
        </w:rPr>
      </w:pPr>
      <w:r>
        <w:rPr>
          <w:rFonts w:eastAsia="Times New Roman"/>
          <w:color w:val="000000"/>
          <w:sz w:val="20"/>
          <w:szCs w:val="20"/>
        </w:rPr>
        <w:t>F-7</w:t>
      </w:r>
    </w:p>
    <w:p w14:paraId="75C7D45A" w14:textId="77777777" w:rsidR="00000000" w:rsidRDefault="009B6C69">
      <w:pPr>
        <w:rPr>
          <w:rFonts w:eastAsia="Times New Roman"/>
        </w:rPr>
      </w:pPr>
      <w:r>
        <w:rPr>
          <w:rFonts w:eastAsia="Times New Roman"/>
        </w:rPr>
        <w:pict w14:anchorId="7F9D6EC6">
          <v:rect id="_x0000_i1087" style="width:0;height:1.5pt" o:hralign="center" o:hrstd="t" o:hr="t" fillcolor="#a0a0a0" stroked="f"/>
        </w:pict>
      </w:r>
    </w:p>
    <w:p w14:paraId="0E2A853F" w14:textId="77777777" w:rsidR="00000000" w:rsidRDefault="009B6C69">
      <w:pPr>
        <w:jc w:val="center"/>
        <w:divId w:val="492532102"/>
        <w:rPr>
          <w:rFonts w:eastAsia="Times New Roman"/>
        </w:rPr>
      </w:pPr>
    </w:p>
    <w:p w14:paraId="104681CE" w14:textId="77777777" w:rsidR="00000000" w:rsidRDefault="009B6C69">
      <w:pPr>
        <w:jc w:val="center"/>
        <w:divId w:val="492532102"/>
        <w:rPr>
          <w:rFonts w:eastAsia="Times New Roman"/>
        </w:rPr>
      </w:pPr>
      <w:r>
        <w:rPr>
          <w:rFonts w:eastAsia="Times New Roman"/>
          <w:b/>
          <w:bCs/>
          <w:color w:val="000000"/>
          <w:sz w:val="20"/>
          <w:szCs w:val="20"/>
        </w:rPr>
        <w:t>QUALCOMM Incorporated</w:t>
      </w:r>
    </w:p>
    <w:p w14:paraId="7BEE6CFC" w14:textId="77777777" w:rsidR="00000000" w:rsidRDefault="009B6C69">
      <w:pPr>
        <w:jc w:val="center"/>
        <w:divId w:val="492532102"/>
        <w:rPr>
          <w:rFonts w:eastAsia="Times New Roman"/>
        </w:rPr>
      </w:pPr>
      <w:r>
        <w:rPr>
          <w:rFonts w:eastAsia="Times New Roman"/>
          <w:b/>
          <w:bCs/>
          <w:color w:val="000000"/>
          <w:sz w:val="20"/>
          <w:szCs w:val="20"/>
        </w:rPr>
        <w:t>NOTES TO CONSOLIDATED FINANCIAL STATEMENTS</w:t>
      </w:r>
    </w:p>
    <w:p w14:paraId="04D805BF" w14:textId="77777777" w:rsidR="00000000" w:rsidRDefault="009B6C69">
      <w:pPr>
        <w:jc w:val="center"/>
        <w:rPr>
          <w:rFonts w:eastAsia="Times New Roman"/>
        </w:rPr>
      </w:pPr>
    </w:p>
    <w:p w14:paraId="6E613026" w14:textId="77777777" w:rsidR="00000000" w:rsidRDefault="009B6C69">
      <w:pPr>
        <w:divId w:val="1362823435"/>
        <w:rPr>
          <w:rFonts w:eastAsia="Times New Roman"/>
        </w:rPr>
      </w:pPr>
      <w:r>
        <w:rPr>
          <w:rFonts w:eastAsia="Times New Roman"/>
          <w:b/>
          <w:bCs/>
          <w:color w:val="000000"/>
          <w:sz w:val="20"/>
          <w:szCs w:val="20"/>
        </w:rPr>
        <w:t>Note 1. Significant Accounting Policies</w:t>
      </w:r>
    </w:p>
    <w:p w14:paraId="218111C0" w14:textId="77777777" w:rsidR="00000000" w:rsidRDefault="009B6C69">
      <w:pPr>
        <w:ind w:firstLine="360"/>
        <w:divId w:val="1988049086"/>
        <w:rPr>
          <w:rFonts w:eastAsia="Times New Roman"/>
        </w:rPr>
      </w:pPr>
      <w:r>
        <w:rPr>
          <w:rFonts w:eastAsia="Times New Roman"/>
          <w:color w:val="000000"/>
          <w:sz w:val="20"/>
          <w:szCs w:val="20"/>
        </w:rPr>
        <w:t>We are a global leader in the</w:t>
      </w:r>
      <w:r>
        <w:rPr>
          <w:rFonts w:eastAsia="Times New Roman"/>
          <w:color w:val="000000"/>
          <w:sz w:val="20"/>
          <w:szCs w:val="20"/>
        </w:rPr>
        <w:t xml:space="preserve"> development and commercialization of foundational technologies for the wireless industry. Our technologies and products are used in mobile devices and other wireless products, including those used in the internet of things (IoT) and automotive systems for</w:t>
      </w:r>
      <w:r>
        <w:rPr>
          <w:rFonts w:eastAsia="Times New Roman"/>
          <w:color w:val="000000"/>
          <w:sz w:val="20"/>
          <w:szCs w:val="20"/>
        </w:rPr>
        <w:t xml:space="preserve"> connectivity, digital cockpit and advanced driver assistance and automated driving (ADAS/AD). We derive revenues principally from sales of integrated circuit products and through the licensing of our intellectual property, including patents and other righ</w:t>
      </w:r>
      <w:r>
        <w:rPr>
          <w:rFonts w:eastAsia="Times New Roman"/>
          <w:color w:val="000000"/>
          <w:sz w:val="20"/>
          <w:szCs w:val="20"/>
        </w:rPr>
        <w:t xml:space="preserve">ts. </w:t>
      </w:r>
    </w:p>
    <w:p w14:paraId="6F92B49C" w14:textId="77777777" w:rsidR="00000000" w:rsidRDefault="009B6C69">
      <w:pPr>
        <w:ind w:firstLine="360"/>
        <w:divId w:val="1765375980"/>
        <w:rPr>
          <w:rFonts w:eastAsia="Times New Roman"/>
        </w:rPr>
      </w:pPr>
      <w:r>
        <w:rPr>
          <w:rFonts w:eastAsia="Times New Roman"/>
          <w:b/>
          <w:bCs/>
          <w:i/>
          <w:iCs/>
          <w:color w:val="000000"/>
          <w:sz w:val="20"/>
          <w:szCs w:val="20"/>
        </w:rPr>
        <w:t>Principles of Consolidation.</w:t>
      </w:r>
      <w:r>
        <w:rPr>
          <w:rFonts w:eastAsia="Times New Roman"/>
          <w:color w:val="000000"/>
          <w:sz w:val="20"/>
          <w:szCs w:val="20"/>
        </w:rPr>
        <w:t xml:space="preserve"> The consolidated financial statements include the assets, liabilities and operating results of Qualcomm, its subsidiaries and any variable interest entities for which we are deemed to be the primary beneficiary (Note 9). I</w:t>
      </w:r>
      <w:r>
        <w:rPr>
          <w:rFonts w:eastAsia="Times New Roman"/>
          <w:color w:val="000000"/>
          <w:sz w:val="20"/>
          <w:szCs w:val="20"/>
        </w:rPr>
        <w:t>ntercompany transactions and balances have been eliminated.</w:t>
      </w:r>
    </w:p>
    <w:p w14:paraId="6A27B7E9" w14:textId="77777777" w:rsidR="00000000" w:rsidRDefault="009B6C69">
      <w:pPr>
        <w:ind w:firstLine="360"/>
        <w:divId w:val="754132120"/>
        <w:rPr>
          <w:rFonts w:eastAsia="Times New Roman"/>
        </w:rPr>
      </w:pPr>
      <w:r>
        <w:rPr>
          <w:rFonts w:eastAsia="Times New Roman"/>
          <w:b/>
          <w:bCs/>
          <w:i/>
          <w:iCs/>
          <w:color w:val="000000"/>
          <w:sz w:val="20"/>
          <w:szCs w:val="20"/>
        </w:rPr>
        <w:t>Financial Statement Preparation.</w:t>
      </w:r>
      <w:r>
        <w:rPr>
          <w:rFonts w:eastAsia="Times New Roman"/>
          <w:color w:val="000000"/>
          <w:sz w:val="20"/>
          <w:szCs w:val="20"/>
        </w:rPr>
        <w:t xml:space="preserve"> The preparation of financial statements in conformity with accounting principles generally accepted in the United States of America (GAAP) requires management to m</w:t>
      </w:r>
      <w:r>
        <w:rPr>
          <w:rFonts w:eastAsia="Times New Roman"/>
          <w:color w:val="000000"/>
          <w:sz w:val="20"/>
          <w:szCs w:val="20"/>
        </w:rPr>
        <w:t>ake estimates and assumptions that affect the reported amounts and the disclosure of contingent amounts in our consolidated financial statements and the accompanying notes. Examples of our significant accounting estimates and policies that may involve a hi</w:t>
      </w:r>
      <w:r>
        <w:rPr>
          <w:rFonts w:eastAsia="Times New Roman"/>
          <w:color w:val="000000"/>
          <w:sz w:val="20"/>
          <w:szCs w:val="20"/>
        </w:rPr>
        <w:t>gher degree of judgment and complexity than others include: the estimation of sales-based royalty revenues; the impairment of non-marketable equity investments; the valuation of inventories; the impairment of goodwill, other indefinite-lived assets and lon</w:t>
      </w:r>
      <w:r>
        <w:rPr>
          <w:rFonts w:eastAsia="Times New Roman"/>
          <w:color w:val="000000"/>
          <w:sz w:val="20"/>
          <w:szCs w:val="20"/>
        </w:rPr>
        <w:t>g-lived assets; the recognition, measurement and disclosure of loss contingencies related to legal and regulatory proceedings; and the calculation of our income tax provision, including the recognition and measurement of uncertain tax positions. Actual res</w:t>
      </w:r>
      <w:r>
        <w:rPr>
          <w:rFonts w:eastAsia="Times New Roman"/>
          <w:color w:val="000000"/>
          <w:sz w:val="20"/>
          <w:szCs w:val="20"/>
        </w:rPr>
        <w:t>ults could differ from those estimates. Certain prior year amounts have been reclassified to conform to the current year presentation.</w:t>
      </w:r>
    </w:p>
    <w:p w14:paraId="10C74D93" w14:textId="77777777" w:rsidR="00000000" w:rsidRDefault="009B6C69">
      <w:pPr>
        <w:ind w:firstLine="360"/>
        <w:divId w:val="1986162314"/>
        <w:rPr>
          <w:rFonts w:eastAsia="Times New Roman"/>
        </w:rPr>
      </w:pPr>
      <w:r>
        <w:rPr>
          <w:rFonts w:eastAsia="Times New Roman"/>
          <w:b/>
          <w:bCs/>
          <w:i/>
          <w:iCs/>
          <w:color w:val="000000"/>
          <w:sz w:val="20"/>
          <w:szCs w:val="20"/>
        </w:rPr>
        <w:t>Fiscal Year.</w:t>
      </w:r>
      <w:r>
        <w:rPr>
          <w:rFonts w:eastAsia="Times New Roman"/>
          <w:color w:val="000000"/>
          <w:sz w:val="20"/>
          <w:szCs w:val="20"/>
        </w:rPr>
        <w:t xml:space="preserve"> </w:t>
      </w:r>
      <w:r>
        <w:rPr>
          <w:rFonts w:eastAsia="Times New Roman"/>
          <w:color w:val="000000"/>
          <w:sz w:val="20"/>
          <w:szCs w:val="20"/>
        </w:rPr>
        <w:t xml:space="preserve">We operate and report using a 52-53 week fiscal year ending on the last Sunday in September. The fiscal years presented each included 52 weeks. </w:t>
      </w:r>
    </w:p>
    <w:p w14:paraId="48F7B168" w14:textId="77777777" w:rsidR="00000000" w:rsidRDefault="009B6C69">
      <w:pPr>
        <w:ind w:firstLine="360"/>
        <w:divId w:val="1407339584"/>
        <w:rPr>
          <w:rFonts w:eastAsia="Times New Roman"/>
        </w:rPr>
      </w:pPr>
      <w:r>
        <w:rPr>
          <w:rFonts w:eastAsia="Times New Roman"/>
          <w:b/>
          <w:bCs/>
          <w:i/>
          <w:iCs/>
          <w:color w:val="000000"/>
          <w:sz w:val="20"/>
          <w:szCs w:val="20"/>
        </w:rPr>
        <w:t>Cash Equivalents.</w:t>
      </w:r>
      <w:r>
        <w:rPr>
          <w:rFonts w:eastAsia="Times New Roman"/>
          <w:color w:val="000000"/>
          <w:sz w:val="20"/>
          <w:szCs w:val="20"/>
        </w:rPr>
        <w:t xml:space="preserve"> We consider all highly liquid investments with original maturities of 90 days or less to be c</w:t>
      </w:r>
      <w:r>
        <w:rPr>
          <w:rFonts w:eastAsia="Times New Roman"/>
          <w:color w:val="000000"/>
          <w:sz w:val="20"/>
          <w:szCs w:val="20"/>
        </w:rPr>
        <w:t>ash equivalents. Cash equivalents may be comprised of money market funds, certificates of deposit, commercial paper, corporate bonds and notes, certain bank time and demand deposits and government agencies’ securities. The carrying amounts approximate fair</w:t>
      </w:r>
      <w:r>
        <w:rPr>
          <w:rFonts w:eastAsia="Times New Roman"/>
          <w:color w:val="000000"/>
          <w:sz w:val="20"/>
          <w:szCs w:val="20"/>
        </w:rPr>
        <w:t xml:space="preserve"> value due to the short maturities of these instruments.</w:t>
      </w:r>
    </w:p>
    <w:p w14:paraId="615DB4AD" w14:textId="77777777" w:rsidR="00000000" w:rsidRDefault="009B6C69">
      <w:pPr>
        <w:ind w:firstLine="360"/>
        <w:divId w:val="1525946490"/>
        <w:rPr>
          <w:rFonts w:eastAsia="Times New Roman"/>
        </w:rPr>
      </w:pPr>
      <w:r>
        <w:rPr>
          <w:rFonts w:eastAsia="Times New Roman"/>
          <w:b/>
          <w:bCs/>
          <w:i/>
          <w:iCs/>
          <w:color w:val="000000"/>
          <w:sz w:val="20"/>
          <w:szCs w:val="20"/>
        </w:rPr>
        <w:t>Marketable Securities.</w:t>
      </w:r>
      <w:r>
        <w:rPr>
          <w:rFonts w:eastAsia="Times New Roman"/>
          <w:color w:val="000000"/>
          <w:sz w:val="20"/>
          <w:szCs w:val="20"/>
        </w:rPr>
        <w:t xml:space="preserve"> Marketable securities include marketable equity securities, available-for-sale debt securities and, from time-to-time, certain time deposits. We classify marketable securities </w:t>
      </w:r>
      <w:r>
        <w:rPr>
          <w:rFonts w:eastAsia="Times New Roman"/>
          <w:color w:val="000000"/>
          <w:sz w:val="20"/>
          <w:szCs w:val="20"/>
        </w:rPr>
        <w:t>as current or noncurrent based on the nature of the securities and their availability for use in current operations. Marketable securities are stated at fair value with all realized and unrealized gains and losses on investments in marketable equity securi</w:t>
      </w:r>
      <w:r>
        <w:rPr>
          <w:rFonts w:eastAsia="Times New Roman"/>
          <w:color w:val="000000"/>
          <w:sz w:val="20"/>
          <w:szCs w:val="20"/>
        </w:rPr>
        <w:t>ties and realized gains and losses on available-for-sale debt securities recognized in investment and other income (expense), net. Debt securities are classified as available for sale or held to maturity at the time of purchase and reevaluated at each bala</w:t>
      </w:r>
      <w:r>
        <w:rPr>
          <w:rFonts w:eastAsia="Times New Roman"/>
          <w:color w:val="000000"/>
          <w:sz w:val="20"/>
          <w:szCs w:val="20"/>
        </w:rPr>
        <w:t>nce sheet date. The realized and unrealized gains and losses on marketable securities are determined using the specific identification method.</w:t>
      </w:r>
    </w:p>
    <w:p w14:paraId="62E93F24" w14:textId="77777777" w:rsidR="00000000" w:rsidRDefault="009B6C69">
      <w:pPr>
        <w:ind w:firstLine="360"/>
        <w:divId w:val="37241507"/>
        <w:rPr>
          <w:rFonts w:eastAsia="Times New Roman"/>
        </w:rPr>
      </w:pPr>
      <w:r>
        <w:rPr>
          <w:rFonts w:eastAsia="Times New Roman"/>
          <w:color w:val="000000"/>
          <w:sz w:val="20"/>
          <w:szCs w:val="20"/>
        </w:rPr>
        <w:t>If a debt security has an unrealized loss and we either intend to sell the security or it is more likely than not</w:t>
      </w:r>
      <w:r>
        <w:rPr>
          <w:rFonts w:eastAsia="Times New Roman"/>
          <w:color w:val="000000"/>
          <w:sz w:val="20"/>
          <w:szCs w:val="20"/>
        </w:rPr>
        <w:t xml:space="preserve"> that we will be required to sell the security before its anticipated recovery, we record an impairment charge to investment and other income (expense), net for the entire amount of the unrealized loss and adjust the amortized cost basis of the security. F</w:t>
      </w:r>
      <w:r>
        <w:rPr>
          <w:rFonts w:eastAsia="Times New Roman"/>
          <w:color w:val="000000"/>
          <w:sz w:val="20"/>
          <w:szCs w:val="20"/>
        </w:rPr>
        <w:t xml:space="preserve">or the remaining debt securities, if an unrealized loss exists, we separate the impairment into the portion of the loss related to credit factors and the portion of the loss that is not related to credit factors. Unrealized gains or unrealized losses that </w:t>
      </w:r>
      <w:r>
        <w:rPr>
          <w:rFonts w:eastAsia="Times New Roman"/>
          <w:color w:val="000000"/>
          <w:sz w:val="20"/>
          <w:szCs w:val="20"/>
        </w:rPr>
        <w:t xml:space="preserve">are not related to credit factors on available-for-sale debt securities are recorded as a component of accumulated other comprehensive income (loss), net of income taxes. Unrealized losses that are related to credit loss factors on available-for-sale debt </w:t>
      </w:r>
      <w:r>
        <w:rPr>
          <w:rFonts w:eastAsia="Times New Roman"/>
          <w:color w:val="000000"/>
          <w:sz w:val="20"/>
          <w:szCs w:val="20"/>
        </w:rPr>
        <w:t>securities and subsequent adjustments to the credit loss are recorded as an allowance for credit losses, which is included in investment and other income (expense), net. In evaluating whether a credit loss exists, we consider a variety of factors, includin</w:t>
      </w:r>
      <w:r>
        <w:rPr>
          <w:rFonts w:eastAsia="Times New Roman"/>
          <w:color w:val="000000"/>
          <w:sz w:val="20"/>
          <w:szCs w:val="20"/>
        </w:rPr>
        <w:t>g the significance of the decline in value as compared to the cost basis; underlying factors contributing to a decline in the prices of securities in a single asset class; the security’s relative performance versus its peers, sector or asset class; the mar</w:t>
      </w:r>
      <w:r>
        <w:rPr>
          <w:rFonts w:eastAsia="Times New Roman"/>
          <w:color w:val="000000"/>
          <w:sz w:val="20"/>
          <w:szCs w:val="20"/>
        </w:rPr>
        <w:t>ket and economy in general; views of external investment managers; news or financial information that has been released specific to the investee; and the outlook for the overall industry in which the investee operates.</w:t>
      </w:r>
    </w:p>
    <w:p w14:paraId="2928304E" w14:textId="77777777" w:rsidR="00000000" w:rsidRDefault="009B6C69">
      <w:pPr>
        <w:ind w:firstLine="360"/>
        <w:divId w:val="363559496"/>
        <w:rPr>
          <w:rFonts w:eastAsia="Times New Roman"/>
        </w:rPr>
      </w:pPr>
      <w:r>
        <w:rPr>
          <w:rFonts w:eastAsia="Times New Roman"/>
          <w:b/>
          <w:bCs/>
          <w:i/>
          <w:iCs/>
          <w:color w:val="000000"/>
          <w:sz w:val="20"/>
          <w:szCs w:val="20"/>
        </w:rPr>
        <w:t>Equity Method and Non-marketable Equi</w:t>
      </w:r>
      <w:r>
        <w:rPr>
          <w:rFonts w:eastAsia="Times New Roman"/>
          <w:b/>
          <w:bCs/>
          <w:i/>
          <w:iCs/>
          <w:color w:val="000000"/>
          <w:sz w:val="20"/>
          <w:szCs w:val="20"/>
        </w:rPr>
        <w:t xml:space="preserve">ty Investments. </w:t>
      </w:r>
      <w:r>
        <w:rPr>
          <w:rFonts w:eastAsia="Times New Roman"/>
          <w:color w:val="000000"/>
          <w:sz w:val="20"/>
          <w:szCs w:val="20"/>
        </w:rPr>
        <w:t>Equity investments for which we have significant influence, but not control, over the investee and are not the primary beneficiary of the investee’s activities are accounted for under the equity method. Our share of gains and losses in equi</w:t>
      </w:r>
      <w:r>
        <w:rPr>
          <w:rFonts w:eastAsia="Times New Roman"/>
          <w:color w:val="000000"/>
          <w:sz w:val="20"/>
          <w:szCs w:val="20"/>
        </w:rPr>
        <w:t>ty method investments are recorded in investment and other income (expense), net. We eliminate unrealized profit or loss related to transactions with equity method investees in relation to our ownership interest in the investee, which is recorded as a comp</w:t>
      </w:r>
      <w:r>
        <w:rPr>
          <w:rFonts w:eastAsia="Times New Roman"/>
          <w:color w:val="000000"/>
          <w:sz w:val="20"/>
          <w:szCs w:val="20"/>
        </w:rPr>
        <w:t>onent of equity in net earnings (losses) in investees in investment and other income (expense), net. Non-marketable equity investments (for which we do not have significant influence or control) are investments without readily determinable fair values that</w:t>
      </w:r>
      <w:r>
        <w:rPr>
          <w:rFonts w:eastAsia="Times New Roman"/>
          <w:color w:val="000000"/>
          <w:sz w:val="20"/>
          <w:szCs w:val="20"/>
        </w:rPr>
        <w:t xml:space="preserve"> are recorded based on initial cost minus impairment, if any, plus or minus adjustments resulting from observable price changes in orderly transactions for identical or similar securities, if any. All gains and losses on investments in non-marketable equit</w:t>
      </w:r>
      <w:r>
        <w:rPr>
          <w:rFonts w:eastAsia="Times New Roman"/>
          <w:color w:val="000000"/>
          <w:sz w:val="20"/>
          <w:szCs w:val="20"/>
        </w:rPr>
        <w:t>y securities, realized and unrealized, are recognized in investment and other income (expense), net. We monitor equity method and non-marketable equity investments for events or circumstances that could indicate the investments are impaired, such as a dete</w:t>
      </w:r>
      <w:r>
        <w:rPr>
          <w:rFonts w:eastAsia="Times New Roman"/>
          <w:color w:val="000000"/>
          <w:sz w:val="20"/>
          <w:szCs w:val="20"/>
        </w:rPr>
        <w:t xml:space="preserve">rioration in the investee’s financial condition and business forecasts and lower valuations in recently completed or anticipated financings, and recognize a charge to investment and other income (expense), net for the difference between the estimated fair </w:t>
      </w:r>
      <w:r>
        <w:rPr>
          <w:rFonts w:eastAsia="Times New Roman"/>
          <w:color w:val="000000"/>
          <w:sz w:val="20"/>
          <w:szCs w:val="20"/>
        </w:rPr>
        <w:t xml:space="preserve">value and the carrying value. For </w:t>
      </w:r>
    </w:p>
    <w:p w14:paraId="05D1ED37" w14:textId="77777777" w:rsidR="00000000" w:rsidRDefault="009B6C69">
      <w:pPr>
        <w:jc w:val="center"/>
        <w:divId w:val="1379402976"/>
        <w:rPr>
          <w:rFonts w:eastAsia="Times New Roman"/>
        </w:rPr>
      </w:pPr>
      <w:r>
        <w:rPr>
          <w:rFonts w:eastAsia="Times New Roman"/>
          <w:color w:val="000000"/>
          <w:sz w:val="20"/>
          <w:szCs w:val="20"/>
        </w:rPr>
        <w:t>F-8</w:t>
      </w:r>
    </w:p>
    <w:p w14:paraId="61861864" w14:textId="77777777" w:rsidR="00000000" w:rsidRDefault="009B6C69">
      <w:pPr>
        <w:rPr>
          <w:rFonts w:eastAsia="Times New Roman"/>
        </w:rPr>
      </w:pPr>
      <w:r>
        <w:rPr>
          <w:rFonts w:eastAsia="Times New Roman"/>
        </w:rPr>
        <w:pict w14:anchorId="55AFACD9">
          <v:rect id="_x0000_i1088" style="width:0;height:1.5pt" o:hralign="center" o:hrstd="t" o:hr="t" fillcolor="#a0a0a0" stroked="f"/>
        </w:pict>
      </w:r>
    </w:p>
    <w:p w14:paraId="7062A41E" w14:textId="77777777" w:rsidR="00000000" w:rsidRDefault="009B6C69">
      <w:pPr>
        <w:jc w:val="center"/>
        <w:divId w:val="207374238"/>
        <w:rPr>
          <w:rFonts w:eastAsia="Times New Roman"/>
        </w:rPr>
      </w:pPr>
    </w:p>
    <w:p w14:paraId="133F1367" w14:textId="77777777" w:rsidR="00000000" w:rsidRDefault="009B6C69">
      <w:pPr>
        <w:jc w:val="center"/>
        <w:divId w:val="207374238"/>
        <w:rPr>
          <w:rFonts w:eastAsia="Times New Roman"/>
        </w:rPr>
      </w:pPr>
      <w:r>
        <w:rPr>
          <w:rFonts w:eastAsia="Times New Roman"/>
          <w:b/>
          <w:bCs/>
          <w:color w:val="000000"/>
          <w:sz w:val="20"/>
          <w:szCs w:val="20"/>
        </w:rPr>
        <w:t>QUALCOMM Incorporated</w:t>
      </w:r>
    </w:p>
    <w:p w14:paraId="75D81DAC" w14:textId="77777777" w:rsidR="00000000" w:rsidRDefault="009B6C69">
      <w:pPr>
        <w:jc w:val="center"/>
        <w:divId w:val="207374238"/>
        <w:rPr>
          <w:rFonts w:eastAsia="Times New Roman"/>
        </w:rPr>
      </w:pPr>
      <w:r>
        <w:rPr>
          <w:rFonts w:eastAsia="Times New Roman"/>
          <w:b/>
          <w:bCs/>
          <w:color w:val="000000"/>
          <w:sz w:val="20"/>
          <w:szCs w:val="20"/>
        </w:rPr>
        <w:t>NOTES TO CONSOLIDATED FINANCIAL STATEMENTS</w:t>
      </w:r>
    </w:p>
    <w:p w14:paraId="7EF745B8" w14:textId="77777777" w:rsidR="00000000" w:rsidRDefault="009B6C69">
      <w:pPr>
        <w:divId w:val="395323979"/>
        <w:rPr>
          <w:rFonts w:eastAsia="Times New Roman"/>
        </w:rPr>
      </w:pPr>
      <w:r>
        <w:rPr>
          <w:rFonts w:eastAsia="Times New Roman"/>
          <w:color w:val="000000"/>
          <w:sz w:val="20"/>
          <w:szCs w:val="20"/>
        </w:rPr>
        <w:t>equity method investments, we record impairment losses in earnings only when impairments are considered other-tha</w:t>
      </w:r>
      <w:r>
        <w:rPr>
          <w:rFonts w:eastAsia="Times New Roman"/>
          <w:color w:val="000000"/>
          <w:sz w:val="20"/>
          <w:szCs w:val="20"/>
        </w:rPr>
        <w:t>n-temporary.</w:t>
      </w:r>
    </w:p>
    <w:p w14:paraId="6F3A95F5" w14:textId="77777777" w:rsidR="00000000" w:rsidRDefault="009B6C69">
      <w:pPr>
        <w:ind w:firstLine="360"/>
        <w:divId w:val="169763947"/>
        <w:rPr>
          <w:rFonts w:eastAsia="Times New Roman"/>
        </w:rPr>
      </w:pPr>
      <w:r>
        <w:rPr>
          <w:rFonts w:eastAsia="Times New Roman"/>
          <w:b/>
          <w:bCs/>
          <w:i/>
          <w:iCs/>
          <w:color w:val="000000"/>
          <w:sz w:val="20"/>
          <w:szCs w:val="20"/>
        </w:rPr>
        <w:t>Derivatives.</w:t>
      </w:r>
      <w:r>
        <w:rPr>
          <w:rFonts w:eastAsia="Times New Roman"/>
          <w:color w:val="000000"/>
          <w:sz w:val="20"/>
          <w:szCs w:val="20"/>
        </w:rPr>
        <w:t xml:space="preserve"> Our primary objectives for holding derivative instruments are to manage foreign exchange risk for certain foreign currency revenues, operating expenses, receivables and payables and to manage interest rate risk associated with our</w:t>
      </w:r>
      <w:r>
        <w:rPr>
          <w:rFonts w:eastAsia="Times New Roman"/>
          <w:color w:val="000000"/>
          <w:sz w:val="20"/>
          <w:szCs w:val="20"/>
        </w:rPr>
        <w:t xml:space="preserve"> cash equivalents, marketable securities and long-term debt. Derivative instruments are recorded at fair value and included in other current or noncurrent assets or liabilities based on their maturity dates. Counterparties to these derivative instruments a</w:t>
      </w:r>
      <w:r>
        <w:rPr>
          <w:rFonts w:eastAsia="Times New Roman"/>
          <w:color w:val="000000"/>
          <w:sz w:val="20"/>
          <w:szCs w:val="20"/>
        </w:rPr>
        <w:t>re all major banking institutions. At September 25, 2022, the aggregate fair value of our derivative instruments recorded in total assets and in total liabilities were $271 million and $346 million, respectively. At September 26, 2021, the aggregate fair v</w:t>
      </w:r>
      <w:r>
        <w:rPr>
          <w:rFonts w:eastAsia="Times New Roman"/>
          <w:color w:val="000000"/>
          <w:sz w:val="20"/>
          <w:szCs w:val="20"/>
        </w:rPr>
        <w:t>alue of our derivative instruments recorded in total assets and in total liabilities were $42 million and $111 million, respectively.</w:t>
      </w:r>
    </w:p>
    <w:p w14:paraId="3597CA6C" w14:textId="77777777" w:rsidR="00000000" w:rsidRDefault="009B6C69">
      <w:pPr>
        <w:ind w:firstLine="360"/>
        <w:divId w:val="179659959"/>
        <w:rPr>
          <w:rFonts w:eastAsia="Times New Roman"/>
        </w:rPr>
      </w:pPr>
      <w:r>
        <w:rPr>
          <w:rFonts w:eastAsia="Times New Roman"/>
          <w:i/>
          <w:iCs/>
          <w:color w:val="000000"/>
          <w:sz w:val="20"/>
          <w:szCs w:val="20"/>
        </w:rPr>
        <w:t>Foreign Currency Hedges:</w:t>
      </w:r>
      <w:r>
        <w:rPr>
          <w:rFonts w:eastAsia="Times New Roman"/>
          <w:color w:val="000000"/>
          <w:sz w:val="20"/>
          <w:szCs w:val="20"/>
        </w:rPr>
        <w:t xml:space="preserve"> We manage our exposure to foreign exchange market risks, when deemed appropriate, through the use</w:t>
      </w:r>
      <w:r>
        <w:rPr>
          <w:rFonts w:eastAsia="Times New Roman"/>
          <w:color w:val="000000"/>
          <w:sz w:val="20"/>
          <w:szCs w:val="20"/>
        </w:rPr>
        <w:t xml:space="preserve"> of derivative instruments, including foreign currency forward and option contracts with financial counterparties, that may or may not be designated as hedging instruments. At September 25, 2022 and September 26, 2021, these derivative instruments had matu</w:t>
      </w:r>
      <w:r>
        <w:rPr>
          <w:rFonts w:eastAsia="Times New Roman"/>
          <w:color w:val="000000"/>
          <w:sz w:val="20"/>
          <w:szCs w:val="20"/>
        </w:rPr>
        <w:t>rity dates between</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and 21 months. Gains and losses arising from such contracts that are designated as cash flow hedging instruments are recorded as a component of accumulated other comprehensive income (loss) as gains and losses on derivative instrumen</w:t>
      </w:r>
      <w:r>
        <w:rPr>
          <w:rFonts w:eastAsia="Times New Roman"/>
          <w:color w:val="000000"/>
          <w:sz w:val="20"/>
          <w:szCs w:val="20"/>
        </w:rPr>
        <w:t xml:space="preserve">ts, net of income taxes. The hedging gains and losses in accumulated other comprehensive income (loss) are subsequently reclassified to revenues or costs and expenses, as applicable, in the consolidated statements of operations in the same period in which </w:t>
      </w:r>
      <w:r>
        <w:rPr>
          <w:rFonts w:eastAsia="Times New Roman"/>
          <w:color w:val="000000"/>
          <w:sz w:val="20"/>
          <w:szCs w:val="20"/>
        </w:rPr>
        <w:t>the underlying transactions affect our earnings. The cash flows associated with derivative instruments designated as cash flow hedging instruments are classified as cash flows from operating activities in the consolidated statements of cash flows, which is</w:t>
      </w:r>
      <w:r>
        <w:rPr>
          <w:rFonts w:eastAsia="Times New Roman"/>
          <w:color w:val="000000"/>
          <w:sz w:val="20"/>
          <w:szCs w:val="20"/>
        </w:rPr>
        <w:t xml:space="preserve"> the same category as the hedged transaction. </w:t>
      </w:r>
    </w:p>
    <w:p w14:paraId="1B3D52CD" w14:textId="77777777" w:rsidR="00000000" w:rsidRDefault="009B6C69">
      <w:pPr>
        <w:ind w:firstLine="360"/>
        <w:divId w:val="1741829321"/>
        <w:rPr>
          <w:rFonts w:eastAsia="Times New Roman"/>
        </w:rPr>
      </w:pPr>
      <w:r>
        <w:rPr>
          <w:rFonts w:eastAsia="Times New Roman"/>
          <w:color w:val="000000"/>
          <w:sz w:val="20"/>
          <w:szCs w:val="20"/>
        </w:rPr>
        <w:t>For foreign currency forward contracts not designated as hedging instruments, the changes in fair value are recorded in</w:t>
      </w:r>
      <w:r>
        <w:rPr>
          <w:rFonts w:eastAsia="Times New Roman"/>
          <w:color w:val="000000"/>
          <w:sz w:val="20"/>
          <w:szCs w:val="20"/>
        </w:rPr>
        <w:t xml:space="preserve"> </w:t>
      </w:r>
      <w:r>
        <w:rPr>
          <w:rFonts w:eastAsia="Times New Roman"/>
          <w:color w:val="000000"/>
          <w:sz w:val="20"/>
          <w:szCs w:val="20"/>
        </w:rPr>
        <w:t>investment and other income (expense</w:t>
      </w:r>
      <w:r>
        <w:rPr>
          <w:rFonts w:eastAsia="Times New Roman"/>
          <w:color w:val="000000"/>
          <w:sz w:val="20"/>
          <w:szCs w:val="20"/>
        </w:rPr>
        <w:t>)</w:t>
      </w:r>
      <w:r>
        <w:rPr>
          <w:rFonts w:eastAsia="Times New Roman"/>
          <w:color w:val="000000"/>
          <w:sz w:val="20"/>
          <w:szCs w:val="20"/>
        </w:rPr>
        <w:t>, net in the period of change. The cash flows associ</w:t>
      </w:r>
      <w:r>
        <w:rPr>
          <w:rFonts w:eastAsia="Times New Roman"/>
          <w:color w:val="000000"/>
          <w:sz w:val="20"/>
          <w:szCs w:val="20"/>
        </w:rPr>
        <w:t>ated with such derivative instruments not designated as hedging instruments are classified as cash flows from operating activities in the consolidated statements of cash flows, which is the same category as the hedged transaction.</w:t>
      </w:r>
    </w:p>
    <w:p w14:paraId="1A9E337A" w14:textId="77777777" w:rsidR="00000000" w:rsidRDefault="009B6C69">
      <w:pPr>
        <w:ind w:firstLine="360"/>
        <w:divId w:val="702092447"/>
        <w:rPr>
          <w:rFonts w:eastAsia="Times New Roman"/>
        </w:rPr>
      </w:pPr>
      <w:r>
        <w:rPr>
          <w:rFonts w:eastAsia="Times New Roman"/>
          <w:i/>
          <w:iCs/>
          <w:color w:val="000000"/>
          <w:sz w:val="20"/>
          <w:szCs w:val="20"/>
        </w:rPr>
        <w:t>Interest Rate Swaps:</w:t>
      </w:r>
      <w:r>
        <w:rPr>
          <w:rFonts w:eastAsia="Times New Roman"/>
          <w:b/>
          <w:bCs/>
          <w:i/>
          <w:iCs/>
          <w:color w:val="000000"/>
          <w:sz w:val="20"/>
          <w:szCs w:val="20"/>
        </w:rPr>
        <w:t xml:space="preserve"> </w:t>
      </w:r>
      <w:r>
        <w:rPr>
          <w:rFonts w:eastAsia="Times New Roman"/>
          <w:color w:val="000000"/>
          <w:sz w:val="20"/>
          <w:szCs w:val="20"/>
        </w:rPr>
        <w:t>From</w:t>
      </w:r>
      <w:r>
        <w:rPr>
          <w:rFonts w:eastAsia="Times New Roman"/>
          <w:color w:val="000000"/>
          <w:sz w:val="20"/>
          <w:szCs w:val="20"/>
        </w:rPr>
        <w:t xml:space="preserve"> time to time, we enter into interest rate swap agreements that allow us to effectively convert fixed-rate payments into floating-rate payments on portions of our outstanding long-term debt. We enter into these agreements, in part, to manage interest rate </w:t>
      </w:r>
      <w:r>
        <w:rPr>
          <w:rFonts w:eastAsia="Times New Roman"/>
          <w:color w:val="000000"/>
          <w:sz w:val="20"/>
          <w:szCs w:val="20"/>
        </w:rPr>
        <w:t xml:space="preserve">risk associated with our cash equivalents and marketable securities, in addition to changes in the fair value of our outstanding debt. These transactions are designated as fair value hedges, and the gains and losses related to changes in the fair value of </w:t>
      </w:r>
      <w:r>
        <w:rPr>
          <w:rFonts w:eastAsia="Times New Roman"/>
          <w:color w:val="000000"/>
          <w:sz w:val="20"/>
          <w:szCs w:val="20"/>
        </w:rPr>
        <w:t>the interest rate swaps substantially offset changes in the fair value of the hedged portion of the underlying debt that are attributable to changes in the market interest rates. The net gains and losses on the interest rate swaps, as well as the offsettin</w:t>
      </w:r>
      <w:r>
        <w:rPr>
          <w:rFonts w:eastAsia="Times New Roman"/>
          <w:color w:val="000000"/>
          <w:sz w:val="20"/>
          <w:szCs w:val="20"/>
        </w:rPr>
        <w:t>g gains or losses on the related fixed-rate debt attributable to the hedged risks, are recognized as interest expense in the current period. The interest settlement payments associated with the interest rate swap agreements are classified as cash flows fro</w:t>
      </w:r>
      <w:r>
        <w:rPr>
          <w:rFonts w:eastAsia="Times New Roman"/>
          <w:color w:val="000000"/>
          <w:sz w:val="20"/>
          <w:szCs w:val="20"/>
        </w:rPr>
        <w:t xml:space="preserve">m operating activities in the consolidated statements of cash flows. </w:t>
      </w:r>
    </w:p>
    <w:p w14:paraId="4229A138" w14:textId="77777777" w:rsidR="00000000" w:rsidRDefault="009B6C69">
      <w:pPr>
        <w:ind w:firstLine="360"/>
        <w:divId w:val="790631988"/>
        <w:rPr>
          <w:rFonts w:eastAsia="Times New Roman"/>
        </w:rPr>
      </w:pPr>
      <w:r>
        <w:rPr>
          <w:rFonts w:eastAsia="Times New Roman"/>
          <w:color w:val="000000"/>
          <w:sz w:val="20"/>
          <w:szCs w:val="20"/>
        </w:rPr>
        <w:t>During fiscal 2021, we entered into forward-starting interest rate swaps to hedge the variability of forecasted interest payments on certain anticipated debt issuances. These have been d</w:t>
      </w:r>
      <w:r>
        <w:rPr>
          <w:rFonts w:eastAsia="Times New Roman"/>
          <w:color w:val="000000"/>
          <w:sz w:val="20"/>
          <w:szCs w:val="20"/>
        </w:rPr>
        <w:t>esignated as cash flow hedges of forecasted transactions. The gains and losses arising from such contracts are recorded as a component in accumulated other comprehensive income (loss) as gains and losses on derivative instruments. When the anticipated debt</w:t>
      </w:r>
      <w:r>
        <w:rPr>
          <w:rFonts w:eastAsia="Times New Roman"/>
          <w:color w:val="000000"/>
          <w:sz w:val="20"/>
          <w:szCs w:val="20"/>
        </w:rPr>
        <w:t xml:space="preserve"> issuances are completed, the hedging gains and losses in accumulated other comprehensive income (loss) are reclassified as interest expense over the terms of the related debt issued. </w:t>
      </w:r>
    </w:p>
    <w:p w14:paraId="521AA946" w14:textId="77777777" w:rsidR="00000000" w:rsidRDefault="009B6C69">
      <w:pPr>
        <w:ind w:firstLine="360"/>
        <w:divId w:val="1686636532"/>
        <w:rPr>
          <w:rFonts w:eastAsia="Times New Roman"/>
        </w:rPr>
      </w:pPr>
      <w:r>
        <w:rPr>
          <w:rFonts w:eastAsia="Times New Roman"/>
          <w:i/>
          <w:iCs/>
          <w:color w:val="000000"/>
          <w:sz w:val="20"/>
          <w:szCs w:val="20"/>
        </w:rPr>
        <w:t>Gross Notional Amounts:</w:t>
      </w:r>
      <w:r>
        <w:rPr>
          <w:rFonts w:eastAsia="Times New Roman"/>
          <w:color w:val="000000"/>
          <w:sz w:val="20"/>
          <w:szCs w:val="20"/>
        </w:rPr>
        <w:t xml:space="preserve"> The gross notional amounts of our foreign curre</w:t>
      </w:r>
      <w:r>
        <w:rPr>
          <w:rFonts w:eastAsia="Times New Roman"/>
          <w:color w:val="000000"/>
          <w:sz w:val="20"/>
          <w:szCs w:val="20"/>
        </w:rPr>
        <w:t>ncy and interest rate derivatives by instrument type were as follows (in millions):</w:t>
      </w:r>
    </w:p>
    <w:tbl>
      <w:tblPr>
        <w:tblW w:w="4992" w:type="pct"/>
        <w:tblCellMar>
          <w:top w:w="15" w:type="dxa"/>
          <w:left w:w="15" w:type="dxa"/>
          <w:bottom w:w="15" w:type="dxa"/>
          <w:right w:w="15" w:type="dxa"/>
        </w:tblCellMar>
        <w:tblLook w:val="04A0" w:firstRow="1" w:lastRow="0" w:firstColumn="1" w:lastColumn="0" w:noHBand="0" w:noVBand="1"/>
      </w:tblPr>
      <w:tblGrid>
        <w:gridCol w:w="44"/>
        <w:gridCol w:w="6099"/>
        <w:gridCol w:w="36"/>
        <w:gridCol w:w="111"/>
        <w:gridCol w:w="870"/>
        <w:gridCol w:w="36"/>
        <w:gridCol w:w="36"/>
        <w:gridCol w:w="36"/>
        <w:gridCol w:w="36"/>
        <w:gridCol w:w="111"/>
        <w:gridCol w:w="842"/>
        <w:gridCol w:w="36"/>
      </w:tblGrid>
      <w:tr w:rsidR="00000000" w14:paraId="5DAA64B1" w14:textId="77777777">
        <w:trPr>
          <w:divId w:val="1686636532"/>
        </w:trPr>
        <w:tc>
          <w:tcPr>
            <w:tcW w:w="50" w:type="pct"/>
            <w:vAlign w:val="center"/>
            <w:hideMark/>
          </w:tcPr>
          <w:p w14:paraId="63DCCAA7" w14:textId="77777777" w:rsidR="00000000" w:rsidRDefault="009B6C69">
            <w:pPr>
              <w:ind w:firstLine="360"/>
              <w:rPr>
                <w:rFonts w:eastAsia="Times New Roman"/>
              </w:rPr>
            </w:pPr>
          </w:p>
        </w:tc>
        <w:tc>
          <w:tcPr>
            <w:tcW w:w="3700" w:type="pct"/>
            <w:vAlign w:val="center"/>
            <w:hideMark/>
          </w:tcPr>
          <w:p w14:paraId="28575BE9" w14:textId="77777777" w:rsidR="00000000" w:rsidRDefault="009B6C69">
            <w:pPr>
              <w:spacing w:after="100"/>
              <w:rPr>
                <w:rFonts w:eastAsia="Times New Roman"/>
                <w:sz w:val="20"/>
                <w:szCs w:val="20"/>
              </w:rPr>
            </w:pPr>
          </w:p>
        </w:tc>
        <w:tc>
          <w:tcPr>
            <w:tcW w:w="5" w:type="pct"/>
            <w:vAlign w:val="center"/>
            <w:hideMark/>
          </w:tcPr>
          <w:p w14:paraId="3A6DBB0F" w14:textId="77777777" w:rsidR="00000000" w:rsidRDefault="009B6C69">
            <w:pPr>
              <w:spacing w:after="100"/>
              <w:rPr>
                <w:rFonts w:eastAsia="Times New Roman"/>
                <w:sz w:val="20"/>
                <w:szCs w:val="20"/>
              </w:rPr>
            </w:pPr>
          </w:p>
        </w:tc>
        <w:tc>
          <w:tcPr>
            <w:tcW w:w="50" w:type="pct"/>
            <w:vAlign w:val="center"/>
            <w:hideMark/>
          </w:tcPr>
          <w:p w14:paraId="1EADF7E2" w14:textId="77777777" w:rsidR="00000000" w:rsidRDefault="009B6C69">
            <w:pPr>
              <w:spacing w:after="100"/>
              <w:rPr>
                <w:rFonts w:eastAsia="Times New Roman"/>
                <w:sz w:val="20"/>
                <w:szCs w:val="20"/>
              </w:rPr>
            </w:pPr>
          </w:p>
        </w:tc>
        <w:tc>
          <w:tcPr>
            <w:tcW w:w="548" w:type="pct"/>
            <w:vAlign w:val="center"/>
            <w:hideMark/>
          </w:tcPr>
          <w:p w14:paraId="130B4CE1" w14:textId="77777777" w:rsidR="00000000" w:rsidRDefault="009B6C69">
            <w:pPr>
              <w:spacing w:after="100"/>
              <w:rPr>
                <w:rFonts w:eastAsia="Times New Roman"/>
                <w:sz w:val="20"/>
                <w:szCs w:val="20"/>
              </w:rPr>
            </w:pPr>
          </w:p>
        </w:tc>
        <w:tc>
          <w:tcPr>
            <w:tcW w:w="5" w:type="pct"/>
            <w:vAlign w:val="center"/>
            <w:hideMark/>
          </w:tcPr>
          <w:p w14:paraId="33911AEC" w14:textId="77777777" w:rsidR="00000000" w:rsidRDefault="009B6C69">
            <w:pPr>
              <w:spacing w:after="100"/>
              <w:rPr>
                <w:rFonts w:eastAsia="Times New Roman"/>
                <w:sz w:val="20"/>
                <w:szCs w:val="20"/>
              </w:rPr>
            </w:pPr>
          </w:p>
        </w:tc>
        <w:tc>
          <w:tcPr>
            <w:tcW w:w="5" w:type="pct"/>
            <w:vAlign w:val="center"/>
            <w:hideMark/>
          </w:tcPr>
          <w:p w14:paraId="60C298A3" w14:textId="77777777" w:rsidR="00000000" w:rsidRDefault="009B6C69">
            <w:pPr>
              <w:spacing w:after="100"/>
              <w:rPr>
                <w:rFonts w:eastAsia="Times New Roman"/>
                <w:sz w:val="20"/>
                <w:szCs w:val="20"/>
              </w:rPr>
            </w:pPr>
          </w:p>
        </w:tc>
        <w:tc>
          <w:tcPr>
            <w:tcW w:w="27" w:type="pct"/>
            <w:vAlign w:val="center"/>
            <w:hideMark/>
          </w:tcPr>
          <w:p w14:paraId="24669B4E" w14:textId="77777777" w:rsidR="00000000" w:rsidRDefault="009B6C69">
            <w:pPr>
              <w:spacing w:after="100"/>
              <w:rPr>
                <w:rFonts w:eastAsia="Times New Roman"/>
                <w:sz w:val="20"/>
                <w:szCs w:val="20"/>
              </w:rPr>
            </w:pPr>
          </w:p>
        </w:tc>
        <w:tc>
          <w:tcPr>
            <w:tcW w:w="5" w:type="pct"/>
            <w:vAlign w:val="center"/>
            <w:hideMark/>
          </w:tcPr>
          <w:p w14:paraId="0F60BD01" w14:textId="77777777" w:rsidR="00000000" w:rsidRDefault="009B6C69">
            <w:pPr>
              <w:spacing w:after="100"/>
              <w:rPr>
                <w:rFonts w:eastAsia="Times New Roman"/>
                <w:sz w:val="20"/>
                <w:szCs w:val="20"/>
              </w:rPr>
            </w:pPr>
          </w:p>
        </w:tc>
        <w:tc>
          <w:tcPr>
            <w:tcW w:w="50" w:type="pct"/>
            <w:vAlign w:val="center"/>
            <w:hideMark/>
          </w:tcPr>
          <w:p w14:paraId="0D3F95A6" w14:textId="77777777" w:rsidR="00000000" w:rsidRDefault="009B6C69">
            <w:pPr>
              <w:spacing w:after="100"/>
              <w:rPr>
                <w:rFonts w:eastAsia="Times New Roman"/>
                <w:sz w:val="20"/>
                <w:szCs w:val="20"/>
              </w:rPr>
            </w:pPr>
          </w:p>
        </w:tc>
        <w:tc>
          <w:tcPr>
            <w:tcW w:w="548" w:type="pct"/>
            <w:vAlign w:val="center"/>
            <w:hideMark/>
          </w:tcPr>
          <w:p w14:paraId="5B5CC351" w14:textId="77777777" w:rsidR="00000000" w:rsidRDefault="009B6C69">
            <w:pPr>
              <w:spacing w:after="100"/>
              <w:rPr>
                <w:rFonts w:eastAsia="Times New Roman"/>
                <w:sz w:val="20"/>
                <w:szCs w:val="20"/>
              </w:rPr>
            </w:pPr>
          </w:p>
        </w:tc>
        <w:tc>
          <w:tcPr>
            <w:tcW w:w="5" w:type="pct"/>
            <w:vAlign w:val="center"/>
            <w:hideMark/>
          </w:tcPr>
          <w:p w14:paraId="10BDD53E" w14:textId="77777777" w:rsidR="00000000" w:rsidRDefault="009B6C69">
            <w:pPr>
              <w:spacing w:after="100"/>
              <w:rPr>
                <w:rFonts w:eastAsia="Times New Roman"/>
                <w:sz w:val="20"/>
                <w:szCs w:val="20"/>
              </w:rPr>
            </w:pPr>
          </w:p>
        </w:tc>
      </w:tr>
      <w:tr w:rsidR="00000000" w14:paraId="307C2EC9" w14:textId="77777777">
        <w:trPr>
          <w:divId w:val="1686636532"/>
        </w:trPr>
        <w:tc>
          <w:tcPr>
            <w:tcW w:w="0" w:type="auto"/>
            <w:gridSpan w:val="3"/>
            <w:tcMar>
              <w:top w:w="0" w:type="dxa"/>
              <w:left w:w="20" w:type="dxa"/>
              <w:bottom w:w="0" w:type="dxa"/>
              <w:right w:w="20" w:type="dxa"/>
            </w:tcMar>
            <w:vAlign w:val="center"/>
            <w:hideMark/>
          </w:tcPr>
          <w:p w14:paraId="6CE5CAD7"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6A39390" w14:textId="77777777" w:rsidR="00000000" w:rsidRDefault="009B6C69">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14:paraId="0C60E617"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C67AD9C" w14:textId="77777777" w:rsidR="00000000" w:rsidRDefault="009B6C69">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r>
      <w:tr w:rsidR="00000000" w14:paraId="077A4924" w14:textId="77777777">
        <w:trPr>
          <w:divId w:val="1686636532"/>
        </w:trPr>
        <w:tc>
          <w:tcPr>
            <w:tcW w:w="0" w:type="auto"/>
            <w:gridSpan w:val="3"/>
            <w:shd w:val="clear" w:color="auto" w:fill="CCEEFF"/>
            <w:tcMar>
              <w:top w:w="30" w:type="dxa"/>
              <w:left w:w="20" w:type="dxa"/>
              <w:bottom w:w="30" w:type="dxa"/>
              <w:right w:w="20" w:type="dxa"/>
            </w:tcMar>
            <w:vAlign w:val="bottom"/>
            <w:hideMark/>
          </w:tcPr>
          <w:p w14:paraId="271BAB44" w14:textId="77777777" w:rsidR="00000000" w:rsidRDefault="009B6C69">
            <w:pPr>
              <w:spacing w:after="100"/>
              <w:rPr>
                <w:rFonts w:eastAsia="Times New Roman"/>
              </w:rPr>
            </w:pPr>
            <w:r>
              <w:rPr>
                <w:rFonts w:eastAsia="Times New Roman"/>
                <w:color w:val="000000"/>
                <w:sz w:val="18"/>
                <w:szCs w:val="18"/>
              </w:rPr>
              <w:t>Forwards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8605CD"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9968DC" w14:textId="77777777" w:rsidR="00000000" w:rsidRDefault="009B6C69">
            <w:pPr>
              <w:spacing w:after="100"/>
              <w:jc w:val="right"/>
              <w:rPr>
                <w:rFonts w:eastAsia="Times New Roman"/>
              </w:rPr>
            </w:pPr>
            <w:r>
              <w:rPr>
                <w:rFonts w:eastAsia="Times New Roman"/>
                <w:color w:val="000000"/>
                <w:sz w:val="18"/>
                <w:szCs w:val="18"/>
              </w:rPr>
              <w:t>3,176 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587C3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A31277"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08450E"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4E2486" w14:textId="77777777" w:rsidR="00000000" w:rsidRDefault="009B6C69">
            <w:pPr>
              <w:spacing w:after="100"/>
              <w:jc w:val="right"/>
              <w:rPr>
                <w:rFonts w:eastAsia="Times New Roman"/>
              </w:rPr>
            </w:pPr>
            <w:r>
              <w:rPr>
                <w:rFonts w:eastAsia="Times New Roman"/>
                <w:color w:val="000000"/>
                <w:sz w:val="18"/>
                <w:szCs w:val="18"/>
              </w:rPr>
              <w:t>2,449 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DBD4AA" w14:textId="77777777" w:rsidR="00000000" w:rsidRDefault="009B6C69">
            <w:pPr>
              <w:spacing w:after="100"/>
              <w:jc w:val="right"/>
              <w:rPr>
                <w:rFonts w:eastAsia="Times New Roman"/>
              </w:rPr>
            </w:pPr>
          </w:p>
        </w:tc>
      </w:tr>
      <w:tr w:rsidR="00000000" w14:paraId="6FD8F8DA" w14:textId="77777777">
        <w:trPr>
          <w:divId w:val="1686636532"/>
        </w:trPr>
        <w:tc>
          <w:tcPr>
            <w:tcW w:w="0" w:type="auto"/>
            <w:gridSpan w:val="3"/>
            <w:vAlign w:val="center"/>
            <w:hideMark/>
          </w:tcPr>
          <w:p w14:paraId="79549336" w14:textId="77777777" w:rsidR="00000000" w:rsidRDefault="009B6C69">
            <w:pPr>
              <w:spacing w:after="100"/>
              <w:jc w:val="right"/>
              <w:rPr>
                <w:rFonts w:eastAsia="Times New Roman"/>
                <w:sz w:val="20"/>
                <w:szCs w:val="20"/>
              </w:rPr>
            </w:pPr>
          </w:p>
        </w:tc>
        <w:tc>
          <w:tcPr>
            <w:tcW w:w="0" w:type="auto"/>
            <w:gridSpan w:val="3"/>
            <w:vAlign w:val="center"/>
            <w:hideMark/>
          </w:tcPr>
          <w:p w14:paraId="3CA0741B" w14:textId="77777777" w:rsidR="00000000" w:rsidRDefault="009B6C69">
            <w:pPr>
              <w:spacing w:after="100"/>
              <w:rPr>
                <w:rFonts w:eastAsia="Times New Roman"/>
                <w:sz w:val="20"/>
                <w:szCs w:val="20"/>
              </w:rPr>
            </w:pPr>
          </w:p>
        </w:tc>
        <w:tc>
          <w:tcPr>
            <w:tcW w:w="0" w:type="auto"/>
            <w:gridSpan w:val="3"/>
            <w:vAlign w:val="center"/>
            <w:hideMark/>
          </w:tcPr>
          <w:p w14:paraId="72930274" w14:textId="77777777" w:rsidR="00000000" w:rsidRDefault="009B6C69">
            <w:pPr>
              <w:spacing w:after="100"/>
              <w:rPr>
                <w:rFonts w:eastAsia="Times New Roman"/>
                <w:sz w:val="20"/>
                <w:szCs w:val="20"/>
              </w:rPr>
            </w:pPr>
          </w:p>
        </w:tc>
        <w:tc>
          <w:tcPr>
            <w:tcW w:w="0" w:type="auto"/>
            <w:gridSpan w:val="3"/>
            <w:vAlign w:val="center"/>
            <w:hideMark/>
          </w:tcPr>
          <w:p w14:paraId="0CD20365" w14:textId="77777777" w:rsidR="00000000" w:rsidRDefault="009B6C69">
            <w:pPr>
              <w:spacing w:after="100"/>
              <w:rPr>
                <w:rFonts w:eastAsia="Times New Roman"/>
                <w:sz w:val="20"/>
                <w:szCs w:val="20"/>
              </w:rPr>
            </w:pPr>
          </w:p>
        </w:tc>
      </w:tr>
      <w:tr w:rsidR="00000000" w14:paraId="21F377E7" w14:textId="77777777">
        <w:trPr>
          <w:divId w:val="1686636532"/>
        </w:trPr>
        <w:tc>
          <w:tcPr>
            <w:tcW w:w="0" w:type="auto"/>
            <w:gridSpan w:val="3"/>
            <w:shd w:val="clear" w:color="auto" w:fill="FFFFFF"/>
            <w:tcMar>
              <w:top w:w="30" w:type="dxa"/>
              <w:left w:w="20" w:type="dxa"/>
              <w:bottom w:w="30" w:type="dxa"/>
              <w:right w:w="20" w:type="dxa"/>
            </w:tcMar>
            <w:vAlign w:val="bottom"/>
            <w:hideMark/>
          </w:tcPr>
          <w:p w14:paraId="71CFC81E" w14:textId="77777777" w:rsidR="00000000" w:rsidRDefault="009B6C69">
            <w:pPr>
              <w:spacing w:after="100"/>
              <w:rPr>
                <w:rFonts w:eastAsia="Times New Roman"/>
              </w:rPr>
            </w:pPr>
            <w:r>
              <w:rPr>
                <w:rFonts w:eastAsia="Times New Roman"/>
                <w:color w:val="000000"/>
                <w:sz w:val="18"/>
                <w:szCs w:val="18"/>
              </w:rPr>
              <w:t>Options</w:t>
            </w:r>
          </w:p>
        </w:tc>
        <w:tc>
          <w:tcPr>
            <w:tcW w:w="0" w:type="auto"/>
            <w:gridSpan w:val="2"/>
            <w:shd w:val="clear" w:color="auto" w:fill="FFFFFF"/>
            <w:tcMar>
              <w:top w:w="30" w:type="dxa"/>
              <w:left w:w="20" w:type="dxa"/>
              <w:bottom w:w="30" w:type="dxa"/>
              <w:right w:w="0" w:type="dxa"/>
            </w:tcMar>
            <w:vAlign w:val="bottom"/>
            <w:hideMark/>
          </w:tcPr>
          <w:p w14:paraId="4B3D09BA" w14:textId="77777777" w:rsidR="00000000" w:rsidRDefault="009B6C69">
            <w:pPr>
              <w:spacing w:after="100"/>
              <w:jc w:val="right"/>
              <w:rPr>
                <w:rFonts w:eastAsia="Times New Roman"/>
              </w:rPr>
            </w:pPr>
            <w:r>
              <w:rPr>
                <w:rFonts w:eastAsia="Times New Roman"/>
                <w:color w:val="000000"/>
                <w:sz w:val="18"/>
                <w:szCs w:val="18"/>
              </w:rPr>
              <w:t>881 </w:t>
            </w:r>
          </w:p>
        </w:tc>
        <w:tc>
          <w:tcPr>
            <w:tcW w:w="0" w:type="auto"/>
            <w:shd w:val="clear" w:color="auto" w:fill="FFFFFF"/>
            <w:tcMar>
              <w:top w:w="30" w:type="dxa"/>
              <w:left w:w="0" w:type="dxa"/>
              <w:bottom w:w="30" w:type="dxa"/>
              <w:right w:w="20" w:type="dxa"/>
            </w:tcMar>
            <w:vAlign w:val="bottom"/>
            <w:hideMark/>
          </w:tcPr>
          <w:p w14:paraId="7FAB14E2"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4D2D04"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C4E9A9" w14:textId="77777777" w:rsidR="00000000" w:rsidRDefault="009B6C69">
            <w:pPr>
              <w:spacing w:after="100"/>
              <w:jc w:val="right"/>
              <w:rPr>
                <w:rFonts w:eastAsia="Times New Roman"/>
              </w:rPr>
            </w:pPr>
            <w:r>
              <w:rPr>
                <w:rFonts w:eastAsia="Times New Roman"/>
                <w:color w:val="000000"/>
                <w:sz w:val="18"/>
                <w:szCs w:val="18"/>
              </w:rPr>
              <w:t>870 </w:t>
            </w:r>
          </w:p>
        </w:tc>
        <w:tc>
          <w:tcPr>
            <w:tcW w:w="0" w:type="auto"/>
            <w:shd w:val="clear" w:color="auto" w:fill="FFFFFF"/>
            <w:tcMar>
              <w:top w:w="30" w:type="dxa"/>
              <w:left w:w="0" w:type="dxa"/>
              <w:bottom w:w="30" w:type="dxa"/>
              <w:right w:w="20" w:type="dxa"/>
            </w:tcMar>
            <w:vAlign w:val="bottom"/>
            <w:hideMark/>
          </w:tcPr>
          <w:p w14:paraId="6544F838" w14:textId="77777777" w:rsidR="00000000" w:rsidRDefault="009B6C69">
            <w:pPr>
              <w:spacing w:after="100"/>
              <w:jc w:val="right"/>
              <w:rPr>
                <w:rFonts w:eastAsia="Times New Roman"/>
              </w:rPr>
            </w:pPr>
          </w:p>
        </w:tc>
      </w:tr>
      <w:tr w:rsidR="00000000" w14:paraId="4A8CB7A8" w14:textId="77777777">
        <w:trPr>
          <w:divId w:val="1686636532"/>
        </w:trPr>
        <w:tc>
          <w:tcPr>
            <w:tcW w:w="0" w:type="auto"/>
            <w:gridSpan w:val="3"/>
            <w:shd w:val="clear" w:color="auto" w:fill="CCEEFF"/>
            <w:tcMar>
              <w:top w:w="30" w:type="dxa"/>
              <w:left w:w="20" w:type="dxa"/>
              <w:bottom w:w="30" w:type="dxa"/>
              <w:right w:w="20" w:type="dxa"/>
            </w:tcMar>
            <w:vAlign w:val="bottom"/>
            <w:hideMark/>
          </w:tcPr>
          <w:p w14:paraId="144BA08D" w14:textId="77777777" w:rsidR="00000000" w:rsidRDefault="009B6C69">
            <w:pPr>
              <w:spacing w:after="100"/>
              <w:rPr>
                <w:rFonts w:eastAsia="Times New Roman"/>
              </w:rPr>
            </w:pPr>
            <w:r>
              <w:rPr>
                <w:rFonts w:eastAsia="Times New Roman"/>
                <w:color w:val="000000"/>
                <w:sz w:val="18"/>
                <w:szCs w:val="18"/>
              </w:rPr>
              <w:t>Swaps</w:t>
            </w:r>
          </w:p>
        </w:tc>
        <w:tc>
          <w:tcPr>
            <w:tcW w:w="0" w:type="auto"/>
            <w:gridSpan w:val="2"/>
            <w:shd w:val="clear" w:color="auto" w:fill="CCEEFF"/>
            <w:tcMar>
              <w:top w:w="30" w:type="dxa"/>
              <w:left w:w="20" w:type="dxa"/>
              <w:bottom w:w="30" w:type="dxa"/>
              <w:right w:w="0" w:type="dxa"/>
            </w:tcMar>
            <w:vAlign w:val="bottom"/>
            <w:hideMark/>
          </w:tcPr>
          <w:p w14:paraId="345B0D93" w14:textId="77777777" w:rsidR="00000000" w:rsidRDefault="009B6C69">
            <w:pPr>
              <w:spacing w:after="100"/>
              <w:jc w:val="right"/>
              <w:rPr>
                <w:rFonts w:eastAsia="Times New Roman"/>
              </w:rPr>
            </w:pPr>
            <w:r>
              <w:rPr>
                <w:rFonts w:eastAsia="Times New Roman"/>
                <w:color w:val="000000"/>
                <w:sz w:val="18"/>
                <w:szCs w:val="18"/>
              </w:rPr>
              <w:t>3,650 </w:t>
            </w:r>
          </w:p>
        </w:tc>
        <w:tc>
          <w:tcPr>
            <w:tcW w:w="0" w:type="auto"/>
            <w:shd w:val="clear" w:color="auto" w:fill="CCEEFF"/>
            <w:tcMar>
              <w:top w:w="30" w:type="dxa"/>
              <w:left w:w="0" w:type="dxa"/>
              <w:bottom w:w="30" w:type="dxa"/>
              <w:right w:w="20" w:type="dxa"/>
            </w:tcMar>
            <w:vAlign w:val="bottom"/>
            <w:hideMark/>
          </w:tcPr>
          <w:p w14:paraId="24249DC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C5281E"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A0DE6A" w14:textId="77777777" w:rsidR="00000000" w:rsidRDefault="009B6C69">
            <w:pPr>
              <w:spacing w:after="100"/>
              <w:jc w:val="right"/>
              <w:rPr>
                <w:rFonts w:eastAsia="Times New Roman"/>
              </w:rPr>
            </w:pPr>
            <w:r>
              <w:rPr>
                <w:rFonts w:eastAsia="Times New Roman"/>
                <w:color w:val="000000"/>
                <w:sz w:val="18"/>
                <w:szCs w:val="18"/>
              </w:rPr>
              <w:t>2,600 </w:t>
            </w:r>
          </w:p>
        </w:tc>
        <w:tc>
          <w:tcPr>
            <w:tcW w:w="0" w:type="auto"/>
            <w:shd w:val="clear" w:color="auto" w:fill="CCEEFF"/>
            <w:tcMar>
              <w:top w:w="30" w:type="dxa"/>
              <w:left w:w="0" w:type="dxa"/>
              <w:bottom w:w="30" w:type="dxa"/>
              <w:right w:w="20" w:type="dxa"/>
            </w:tcMar>
            <w:vAlign w:val="bottom"/>
            <w:hideMark/>
          </w:tcPr>
          <w:p w14:paraId="47816857" w14:textId="77777777" w:rsidR="00000000" w:rsidRDefault="009B6C69">
            <w:pPr>
              <w:spacing w:after="100"/>
              <w:jc w:val="right"/>
              <w:rPr>
                <w:rFonts w:eastAsia="Times New Roman"/>
              </w:rPr>
            </w:pPr>
          </w:p>
        </w:tc>
      </w:tr>
      <w:tr w:rsidR="00000000" w14:paraId="4216FF72" w14:textId="77777777">
        <w:trPr>
          <w:divId w:val="1686636532"/>
        </w:trPr>
        <w:tc>
          <w:tcPr>
            <w:tcW w:w="0" w:type="auto"/>
            <w:gridSpan w:val="3"/>
            <w:vAlign w:val="center"/>
            <w:hideMark/>
          </w:tcPr>
          <w:p w14:paraId="136E9102" w14:textId="77777777" w:rsidR="00000000" w:rsidRDefault="009B6C69">
            <w:pPr>
              <w:spacing w:after="100"/>
              <w:jc w:val="right"/>
              <w:rPr>
                <w:rFonts w:eastAsia="Times New Roman"/>
                <w:sz w:val="20"/>
                <w:szCs w:val="20"/>
              </w:rPr>
            </w:pPr>
          </w:p>
        </w:tc>
        <w:tc>
          <w:tcPr>
            <w:tcW w:w="0" w:type="auto"/>
            <w:gridSpan w:val="3"/>
            <w:vAlign w:val="center"/>
            <w:hideMark/>
          </w:tcPr>
          <w:p w14:paraId="13BDBF90" w14:textId="77777777" w:rsidR="00000000" w:rsidRDefault="009B6C69">
            <w:pPr>
              <w:spacing w:after="100"/>
              <w:rPr>
                <w:rFonts w:eastAsia="Times New Roman"/>
                <w:sz w:val="20"/>
                <w:szCs w:val="20"/>
              </w:rPr>
            </w:pPr>
          </w:p>
        </w:tc>
        <w:tc>
          <w:tcPr>
            <w:tcW w:w="0" w:type="auto"/>
            <w:gridSpan w:val="3"/>
            <w:vAlign w:val="center"/>
            <w:hideMark/>
          </w:tcPr>
          <w:p w14:paraId="716AB5E0" w14:textId="77777777" w:rsidR="00000000" w:rsidRDefault="009B6C69">
            <w:pPr>
              <w:spacing w:after="100"/>
              <w:rPr>
                <w:rFonts w:eastAsia="Times New Roman"/>
                <w:sz w:val="20"/>
                <w:szCs w:val="20"/>
              </w:rPr>
            </w:pPr>
          </w:p>
        </w:tc>
        <w:tc>
          <w:tcPr>
            <w:tcW w:w="0" w:type="auto"/>
            <w:gridSpan w:val="3"/>
            <w:vAlign w:val="center"/>
            <w:hideMark/>
          </w:tcPr>
          <w:p w14:paraId="25D045EB" w14:textId="77777777" w:rsidR="00000000" w:rsidRDefault="009B6C69">
            <w:pPr>
              <w:spacing w:after="100"/>
              <w:rPr>
                <w:rFonts w:eastAsia="Times New Roman"/>
                <w:sz w:val="20"/>
                <w:szCs w:val="20"/>
              </w:rPr>
            </w:pPr>
          </w:p>
        </w:tc>
      </w:tr>
      <w:tr w:rsidR="00000000" w14:paraId="4B0BC2BC" w14:textId="77777777">
        <w:trPr>
          <w:divId w:val="1686636532"/>
        </w:trPr>
        <w:tc>
          <w:tcPr>
            <w:tcW w:w="0" w:type="auto"/>
            <w:gridSpan w:val="3"/>
            <w:shd w:val="clear" w:color="auto" w:fill="FFFFFF"/>
            <w:tcMar>
              <w:top w:w="0" w:type="dxa"/>
              <w:left w:w="20" w:type="dxa"/>
              <w:bottom w:w="0" w:type="dxa"/>
              <w:right w:w="20" w:type="dxa"/>
            </w:tcMar>
            <w:vAlign w:val="center"/>
            <w:hideMark/>
          </w:tcPr>
          <w:p w14:paraId="07527F4D" w14:textId="77777777" w:rsidR="00000000" w:rsidRDefault="009B6C69">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2EA5A02"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38BB892" w14:textId="77777777" w:rsidR="00000000" w:rsidRDefault="009B6C69">
            <w:pPr>
              <w:spacing w:after="100"/>
              <w:jc w:val="right"/>
              <w:rPr>
                <w:rFonts w:eastAsia="Times New Roman"/>
              </w:rPr>
            </w:pPr>
            <w:r>
              <w:rPr>
                <w:rFonts w:eastAsia="Times New Roman"/>
                <w:color w:val="000000"/>
                <w:sz w:val="18"/>
                <w:szCs w:val="18"/>
              </w:rPr>
              <w:t>7,707 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349B92"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411B69"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C57026"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C6C35F3" w14:textId="77777777" w:rsidR="00000000" w:rsidRDefault="009B6C69">
            <w:pPr>
              <w:spacing w:after="100"/>
              <w:jc w:val="right"/>
              <w:rPr>
                <w:rFonts w:eastAsia="Times New Roman"/>
              </w:rPr>
            </w:pPr>
            <w:r>
              <w:rPr>
                <w:rFonts w:eastAsia="Times New Roman"/>
                <w:color w:val="000000"/>
                <w:sz w:val="18"/>
                <w:szCs w:val="18"/>
              </w:rPr>
              <w:t>5,919 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E5E8471" w14:textId="77777777" w:rsidR="00000000" w:rsidRDefault="009B6C69">
            <w:pPr>
              <w:spacing w:after="100"/>
              <w:jc w:val="right"/>
              <w:rPr>
                <w:rFonts w:eastAsia="Times New Roman"/>
              </w:rPr>
            </w:pPr>
          </w:p>
        </w:tc>
      </w:tr>
    </w:tbl>
    <w:p w14:paraId="1D3A7E6A" w14:textId="77777777" w:rsidR="00000000" w:rsidRDefault="009B6C69">
      <w:pPr>
        <w:jc w:val="center"/>
        <w:divId w:val="672149850"/>
        <w:rPr>
          <w:rFonts w:eastAsia="Times New Roman"/>
        </w:rPr>
      </w:pPr>
      <w:r>
        <w:rPr>
          <w:rFonts w:eastAsia="Times New Roman"/>
          <w:color w:val="000000"/>
          <w:sz w:val="20"/>
          <w:szCs w:val="20"/>
        </w:rPr>
        <w:t>F-9</w:t>
      </w:r>
    </w:p>
    <w:p w14:paraId="6810735C" w14:textId="77777777" w:rsidR="00000000" w:rsidRDefault="009B6C69">
      <w:pPr>
        <w:rPr>
          <w:rFonts w:eastAsia="Times New Roman"/>
        </w:rPr>
      </w:pPr>
      <w:r>
        <w:rPr>
          <w:rFonts w:eastAsia="Times New Roman"/>
        </w:rPr>
        <w:pict w14:anchorId="4F86D1AE">
          <v:rect id="_x0000_i1089" style="width:0;height:1.5pt" o:hralign="center" o:hrstd="t" o:hr="t" fillcolor="#a0a0a0" stroked="f"/>
        </w:pict>
      </w:r>
    </w:p>
    <w:p w14:paraId="5A267BDE" w14:textId="77777777" w:rsidR="00000000" w:rsidRDefault="009B6C69">
      <w:pPr>
        <w:jc w:val="center"/>
        <w:divId w:val="331376766"/>
        <w:rPr>
          <w:rFonts w:eastAsia="Times New Roman"/>
        </w:rPr>
      </w:pPr>
    </w:p>
    <w:p w14:paraId="116ADFA0" w14:textId="77777777" w:rsidR="00000000" w:rsidRDefault="009B6C69">
      <w:pPr>
        <w:jc w:val="center"/>
        <w:divId w:val="331376766"/>
        <w:rPr>
          <w:rFonts w:eastAsia="Times New Roman"/>
        </w:rPr>
      </w:pPr>
      <w:r>
        <w:rPr>
          <w:rFonts w:eastAsia="Times New Roman"/>
          <w:b/>
          <w:bCs/>
          <w:color w:val="000000"/>
          <w:sz w:val="20"/>
          <w:szCs w:val="20"/>
        </w:rPr>
        <w:t>QUALCOMM Incorporated</w:t>
      </w:r>
    </w:p>
    <w:p w14:paraId="4C11A6C9" w14:textId="77777777" w:rsidR="00000000" w:rsidRDefault="009B6C69">
      <w:pPr>
        <w:jc w:val="center"/>
        <w:divId w:val="331376766"/>
        <w:rPr>
          <w:rFonts w:eastAsia="Times New Roman"/>
        </w:rPr>
      </w:pPr>
      <w:r>
        <w:rPr>
          <w:rFonts w:eastAsia="Times New Roman"/>
          <w:b/>
          <w:bCs/>
          <w:color w:val="000000"/>
          <w:sz w:val="20"/>
          <w:szCs w:val="20"/>
        </w:rPr>
        <w:t>NOTES TO CONSOLIDATED FINANCIAL STATEMENTS</w:t>
      </w:r>
    </w:p>
    <w:p w14:paraId="5C38468F" w14:textId="77777777" w:rsidR="00000000" w:rsidRDefault="009B6C69">
      <w:pPr>
        <w:ind w:firstLine="360"/>
        <w:divId w:val="825782553"/>
        <w:rPr>
          <w:rFonts w:eastAsia="Times New Roman"/>
        </w:rPr>
      </w:pPr>
      <w:r>
        <w:rPr>
          <w:rFonts w:eastAsia="Times New Roman"/>
          <w:color w:val="000000"/>
          <w:sz w:val="20"/>
          <w:szCs w:val="20"/>
        </w:rPr>
        <w:t>The gross notional amounts of our derivatives by currency were as follows (in millions):</w:t>
      </w:r>
    </w:p>
    <w:tbl>
      <w:tblPr>
        <w:tblW w:w="4992" w:type="pct"/>
        <w:tblCellMar>
          <w:top w:w="15" w:type="dxa"/>
          <w:left w:w="15" w:type="dxa"/>
          <w:bottom w:w="15" w:type="dxa"/>
          <w:right w:w="15" w:type="dxa"/>
        </w:tblCellMar>
        <w:tblLook w:val="04A0" w:firstRow="1" w:lastRow="0" w:firstColumn="1" w:lastColumn="0" w:noHBand="0" w:noVBand="1"/>
      </w:tblPr>
      <w:tblGrid>
        <w:gridCol w:w="44"/>
        <w:gridCol w:w="6099"/>
        <w:gridCol w:w="37"/>
        <w:gridCol w:w="111"/>
        <w:gridCol w:w="870"/>
        <w:gridCol w:w="36"/>
        <w:gridCol w:w="36"/>
        <w:gridCol w:w="36"/>
        <w:gridCol w:w="36"/>
        <w:gridCol w:w="111"/>
        <w:gridCol w:w="841"/>
        <w:gridCol w:w="36"/>
      </w:tblGrid>
      <w:tr w:rsidR="00000000" w14:paraId="355EA3B0" w14:textId="77777777">
        <w:trPr>
          <w:divId w:val="825782553"/>
        </w:trPr>
        <w:tc>
          <w:tcPr>
            <w:tcW w:w="50" w:type="pct"/>
            <w:vAlign w:val="center"/>
            <w:hideMark/>
          </w:tcPr>
          <w:p w14:paraId="75F7B81C" w14:textId="77777777" w:rsidR="00000000" w:rsidRDefault="009B6C69">
            <w:pPr>
              <w:ind w:firstLine="360"/>
              <w:rPr>
                <w:rFonts w:eastAsia="Times New Roman"/>
              </w:rPr>
            </w:pPr>
          </w:p>
        </w:tc>
        <w:tc>
          <w:tcPr>
            <w:tcW w:w="3700" w:type="pct"/>
            <w:vAlign w:val="center"/>
            <w:hideMark/>
          </w:tcPr>
          <w:p w14:paraId="3B5EF40C" w14:textId="77777777" w:rsidR="00000000" w:rsidRDefault="009B6C69">
            <w:pPr>
              <w:spacing w:after="100"/>
              <w:rPr>
                <w:rFonts w:eastAsia="Times New Roman"/>
                <w:sz w:val="20"/>
                <w:szCs w:val="20"/>
              </w:rPr>
            </w:pPr>
          </w:p>
        </w:tc>
        <w:tc>
          <w:tcPr>
            <w:tcW w:w="5" w:type="pct"/>
            <w:vAlign w:val="center"/>
            <w:hideMark/>
          </w:tcPr>
          <w:p w14:paraId="44C53D29" w14:textId="77777777" w:rsidR="00000000" w:rsidRDefault="009B6C69">
            <w:pPr>
              <w:spacing w:after="100"/>
              <w:rPr>
                <w:rFonts w:eastAsia="Times New Roman"/>
                <w:sz w:val="20"/>
                <w:szCs w:val="20"/>
              </w:rPr>
            </w:pPr>
          </w:p>
        </w:tc>
        <w:tc>
          <w:tcPr>
            <w:tcW w:w="50" w:type="pct"/>
            <w:vAlign w:val="center"/>
            <w:hideMark/>
          </w:tcPr>
          <w:p w14:paraId="5DC82EB3" w14:textId="77777777" w:rsidR="00000000" w:rsidRDefault="009B6C69">
            <w:pPr>
              <w:spacing w:after="100"/>
              <w:rPr>
                <w:rFonts w:eastAsia="Times New Roman"/>
                <w:sz w:val="20"/>
                <w:szCs w:val="20"/>
              </w:rPr>
            </w:pPr>
          </w:p>
        </w:tc>
        <w:tc>
          <w:tcPr>
            <w:tcW w:w="548" w:type="pct"/>
            <w:vAlign w:val="center"/>
            <w:hideMark/>
          </w:tcPr>
          <w:p w14:paraId="63B47CF1" w14:textId="77777777" w:rsidR="00000000" w:rsidRDefault="009B6C69">
            <w:pPr>
              <w:spacing w:after="100"/>
              <w:rPr>
                <w:rFonts w:eastAsia="Times New Roman"/>
                <w:sz w:val="20"/>
                <w:szCs w:val="20"/>
              </w:rPr>
            </w:pPr>
          </w:p>
        </w:tc>
        <w:tc>
          <w:tcPr>
            <w:tcW w:w="5" w:type="pct"/>
            <w:vAlign w:val="center"/>
            <w:hideMark/>
          </w:tcPr>
          <w:p w14:paraId="1E2A0351" w14:textId="77777777" w:rsidR="00000000" w:rsidRDefault="009B6C69">
            <w:pPr>
              <w:spacing w:after="100"/>
              <w:rPr>
                <w:rFonts w:eastAsia="Times New Roman"/>
                <w:sz w:val="20"/>
                <w:szCs w:val="20"/>
              </w:rPr>
            </w:pPr>
          </w:p>
        </w:tc>
        <w:tc>
          <w:tcPr>
            <w:tcW w:w="5" w:type="pct"/>
            <w:vAlign w:val="center"/>
            <w:hideMark/>
          </w:tcPr>
          <w:p w14:paraId="4CCE0521" w14:textId="77777777" w:rsidR="00000000" w:rsidRDefault="009B6C69">
            <w:pPr>
              <w:spacing w:after="100"/>
              <w:rPr>
                <w:rFonts w:eastAsia="Times New Roman"/>
                <w:sz w:val="20"/>
                <w:szCs w:val="20"/>
              </w:rPr>
            </w:pPr>
          </w:p>
        </w:tc>
        <w:tc>
          <w:tcPr>
            <w:tcW w:w="27" w:type="pct"/>
            <w:vAlign w:val="center"/>
            <w:hideMark/>
          </w:tcPr>
          <w:p w14:paraId="16A7A080" w14:textId="77777777" w:rsidR="00000000" w:rsidRDefault="009B6C69">
            <w:pPr>
              <w:spacing w:after="100"/>
              <w:rPr>
                <w:rFonts w:eastAsia="Times New Roman"/>
                <w:sz w:val="20"/>
                <w:szCs w:val="20"/>
              </w:rPr>
            </w:pPr>
          </w:p>
        </w:tc>
        <w:tc>
          <w:tcPr>
            <w:tcW w:w="5" w:type="pct"/>
            <w:vAlign w:val="center"/>
            <w:hideMark/>
          </w:tcPr>
          <w:p w14:paraId="37C51C5A" w14:textId="77777777" w:rsidR="00000000" w:rsidRDefault="009B6C69">
            <w:pPr>
              <w:spacing w:after="100"/>
              <w:rPr>
                <w:rFonts w:eastAsia="Times New Roman"/>
                <w:sz w:val="20"/>
                <w:szCs w:val="20"/>
              </w:rPr>
            </w:pPr>
          </w:p>
        </w:tc>
        <w:tc>
          <w:tcPr>
            <w:tcW w:w="50" w:type="pct"/>
            <w:vAlign w:val="center"/>
            <w:hideMark/>
          </w:tcPr>
          <w:p w14:paraId="1FDD77F9" w14:textId="77777777" w:rsidR="00000000" w:rsidRDefault="009B6C69">
            <w:pPr>
              <w:spacing w:after="100"/>
              <w:rPr>
                <w:rFonts w:eastAsia="Times New Roman"/>
                <w:sz w:val="20"/>
                <w:szCs w:val="20"/>
              </w:rPr>
            </w:pPr>
          </w:p>
        </w:tc>
        <w:tc>
          <w:tcPr>
            <w:tcW w:w="548" w:type="pct"/>
            <w:vAlign w:val="center"/>
            <w:hideMark/>
          </w:tcPr>
          <w:p w14:paraId="0E5045AE" w14:textId="77777777" w:rsidR="00000000" w:rsidRDefault="009B6C69">
            <w:pPr>
              <w:spacing w:after="100"/>
              <w:rPr>
                <w:rFonts w:eastAsia="Times New Roman"/>
                <w:sz w:val="20"/>
                <w:szCs w:val="20"/>
              </w:rPr>
            </w:pPr>
          </w:p>
        </w:tc>
        <w:tc>
          <w:tcPr>
            <w:tcW w:w="5" w:type="pct"/>
            <w:vAlign w:val="center"/>
            <w:hideMark/>
          </w:tcPr>
          <w:p w14:paraId="388DDCDC" w14:textId="77777777" w:rsidR="00000000" w:rsidRDefault="009B6C69">
            <w:pPr>
              <w:spacing w:after="100"/>
              <w:rPr>
                <w:rFonts w:eastAsia="Times New Roman"/>
                <w:sz w:val="20"/>
                <w:szCs w:val="20"/>
              </w:rPr>
            </w:pPr>
          </w:p>
        </w:tc>
      </w:tr>
      <w:tr w:rsidR="00000000" w14:paraId="6BF3E32A" w14:textId="77777777">
        <w:trPr>
          <w:divId w:val="825782553"/>
        </w:trPr>
        <w:tc>
          <w:tcPr>
            <w:tcW w:w="0" w:type="auto"/>
            <w:gridSpan w:val="3"/>
            <w:tcMar>
              <w:top w:w="0" w:type="dxa"/>
              <w:left w:w="20" w:type="dxa"/>
              <w:bottom w:w="0" w:type="dxa"/>
              <w:right w:w="20" w:type="dxa"/>
            </w:tcMar>
            <w:vAlign w:val="center"/>
            <w:hideMark/>
          </w:tcPr>
          <w:p w14:paraId="0ABA6085"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B159008" w14:textId="77777777" w:rsidR="00000000" w:rsidRDefault="009B6C69">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14:paraId="754341D8"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041EB7D" w14:textId="77777777" w:rsidR="00000000" w:rsidRDefault="009B6C69">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r>
      <w:tr w:rsidR="00000000" w14:paraId="632C5B31" w14:textId="77777777">
        <w:trPr>
          <w:divId w:val="825782553"/>
        </w:trPr>
        <w:tc>
          <w:tcPr>
            <w:tcW w:w="0" w:type="auto"/>
            <w:gridSpan w:val="3"/>
            <w:shd w:val="clear" w:color="auto" w:fill="CCEEFF"/>
            <w:tcMar>
              <w:top w:w="30" w:type="dxa"/>
              <w:left w:w="20" w:type="dxa"/>
              <w:bottom w:w="30" w:type="dxa"/>
              <w:right w:w="20" w:type="dxa"/>
            </w:tcMar>
            <w:vAlign w:val="bottom"/>
            <w:hideMark/>
          </w:tcPr>
          <w:p w14:paraId="065EAA69" w14:textId="77777777" w:rsidR="00000000" w:rsidRDefault="009B6C69">
            <w:pPr>
              <w:spacing w:after="100"/>
              <w:rPr>
                <w:rFonts w:eastAsia="Times New Roman"/>
              </w:rPr>
            </w:pPr>
            <w:r>
              <w:rPr>
                <w:rFonts w:eastAsia="Times New Roman"/>
                <w:color w:val="000000"/>
                <w:sz w:val="18"/>
                <w:szCs w:val="18"/>
              </w:rPr>
              <w:t>British pound sterling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BC4433"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91525C" w14:textId="77777777" w:rsidR="00000000" w:rsidRDefault="009B6C69">
            <w:pPr>
              <w:spacing w:after="100"/>
              <w:jc w:val="right"/>
              <w:rPr>
                <w:rFonts w:eastAsia="Times New Roman"/>
              </w:rPr>
            </w:pPr>
            <w:r>
              <w:rPr>
                <w:rFonts w:eastAsia="Times New Roman"/>
                <w:color w:val="000000"/>
                <w:sz w:val="18"/>
                <w:szCs w:val="18"/>
              </w:rPr>
              <w:t>172 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117AC0"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9EDDBC"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AD41CD"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C21A69" w14:textId="77777777" w:rsidR="00000000" w:rsidRDefault="009B6C69">
            <w:pPr>
              <w:spacing w:after="100"/>
              <w:jc w:val="right"/>
              <w:rPr>
                <w:rFonts w:eastAsia="Times New Roman"/>
              </w:rPr>
            </w:pPr>
            <w:r>
              <w:rPr>
                <w:rFonts w:eastAsia="Times New Roman"/>
                <w:color w:val="000000"/>
                <w:sz w:val="18"/>
                <w:szCs w:val="18"/>
              </w:rPr>
              <w:t>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7BE5D1" w14:textId="77777777" w:rsidR="00000000" w:rsidRDefault="009B6C69">
            <w:pPr>
              <w:spacing w:after="100"/>
              <w:jc w:val="right"/>
              <w:rPr>
                <w:rFonts w:eastAsia="Times New Roman"/>
              </w:rPr>
            </w:pPr>
          </w:p>
        </w:tc>
      </w:tr>
      <w:tr w:rsidR="00000000" w14:paraId="4E37664D" w14:textId="77777777">
        <w:trPr>
          <w:divId w:val="825782553"/>
        </w:trPr>
        <w:tc>
          <w:tcPr>
            <w:tcW w:w="0" w:type="auto"/>
            <w:gridSpan w:val="3"/>
            <w:shd w:val="clear" w:color="auto" w:fill="FFFFFF"/>
            <w:tcMar>
              <w:top w:w="30" w:type="dxa"/>
              <w:left w:w="20" w:type="dxa"/>
              <w:bottom w:w="30" w:type="dxa"/>
              <w:right w:w="20" w:type="dxa"/>
            </w:tcMar>
            <w:vAlign w:val="bottom"/>
            <w:hideMark/>
          </w:tcPr>
          <w:p w14:paraId="37B33F97" w14:textId="77777777" w:rsidR="00000000" w:rsidRDefault="009B6C69">
            <w:pPr>
              <w:spacing w:after="100"/>
              <w:rPr>
                <w:rFonts w:eastAsia="Times New Roman"/>
              </w:rPr>
            </w:pPr>
            <w:r>
              <w:rPr>
                <w:rFonts w:eastAsia="Times New Roman"/>
                <w:color w:val="000000"/>
                <w:sz w:val="18"/>
                <w:szCs w:val="18"/>
              </w:rPr>
              <w:t>Chinese renminbi</w:t>
            </w:r>
          </w:p>
        </w:tc>
        <w:tc>
          <w:tcPr>
            <w:tcW w:w="0" w:type="auto"/>
            <w:gridSpan w:val="2"/>
            <w:shd w:val="clear" w:color="auto" w:fill="FFFFFF"/>
            <w:tcMar>
              <w:top w:w="30" w:type="dxa"/>
              <w:left w:w="20" w:type="dxa"/>
              <w:bottom w:w="30" w:type="dxa"/>
              <w:right w:w="0" w:type="dxa"/>
            </w:tcMar>
            <w:vAlign w:val="bottom"/>
            <w:hideMark/>
          </w:tcPr>
          <w:p w14:paraId="729B670F" w14:textId="77777777" w:rsidR="00000000" w:rsidRDefault="009B6C69">
            <w:pPr>
              <w:spacing w:after="100"/>
              <w:jc w:val="right"/>
              <w:rPr>
                <w:rFonts w:eastAsia="Times New Roman"/>
              </w:rPr>
            </w:pPr>
            <w:r>
              <w:rPr>
                <w:rFonts w:eastAsia="Times New Roman"/>
                <w:color w:val="000000"/>
                <w:sz w:val="18"/>
                <w:szCs w:val="18"/>
              </w:rPr>
              <w:t>1,920 </w:t>
            </w:r>
          </w:p>
        </w:tc>
        <w:tc>
          <w:tcPr>
            <w:tcW w:w="0" w:type="auto"/>
            <w:shd w:val="clear" w:color="auto" w:fill="FFFFFF"/>
            <w:tcMar>
              <w:top w:w="30" w:type="dxa"/>
              <w:left w:w="0" w:type="dxa"/>
              <w:bottom w:w="30" w:type="dxa"/>
              <w:right w:w="20" w:type="dxa"/>
            </w:tcMar>
            <w:vAlign w:val="bottom"/>
            <w:hideMark/>
          </w:tcPr>
          <w:p w14:paraId="4ECD972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2D3C0A"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65294C" w14:textId="77777777" w:rsidR="00000000" w:rsidRDefault="009B6C69">
            <w:pPr>
              <w:spacing w:after="100"/>
              <w:jc w:val="right"/>
              <w:rPr>
                <w:rFonts w:eastAsia="Times New Roman"/>
              </w:rPr>
            </w:pPr>
            <w:r>
              <w:rPr>
                <w:rFonts w:eastAsia="Times New Roman"/>
                <w:color w:val="000000"/>
                <w:sz w:val="18"/>
                <w:szCs w:val="18"/>
              </w:rPr>
              <w:t>1,627 </w:t>
            </w:r>
          </w:p>
        </w:tc>
        <w:tc>
          <w:tcPr>
            <w:tcW w:w="0" w:type="auto"/>
            <w:shd w:val="clear" w:color="auto" w:fill="FFFFFF"/>
            <w:tcMar>
              <w:top w:w="30" w:type="dxa"/>
              <w:left w:w="0" w:type="dxa"/>
              <w:bottom w:w="30" w:type="dxa"/>
              <w:right w:w="20" w:type="dxa"/>
            </w:tcMar>
            <w:vAlign w:val="bottom"/>
            <w:hideMark/>
          </w:tcPr>
          <w:p w14:paraId="1DEDFE09" w14:textId="77777777" w:rsidR="00000000" w:rsidRDefault="009B6C69">
            <w:pPr>
              <w:spacing w:after="100"/>
              <w:jc w:val="right"/>
              <w:rPr>
                <w:rFonts w:eastAsia="Times New Roman"/>
              </w:rPr>
            </w:pPr>
          </w:p>
        </w:tc>
      </w:tr>
      <w:tr w:rsidR="00000000" w14:paraId="57CA8548" w14:textId="77777777">
        <w:trPr>
          <w:divId w:val="825782553"/>
        </w:trPr>
        <w:tc>
          <w:tcPr>
            <w:tcW w:w="0" w:type="auto"/>
            <w:gridSpan w:val="3"/>
            <w:shd w:val="clear" w:color="auto" w:fill="CCEEFF"/>
            <w:tcMar>
              <w:top w:w="30" w:type="dxa"/>
              <w:left w:w="20" w:type="dxa"/>
              <w:bottom w:w="30" w:type="dxa"/>
              <w:right w:w="20" w:type="dxa"/>
            </w:tcMar>
            <w:vAlign w:val="bottom"/>
            <w:hideMark/>
          </w:tcPr>
          <w:p w14:paraId="3E5C794E" w14:textId="77777777" w:rsidR="00000000" w:rsidRDefault="009B6C69">
            <w:pPr>
              <w:spacing w:after="100"/>
              <w:rPr>
                <w:rFonts w:eastAsia="Times New Roman"/>
              </w:rPr>
            </w:pPr>
            <w:r>
              <w:rPr>
                <w:rFonts w:eastAsia="Times New Roman"/>
                <w:color w:val="000000"/>
                <w:sz w:val="18"/>
                <w:szCs w:val="18"/>
              </w:rPr>
              <w:t>Euro</w:t>
            </w:r>
          </w:p>
        </w:tc>
        <w:tc>
          <w:tcPr>
            <w:tcW w:w="0" w:type="auto"/>
            <w:gridSpan w:val="2"/>
            <w:shd w:val="clear" w:color="auto" w:fill="CCEEFF"/>
            <w:tcMar>
              <w:top w:w="30" w:type="dxa"/>
              <w:left w:w="20" w:type="dxa"/>
              <w:bottom w:w="30" w:type="dxa"/>
              <w:right w:w="0" w:type="dxa"/>
            </w:tcMar>
            <w:vAlign w:val="bottom"/>
            <w:hideMark/>
          </w:tcPr>
          <w:p w14:paraId="7CA67D4C" w14:textId="77777777" w:rsidR="00000000" w:rsidRDefault="009B6C69">
            <w:pPr>
              <w:spacing w:after="100"/>
              <w:jc w:val="right"/>
              <w:rPr>
                <w:rFonts w:eastAsia="Times New Roman"/>
              </w:rPr>
            </w:pPr>
            <w:r>
              <w:rPr>
                <w:rFonts w:eastAsia="Times New Roman"/>
                <w:color w:val="000000"/>
                <w:sz w:val="18"/>
                <w:szCs w:val="18"/>
              </w:rPr>
              <w:t>206 </w:t>
            </w:r>
          </w:p>
        </w:tc>
        <w:tc>
          <w:tcPr>
            <w:tcW w:w="0" w:type="auto"/>
            <w:shd w:val="clear" w:color="auto" w:fill="CCEEFF"/>
            <w:tcMar>
              <w:top w:w="30" w:type="dxa"/>
              <w:left w:w="0" w:type="dxa"/>
              <w:bottom w:w="30" w:type="dxa"/>
              <w:right w:w="20" w:type="dxa"/>
            </w:tcMar>
            <w:vAlign w:val="bottom"/>
            <w:hideMark/>
          </w:tcPr>
          <w:p w14:paraId="1A21D64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254904"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6EEA47"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E1E9F1A" w14:textId="77777777" w:rsidR="00000000" w:rsidRDefault="009B6C69">
            <w:pPr>
              <w:spacing w:after="100"/>
              <w:jc w:val="right"/>
              <w:rPr>
                <w:rFonts w:eastAsia="Times New Roman"/>
              </w:rPr>
            </w:pPr>
          </w:p>
        </w:tc>
      </w:tr>
      <w:tr w:rsidR="00000000" w14:paraId="1BB46952" w14:textId="77777777">
        <w:trPr>
          <w:divId w:val="825782553"/>
        </w:trPr>
        <w:tc>
          <w:tcPr>
            <w:tcW w:w="0" w:type="auto"/>
            <w:gridSpan w:val="3"/>
            <w:shd w:val="clear" w:color="auto" w:fill="FFFFFF"/>
            <w:tcMar>
              <w:top w:w="30" w:type="dxa"/>
              <w:left w:w="20" w:type="dxa"/>
              <w:bottom w:w="30" w:type="dxa"/>
              <w:right w:w="20" w:type="dxa"/>
            </w:tcMar>
            <w:vAlign w:val="bottom"/>
            <w:hideMark/>
          </w:tcPr>
          <w:p w14:paraId="0F67F706" w14:textId="77777777" w:rsidR="00000000" w:rsidRDefault="009B6C69">
            <w:pPr>
              <w:spacing w:after="100"/>
              <w:rPr>
                <w:rFonts w:eastAsia="Times New Roman"/>
              </w:rPr>
            </w:pPr>
            <w:r>
              <w:rPr>
                <w:rFonts w:eastAsia="Times New Roman"/>
                <w:color w:val="000000"/>
                <w:sz w:val="18"/>
                <w:szCs w:val="18"/>
              </w:rPr>
              <w:t>Indian rupee</w:t>
            </w:r>
          </w:p>
        </w:tc>
        <w:tc>
          <w:tcPr>
            <w:tcW w:w="0" w:type="auto"/>
            <w:gridSpan w:val="2"/>
            <w:shd w:val="clear" w:color="auto" w:fill="FFFFFF"/>
            <w:tcMar>
              <w:top w:w="30" w:type="dxa"/>
              <w:left w:w="20" w:type="dxa"/>
              <w:bottom w:w="30" w:type="dxa"/>
              <w:right w:w="0" w:type="dxa"/>
            </w:tcMar>
            <w:vAlign w:val="bottom"/>
            <w:hideMark/>
          </w:tcPr>
          <w:p w14:paraId="227C48D2" w14:textId="77777777" w:rsidR="00000000" w:rsidRDefault="009B6C69">
            <w:pPr>
              <w:spacing w:after="100"/>
              <w:jc w:val="right"/>
              <w:rPr>
                <w:rFonts w:eastAsia="Times New Roman"/>
              </w:rPr>
            </w:pPr>
            <w:r>
              <w:rPr>
                <w:rFonts w:eastAsia="Times New Roman"/>
                <w:color w:val="000000"/>
                <w:sz w:val="18"/>
                <w:szCs w:val="18"/>
              </w:rPr>
              <w:t>1,657 </w:t>
            </w:r>
          </w:p>
        </w:tc>
        <w:tc>
          <w:tcPr>
            <w:tcW w:w="0" w:type="auto"/>
            <w:shd w:val="clear" w:color="auto" w:fill="FFFFFF"/>
            <w:tcMar>
              <w:top w:w="30" w:type="dxa"/>
              <w:left w:w="0" w:type="dxa"/>
              <w:bottom w:w="30" w:type="dxa"/>
              <w:right w:w="20" w:type="dxa"/>
            </w:tcMar>
            <w:vAlign w:val="bottom"/>
            <w:hideMark/>
          </w:tcPr>
          <w:p w14:paraId="15025724"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D5B20F"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1CA2D8" w14:textId="77777777" w:rsidR="00000000" w:rsidRDefault="009B6C69">
            <w:pPr>
              <w:spacing w:after="100"/>
              <w:jc w:val="right"/>
              <w:rPr>
                <w:rFonts w:eastAsia="Times New Roman"/>
              </w:rPr>
            </w:pPr>
            <w:r>
              <w:rPr>
                <w:rFonts w:eastAsia="Times New Roman"/>
                <w:color w:val="000000"/>
                <w:sz w:val="18"/>
                <w:szCs w:val="18"/>
              </w:rPr>
              <w:t>1,262 </w:t>
            </w:r>
          </w:p>
        </w:tc>
        <w:tc>
          <w:tcPr>
            <w:tcW w:w="0" w:type="auto"/>
            <w:shd w:val="clear" w:color="auto" w:fill="FFFFFF"/>
            <w:tcMar>
              <w:top w:w="30" w:type="dxa"/>
              <w:left w:w="0" w:type="dxa"/>
              <w:bottom w:w="30" w:type="dxa"/>
              <w:right w:w="20" w:type="dxa"/>
            </w:tcMar>
            <w:vAlign w:val="bottom"/>
            <w:hideMark/>
          </w:tcPr>
          <w:p w14:paraId="5FA0178D" w14:textId="77777777" w:rsidR="00000000" w:rsidRDefault="009B6C69">
            <w:pPr>
              <w:spacing w:after="100"/>
              <w:jc w:val="right"/>
              <w:rPr>
                <w:rFonts w:eastAsia="Times New Roman"/>
              </w:rPr>
            </w:pPr>
          </w:p>
        </w:tc>
      </w:tr>
      <w:tr w:rsidR="00000000" w14:paraId="4994C4E5" w14:textId="77777777">
        <w:trPr>
          <w:divId w:val="825782553"/>
        </w:trPr>
        <w:tc>
          <w:tcPr>
            <w:tcW w:w="0" w:type="auto"/>
            <w:gridSpan w:val="3"/>
            <w:shd w:val="clear" w:color="auto" w:fill="CCEEFF"/>
            <w:tcMar>
              <w:top w:w="30" w:type="dxa"/>
              <w:left w:w="20" w:type="dxa"/>
              <w:bottom w:w="30" w:type="dxa"/>
              <w:right w:w="20" w:type="dxa"/>
            </w:tcMar>
            <w:vAlign w:val="bottom"/>
            <w:hideMark/>
          </w:tcPr>
          <w:p w14:paraId="7339343F" w14:textId="77777777" w:rsidR="00000000" w:rsidRDefault="009B6C69">
            <w:pPr>
              <w:spacing w:after="100"/>
              <w:rPr>
                <w:rFonts w:eastAsia="Times New Roman"/>
              </w:rPr>
            </w:pPr>
            <w:r>
              <w:rPr>
                <w:rFonts w:eastAsia="Times New Roman"/>
                <w:color w:val="000000"/>
                <w:sz w:val="18"/>
                <w:szCs w:val="18"/>
              </w:rPr>
              <w:t>Japanese yen</w:t>
            </w:r>
          </w:p>
        </w:tc>
        <w:tc>
          <w:tcPr>
            <w:tcW w:w="0" w:type="auto"/>
            <w:gridSpan w:val="2"/>
            <w:shd w:val="clear" w:color="auto" w:fill="CCEEFF"/>
            <w:tcMar>
              <w:top w:w="30" w:type="dxa"/>
              <w:left w:w="20" w:type="dxa"/>
              <w:bottom w:w="30" w:type="dxa"/>
              <w:right w:w="0" w:type="dxa"/>
            </w:tcMar>
            <w:vAlign w:val="bottom"/>
            <w:hideMark/>
          </w:tcPr>
          <w:p w14:paraId="74963D55" w14:textId="77777777" w:rsidR="00000000" w:rsidRDefault="009B6C69">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bottom"/>
            <w:hideMark/>
          </w:tcPr>
          <w:p w14:paraId="42BBEE2C"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ACF769"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9C406E" w14:textId="77777777" w:rsidR="00000000" w:rsidRDefault="009B6C69">
            <w:pPr>
              <w:spacing w:after="100"/>
              <w:jc w:val="right"/>
              <w:rPr>
                <w:rFonts w:eastAsia="Times New Roman"/>
              </w:rPr>
            </w:pPr>
            <w:r>
              <w:rPr>
                <w:rFonts w:eastAsia="Times New Roman"/>
                <w:color w:val="000000"/>
                <w:sz w:val="18"/>
                <w:szCs w:val="18"/>
              </w:rPr>
              <w:t>27 </w:t>
            </w:r>
          </w:p>
        </w:tc>
        <w:tc>
          <w:tcPr>
            <w:tcW w:w="0" w:type="auto"/>
            <w:shd w:val="clear" w:color="auto" w:fill="CCEEFF"/>
            <w:tcMar>
              <w:top w:w="30" w:type="dxa"/>
              <w:left w:w="0" w:type="dxa"/>
              <w:bottom w:w="30" w:type="dxa"/>
              <w:right w:w="20" w:type="dxa"/>
            </w:tcMar>
            <w:vAlign w:val="bottom"/>
            <w:hideMark/>
          </w:tcPr>
          <w:p w14:paraId="616061CC" w14:textId="77777777" w:rsidR="00000000" w:rsidRDefault="009B6C69">
            <w:pPr>
              <w:spacing w:after="100"/>
              <w:jc w:val="right"/>
              <w:rPr>
                <w:rFonts w:eastAsia="Times New Roman"/>
              </w:rPr>
            </w:pPr>
          </w:p>
        </w:tc>
      </w:tr>
      <w:tr w:rsidR="00000000" w14:paraId="09C521DB" w14:textId="77777777">
        <w:trPr>
          <w:divId w:val="825782553"/>
        </w:trPr>
        <w:tc>
          <w:tcPr>
            <w:tcW w:w="0" w:type="auto"/>
            <w:gridSpan w:val="3"/>
            <w:vAlign w:val="center"/>
            <w:hideMark/>
          </w:tcPr>
          <w:p w14:paraId="6B5273B5" w14:textId="77777777" w:rsidR="00000000" w:rsidRDefault="009B6C69">
            <w:pPr>
              <w:spacing w:after="100"/>
              <w:jc w:val="right"/>
              <w:rPr>
                <w:rFonts w:eastAsia="Times New Roman"/>
                <w:sz w:val="20"/>
                <w:szCs w:val="20"/>
              </w:rPr>
            </w:pPr>
          </w:p>
        </w:tc>
        <w:tc>
          <w:tcPr>
            <w:tcW w:w="0" w:type="auto"/>
            <w:gridSpan w:val="3"/>
            <w:vAlign w:val="center"/>
            <w:hideMark/>
          </w:tcPr>
          <w:p w14:paraId="552DE3E2" w14:textId="77777777" w:rsidR="00000000" w:rsidRDefault="009B6C69">
            <w:pPr>
              <w:spacing w:after="100"/>
              <w:rPr>
                <w:rFonts w:eastAsia="Times New Roman"/>
                <w:sz w:val="20"/>
                <w:szCs w:val="20"/>
              </w:rPr>
            </w:pPr>
          </w:p>
        </w:tc>
        <w:tc>
          <w:tcPr>
            <w:tcW w:w="0" w:type="auto"/>
            <w:gridSpan w:val="3"/>
            <w:vAlign w:val="center"/>
            <w:hideMark/>
          </w:tcPr>
          <w:p w14:paraId="5C8C3C20" w14:textId="77777777" w:rsidR="00000000" w:rsidRDefault="009B6C69">
            <w:pPr>
              <w:spacing w:after="100"/>
              <w:rPr>
                <w:rFonts w:eastAsia="Times New Roman"/>
                <w:sz w:val="20"/>
                <w:szCs w:val="20"/>
              </w:rPr>
            </w:pPr>
          </w:p>
        </w:tc>
        <w:tc>
          <w:tcPr>
            <w:tcW w:w="0" w:type="auto"/>
            <w:gridSpan w:val="3"/>
            <w:vAlign w:val="center"/>
            <w:hideMark/>
          </w:tcPr>
          <w:p w14:paraId="0AEB8E77" w14:textId="77777777" w:rsidR="00000000" w:rsidRDefault="009B6C69">
            <w:pPr>
              <w:spacing w:after="100"/>
              <w:rPr>
                <w:rFonts w:eastAsia="Times New Roman"/>
                <w:sz w:val="20"/>
                <w:szCs w:val="20"/>
              </w:rPr>
            </w:pPr>
          </w:p>
        </w:tc>
      </w:tr>
      <w:tr w:rsidR="00000000" w14:paraId="23A7EC07" w14:textId="77777777">
        <w:trPr>
          <w:divId w:val="825782553"/>
        </w:trPr>
        <w:tc>
          <w:tcPr>
            <w:tcW w:w="0" w:type="auto"/>
            <w:gridSpan w:val="3"/>
            <w:shd w:val="clear" w:color="auto" w:fill="FFFFFF"/>
            <w:tcMar>
              <w:top w:w="30" w:type="dxa"/>
              <w:left w:w="20" w:type="dxa"/>
              <w:bottom w:w="30" w:type="dxa"/>
              <w:right w:w="20" w:type="dxa"/>
            </w:tcMar>
            <w:vAlign w:val="bottom"/>
            <w:hideMark/>
          </w:tcPr>
          <w:p w14:paraId="6AB091FE" w14:textId="77777777" w:rsidR="00000000" w:rsidRDefault="009B6C69">
            <w:pPr>
              <w:spacing w:after="100"/>
              <w:rPr>
                <w:rFonts w:eastAsia="Times New Roman"/>
              </w:rPr>
            </w:pPr>
            <w:r>
              <w:rPr>
                <w:rFonts w:eastAsia="Times New Roman"/>
                <w:color w:val="000000"/>
                <w:sz w:val="18"/>
                <w:szCs w:val="18"/>
              </w:rPr>
              <w:t>United States dollar</w:t>
            </w:r>
          </w:p>
        </w:tc>
        <w:tc>
          <w:tcPr>
            <w:tcW w:w="0" w:type="auto"/>
            <w:gridSpan w:val="2"/>
            <w:shd w:val="clear" w:color="auto" w:fill="FFFFFF"/>
            <w:tcMar>
              <w:top w:w="30" w:type="dxa"/>
              <w:left w:w="20" w:type="dxa"/>
              <w:bottom w:w="30" w:type="dxa"/>
              <w:right w:w="0" w:type="dxa"/>
            </w:tcMar>
            <w:vAlign w:val="bottom"/>
            <w:hideMark/>
          </w:tcPr>
          <w:p w14:paraId="12DDA966" w14:textId="77777777" w:rsidR="00000000" w:rsidRDefault="009B6C69">
            <w:pPr>
              <w:spacing w:after="100"/>
              <w:jc w:val="right"/>
              <w:rPr>
                <w:rFonts w:eastAsia="Times New Roman"/>
              </w:rPr>
            </w:pPr>
            <w:r>
              <w:rPr>
                <w:rFonts w:eastAsia="Times New Roman"/>
                <w:color w:val="000000"/>
                <w:sz w:val="18"/>
                <w:szCs w:val="18"/>
              </w:rPr>
              <w:t>3,744 </w:t>
            </w:r>
          </w:p>
        </w:tc>
        <w:tc>
          <w:tcPr>
            <w:tcW w:w="0" w:type="auto"/>
            <w:shd w:val="clear" w:color="auto" w:fill="FFFFFF"/>
            <w:tcMar>
              <w:top w:w="30" w:type="dxa"/>
              <w:left w:w="0" w:type="dxa"/>
              <w:bottom w:w="30" w:type="dxa"/>
              <w:right w:w="20" w:type="dxa"/>
            </w:tcMar>
            <w:vAlign w:val="bottom"/>
            <w:hideMark/>
          </w:tcPr>
          <w:p w14:paraId="5CB865A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2088F8"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3348A4" w14:textId="77777777" w:rsidR="00000000" w:rsidRDefault="009B6C69">
            <w:pPr>
              <w:spacing w:after="100"/>
              <w:jc w:val="right"/>
              <w:rPr>
                <w:rFonts w:eastAsia="Times New Roman"/>
              </w:rPr>
            </w:pPr>
            <w:r>
              <w:rPr>
                <w:rFonts w:eastAsia="Times New Roman"/>
                <w:color w:val="000000"/>
                <w:sz w:val="18"/>
                <w:szCs w:val="18"/>
              </w:rPr>
              <w:t>2,920 </w:t>
            </w:r>
          </w:p>
        </w:tc>
        <w:tc>
          <w:tcPr>
            <w:tcW w:w="0" w:type="auto"/>
            <w:shd w:val="clear" w:color="auto" w:fill="FFFFFF"/>
            <w:tcMar>
              <w:top w:w="30" w:type="dxa"/>
              <w:left w:w="0" w:type="dxa"/>
              <w:bottom w:w="30" w:type="dxa"/>
              <w:right w:w="20" w:type="dxa"/>
            </w:tcMar>
            <w:vAlign w:val="bottom"/>
            <w:hideMark/>
          </w:tcPr>
          <w:p w14:paraId="2A769E69" w14:textId="77777777" w:rsidR="00000000" w:rsidRDefault="009B6C69">
            <w:pPr>
              <w:spacing w:after="100"/>
              <w:jc w:val="right"/>
              <w:rPr>
                <w:rFonts w:eastAsia="Times New Roman"/>
              </w:rPr>
            </w:pPr>
          </w:p>
        </w:tc>
      </w:tr>
      <w:tr w:rsidR="00000000" w14:paraId="411FA23B" w14:textId="77777777">
        <w:trPr>
          <w:divId w:val="825782553"/>
        </w:trPr>
        <w:tc>
          <w:tcPr>
            <w:tcW w:w="0" w:type="auto"/>
            <w:gridSpan w:val="3"/>
            <w:vAlign w:val="center"/>
            <w:hideMark/>
          </w:tcPr>
          <w:p w14:paraId="7C167FC3" w14:textId="77777777" w:rsidR="00000000" w:rsidRDefault="009B6C69">
            <w:pPr>
              <w:spacing w:after="100"/>
              <w:jc w:val="right"/>
              <w:rPr>
                <w:rFonts w:eastAsia="Times New Roman"/>
                <w:sz w:val="20"/>
                <w:szCs w:val="20"/>
              </w:rPr>
            </w:pPr>
          </w:p>
        </w:tc>
        <w:tc>
          <w:tcPr>
            <w:tcW w:w="0" w:type="auto"/>
            <w:gridSpan w:val="3"/>
            <w:vAlign w:val="center"/>
            <w:hideMark/>
          </w:tcPr>
          <w:p w14:paraId="06305707" w14:textId="77777777" w:rsidR="00000000" w:rsidRDefault="009B6C69">
            <w:pPr>
              <w:spacing w:after="100"/>
              <w:rPr>
                <w:rFonts w:eastAsia="Times New Roman"/>
                <w:sz w:val="20"/>
                <w:szCs w:val="20"/>
              </w:rPr>
            </w:pPr>
          </w:p>
        </w:tc>
        <w:tc>
          <w:tcPr>
            <w:tcW w:w="0" w:type="auto"/>
            <w:gridSpan w:val="3"/>
            <w:vAlign w:val="center"/>
            <w:hideMark/>
          </w:tcPr>
          <w:p w14:paraId="07874C56" w14:textId="77777777" w:rsidR="00000000" w:rsidRDefault="009B6C69">
            <w:pPr>
              <w:spacing w:after="100"/>
              <w:rPr>
                <w:rFonts w:eastAsia="Times New Roman"/>
                <w:sz w:val="20"/>
                <w:szCs w:val="20"/>
              </w:rPr>
            </w:pPr>
          </w:p>
        </w:tc>
        <w:tc>
          <w:tcPr>
            <w:tcW w:w="0" w:type="auto"/>
            <w:gridSpan w:val="3"/>
            <w:vAlign w:val="center"/>
            <w:hideMark/>
          </w:tcPr>
          <w:p w14:paraId="6C8839D5" w14:textId="77777777" w:rsidR="00000000" w:rsidRDefault="009B6C69">
            <w:pPr>
              <w:spacing w:after="100"/>
              <w:rPr>
                <w:rFonts w:eastAsia="Times New Roman"/>
                <w:sz w:val="20"/>
                <w:szCs w:val="20"/>
              </w:rPr>
            </w:pPr>
          </w:p>
        </w:tc>
      </w:tr>
      <w:tr w:rsidR="00000000" w14:paraId="759BFDE3" w14:textId="77777777">
        <w:trPr>
          <w:divId w:val="825782553"/>
        </w:trPr>
        <w:tc>
          <w:tcPr>
            <w:tcW w:w="0" w:type="auto"/>
            <w:gridSpan w:val="3"/>
            <w:shd w:val="clear" w:color="auto" w:fill="CCEEFF"/>
            <w:tcMar>
              <w:top w:w="0" w:type="dxa"/>
              <w:left w:w="20" w:type="dxa"/>
              <w:bottom w:w="0" w:type="dxa"/>
              <w:right w:w="20" w:type="dxa"/>
            </w:tcMar>
            <w:vAlign w:val="center"/>
            <w:hideMark/>
          </w:tcPr>
          <w:p w14:paraId="759F8307" w14:textId="77777777" w:rsidR="00000000" w:rsidRDefault="009B6C69">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3729C55"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EE414DC" w14:textId="77777777" w:rsidR="00000000" w:rsidRDefault="009B6C69">
            <w:pPr>
              <w:spacing w:after="100"/>
              <w:jc w:val="right"/>
              <w:rPr>
                <w:rFonts w:eastAsia="Times New Roman"/>
              </w:rPr>
            </w:pPr>
            <w:r>
              <w:rPr>
                <w:rFonts w:eastAsia="Times New Roman"/>
                <w:color w:val="000000"/>
                <w:sz w:val="18"/>
                <w:szCs w:val="18"/>
              </w:rPr>
              <w:t>7,707 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F012DA9"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41A242"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FA8D2D"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A06D0F7" w14:textId="77777777" w:rsidR="00000000" w:rsidRDefault="009B6C69">
            <w:pPr>
              <w:spacing w:after="100"/>
              <w:jc w:val="right"/>
              <w:rPr>
                <w:rFonts w:eastAsia="Times New Roman"/>
              </w:rPr>
            </w:pPr>
            <w:r>
              <w:rPr>
                <w:rFonts w:eastAsia="Times New Roman"/>
                <w:color w:val="000000"/>
                <w:sz w:val="18"/>
                <w:szCs w:val="18"/>
              </w:rPr>
              <w:t>5,919 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8B507F" w14:textId="77777777" w:rsidR="00000000" w:rsidRDefault="009B6C69">
            <w:pPr>
              <w:spacing w:after="100"/>
              <w:jc w:val="right"/>
              <w:rPr>
                <w:rFonts w:eastAsia="Times New Roman"/>
              </w:rPr>
            </w:pPr>
          </w:p>
        </w:tc>
      </w:tr>
    </w:tbl>
    <w:p w14:paraId="7C67E0ED" w14:textId="77777777" w:rsidR="00000000" w:rsidRDefault="009B6C69">
      <w:pPr>
        <w:ind w:firstLine="360"/>
        <w:divId w:val="1844511799"/>
        <w:rPr>
          <w:rFonts w:eastAsia="Times New Roman"/>
        </w:rPr>
      </w:pPr>
      <w:r>
        <w:rPr>
          <w:rFonts w:eastAsia="Times New Roman"/>
          <w:b/>
          <w:bCs/>
          <w:i/>
          <w:iCs/>
          <w:color w:val="000000"/>
          <w:sz w:val="20"/>
          <w:szCs w:val="20"/>
        </w:rPr>
        <w:t>Other Hedging Activities.</w:t>
      </w:r>
      <w:r>
        <w:rPr>
          <w:rFonts w:eastAsia="Times New Roman"/>
          <w:color w:val="000000"/>
          <w:sz w:val="20"/>
          <w:szCs w:val="20"/>
        </w:rPr>
        <w:t xml:space="preserve"> At September 25, 2022 and September 26, 2021, we designated $235 million and $1.5 </w:t>
      </w:r>
      <w:r>
        <w:rPr>
          <w:rFonts w:eastAsia="Times New Roman"/>
          <w:color w:val="000000"/>
          <w:sz w:val="20"/>
          <w:szCs w:val="20"/>
        </w:rPr>
        <w:t xml:space="preserve">billion, respectively, of foreign currency-denominated liabilities, excluding accrued interest, related to the fine(s) imposed by the European Commission as hedges of our net investment in certain foreign subsidiary(ies). Gains and losses arising from the </w:t>
      </w:r>
      <w:r>
        <w:rPr>
          <w:rFonts w:eastAsia="Times New Roman"/>
          <w:color w:val="000000"/>
          <w:sz w:val="20"/>
          <w:szCs w:val="20"/>
        </w:rPr>
        <w:t>portion of these balances that are designated as net investment hedges are recorded as a component of accumulated other comprehensive income (loss) as foreign currency translation adjustments. During fiscal 2022, we discontinued the net investment hedge re</w:t>
      </w:r>
      <w:r>
        <w:rPr>
          <w:rFonts w:eastAsia="Times New Roman"/>
          <w:color w:val="000000"/>
          <w:sz w:val="20"/>
          <w:szCs w:val="20"/>
        </w:rPr>
        <w:t xml:space="preserve">lated to one of the fines previously recorded related to the European Commission (EC) Investigation (Note 7). The associated foreign currency gains related to this fine previously recorded will remain in accumulated other comprehensive income (loss) until </w:t>
      </w:r>
      <w:r>
        <w:rPr>
          <w:rFonts w:eastAsia="Times New Roman"/>
          <w:color w:val="000000"/>
          <w:sz w:val="20"/>
          <w:szCs w:val="20"/>
        </w:rPr>
        <w:t>the foreign subsidiaries are sold or substantially liquidated, at which point it will be reclassified into earnings.</w:t>
      </w:r>
    </w:p>
    <w:p w14:paraId="382CE0DB" w14:textId="77777777" w:rsidR="00000000" w:rsidRDefault="009B6C69">
      <w:pPr>
        <w:ind w:firstLine="360"/>
        <w:divId w:val="681973667"/>
        <w:rPr>
          <w:rFonts w:eastAsia="Times New Roman"/>
        </w:rPr>
      </w:pPr>
      <w:r>
        <w:rPr>
          <w:rFonts w:eastAsia="Times New Roman"/>
          <w:b/>
          <w:bCs/>
          <w:i/>
          <w:iCs/>
          <w:color w:val="000000"/>
          <w:sz w:val="20"/>
          <w:szCs w:val="20"/>
        </w:rPr>
        <w:t xml:space="preserve">Fair Value Measurements. </w:t>
      </w:r>
      <w:r>
        <w:rPr>
          <w:rFonts w:eastAsia="Times New Roman"/>
          <w:color w:val="000000"/>
          <w:sz w:val="20"/>
          <w:szCs w:val="20"/>
        </w:rPr>
        <w:t>Fair value is defined as the exchange price that would be received for an asset or paid to transfer a liability (an exit price) in the principal or most advantageous market for the asset or liability in an orderly transaction between market participants as</w:t>
      </w:r>
      <w:r>
        <w:rPr>
          <w:rFonts w:eastAsia="Times New Roman"/>
          <w:color w:val="000000"/>
          <w:sz w:val="20"/>
          <w:szCs w:val="20"/>
        </w:rPr>
        <w:t xml:space="preserve"> of the measurement date. Applicable accounting guidance provides an established hierarchy for inputs used in measuring fair value that maximizes the use of observable inputs and minimizes the use of unobservable inputs by requiring that the most observabl</w:t>
      </w:r>
      <w:r>
        <w:rPr>
          <w:rFonts w:eastAsia="Times New Roman"/>
          <w:color w:val="000000"/>
          <w:sz w:val="20"/>
          <w:szCs w:val="20"/>
        </w:rPr>
        <w:t>e inputs be used when available. Observable inputs are inputs that market participants would use in valuing the asset or liability and are developed based on market data obtained from sources independent of us. Unobservable inputs are inputs that reflect o</w:t>
      </w:r>
      <w:r>
        <w:rPr>
          <w:rFonts w:eastAsia="Times New Roman"/>
          <w:color w:val="000000"/>
          <w:sz w:val="20"/>
          <w:szCs w:val="20"/>
        </w:rPr>
        <w:t>ur assumptions about the factors that market participants would use in valuing the asset or liability. There are three levels of inputs that may be used to measure fair value:</w:t>
      </w:r>
    </w:p>
    <w:p w14:paraId="2CBAF5AB" w14:textId="77777777" w:rsidR="00000000" w:rsidRDefault="009B6C69">
      <w:pPr>
        <w:ind w:hanging="360"/>
        <w:divId w:val="1743061968"/>
        <w:rPr>
          <w:rFonts w:eastAsia="Times New Roman"/>
        </w:rPr>
      </w:pPr>
      <w:r>
        <w:rPr>
          <w:rFonts w:eastAsia="Times New Roman"/>
          <w:color w:val="000000"/>
          <w:sz w:val="20"/>
          <w:szCs w:val="20"/>
        </w:rPr>
        <w:t>•Level 1 includes financial instruments for which quoted market prices for ident</w:t>
      </w:r>
      <w:r>
        <w:rPr>
          <w:rFonts w:eastAsia="Times New Roman"/>
          <w:color w:val="000000"/>
          <w:sz w:val="20"/>
          <w:szCs w:val="20"/>
        </w:rPr>
        <w:t>ical instruments are available in active markets.</w:t>
      </w:r>
    </w:p>
    <w:p w14:paraId="1B6F7F3C" w14:textId="77777777" w:rsidR="00000000" w:rsidRDefault="009B6C69">
      <w:pPr>
        <w:ind w:hanging="360"/>
        <w:divId w:val="1283027465"/>
        <w:rPr>
          <w:rFonts w:eastAsia="Times New Roman"/>
        </w:rPr>
      </w:pPr>
      <w:r>
        <w:rPr>
          <w:rFonts w:eastAsia="Times New Roman"/>
          <w:color w:val="000000"/>
          <w:sz w:val="20"/>
          <w:szCs w:val="20"/>
        </w:rPr>
        <w:t>•Level 2 includes financial instruments for which there are inputs other than quoted prices included within Level 1 that are observable for the instrument.</w:t>
      </w:r>
    </w:p>
    <w:p w14:paraId="1F70D9AB" w14:textId="77777777" w:rsidR="00000000" w:rsidRDefault="009B6C69">
      <w:pPr>
        <w:ind w:hanging="360"/>
        <w:divId w:val="1681663781"/>
        <w:rPr>
          <w:rFonts w:eastAsia="Times New Roman"/>
        </w:rPr>
      </w:pPr>
      <w:r>
        <w:rPr>
          <w:rFonts w:eastAsia="Times New Roman"/>
          <w:color w:val="000000"/>
          <w:sz w:val="20"/>
          <w:szCs w:val="20"/>
        </w:rPr>
        <w:t xml:space="preserve">•Level 3 includes financial instruments for which </w:t>
      </w:r>
      <w:r>
        <w:rPr>
          <w:rFonts w:eastAsia="Times New Roman"/>
          <w:color w:val="000000"/>
          <w:sz w:val="20"/>
          <w:szCs w:val="20"/>
        </w:rPr>
        <w:t>fair value is derived from valuation techniques in which one or more significant inputs are unobservable, including our own assumptions.</w:t>
      </w:r>
    </w:p>
    <w:p w14:paraId="475B49CA" w14:textId="77777777" w:rsidR="00000000" w:rsidRDefault="009B6C69">
      <w:pPr>
        <w:ind w:firstLine="360"/>
        <w:divId w:val="1099135332"/>
        <w:rPr>
          <w:rFonts w:eastAsia="Times New Roman"/>
        </w:rPr>
      </w:pPr>
      <w:r>
        <w:rPr>
          <w:rFonts w:eastAsia="Times New Roman"/>
          <w:color w:val="000000"/>
          <w:sz w:val="20"/>
          <w:szCs w:val="20"/>
        </w:rPr>
        <w:t xml:space="preserve">Assets and liabilities measured at fair value are classified based on the lowest level of input that is significant to </w:t>
      </w:r>
      <w:r>
        <w:rPr>
          <w:rFonts w:eastAsia="Times New Roman"/>
          <w:color w:val="000000"/>
          <w:sz w:val="20"/>
          <w:szCs w:val="20"/>
        </w:rPr>
        <w:t>the fair value measurement. We review the fair value hierarchy classification on a quarterly basis. Changes in the observability of valuation inputs may result in a reclassification of levels for certain securities within the fair value hierarchy. We recog</w:t>
      </w:r>
      <w:r>
        <w:rPr>
          <w:rFonts w:eastAsia="Times New Roman"/>
          <w:color w:val="000000"/>
          <w:sz w:val="20"/>
          <w:szCs w:val="20"/>
        </w:rPr>
        <w:t>nize transfers into and out of levels within the fair value hierarchy at the end of the fiscal month in which the actual event or change in circumstances that caused the transfer to occur.</w:t>
      </w:r>
    </w:p>
    <w:p w14:paraId="142AADF7" w14:textId="77777777" w:rsidR="00000000" w:rsidRDefault="009B6C69">
      <w:pPr>
        <w:ind w:firstLine="360"/>
        <w:divId w:val="276062692"/>
        <w:rPr>
          <w:rFonts w:eastAsia="Times New Roman"/>
        </w:rPr>
      </w:pPr>
      <w:r>
        <w:rPr>
          <w:rFonts w:eastAsia="Times New Roman"/>
          <w:i/>
          <w:iCs/>
          <w:color w:val="000000"/>
          <w:sz w:val="20"/>
          <w:szCs w:val="20"/>
        </w:rPr>
        <w:t xml:space="preserve">Cash Equivalents and Marketable Securities: </w:t>
      </w:r>
      <w:r>
        <w:rPr>
          <w:rFonts w:eastAsia="Times New Roman"/>
          <w:color w:val="000000"/>
          <w:sz w:val="20"/>
          <w:szCs w:val="20"/>
        </w:rPr>
        <w:t>We obtain pricing infor</w:t>
      </w:r>
      <w:r>
        <w:rPr>
          <w:rFonts w:eastAsia="Times New Roman"/>
          <w:color w:val="000000"/>
          <w:sz w:val="20"/>
          <w:szCs w:val="20"/>
        </w:rPr>
        <w:t>mation from quoted market prices, pricing vendors or quotes from brokers/dealers. We conduct reviews of our primary pricing vendors to determine whether the inputs used in the vendor’s pricing processes are deemed to be observable. Contractual sale restric</w:t>
      </w:r>
      <w:r>
        <w:rPr>
          <w:rFonts w:eastAsia="Times New Roman"/>
          <w:color w:val="000000"/>
          <w:sz w:val="20"/>
          <w:szCs w:val="20"/>
        </w:rPr>
        <w:t>tions are not considered in measuring the fair value of marketable equity securities. The fair value for interest-bearing securities includes accrued interest. The fair value of U.S. Treasury securities and government-related securities, corporate bonds an</w:t>
      </w:r>
      <w:r>
        <w:rPr>
          <w:rFonts w:eastAsia="Times New Roman"/>
          <w:color w:val="000000"/>
          <w:sz w:val="20"/>
          <w:szCs w:val="20"/>
        </w:rPr>
        <w:t>d notes and common stock is generally determined using standard observable inputs, including reported trades, quoted market prices, matrix pricing, benchmark yields, broker/dealer quotes, issuer spreads, two-sided markets and/or benchmark securities. The f</w:t>
      </w:r>
      <w:r>
        <w:rPr>
          <w:rFonts w:eastAsia="Times New Roman"/>
          <w:color w:val="000000"/>
          <w:sz w:val="20"/>
          <w:szCs w:val="20"/>
        </w:rPr>
        <w:t>air value of mortgage- and asset-backed securities is derived from the use of matrix pricing (prices for similar securities) or, in some cases, cash flow pricing models with observable inputs, such as contractual terms, maturity, credit rating and/or secur</w:t>
      </w:r>
      <w:r>
        <w:rPr>
          <w:rFonts w:eastAsia="Times New Roman"/>
          <w:color w:val="000000"/>
          <w:sz w:val="20"/>
          <w:szCs w:val="20"/>
        </w:rPr>
        <w:t>itization structure to determine the timing and amount of future cash flows.</w:t>
      </w:r>
    </w:p>
    <w:p w14:paraId="44609F91" w14:textId="77777777" w:rsidR="00000000" w:rsidRDefault="009B6C69">
      <w:pPr>
        <w:ind w:firstLine="360"/>
        <w:divId w:val="108789934"/>
        <w:rPr>
          <w:rFonts w:eastAsia="Times New Roman"/>
        </w:rPr>
      </w:pPr>
      <w:r>
        <w:rPr>
          <w:rFonts w:eastAsia="Times New Roman"/>
          <w:i/>
          <w:iCs/>
          <w:color w:val="000000"/>
          <w:sz w:val="20"/>
          <w:szCs w:val="20"/>
        </w:rPr>
        <w:t xml:space="preserve">Derivative Instruments: </w:t>
      </w:r>
      <w:r>
        <w:rPr>
          <w:rFonts w:eastAsia="Times New Roman"/>
          <w:color w:val="000000"/>
          <w:sz w:val="20"/>
          <w:szCs w:val="20"/>
        </w:rPr>
        <w:t>Derivative instruments that are traded on an exchange are valued using quoted market prices and are included in Level 1. Derivative instruments that are no</w:t>
      </w:r>
      <w:r>
        <w:rPr>
          <w:rFonts w:eastAsia="Times New Roman"/>
          <w:color w:val="000000"/>
          <w:sz w:val="20"/>
          <w:szCs w:val="20"/>
        </w:rPr>
        <w:t>t traded on an exchange are valued using conventional calculations/models that are primarily based on observable inputs, such as foreign currency exchange rates, volatilities and interest rates, and therefore, such derivative instruments are included in Le</w:t>
      </w:r>
      <w:r>
        <w:rPr>
          <w:rFonts w:eastAsia="Times New Roman"/>
          <w:color w:val="000000"/>
          <w:sz w:val="20"/>
          <w:szCs w:val="20"/>
        </w:rPr>
        <w:t>vel 2.</w:t>
      </w:r>
    </w:p>
    <w:p w14:paraId="49D6586A" w14:textId="77777777" w:rsidR="00000000" w:rsidRDefault="009B6C69">
      <w:pPr>
        <w:ind w:firstLine="360"/>
        <w:divId w:val="189488884"/>
        <w:rPr>
          <w:rFonts w:eastAsia="Times New Roman"/>
        </w:rPr>
      </w:pPr>
      <w:r>
        <w:rPr>
          <w:rFonts w:eastAsia="Times New Roman"/>
          <w:i/>
          <w:iCs/>
          <w:color w:val="000000"/>
          <w:sz w:val="20"/>
          <w:szCs w:val="20"/>
        </w:rPr>
        <w:t>Other Investments and Other Liabilities:</w:t>
      </w:r>
      <w:r>
        <w:rPr>
          <w:rFonts w:eastAsia="Times New Roman"/>
          <w:color w:val="000000"/>
          <w:sz w:val="20"/>
          <w:szCs w:val="20"/>
        </w:rPr>
        <w:t xml:space="preserve"> </w:t>
      </w:r>
      <w:r>
        <w:rPr>
          <w:rFonts w:eastAsia="Times New Roman"/>
          <w:color w:val="000000"/>
          <w:sz w:val="20"/>
          <w:szCs w:val="20"/>
        </w:rPr>
        <w:t>Other investments and other liabilities included in Level 1 are comprised of our deferred compensation plan liabilities and related assets, which consist of mutual funds and are included in other current assets and other assets. Gains and losses on the rev</w:t>
      </w:r>
      <w:r>
        <w:rPr>
          <w:rFonts w:eastAsia="Times New Roman"/>
          <w:color w:val="000000"/>
          <w:sz w:val="20"/>
          <w:szCs w:val="20"/>
        </w:rPr>
        <w:t>aluation of our deferred compensation plan assets are recorded in investment and other income (expense), net. Corresponding offsetting amounts related to the revaluation of our deferred compensation plan liabilities are included in operating expenses. Othe</w:t>
      </w:r>
      <w:r>
        <w:rPr>
          <w:rFonts w:eastAsia="Times New Roman"/>
          <w:color w:val="000000"/>
          <w:sz w:val="20"/>
          <w:szCs w:val="20"/>
        </w:rPr>
        <w:t xml:space="preserve">r investments included in Level 3 are comprised of contingently issuable equity instruments and warrants issued in connection with certain mergers and initial public offerings of </w:t>
      </w:r>
    </w:p>
    <w:p w14:paraId="3F0AB313" w14:textId="77777777" w:rsidR="00000000" w:rsidRDefault="009B6C69">
      <w:pPr>
        <w:jc w:val="center"/>
        <w:divId w:val="1533613798"/>
        <w:rPr>
          <w:rFonts w:eastAsia="Times New Roman"/>
        </w:rPr>
      </w:pPr>
      <w:r>
        <w:rPr>
          <w:rFonts w:eastAsia="Times New Roman"/>
          <w:color w:val="000000"/>
          <w:sz w:val="20"/>
          <w:szCs w:val="20"/>
        </w:rPr>
        <w:t>F-10</w:t>
      </w:r>
    </w:p>
    <w:p w14:paraId="1884AE35" w14:textId="77777777" w:rsidR="00000000" w:rsidRDefault="009B6C69">
      <w:pPr>
        <w:rPr>
          <w:rFonts w:eastAsia="Times New Roman"/>
        </w:rPr>
      </w:pPr>
      <w:r>
        <w:rPr>
          <w:rFonts w:eastAsia="Times New Roman"/>
        </w:rPr>
        <w:pict w14:anchorId="0226D9AE">
          <v:rect id="_x0000_i1090" style="width:0;height:1.5pt" o:hralign="center" o:hrstd="t" o:hr="t" fillcolor="#a0a0a0" stroked="f"/>
        </w:pict>
      </w:r>
    </w:p>
    <w:p w14:paraId="351BD39D" w14:textId="77777777" w:rsidR="00000000" w:rsidRDefault="009B6C69">
      <w:pPr>
        <w:jc w:val="center"/>
        <w:divId w:val="1388602081"/>
        <w:rPr>
          <w:rFonts w:eastAsia="Times New Roman"/>
        </w:rPr>
      </w:pPr>
    </w:p>
    <w:p w14:paraId="0791F5E5" w14:textId="77777777" w:rsidR="00000000" w:rsidRDefault="009B6C69">
      <w:pPr>
        <w:jc w:val="center"/>
        <w:divId w:val="1388602081"/>
        <w:rPr>
          <w:rFonts w:eastAsia="Times New Roman"/>
        </w:rPr>
      </w:pPr>
      <w:r>
        <w:rPr>
          <w:rFonts w:eastAsia="Times New Roman"/>
          <w:b/>
          <w:bCs/>
          <w:color w:val="000000"/>
          <w:sz w:val="20"/>
          <w:szCs w:val="20"/>
        </w:rPr>
        <w:t>QUALCOMM Incorporated</w:t>
      </w:r>
    </w:p>
    <w:p w14:paraId="05930D17" w14:textId="77777777" w:rsidR="00000000" w:rsidRDefault="009B6C69">
      <w:pPr>
        <w:jc w:val="center"/>
        <w:divId w:val="1388602081"/>
        <w:rPr>
          <w:rFonts w:eastAsia="Times New Roman"/>
        </w:rPr>
      </w:pPr>
      <w:r>
        <w:rPr>
          <w:rFonts w:eastAsia="Times New Roman"/>
          <w:b/>
          <w:bCs/>
          <w:color w:val="000000"/>
          <w:sz w:val="20"/>
          <w:szCs w:val="20"/>
        </w:rPr>
        <w:t>NOTES TO C</w:t>
      </w:r>
      <w:r>
        <w:rPr>
          <w:rFonts w:eastAsia="Times New Roman"/>
          <w:b/>
          <w:bCs/>
          <w:color w:val="000000"/>
          <w:sz w:val="20"/>
          <w:szCs w:val="20"/>
        </w:rPr>
        <w:t>ONSOLIDATED FINANCIAL STATEMENTS</w:t>
      </w:r>
    </w:p>
    <w:p w14:paraId="7569D5FD" w14:textId="77777777" w:rsidR="00000000" w:rsidRDefault="009B6C69">
      <w:pPr>
        <w:divId w:val="1736389013"/>
        <w:rPr>
          <w:rFonts w:eastAsia="Times New Roman"/>
        </w:rPr>
      </w:pPr>
      <w:r>
        <w:rPr>
          <w:rFonts w:eastAsia="Times New Roman"/>
          <w:color w:val="000000"/>
          <w:sz w:val="20"/>
          <w:szCs w:val="20"/>
        </w:rPr>
        <w:t>our non-marketable equity investees and convertible debt instruments issued by private companies. The inputs we use to estimate the fair values of these instruments are generally unobservable, and therefore, they are includ</w:t>
      </w:r>
      <w:r>
        <w:rPr>
          <w:rFonts w:eastAsia="Times New Roman"/>
          <w:color w:val="000000"/>
          <w:sz w:val="20"/>
          <w:szCs w:val="20"/>
        </w:rPr>
        <w:t>ed in Level 3.</w:t>
      </w:r>
    </w:p>
    <w:p w14:paraId="7843324F" w14:textId="77777777" w:rsidR="00000000" w:rsidRDefault="009B6C69">
      <w:pPr>
        <w:ind w:firstLine="360"/>
        <w:divId w:val="844973455"/>
        <w:rPr>
          <w:rFonts w:eastAsia="Times New Roman"/>
        </w:rPr>
      </w:pPr>
      <w:r>
        <w:rPr>
          <w:rFonts w:eastAsia="Times New Roman"/>
          <w:i/>
          <w:iCs/>
          <w:color w:val="000000"/>
          <w:sz w:val="20"/>
          <w:szCs w:val="20"/>
        </w:rPr>
        <w:t xml:space="preserve">Nonrecurring Fair Value Measurements: </w:t>
      </w:r>
      <w:r>
        <w:rPr>
          <w:rFonts w:eastAsia="Times New Roman"/>
          <w:color w:val="000000"/>
          <w:sz w:val="20"/>
          <w:szCs w:val="20"/>
        </w:rPr>
        <w:t xml:space="preserve">We measure certain assets and liabilities at fair value on a nonrecurring basis. These assets and liabilities include equity method and non-marketable equity investments, assets acquired and liabilities </w:t>
      </w:r>
      <w:r>
        <w:rPr>
          <w:rFonts w:eastAsia="Times New Roman"/>
          <w:color w:val="000000"/>
          <w:sz w:val="20"/>
          <w:szCs w:val="20"/>
        </w:rPr>
        <w:t>assumed in an acquisition or in a nonmonetary exchange, and property, plant and equipment and intangible assets that are written down to fair value when they are held for sale or determined to be impaired, all of which are generally measured based on unobs</w:t>
      </w:r>
      <w:r>
        <w:rPr>
          <w:rFonts w:eastAsia="Times New Roman"/>
          <w:color w:val="000000"/>
          <w:sz w:val="20"/>
          <w:szCs w:val="20"/>
        </w:rPr>
        <w:t>ervable inputs using an income or market approach.</w:t>
      </w:r>
    </w:p>
    <w:p w14:paraId="44EDF404" w14:textId="77777777" w:rsidR="00000000" w:rsidRDefault="009B6C69">
      <w:pPr>
        <w:ind w:firstLine="360"/>
        <w:divId w:val="459809750"/>
        <w:rPr>
          <w:rFonts w:eastAsia="Times New Roman"/>
        </w:rPr>
      </w:pPr>
      <w:r>
        <w:rPr>
          <w:rFonts w:eastAsia="Times New Roman"/>
          <w:b/>
          <w:bCs/>
          <w:i/>
          <w:iCs/>
          <w:color w:val="000000"/>
          <w:sz w:val="20"/>
          <w:szCs w:val="20"/>
        </w:rPr>
        <w:t>Inventories.</w:t>
      </w:r>
      <w:r>
        <w:rPr>
          <w:rFonts w:eastAsia="Times New Roman"/>
          <w:color w:val="000000"/>
          <w:sz w:val="20"/>
          <w:szCs w:val="20"/>
        </w:rPr>
        <w:t xml:space="preserve"> Inventories are valued at the lower of cost and net realizable value using the first-in, first-out method. Recoverability of inventories is assessed based on review of future customer demand t</w:t>
      </w:r>
      <w:r>
        <w:rPr>
          <w:rFonts w:eastAsia="Times New Roman"/>
          <w:color w:val="000000"/>
          <w:sz w:val="20"/>
          <w:szCs w:val="20"/>
        </w:rPr>
        <w:t>hat considers multiple factors, including committed purchase orders from customers as well as purchase commitment projections provided by customers and our own forecasts of customer demand, among other factors. This valuation also requires us to make judgm</w:t>
      </w:r>
      <w:r>
        <w:rPr>
          <w:rFonts w:eastAsia="Times New Roman"/>
          <w:color w:val="000000"/>
          <w:sz w:val="20"/>
          <w:szCs w:val="20"/>
        </w:rPr>
        <w:t>ents and assumptions based on information currently available about market conditions, including competition, anticipated technological changes, internal product life cycle and development plans, product pricing and other broader market conditions that may</w:t>
      </w:r>
      <w:r>
        <w:rPr>
          <w:rFonts w:eastAsia="Times New Roman"/>
          <w:color w:val="000000"/>
          <w:sz w:val="20"/>
          <w:szCs w:val="20"/>
        </w:rPr>
        <w:t xml:space="preserve"> impact customer demand, such as the impact of certain capacity constraints experienced across the semiconductor industry through the third quarter of fiscal 2022 and in fiscal 2021, as well as the impact of the macroeconomic environment in fiscal 2022. We</w:t>
      </w:r>
      <w:r>
        <w:rPr>
          <w:rFonts w:eastAsia="Times New Roman"/>
          <w:color w:val="000000"/>
          <w:sz w:val="20"/>
          <w:szCs w:val="20"/>
        </w:rPr>
        <w:t xml:space="preserve"> generally place binding purchase orders with our suppliers in advance of receiving contractually binding forecasts and/or purchase orders from our customers. The time period between placing purchase orders with our suppliers and receiving contractually bi</w:t>
      </w:r>
      <w:r>
        <w:rPr>
          <w:rFonts w:eastAsia="Times New Roman"/>
          <w:color w:val="000000"/>
          <w:sz w:val="20"/>
          <w:szCs w:val="20"/>
        </w:rPr>
        <w:t xml:space="preserve">nding forecasts and/or purchase orders from our customers has increased and may continue to increase as a result of extended manufacturing lead-times, driven in part by a continued transition to leading-edge technologies and/or increased complexity in the </w:t>
      </w:r>
      <w:r>
        <w:rPr>
          <w:rFonts w:eastAsia="Times New Roman"/>
          <w:color w:val="000000"/>
          <w:sz w:val="20"/>
          <w:szCs w:val="20"/>
        </w:rPr>
        <w:t>manufacturing process of our products. If we overestimate demand for our products, the amount of our loss will be impacted by our contractual ability to reduce inventory purchases from our suppliers. Our manufacturing relationships generally allow for canc</w:t>
      </w:r>
      <w:r>
        <w:rPr>
          <w:rFonts w:eastAsia="Times New Roman"/>
          <w:color w:val="000000"/>
          <w:sz w:val="20"/>
          <w:szCs w:val="20"/>
        </w:rPr>
        <w:t>ellation of outstanding purchase commitments, but in some cases may require incremental fees and/or the loss of amounts paid in advance related to capacity underutilization. Further, if our customers cancel purchase orders or alter forecasts this may resul</w:t>
      </w:r>
      <w:r>
        <w:rPr>
          <w:rFonts w:eastAsia="Times New Roman"/>
          <w:color w:val="000000"/>
          <w:sz w:val="20"/>
          <w:szCs w:val="20"/>
        </w:rPr>
        <w:t>t in excess inventory on hand. Our assumptions of future product demand are inherently uncertain, and changes in our estimates and assumptions may cause us to record additional write-downs in the future if demand forecasted for specific products is greater</w:t>
      </w:r>
      <w:r>
        <w:rPr>
          <w:rFonts w:eastAsia="Times New Roman"/>
          <w:color w:val="000000"/>
          <w:sz w:val="20"/>
          <w:szCs w:val="20"/>
        </w:rPr>
        <w:t xml:space="preserve"> than actual demand.</w:t>
      </w:r>
    </w:p>
    <w:p w14:paraId="77B705E8" w14:textId="77777777" w:rsidR="00000000" w:rsidRDefault="009B6C69">
      <w:pPr>
        <w:ind w:firstLine="360"/>
        <w:divId w:val="1760903339"/>
        <w:rPr>
          <w:rFonts w:eastAsia="Times New Roman"/>
        </w:rPr>
      </w:pPr>
      <w:r>
        <w:rPr>
          <w:rFonts w:eastAsia="Times New Roman"/>
          <w:b/>
          <w:bCs/>
          <w:i/>
          <w:iCs/>
          <w:color w:val="000000"/>
          <w:sz w:val="20"/>
          <w:szCs w:val="20"/>
        </w:rPr>
        <w:t>Property, Plant and Equipment.</w:t>
      </w:r>
      <w:r>
        <w:rPr>
          <w:rFonts w:eastAsia="Times New Roman"/>
          <w:color w:val="000000"/>
          <w:sz w:val="20"/>
          <w:szCs w:val="20"/>
        </w:rPr>
        <w:t xml:space="preserve"> Property, plant and equipment are recorded at cost and depreciated or amortized using the straight-line method over their estimated useful lives. Upon the retirement or disposition of property, plant and </w:t>
      </w:r>
      <w:r>
        <w:rPr>
          <w:rFonts w:eastAsia="Times New Roman"/>
          <w:color w:val="000000"/>
          <w:sz w:val="20"/>
          <w:szCs w:val="20"/>
        </w:rPr>
        <w:t>equipment, the related cost and accumulated depreciation or amortization are removed, and a gain or loss is recorded, when appropriate. Buildings on owned land are depreciated over 30 years, and building improvements are depreciated over 15 years. Leasehol</w:t>
      </w:r>
      <w:r>
        <w:rPr>
          <w:rFonts w:eastAsia="Times New Roman"/>
          <w:color w:val="000000"/>
          <w:sz w:val="20"/>
          <w:szCs w:val="20"/>
        </w:rPr>
        <w:t>d improvements and buildings on leased land are amortized over the shorter of their estimated useful lives, not to exceed 15 years and 30 years, respectively, or the remaining term of the related lease. Other property, plant and equipment have useful lives</w:t>
      </w:r>
      <w:r>
        <w:rPr>
          <w:rFonts w:eastAsia="Times New Roman"/>
          <w:color w:val="000000"/>
          <w:sz w:val="20"/>
          <w:szCs w:val="20"/>
        </w:rPr>
        <w:t xml:space="preserve"> ranging from 2 to 15 years. Maintenance, repairs and minor renewals or betterments are charged to expense as incurred. </w:t>
      </w:r>
    </w:p>
    <w:p w14:paraId="436A87EC" w14:textId="77777777" w:rsidR="00000000" w:rsidRDefault="009B6C69">
      <w:pPr>
        <w:ind w:firstLine="360"/>
        <w:divId w:val="150561530"/>
        <w:rPr>
          <w:rFonts w:eastAsia="Times New Roman"/>
        </w:rPr>
      </w:pPr>
      <w:r>
        <w:rPr>
          <w:rFonts w:eastAsia="Times New Roman"/>
          <w:b/>
          <w:bCs/>
          <w:i/>
          <w:iCs/>
          <w:color w:val="000000"/>
          <w:sz w:val="20"/>
          <w:szCs w:val="20"/>
        </w:rPr>
        <w:t>Operating Leases.</w:t>
      </w:r>
      <w:r>
        <w:rPr>
          <w:rFonts w:eastAsia="Times New Roman"/>
          <w:color w:val="000000"/>
          <w:sz w:val="20"/>
          <w:szCs w:val="20"/>
        </w:rPr>
        <w:t xml:space="preserve"> Operating lease assets and liabilities are recognized for leases with lease terms greater than 12 months based on the</w:t>
      </w:r>
      <w:r>
        <w:rPr>
          <w:rFonts w:eastAsia="Times New Roman"/>
          <w:color w:val="000000"/>
          <w:sz w:val="20"/>
          <w:szCs w:val="20"/>
        </w:rPr>
        <w:t xml:space="preserve"> present value of the future lease payments over the lease term at the commencement date. Operating leases are included in other assets, other current liabilities and other liabilities on our consolidated balance sheet. Our lease terms may include options </w:t>
      </w:r>
      <w:r>
        <w:rPr>
          <w:rFonts w:eastAsia="Times New Roman"/>
          <w:color w:val="000000"/>
          <w:sz w:val="20"/>
          <w:szCs w:val="20"/>
        </w:rPr>
        <w:t>to extend or terminate the lease when it is reasonably certain that we will exercise such option. We account for substantially all lease and related non-lease components together as a single lease component. Operating lease expense is recognized on a strai</w:t>
      </w:r>
      <w:r>
        <w:rPr>
          <w:rFonts w:eastAsia="Times New Roman"/>
          <w:color w:val="000000"/>
          <w:sz w:val="20"/>
          <w:szCs w:val="20"/>
        </w:rPr>
        <w:t>ght-line basis over the lease term.</w:t>
      </w:r>
    </w:p>
    <w:p w14:paraId="68ED3F46" w14:textId="77777777" w:rsidR="00000000" w:rsidRDefault="009B6C69">
      <w:pPr>
        <w:ind w:firstLine="360"/>
        <w:divId w:val="720245890"/>
        <w:rPr>
          <w:rFonts w:eastAsia="Times New Roman"/>
        </w:rPr>
      </w:pPr>
      <w:r>
        <w:rPr>
          <w:rFonts w:eastAsia="Times New Roman"/>
          <w:b/>
          <w:bCs/>
          <w:i/>
          <w:iCs/>
          <w:color w:val="000000"/>
          <w:sz w:val="20"/>
          <w:szCs w:val="20"/>
        </w:rPr>
        <w:t>Goodwill and Other Intangible Assets.</w:t>
      </w:r>
      <w:r>
        <w:rPr>
          <w:rFonts w:eastAsia="Times New Roman"/>
          <w:color w:val="000000"/>
          <w:sz w:val="20"/>
          <w:szCs w:val="20"/>
        </w:rPr>
        <w:t xml:space="preserve"> Goodwill represents the excess of purchase price over the value assigned to the net tangible and identifiable intangible assets of businesses acquired. Acquired intangible assets oth</w:t>
      </w:r>
      <w:r>
        <w:rPr>
          <w:rFonts w:eastAsia="Times New Roman"/>
          <w:color w:val="000000"/>
          <w:sz w:val="20"/>
          <w:szCs w:val="20"/>
        </w:rPr>
        <w:t>er than goodwill are amortized over their useful lives unless the lives are determined to be indefinite. For intangible assets purchased in a business combination, the estimated fair values of the assets received are used to establish their recorded values</w:t>
      </w:r>
      <w:r>
        <w:rPr>
          <w:rFonts w:eastAsia="Times New Roman"/>
          <w:color w:val="000000"/>
          <w:sz w:val="20"/>
          <w:szCs w:val="20"/>
        </w:rPr>
        <w:t>. For intangible assets acquired in a nonmonetary exchange, the estimated fair values of the assets transferred (or the estimated fair values of the assets received, if more clearly evident) are used to establish their recorded values, unless the values of</w:t>
      </w:r>
      <w:r>
        <w:rPr>
          <w:rFonts w:eastAsia="Times New Roman"/>
          <w:color w:val="000000"/>
          <w:sz w:val="20"/>
          <w:szCs w:val="20"/>
        </w:rPr>
        <w:t xml:space="preserve"> neither the assets received nor the assets transferred are determinable within reasonable limits, in which case the assets received are measured based on the carrying values of the assets transferred. Valuation techniques consistent with the market approa</w:t>
      </w:r>
      <w:r>
        <w:rPr>
          <w:rFonts w:eastAsia="Times New Roman"/>
          <w:color w:val="000000"/>
          <w:sz w:val="20"/>
          <w:szCs w:val="20"/>
        </w:rPr>
        <w:t xml:space="preserve">ch, income approach and/or cost approach are used to measure fair value. An estimate of fair value can be affected by many assumptions that require significant judgment. For example, the income approach generally requires us to use assumptions to estimate </w:t>
      </w:r>
      <w:r>
        <w:rPr>
          <w:rFonts w:eastAsia="Times New Roman"/>
          <w:color w:val="000000"/>
          <w:sz w:val="20"/>
          <w:szCs w:val="20"/>
        </w:rPr>
        <w:t xml:space="preserve">future cash flows including those related to total addressable market, pricing and share forecasts, competition, technology obsolescence, future tax rates and discount rates. Our estimate of the fair value of certain assets may differ materially from that </w:t>
      </w:r>
      <w:r>
        <w:rPr>
          <w:rFonts w:eastAsia="Times New Roman"/>
          <w:color w:val="000000"/>
          <w:sz w:val="20"/>
          <w:szCs w:val="20"/>
        </w:rPr>
        <w:t>determined by others who use different assumptions or utilize different business models and from the future cash flows actually realized.</w:t>
      </w:r>
    </w:p>
    <w:p w14:paraId="70A158C3" w14:textId="77777777" w:rsidR="00000000" w:rsidRDefault="009B6C69">
      <w:pPr>
        <w:ind w:firstLine="360"/>
        <w:divId w:val="1349213186"/>
        <w:rPr>
          <w:rFonts w:eastAsia="Times New Roman"/>
        </w:rPr>
      </w:pPr>
      <w:r>
        <w:rPr>
          <w:rFonts w:eastAsia="Times New Roman"/>
          <w:b/>
          <w:bCs/>
          <w:i/>
          <w:iCs/>
          <w:color w:val="000000"/>
          <w:sz w:val="20"/>
          <w:szCs w:val="20"/>
        </w:rPr>
        <w:t>Impairment of Goodwill, Other Indefinite-Lived Assets and Long-Lived Assets.</w:t>
      </w:r>
      <w:r>
        <w:rPr>
          <w:rFonts w:eastAsia="Times New Roman"/>
          <w:color w:val="000000"/>
          <w:sz w:val="20"/>
          <w:szCs w:val="20"/>
        </w:rPr>
        <w:t xml:space="preserve"> Goodwill and other indefinite-lived intan</w:t>
      </w:r>
      <w:r>
        <w:rPr>
          <w:rFonts w:eastAsia="Times New Roman"/>
          <w:color w:val="000000"/>
          <w:sz w:val="20"/>
          <w:szCs w:val="20"/>
        </w:rPr>
        <w:t>gible assets are tested annually for impairment in the fourth fiscal quarter, and in interim periods if events or changes in circumstances indicate that the assets may be impaired. If a qualitative assessment is used and we determine that the fair value of</w:t>
      </w:r>
      <w:r>
        <w:rPr>
          <w:rFonts w:eastAsia="Times New Roman"/>
          <w:color w:val="000000"/>
          <w:sz w:val="20"/>
          <w:szCs w:val="20"/>
        </w:rPr>
        <w:t xml:space="preserve"> a reporting unit or indefinite-lived intangible asset is more likely than not (i.e., a likelihood of more than 50%) less than its carrying amount, a quantitative impairment test will be performed. If goodwill is quantitatively assessed for impairment and </w:t>
      </w:r>
      <w:r>
        <w:rPr>
          <w:rFonts w:eastAsia="Times New Roman"/>
          <w:color w:val="000000"/>
          <w:sz w:val="20"/>
          <w:szCs w:val="20"/>
        </w:rPr>
        <w:t xml:space="preserve">a reporting unit’s carrying value exceeds its fair value, the difference is recorded as an impairment. Other </w:t>
      </w:r>
    </w:p>
    <w:p w14:paraId="78D72619" w14:textId="77777777" w:rsidR="00000000" w:rsidRDefault="009B6C69">
      <w:pPr>
        <w:jc w:val="center"/>
        <w:divId w:val="1226334520"/>
        <w:rPr>
          <w:rFonts w:eastAsia="Times New Roman"/>
        </w:rPr>
      </w:pPr>
      <w:r>
        <w:rPr>
          <w:rFonts w:eastAsia="Times New Roman"/>
          <w:color w:val="000000"/>
          <w:sz w:val="20"/>
          <w:szCs w:val="20"/>
        </w:rPr>
        <w:t>F-11</w:t>
      </w:r>
    </w:p>
    <w:p w14:paraId="70DD979F" w14:textId="77777777" w:rsidR="00000000" w:rsidRDefault="009B6C69">
      <w:pPr>
        <w:rPr>
          <w:rFonts w:eastAsia="Times New Roman"/>
        </w:rPr>
      </w:pPr>
      <w:r>
        <w:rPr>
          <w:rFonts w:eastAsia="Times New Roman"/>
        </w:rPr>
        <w:pict w14:anchorId="2779970B">
          <v:rect id="_x0000_i1091" style="width:0;height:1.5pt" o:hralign="center" o:hrstd="t" o:hr="t" fillcolor="#a0a0a0" stroked="f"/>
        </w:pict>
      </w:r>
    </w:p>
    <w:p w14:paraId="000EA96C" w14:textId="77777777" w:rsidR="00000000" w:rsidRDefault="009B6C69">
      <w:pPr>
        <w:jc w:val="center"/>
        <w:divId w:val="1907956264"/>
        <w:rPr>
          <w:rFonts w:eastAsia="Times New Roman"/>
        </w:rPr>
      </w:pPr>
    </w:p>
    <w:p w14:paraId="4D86550C" w14:textId="77777777" w:rsidR="00000000" w:rsidRDefault="009B6C69">
      <w:pPr>
        <w:jc w:val="center"/>
        <w:divId w:val="1907956264"/>
        <w:rPr>
          <w:rFonts w:eastAsia="Times New Roman"/>
        </w:rPr>
      </w:pPr>
      <w:r>
        <w:rPr>
          <w:rFonts w:eastAsia="Times New Roman"/>
          <w:b/>
          <w:bCs/>
          <w:color w:val="000000"/>
          <w:sz w:val="20"/>
          <w:szCs w:val="20"/>
        </w:rPr>
        <w:t>QUALCOMM Incorporated</w:t>
      </w:r>
    </w:p>
    <w:p w14:paraId="35798BC5" w14:textId="77777777" w:rsidR="00000000" w:rsidRDefault="009B6C69">
      <w:pPr>
        <w:jc w:val="center"/>
        <w:divId w:val="1907956264"/>
        <w:rPr>
          <w:rFonts w:eastAsia="Times New Roman"/>
        </w:rPr>
      </w:pPr>
      <w:r>
        <w:rPr>
          <w:rFonts w:eastAsia="Times New Roman"/>
          <w:b/>
          <w:bCs/>
          <w:color w:val="000000"/>
          <w:sz w:val="20"/>
          <w:szCs w:val="20"/>
        </w:rPr>
        <w:t>NOTES TO CONSOLIDATED FINANCIAL STATEMENTS</w:t>
      </w:r>
    </w:p>
    <w:p w14:paraId="12F3E6F3" w14:textId="77777777" w:rsidR="00000000" w:rsidRDefault="009B6C69">
      <w:pPr>
        <w:divId w:val="228737816"/>
        <w:rPr>
          <w:rFonts w:eastAsia="Times New Roman"/>
        </w:rPr>
      </w:pPr>
      <w:r>
        <w:rPr>
          <w:rFonts w:eastAsia="Times New Roman"/>
          <w:color w:val="000000"/>
          <w:sz w:val="20"/>
          <w:szCs w:val="20"/>
        </w:rPr>
        <w:t>indefinite-lived intangible assets ar</w:t>
      </w:r>
      <w:r>
        <w:rPr>
          <w:rFonts w:eastAsia="Times New Roman"/>
          <w:color w:val="000000"/>
          <w:sz w:val="20"/>
          <w:szCs w:val="20"/>
        </w:rPr>
        <w:t>e quantitatively assessed for impairment, if necessary, by comparing their estimated fair values to their carrying values. If the carrying value exceeds the fair value, the difference is recorded as an impairment. Our judgments regarding the existence of i</w:t>
      </w:r>
      <w:r>
        <w:rPr>
          <w:rFonts w:eastAsia="Times New Roman"/>
          <w:color w:val="000000"/>
          <w:sz w:val="20"/>
          <w:szCs w:val="20"/>
        </w:rPr>
        <w:t>mpairment indicators and future cash flows related to goodwill, other indefinite-lived assets and long-lived assets may be based on operational performance of our businesses, market conditions, expected selling price and/or other factors. Although there ar</w:t>
      </w:r>
      <w:r>
        <w:rPr>
          <w:rFonts w:eastAsia="Times New Roman"/>
          <w:color w:val="000000"/>
          <w:sz w:val="20"/>
          <w:szCs w:val="20"/>
        </w:rPr>
        <w:t>e inherent uncertainties in this assessment process, the estimates and assumptions we use, including estimates of future cash flows and discount rates, are consistent with our internal planning, when appropriate. If these estimates or their related assumpt</w:t>
      </w:r>
      <w:r>
        <w:rPr>
          <w:rFonts w:eastAsia="Times New Roman"/>
          <w:color w:val="000000"/>
          <w:sz w:val="20"/>
          <w:szCs w:val="20"/>
        </w:rPr>
        <w:t>ions change in the future, we may be required to record an impairment charge on a portion or all of such assets. Furthermore, we cannot predict the occurrence of future impairment-triggering events nor the impact such events might have on our reported asse</w:t>
      </w:r>
      <w:r>
        <w:rPr>
          <w:rFonts w:eastAsia="Times New Roman"/>
          <w:color w:val="000000"/>
          <w:sz w:val="20"/>
          <w:szCs w:val="20"/>
        </w:rPr>
        <w:t>t values.</w:t>
      </w:r>
    </w:p>
    <w:p w14:paraId="31EFBEB6" w14:textId="77777777" w:rsidR="00000000" w:rsidRDefault="009B6C69">
      <w:pPr>
        <w:ind w:firstLine="360"/>
        <w:divId w:val="281768368"/>
        <w:rPr>
          <w:rFonts w:eastAsia="Times New Roman"/>
        </w:rPr>
      </w:pPr>
      <w:r>
        <w:rPr>
          <w:rFonts w:eastAsia="Times New Roman"/>
          <w:color w:val="000000"/>
          <w:sz w:val="20"/>
          <w:szCs w:val="20"/>
        </w:rPr>
        <w:t>Long-lived assets, such as property, plant and equipment and intangible assets subject to amortization, are reviewed for impairment when there is evidence that events or changes in circumstances indicate that the carrying amount of an asset or as</w:t>
      </w:r>
      <w:r>
        <w:rPr>
          <w:rFonts w:eastAsia="Times New Roman"/>
          <w:color w:val="000000"/>
          <w:sz w:val="20"/>
          <w:szCs w:val="20"/>
        </w:rPr>
        <w:t xml:space="preserve">set group may not be recoverable. Recoverability of assets to be held and used is measured by comparing the carrying amount of an asset or asset group to estimated undiscounted future cash flows expected to be generated by the asset or asset group. If the </w:t>
      </w:r>
      <w:r>
        <w:rPr>
          <w:rFonts w:eastAsia="Times New Roman"/>
          <w:color w:val="000000"/>
          <w:sz w:val="20"/>
          <w:szCs w:val="20"/>
        </w:rPr>
        <w:t>carrying amount of an asset or asset group exceeds its estimated future cash flows, an impairment charge is recognized for the amount by which the carrying amount of the asset or asset group exceeds the estimated fair value of the asset or asset group. Lon</w:t>
      </w:r>
      <w:r>
        <w:rPr>
          <w:rFonts w:eastAsia="Times New Roman"/>
          <w:color w:val="000000"/>
          <w:sz w:val="20"/>
          <w:szCs w:val="20"/>
        </w:rPr>
        <w:t>g-lived assets to be disposed of by sale are reported at the lower of their carrying amounts or their estimated fair values less costs to sell and are not depreciated.</w:t>
      </w:r>
    </w:p>
    <w:p w14:paraId="55741C11" w14:textId="77777777" w:rsidR="00000000" w:rsidRDefault="009B6C69">
      <w:pPr>
        <w:ind w:firstLine="360"/>
        <w:divId w:val="242299188"/>
        <w:rPr>
          <w:rFonts w:eastAsia="Times New Roman"/>
        </w:rPr>
      </w:pPr>
      <w:r>
        <w:rPr>
          <w:rFonts w:eastAsia="Times New Roman"/>
          <w:b/>
          <w:bCs/>
          <w:i/>
          <w:iCs/>
          <w:color w:val="000000"/>
          <w:sz w:val="20"/>
          <w:szCs w:val="20"/>
        </w:rPr>
        <w:t>Revenue Recognition.</w:t>
      </w:r>
      <w:r>
        <w:rPr>
          <w:rFonts w:eastAsia="Times New Roman"/>
          <w:color w:val="000000"/>
          <w:sz w:val="20"/>
          <w:szCs w:val="20"/>
        </w:rPr>
        <w:t xml:space="preserve"> </w:t>
      </w:r>
      <w:r>
        <w:rPr>
          <w:rFonts w:eastAsia="Times New Roman"/>
          <w:color w:val="000000"/>
          <w:sz w:val="20"/>
          <w:szCs w:val="20"/>
        </w:rPr>
        <w:t>We derive revenues principally from sales of integrated circuit products and licensing of our intellectual property. We also generate revenues from licensing system software and by performing development and other services and from other product sales. The</w:t>
      </w:r>
      <w:r>
        <w:rPr>
          <w:rFonts w:eastAsia="Times New Roman"/>
          <w:color w:val="000000"/>
          <w:sz w:val="20"/>
          <w:szCs w:val="20"/>
        </w:rPr>
        <w:t xml:space="preserve"> timing of revenue recognition and the amount of revenue actually recognized in each case depends upon a variety of factors, including the specific terms of each arrangement and the nature of our performance obligations. </w:t>
      </w:r>
    </w:p>
    <w:p w14:paraId="62658ABF" w14:textId="77777777" w:rsidR="00000000" w:rsidRDefault="009B6C69">
      <w:pPr>
        <w:ind w:firstLine="360"/>
        <w:divId w:val="532573416"/>
        <w:rPr>
          <w:rFonts w:eastAsia="Times New Roman"/>
        </w:rPr>
      </w:pPr>
      <w:r>
        <w:rPr>
          <w:rFonts w:eastAsia="Times New Roman"/>
          <w:color w:val="000000"/>
          <w:sz w:val="20"/>
          <w:szCs w:val="20"/>
        </w:rPr>
        <w:t>Revenues from sales of our product</w:t>
      </w:r>
      <w:r>
        <w:rPr>
          <w:rFonts w:eastAsia="Times New Roman"/>
          <w:color w:val="000000"/>
          <w:sz w:val="20"/>
          <w:szCs w:val="20"/>
        </w:rPr>
        <w:t>s are recognized upon transfer of control to the customer, which is generally at the time of shipment. Revenues from providing services are typically recognized over time as our performance obligation is satisfied. Revenues from providing services and lice</w:t>
      </w:r>
      <w:r>
        <w:rPr>
          <w:rFonts w:eastAsia="Times New Roman"/>
          <w:color w:val="000000"/>
          <w:sz w:val="20"/>
          <w:szCs w:val="20"/>
        </w:rPr>
        <w:t>nsing system software were each less than 5% of total revenues for all periods presented.</w:t>
      </w:r>
    </w:p>
    <w:p w14:paraId="6C88A1AB" w14:textId="77777777" w:rsidR="00000000" w:rsidRDefault="009B6C69">
      <w:pPr>
        <w:ind w:firstLine="360"/>
        <w:divId w:val="473134241"/>
        <w:rPr>
          <w:rFonts w:eastAsia="Times New Roman"/>
        </w:rPr>
      </w:pPr>
      <w:r>
        <w:rPr>
          <w:rFonts w:eastAsia="Times New Roman"/>
          <w:color w:val="000000"/>
          <w:sz w:val="20"/>
          <w:szCs w:val="20"/>
        </w:rPr>
        <w:t>We grant licenses or otherwise provide rights to use portions of our intellectual property portfolio, which, among other rights, includes certain patent rights essent</w:t>
      </w:r>
      <w:r>
        <w:rPr>
          <w:rFonts w:eastAsia="Times New Roman"/>
          <w:color w:val="000000"/>
          <w:sz w:val="20"/>
          <w:szCs w:val="20"/>
        </w:rPr>
        <w:t>ial to and/or useful in the manufacture, sale or use of certain wireless products. Licensees pay royalties based on their sales of products incorporating or using our licensed intellectual property and may also pay a fixed license fee in one or more instal</w:t>
      </w:r>
      <w:r>
        <w:rPr>
          <w:rFonts w:eastAsia="Times New Roman"/>
          <w:color w:val="000000"/>
          <w:sz w:val="20"/>
          <w:szCs w:val="20"/>
        </w:rPr>
        <w:t>lments. Sales-based royalties are generally based upon a percentage of the wholesale (i.e., licensee’s) selling price of complete licensed products, net of certain permissible deductions (including transportation, insurance, packing costs and other items).</w:t>
      </w:r>
      <w:r>
        <w:rPr>
          <w:rFonts w:eastAsia="Times New Roman"/>
          <w:color w:val="000000"/>
          <w:sz w:val="20"/>
          <w:szCs w:val="20"/>
        </w:rPr>
        <w:t xml:space="preserve"> We broadly provide per unit royalty caps that apply to certain categories of complete wireless devices, such as smartphones, tablets, laptops and smartwatches, and provide for a maximum royalty amount payable per device. We estimate and recognize sales-ba</w:t>
      </w:r>
      <w:r>
        <w:rPr>
          <w:rFonts w:eastAsia="Times New Roman"/>
          <w:color w:val="000000"/>
          <w:sz w:val="20"/>
          <w:szCs w:val="20"/>
        </w:rPr>
        <w:t>sed royalties on such licensed products in the period in which the associated sales occur, considering all relevant information (historical, current and forecasted) that is reasonably available to us. Our estimates of sales-based royalties are based largel</w:t>
      </w:r>
      <w:r>
        <w:rPr>
          <w:rFonts w:eastAsia="Times New Roman"/>
          <w:color w:val="000000"/>
          <w:sz w:val="20"/>
          <w:szCs w:val="20"/>
        </w:rPr>
        <w:t>y on preliminary royalty estimates provided by our licensees and, to a lesser extent, an assessment of the volume of devices supplied into the market that incorporate or use our licensed intellectual property, combined with an estimate of the mix of such s</w:t>
      </w:r>
      <w:r>
        <w:rPr>
          <w:rFonts w:eastAsia="Times New Roman"/>
          <w:color w:val="000000"/>
          <w:sz w:val="20"/>
          <w:szCs w:val="20"/>
        </w:rPr>
        <w:t>ales on a licensee-by-licensee basis, as well as the licensees’ average wholesale prices of such products. In the periods presented, we have recognized immaterial differences between preliminary royalty estimates provided to us by licensees and actual amou</w:t>
      </w:r>
      <w:r>
        <w:rPr>
          <w:rFonts w:eastAsia="Times New Roman"/>
          <w:color w:val="000000"/>
          <w:sz w:val="20"/>
          <w:szCs w:val="20"/>
        </w:rPr>
        <w:t>nts reported and paid by licensees, which are generally received the following quarter, as licensees have not completed their royalty reporting process at the time estimates are provided to us, and in certain cases, they do not provide all necessary inform</w:t>
      </w:r>
      <w:r>
        <w:rPr>
          <w:rFonts w:eastAsia="Times New Roman"/>
          <w:color w:val="000000"/>
          <w:sz w:val="20"/>
          <w:szCs w:val="20"/>
        </w:rPr>
        <w:t>ation in order for us to calculate an estimate of royalties due, which requires us to independently estimate certain information. We also consider in our estimates of sales-based royalties any changes in pricing we plan or expect to make and certain constr</w:t>
      </w:r>
      <w:r>
        <w:rPr>
          <w:rFonts w:eastAsia="Times New Roman"/>
          <w:color w:val="000000"/>
          <w:sz w:val="20"/>
          <w:szCs w:val="20"/>
        </w:rPr>
        <w:t>aints on our ability to estimate such royalties. As a result of recognizing revenues in the period in which the licensees’ sales occur using estimates, adjustments to revenues are required in subsequent periods to reflect changes in estimates as new inform</w:t>
      </w:r>
      <w:r>
        <w:rPr>
          <w:rFonts w:eastAsia="Times New Roman"/>
          <w:color w:val="000000"/>
          <w:sz w:val="20"/>
          <w:szCs w:val="20"/>
        </w:rPr>
        <w:t>ation becomes available, primarily resulting from actual amounts reported by our licensees.</w:t>
      </w:r>
    </w:p>
    <w:p w14:paraId="50AF069F" w14:textId="77777777" w:rsidR="00000000" w:rsidRDefault="009B6C69">
      <w:pPr>
        <w:ind w:firstLine="360"/>
        <w:divId w:val="40793086"/>
        <w:rPr>
          <w:rFonts w:eastAsia="Times New Roman"/>
        </w:rPr>
      </w:pPr>
      <w:r>
        <w:rPr>
          <w:rFonts w:eastAsia="Times New Roman"/>
          <w:color w:val="000000"/>
          <w:sz w:val="20"/>
          <w:szCs w:val="20"/>
        </w:rPr>
        <w:t>License agreements that require payment of license fees contain a single performance obligation that represents ongoing access to a portfolio of intellectual proper</w:t>
      </w:r>
      <w:r>
        <w:rPr>
          <w:rFonts w:eastAsia="Times New Roman"/>
          <w:color w:val="000000"/>
          <w:sz w:val="20"/>
          <w:szCs w:val="20"/>
        </w:rPr>
        <w:t>ty over the license term since such agreements provide the licensee the right to access a portfolio of intellectual property that exists at inception of the license agreement and to updates and new intellectual property that is added to the licensed portfo</w:t>
      </w:r>
      <w:r>
        <w:rPr>
          <w:rFonts w:eastAsia="Times New Roman"/>
          <w:color w:val="000000"/>
          <w:sz w:val="20"/>
          <w:szCs w:val="20"/>
        </w:rPr>
        <w:t>lio during the term of the agreement that are highly interdependent or interrelated. Since we expect to expend efforts to develop and transfer updates to our licensed portfolio on an even basis, license fees are recognized as revenues on a straight-line ba</w:t>
      </w:r>
      <w:r>
        <w:rPr>
          <w:rFonts w:eastAsia="Times New Roman"/>
          <w:color w:val="000000"/>
          <w:sz w:val="20"/>
          <w:szCs w:val="20"/>
        </w:rPr>
        <w:t>sis over the estimated period of benefit of the license to the licensee.</w:t>
      </w:r>
    </w:p>
    <w:p w14:paraId="659DD202" w14:textId="77777777" w:rsidR="00000000" w:rsidRDefault="009B6C69">
      <w:pPr>
        <w:ind w:firstLine="360"/>
        <w:divId w:val="1965890425"/>
        <w:rPr>
          <w:rFonts w:eastAsia="Times New Roman"/>
        </w:rPr>
      </w:pPr>
      <w:r>
        <w:rPr>
          <w:rFonts w:eastAsia="Times New Roman"/>
          <w:color w:val="000000"/>
          <w:sz w:val="20"/>
          <w:szCs w:val="20"/>
        </w:rPr>
        <w:t>We account for a contract with a customer/licensee when it is legally enforceable, the parties are committed to perform their respective obligations, the rights of the parties regardi</w:t>
      </w:r>
      <w:r>
        <w:rPr>
          <w:rFonts w:eastAsia="Times New Roman"/>
          <w:color w:val="000000"/>
          <w:sz w:val="20"/>
          <w:szCs w:val="20"/>
        </w:rPr>
        <w:t>ng the goods and/or services to be transferred are identified, payment terms are identified, the contract has commercial substance and collectability of substantially all of the consideration is probable, which for product sales, is generally when a custom</w:t>
      </w:r>
      <w:r>
        <w:rPr>
          <w:rFonts w:eastAsia="Times New Roman"/>
          <w:color w:val="000000"/>
          <w:sz w:val="20"/>
          <w:szCs w:val="20"/>
        </w:rPr>
        <w:t xml:space="preserve">er purchase order is executed and for licensing revenues, is generally upon execution of a license agreement. If all such conditions are not met, revenues and any associated receivables </w:t>
      </w:r>
    </w:p>
    <w:p w14:paraId="728E852B" w14:textId="77777777" w:rsidR="00000000" w:rsidRDefault="009B6C69">
      <w:pPr>
        <w:jc w:val="center"/>
        <w:divId w:val="152374018"/>
        <w:rPr>
          <w:rFonts w:eastAsia="Times New Roman"/>
        </w:rPr>
      </w:pPr>
      <w:r>
        <w:rPr>
          <w:rFonts w:eastAsia="Times New Roman"/>
          <w:color w:val="000000"/>
          <w:sz w:val="20"/>
          <w:szCs w:val="20"/>
        </w:rPr>
        <w:t>F-12</w:t>
      </w:r>
    </w:p>
    <w:p w14:paraId="6097B8C8" w14:textId="77777777" w:rsidR="00000000" w:rsidRDefault="009B6C69">
      <w:pPr>
        <w:rPr>
          <w:rFonts w:eastAsia="Times New Roman"/>
        </w:rPr>
      </w:pPr>
      <w:r>
        <w:rPr>
          <w:rFonts w:eastAsia="Times New Roman"/>
        </w:rPr>
        <w:pict w14:anchorId="7EA448A0">
          <v:rect id="_x0000_i1092" style="width:0;height:1.5pt" o:hralign="center" o:hrstd="t" o:hr="t" fillcolor="#a0a0a0" stroked="f"/>
        </w:pict>
      </w:r>
    </w:p>
    <w:p w14:paraId="3798BBBB" w14:textId="77777777" w:rsidR="00000000" w:rsidRDefault="009B6C69">
      <w:pPr>
        <w:jc w:val="center"/>
        <w:divId w:val="455762839"/>
        <w:rPr>
          <w:rFonts w:eastAsia="Times New Roman"/>
        </w:rPr>
      </w:pPr>
    </w:p>
    <w:p w14:paraId="7966BE0F" w14:textId="77777777" w:rsidR="00000000" w:rsidRDefault="009B6C69">
      <w:pPr>
        <w:jc w:val="center"/>
        <w:divId w:val="455762839"/>
        <w:rPr>
          <w:rFonts w:eastAsia="Times New Roman"/>
        </w:rPr>
      </w:pPr>
      <w:r>
        <w:rPr>
          <w:rFonts w:eastAsia="Times New Roman"/>
          <w:b/>
          <w:bCs/>
          <w:color w:val="000000"/>
          <w:sz w:val="20"/>
          <w:szCs w:val="20"/>
        </w:rPr>
        <w:t>QUALCOMM Incorporated</w:t>
      </w:r>
    </w:p>
    <w:p w14:paraId="75965070" w14:textId="77777777" w:rsidR="00000000" w:rsidRDefault="009B6C69">
      <w:pPr>
        <w:jc w:val="center"/>
        <w:divId w:val="455762839"/>
        <w:rPr>
          <w:rFonts w:eastAsia="Times New Roman"/>
        </w:rPr>
      </w:pPr>
      <w:r>
        <w:rPr>
          <w:rFonts w:eastAsia="Times New Roman"/>
          <w:b/>
          <w:bCs/>
          <w:color w:val="000000"/>
          <w:sz w:val="20"/>
          <w:szCs w:val="20"/>
        </w:rPr>
        <w:t>NOTE</w:t>
      </w:r>
      <w:r>
        <w:rPr>
          <w:rFonts w:eastAsia="Times New Roman"/>
          <w:b/>
          <w:bCs/>
          <w:color w:val="000000"/>
          <w:sz w:val="20"/>
          <w:szCs w:val="20"/>
        </w:rPr>
        <w:t>S TO CONSOLIDATED FINANCIAL STATEMENTS</w:t>
      </w:r>
    </w:p>
    <w:p w14:paraId="2298D6CB" w14:textId="77777777" w:rsidR="00000000" w:rsidRDefault="009B6C69">
      <w:pPr>
        <w:divId w:val="1337536873"/>
        <w:rPr>
          <w:rFonts w:eastAsia="Times New Roman"/>
        </w:rPr>
      </w:pPr>
      <w:r>
        <w:rPr>
          <w:rFonts w:eastAsia="Times New Roman"/>
          <w:color w:val="000000"/>
          <w:sz w:val="20"/>
          <w:szCs w:val="20"/>
        </w:rPr>
        <w:t>are generally not recognized until such time that the required conditions are met. Cash collected from customers prior to a contract existing is recorded to other customer-related liabilities in other current liabilit</w:t>
      </w:r>
      <w:r>
        <w:rPr>
          <w:rFonts w:eastAsia="Times New Roman"/>
          <w:color w:val="000000"/>
          <w:sz w:val="20"/>
          <w:szCs w:val="20"/>
        </w:rPr>
        <w:t>ies.</w:t>
      </w:r>
    </w:p>
    <w:p w14:paraId="5C74F832" w14:textId="77777777" w:rsidR="00000000" w:rsidRDefault="009B6C69">
      <w:pPr>
        <w:ind w:firstLine="360"/>
        <w:divId w:val="316998088"/>
        <w:rPr>
          <w:rFonts w:eastAsia="Times New Roman"/>
        </w:rPr>
      </w:pPr>
      <w:r>
        <w:rPr>
          <w:rFonts w:eastAsia="Times New Roman"/>
          <w:color w:val="000000"/>
          <w:sz w:val="20"/>
          <w:szCs w:val="20"/>
        </w:rPr>
        <w:t>From time to time, regulatory authorities investigate our business practices, particularly with respect to our licensing business, and institute proceedings against us. Depending on the matter, various remedies that could result from an unfavorable re</w:t>
      </w:r>
      <w:r>
        <w:rPr>
          <w:rFonts w:eastAsia="Times New Roman"/>
          <w:color w:val="000000"/>
          <w:sz w:val="20"/>
          <w:szCs w:val="20"/>
        </w:rPr>
        <w:t>solution include, among others, the loss of our ability to enforce one or more of our patents; injunctions; monetary damages or fines or other orders to pay money; the issuance of orders to cease certain conduct or modify our business practices, such as re</w:t>
      </w:r>
      <w:r>
        <w:rPr>
          <w:rFonts w:eastAsia="Times New Roman"/>
          <w:color w:val="000000"/>
          <w:sz w:val="20"/>
          <w:szCs w:val="20"/>
        </w:rPr>
        <w:t>quiring us to reduce our royalty rates, reduce the base on which our royalties are calculated, grant patent licenses to chipset manufacturers, sell chipsets to unlicensed original equipment manufacturers (OEMs) or modify or renegotiate some or all of our e</w:t>
      </w:r>
      <w:r>
        <w:rPr>
          <w:rFonts w:eastAsia="Times New Roman"/>
          <w:color w:val="000000"/>
          <w:sz w:val="20"/>
          <w:szCs w:val="20"/>
        </w:rPr>
        <w:t xml:space="preserve">xisting license agreements; and determinations that some or all of our license agreements are invalid or unenforceable. Additionally, from time to time, companies initiate various strategies in an attempt to negotiate, renegotiate, reduce and/or eliminate </w:t>
      </w:r>
      <w:r>
        <w:rPr>
          <w:rFonts w:eastAsia="Times New Roman"/>
          <w:color w:val="000000"/>
          <w:sz w:val="20"/>
          <w:szCs w:val="20"/>
        </w:rPr>
        <w:t>their need to pay royalties to us for the use of our intellectual property, which may include disputing, underreporting, underpaying, not reporting and/or not paying royalties owed to us under their license agreements with us, or reporting to us in a manne</w:t>
      </w:r>
      <w:r>
        <w:rPr>
          <w:rFonts w:eastAsia="Times New Roman"/>
          <w:color w:val="000000"/>
          <w:sz w:val="20"/>
          <w:szCs w:val="20"/>
        </w:rPr>
        <w:t xml:space="preserve">r that is not in compliance with their contractual obligations. In such cases, we estimate and recognize licensing revenues only when we have a contract, as defined in the revenue recognition guidance, which includes, among other items, evaluating whether </w:t>
      </w:r>
      <w:r>
        <w:rPr>
          <w:rFonts w:eastAsia="Times New Roman"/>
          <w:color w:val="000000"/>
          <w:sz w:val="20"/>
          <w:szCs w:val="20"/>
        </w:rPr>
        <w:t>our license agreements remain valid and enforceable and evaluating licensees’ conduct and whether they remain committed to perform their respective obligations. We also estimate and recognize licensing revenues only to the extent it is probable that a sign</w:t>
      </w:r>
      <w:r>
        <w:rPr>
          <w:rFonts w:eastAsia="Times New Roman"/>
          <w:color w:val="000000"/>
          <w:sz w:val="20"/>
          <w:szCs w:val="20"/>
        </w:rPr>
        <w:t>ificant reversal of cumulative revenues recognized will not occur, which includes, among other items, determining the expected impact, if any, to revenues of any license agreements that may be renegotiated and/or are newly entered into. We analyze the risk</w:t>
      </w:r>
      <w:r>
        <w:rPr>
          <w:rFonts w:eastAsia="Times New Roman"/>
          <w:color w:val="000000"/>
          <w:sz w:val="20"/>
          <w:szCs w:val="20"/>
        </w:rPr>
        <w:t xml:space="preserve"> of a significant revenue reversal considering both the likelihood and magnitude of the reversal and, if necessary, constrain the amount of estimated revenues recognized in order to mitigate this risk, which may result in recognizing revenues less than amo</w:t>
      </w:r>
      <w:r>
        <w:rPr>
          <w:rFonts w:eastAsia="Times New Roman"/>
          <w:color w:val="000000"/>
          <w:sz w:val="20"/>
          <w:szCs w:val="20"/>
        </w:rPr>
        <w:t xml:space="preserve">unts contractually owed to us. These aforementioned estimates may require significant judgment. </w:t>
      </w:r>
    </w:p>
    <w:p w14:paraId="0E6276D3" w14:textId="77777777" w:rsidR="00000000" w:rsidRDefault="009B6C69">
      <w:pPr>
        <w:ind w:firstLine="360"/>
        <w:divId w:val="1747338767"/>
        <w:rPr>
          <w:rFonts w:eastAsia="Times New Roman"/>
        </w:rPr>
      </w:pPr>
      <w:r>
        <w:rPr>
          <w:rFonts w:eastAsia="Times New Roman"/>
          <w:color w:val="000000"/>
          <w:sz w:val="20"/>
          <w:szCs w:val="20"/>
        </w:rPr>
        <w:t>We measure revenues (including our estimates of sales-based royalties) based on the amount of consideration we expect to receive in exchange for products or se</w:t>
      </w:r>
      <w:r>
        <w:rPr>
          <w:rFonts w:eastAsia="Times New Roman"/>
          <w:color w:val="000000"/>
          <w:sz w:val="20"/>
          <w:szCs w:val="20"/>
        </w:rPr>
        <w:t>rvices. We record reductions to revenues for customer incentive arrangements, including volume-related and other pricing rebates and cost reimbursements for marketing and other activities involving certain of our products and technologies, in the period th</w:t>
      </w:r>
      <w:r>
        <w:rPr>
          <w:rFonts w:eastAsia="Times New Roman"/>
          <w:color w:val="000000"/>
          <w:sz w:val="20"/>
          <w:szCs w:val="20"/>
        </w:rPr>
        <w:t>at the related revenues are earned. For certain QCT (Qualcomm CDMA Technologies) customer incentive arrangements, there is complexity in applying certain contractual terms to determine the amount recorded as a reduction to revenues. For the periods present</w:t>
      </w:r>
      <w:r>
        <w:rPr>
          <w:rFonts w:eastAsia="Times New Roman"/>
          <w:color w:val="000000"/>
          <w:sz w:val="20"/>
          <w:szCs w:val="20"/>
        </w:rPr>
        <w:t>ed, no significant reversals of revenues have been made related to such amounts previously recorded. The amounts accrued for customer incentive arrangements are recorded as a reduction to accounts receivable, net or as other current liabilities based on wh</w:t>
      </w:r>
      <w:r>
        <w:rPr>
          <w:rFonts w:eastAsia="Times New Roman"/>
          <w:color w:val="000000"/>
          <w:sz w:val="20"/>
          <w:szCs w:val="20"/>
        </w:rPr>
        <w:t xml:space="preserve">ether we have the intent and contractual right of offset. Certain amounts recorded as a reduction to revenues for customer incentive arrangements are considered variable consideration and are included in the transaction price primarily based on estimating </w:t>
      </w:r>
      <w:r>
        <w:rPr>
          <w:rFonts w:eastAsia="Times New Roman"/>
          <w:color w:val="000000"/>
          <w:sz w:val="20"/>
          <w:szCs w:val="20"/>
        </w:rPr>
        <w:t xml:space="preserve">the most likely amount expected to be provided to the customer/licensee. </w:t>
      </w:r>
    </w:p>
    <w:p w14:paraId="72753C44" w14:textId="77777777" w:rsidR="00000000" w:rsidRDefault="009B6C69">
      <w:pPr>
        <w:ind w:firstLine="360"/>
        <w:divId w:val="1251692089"/>
        <w:rPr>
          <w:rFonts w:eastAsia="Times New Roman"/>
        </w:rPr>
      </w:pPr>
      <w:r>
        <w:rPr>
          <w:rFonts w:eastAsia="Times New Roman"/>
          <w:color w:val="000000"/>
          <w:sz w:val="20"/>
          <w:szCs w:val="20"/>
        </w:rPr>
        <w:t>Adjustments made to revenues in subsequent periods to reflect changes in estimates as new information becomes available are included in our disclosure of revenues recognized from previously satisfied performance obligations (Note 2).</w:t>
      </w:r>
    </w:p>
    <w:p w14:paraId="1695DEB6" w14:textId="77777777" w:rsidR="00000000" w:rsidRDefault="009B6C69">
      <w:pPr>
        <w:ind w:firstLine="360"/>
        <w:divId w:val="1849562105"/>
        <w:rPr>
          <w:rFonts w:eastAsia="Times New Roman"/>
        </w:rPr>
      </w:pPr>
      <w:r>
        <w:rPr>
          <w:rFonts w:eastAsia="Times New Roman"/>
          <w:color w:val="000000"/>
          <w:sz w:val="20"/>
          <w:szCs w:val="20"/>
        </w:rPr>
        <w:t>Revenues recognized fr</w:t>
      </w:r>
      <w:r>
        <w:rPr>
          <w:rFonts w:eastAsia="Times New Roman"/>
          <w:color w:val="000000"/>
          <w:sz w:val="20"/>
          <w:szCs w:val="20"/>
        </w:rPr>
        <w:t>om sales of our products and sales-based royalties are generally included in accounts receivable, net (including unbilled receivables) based on our unconditional right to payment for satisfied or partially satisfied performance obligations.</w:t>
      </w:r>
    </w:p>
    <w:p w14:paraId="0E8DB613" w14:textId="77777777" w:rsidR="00000000" w:rsidRDefault="009B6C69">
      <w:pPr>
        <w:ind w:firstLine="360"/>
        <w:divId w:val="1477061965"/>
        <w:rPr>
          <w:rFonts w:eastAsia="Times New Roman"/>
        </w:rPr>
      </w:pPr>
      <w:r>
        <w:rPr>
          <w:rFonts w:eastAsia="Times New Roman"/>
          <w:b/>
          <w:bCs/>
          <w:i/>
          <w:iCs/>
          <w:color w:val="000000"/>
          <w:sz w:val="20"/>
          <w:szCs w:val="20"/>
        </w:rPr>
        <w:t>Concentrations.</w:t>
      </w:r>
      <w:r>
        <w:rPr>
          <w:rFonts w:eastAsia="Times New Roman"/>
          <w:color w:val="000000"/>
          <w:sz w:val="20"/>
          <w:szCs w:val="20"/>
        </w:rPr>
        <w:t xml:space="preserve"> A significant portion of our revenues are concentrated with a small number of customers/licensees of our QCT and QTL (Qualcomm Technology Licensing) segments. The comparability of customer/licensee concentrations for the periods presented are impacted by </w:t>
      </w:r>
      <w:r>
        <w:rPr>
          <w:rFonts w:eastAsia="Times New Roman"/>
          <w:color w:val="000000"/>
          <w:sz w:val="20"/>
          <w:szCs w:val="20"/>
        </w:rPr>
        <w:t>the timing of customer/licensees device launches and/or innovation cycles and other seasonal trends, among other fluctuations in demand. Revenues from each customer/licensee that were 10% or greater of total revenues were as follows:</w:t>
      </w:r>
    </w:p>
    <w:tbl>
      <w:tblPr>
        <w:tblW w:w="4985" w:type="pct"/>
        <w:tblCellMar>
          <w:top w:w="15" w:type="dxa"/>
          <w:left w:w="15" w:type="dxa"/>
          <w:bottom w:w="15" w:type="dxa"/>
          <w:right w:w="15" w:type="dxa"/>
        </w:tblCellMar>
        <w:tblLook w:val="04A0" w:firstRow="1" w:lastRow="0" w:firstColumn="1" w:lastColumn="0" w:noHBand="0" w:noVBand="1"/>
      </w:tblPr>
      <w:tblGrid>
        <w:gridCol w:w="37"/>
        <w:gridCol w:w="4893"/>
        <w:gridCol w:w="36"/>
        <w:gridCol w:w="73"/>
        <w:gridCol w:w="790"/>
        <w:gridCol w:w="170"/>
        <w:gridCol w:w="36"/>
        <w:gridCol w:w="36"/>
        <w:gridCol w:w="36"/>
        <w:gridCol w:w="73"/>
        <w:gridCol w:w="790"/>
        <w:gridCol w:w="170"/>
        <w:gridCol w:w="36"/>
        <w:gridCol w:w="36"/>
        <w:gridCol w:w="36"/>
        <w:gridCol w:w="73"/>
        <w:gridCol w:w="790"/>
        <w:gridCol w:w="170"/>
      </w:tblGrid>
      <w:tr w:rsidR="00000000" w14:paraId="1D0AEB91" w14:textId="77777777">
        <w:trPr>
          <w:divId w:val="1648589032"/>
        </w:trPr>
        <w:tc>
          <w:tcPr>
            <w:tcW w:w="50" w:type="pct"/>
            <w:vAlign w:val="center"/>
            <w:hideMark/>
          </w:tcPr>
          <w:p w14:paraId="6D8EB517" w14:textId="77777777" w:rsidR="00000000" w:rsidRDefault="009B6C69">
            <w:pPr>
              <w:ind w:firstLine="360"/>
              <w:rPr>
                <w:rFonts w:eastAsia="Times New Roman"/>
              </w:rPr>
            </w:pPr>
          </w:p>
        </w:tc>
        <w:tc>
          <w:tcPr>
            <w:tcW w:w="3056" w:type="pct"/>
            <w:vAlign w:val="center"/>
            <w:hideMark/>
          </w:tcPr>
          <w:p w14:paraId="16C62A6B" w14:textId="77777777" w:rsidR="00000000" w:rsidRDefault="009B6C69">
            <w:pPr>
              <w:spacing w:after="100"/>
              <w:rPr>
                <w:rFonts w:eastAsia="Times New Roman"/>
                <w:sz w:val="20"/>
                <w:szCs w:val="20"/>
              </w:rPr>
            </w:pPr>
          </w:p>
        </w:tc>
        <w:tc>
          <w:tcPr>
            <w:tcW w:w="5" w:type="pct"/>
            <w:vAlign w:val="center"/>
            <w:hideMark/>
          </w:tcPr>
          <w:p w14:paraId="4B561679" w14:textId="77777777" w:rsidR="00000000" w:rsidRDefault="009B6C69">
            <w:pPr>
              <w:spacing w:after="100"/>
              <w:rPr>
                <w:rFonts w:eastAsia="Times New Roman"/>
                <w:sz w:val="20"/>
                <w:szCs w:val="20"/>
              </w:rPr>
            </w:pPr>
          </w:p>
        </w:tc>
        <w:tc>
          <w:tcPr>
            <w:tcW w:w="50" w:type="pct"/>
            <w:vAlign w:val="center"/>
            <w:hideMark/>
          </w:tcPr>
          <w:p w14:paraId="40A9045C" w14:textId="77777777" w:rsidR="00000000" w:rsidRDefault="009B6C69">
            <w:pPr>
              <w:spacing w:after="100"/>
              <w:rPr>
                <w:rFonts w:eastAsia="Times New Roman"/>
                <w:sz w:val="20"/>
                <w:szCs w:val="20"/>
              </w:rPr>
            </w:pPr>
          </w:p>
        </w:tc>
        <w:tc>
          <w:tcPr>
            <w:tcW w:w="549" w:type="pct"/>
            <w:vAlign w:val="center"/>
            <w:hideMark/>
          </w:tcPr>
          <w:p w14:paraId="2F19268C" w14:textId="77777777" w:rsidR="00000000" w:rsidRDefault="009B6C69">
            <w:pPr>
              <w:spacing w:after="100"/>
              <w:rPr>
                <w:rFonts w:eastAsia="Times New Roman"/>
                <w:sz w:val="20"/>
                <w:szCs w:val="20"/>
              </w:rPr>
            </w:pPr>
          </w:p>
        </w:tc>
        <w:tc>
          <w:tcPr>
            <w:tcW w:w="5" w:type="pct"/>
            <w:vAlign w:val="center"/>
            <w:hideMark/>
          </w:tcPr>
          <w:p w14:paraId="72E89CA0" w14:textId="77777777" w:rsidR="00000000" w:rsidRDefault="009B6C69">
            <w:pPr>
              <w:spacing w:after="100"/>
              <w:rPr>
                <w:rFonts w:eastAsia="Times New Roman"/>
                <w:sz w:val="20"/>
                <w:szCs w:val="20"/>
              </w:rPr>
            </w:pPr>
          </w:p>
        </w:tc>
        <w:tc>
          <w:tcPr>
            <w:tcW w:w="5" w:type="pct"/>
            <w:vAlign w:val="center"/>
            <w:hideMark/>
          </w:tcPr>
          <w:p w14:paraId="60CDA92C" w14:textId="77777777" w:rsidR="00000000" w:rsidRDefault="009B6C69">
            <w:pPr>
              <w:spacing w:after="100"/>
              <w:rPr>
                <w:rFonts w:eastAsia="Times New Roman"/>
                <w:sz w:val="20"/>
                <w:szCs w:val="20"/>
              </w:rPr>
            </w:pPr>
          </w:p>
        </w:tc>
        <w:tc>
          <w:tcPr>
            <w:tcW w:w="27" w:type="pct"/>
            <w:vAlign w:val="center"/>
            <w:hideMark/>
          </w:tcPr>
          <w:p w14:paraId="4CDFF159" w14:textId="77777777" w:rsidR="00000000" w:rsidRDefault="009B6C69">
            <w:pPr>
              <w:spacing w:after="100"/>
              <w:rPr>
                <w:rFonts w:eastAsia="Times New Roman"/>
                <w:sz w:val="20"/>
                <w:szCs w:val="20"/>
              </w:rPr>
            </w:pPr>
          </w:p>
        </w:tc>
        <w:tc>
          <w:tcPr>
            <w:tcW w:w="5" w:type="pct"/>
            <w:vAlign w:val="center"/>
            <w:hideMark/>
          </w:tcPr>
          <w:p w14:paraId="463AC08B" w14:textId="77777777" w:rsidR="00000000" w:rsidRDefault="009B6C69">
            <w:pPr>
              <w:spacing w:after="100"/>
              <w:rPr>
                <w:rFonts w:eastAsia="Times New Roman"/>
                <w:sz w:val="20"/>
                <w:szCs w:val="20"/>
              </w:rPr>
            </w:pPr>
          </w:p>
        </w:tc>
        <w:tc>
          <w:tcPr>
            <w:tcW w:w="50" w:type="pct"/>
            <w:vAlign w:val="center"/>
            <w:hideMark/>
          </w:tcPr>
          <w:p w14:paraId="56F96CD6" w14:textId="77777777" w:rsidR="00000000" w:rsidRDefault="009B6C69">
            <w:pPr>
              <w:spacing w:after="100"/>
              <w:rPr>
                <w:rFonts w:eastAsia="Times New Roman"/>
                <w:sz w:val="20"/>
                <w:szCs w:val="20"/>
              </w:rPr>
            </w:pPr>
          </w:p>
        </w:tc>
        <w:tc>
          <w:tcPr>
            <w:tcW w:w="549" w:type="pct"/>
            <w:vAlign w:val="center"/>
            <w:hideMark/>
          </w:tcPr>
          <w:p w14:paraId="39D12D80" w14:textId="77777777" w:rsidR="00000000" w:rsidRDefault="009B6C69">
            <w:pPr>
              <w:spacing w:after="100"/>
              <w:rPr>
                <w:rFonts w:eastAsia="Times New Roman"/>
                <w:sz w:val="20"/>
                <w:szCs w:val="20"/>
              </w:rPr>
            </w:pPr>
          </w:p>
        </w:tc>
        <w:tc>
          <w:tcPr>
            <w:tcW w:w="5" w:type="pct"/>
            <w:vAlign w:val="center"/>
            <w:hideMark/>
          </w:tcPr>
          <w:p w14:paraId="28CB6696" w14:textId="77777777" w:rsidR="00000000" w:rsidRDefault="009B6C69">
            <w:pPr>
              <w:spacing w:after="100"/>
              <w:rPr>
                <w:rFonts w:eastAsia="Times New Roman"/>
                <w:sz w:val="20"/>
                <w:szCs w:val="20"/>
              </w:rPr>
            </w:pPr>
          </w:p>
        </w:tc>
        <w:tc>
          <w:tcPr>
            <w:tcW w:w="5" w:type="pct"/>
            <w:vAlign w:val="center"/>
            <w:hideMark/>
          </w:tcPr>
          <w:p w14:paraId="1E2B4F3A" w14:textId="77777777" w:rsidR="00000000" w:rsidRDefault="009B6C69">
            <w:pPr>
              <w:spacing w:after="100"/>
              <w:rPr>
                <w:rFonts w:eastAsia="Times New Roman"/>
                <w:sz w:val="20"/>
                <w:szCs w:val="20"/>
              </w:rPr>
            </w:pPr>
          </w:p>
        </w:tc>
        <w:tc>
          <w:tcPr>
            <w:tcW w:w="27" w:type="pct"/>
            <w:vAlign w:val="center"/>
            <w:hideMark/>
          </w:tcPr>
          <w:p w14:paraId="7E8B2986" w14:textId="77777777" w:rsidR="00000000" w:rsidRDefault="009B6C69">
            <w:pPr>
              <w:spacing w:after="100"/>
              <w:rPr>
                <w:rFonts w:eastAsia="Times New Roman"/>
                <w:sz w:val="20"/>
                <w:szCs w:val="20"/>
              </w:rPr>
            </w:pPr>
          </w:p>
        </w:tc>
        <w:tc>
          <w:tcPr>
            <w:tcW w:w="5" w:type="pct"/>
            <w:vAlign w:val="center"/>
            <w:hideMark/>
          </w:tcPr>
          <w:p w14:paraId="3BC5087E" w14:textId="77777777" w:rsidR="00000000" w:rsidRDefault="009B6C69">
            <w:pPr>
              <w:spacing w:after="100"/>
              <w:rPr>
                <w:rFonts w:eastAsia="Times New Roman"/>
                <w:sz w:val="20"/>
                <w:szCs w:val="20"/>
              </w:rPr>
            </w:pPr>
          </w:p>
        </w:tc>
        <w:tc>
          <w:tcPr>
            <w:tcW w:w="50" w:type="pct"/>
            <w:vAlign w:val="center"/>
            <w:hideMark/>
          </w:tcPr>
          <w:p w14:paraId="10E3ABB5" w14:textId="77777777" w:rsidR="00000000" w:rsidRDefault="009B6C69">
            <w:pPr>
              <w:spacing w:after="100"/>
              <w:rPr>
                <w:rFonts w:eastAsia="Times New Roman"/>
                <w:sz w:val="20"/>
                <w:szCs w:val="20"/>
              </w:rPr>
            </w:pPr>
          </w:p>
        </w:tc>
        <w:tc>
          <w:tcPr>
            <w:tcW w:w="549" w:type="pct"/>
            <w:vAlign w:val="center"/>
            <w:hideMark/>
          </w:tcPr>
          <w:p w14:paraId="093F01BE" w14:textId="77777777" w:rsidR="00000000" w:rsidRDefault="009B6C69">
            <w:pPr>
              <w:spacing w:after="100"/>
              <w:rPr>
                <w:rFonts w:eastAsia="Times New Roman"/>
                <w:sz w:val="20"/>
                <w:szCs w:val="20"/>
              </w:rPr>
            </w:pPr>
          </w:p>
        </w:tc>
        <w:tc>
          <w:tcPr>
            <w:tcW w:w="5" w:type="pct"/>
            <w:vAlign w:val="center"/>
            <w:hideMark/>
          </w:tcPr>
          <w:p w14:paraId="51329856" w14:textId="77777777" w:rsidR="00000000" w:rsidRDefault="009B6C69">
            <w:pPr>
              <w:spacing w:after="100"/>
              <w:rPr>
                <w:rFonts w:eastAsia="Times New Roman"/>
                <w:sz w:val="20"/>
                <w:szCs w:val="20"/>
              </w:rPr>
            </w:pPr>
          </w:p>
        </w:tc>
      </w:tr>
      <w:tr w:rsidR="00000000" w14:paraId="4830F9E5" w14:textId="77777777">
        <w:trPr>
          <w:divId w:val="1648589032"/>
        </w:trPr>
        <w:tc>
          <w:tcPr>
            <w:tcW w:w="0" w:type="auto"/>
            <w:gridSpan w:val="3"/>
            <w:tcMar>
              <w:top w:w="0" w:type="dxa"/>
              <w:left w:w="20" w:type="dxa"/>
              <w:bottom w:w="0" w:type="dxa"/>
              <w:right w:w="20" w:type="dxa"/>
            </w:tcMar>
            <w:vAlign w:val="center"/>
            <w:hideMark/>
          </w:tcPr>
          <w:p w14:paraId="46FBE8BA"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91BF33F" w14:textId="77777777" w:rsidR="00000000" w:rsidRDefault="009B6C69">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14:paraId="504FA342"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A36FFFC" w14:textId="77777777" w:rsidR="00000000" w:rsidRDefault="009B6C69">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c>
          <w:tcPr>
            <w:tcW w:w="0" w:type="auto"/>
            <w:gridSpan w:val="3"/>
            <w:tcMar>
              <w:top w:w="0" w:type="dxa"/>
              <w:left w:w="20" w:type="dxa"/>
              <w:bottom w:w="0" w:type="dxa"/>
              <w:right w:w="20" w:type="dxa"/>
            </w:tcMar>
            <w:vAlign w:val="center"/>
            <w:hideMark/>
          </w:tcPr>
          <w:p w14:paraId="4B071454"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9A3B3AE" w14:textId="77777777" w:rsidR="00000000" w:rsidRDefault="009B6C69">
            <w:pPr>
              <w:spacing w:after="100"/>
              <w:jc w:val="center"/>
              <w:rPr>
                <w:rFonts w:eastAsia="Times New Roman"/>
              </w:rPr>
            </w:pPr>
            <w:r>
              <w:rPr>
                <w:rFonts w:eastAsia="Times New Roman"/>
                <w:b/>
                <w:bCs/>
                <w:color w:val="000000"/>
                <w:sz w:val="18"/>
                <w:szCs w:val="18"/>
              </w:rPr>
              <w:t>September 27,</w:t>
            </w:r>
            <w:r>
              <w:rPr>
                <w:rFonts w:eastAsia="Times New Roman"/>
                <w:b/>
                <w:bCs/>
                <w:color w:val="000000"/>
                <w:sz w:val="18"/>
                <w:szCs w:val="18"/>
              </w:rPr>
              <w:br/>
              <w:t>2020</w:t>
            </w:r>
          </w:p>
        </w:tc>
      </w:tr>
      <w:tr w:rsidR="00000000" w14:paraId="14BCD9A7" w14:textId="77777777">
        <w:trPr>
          <w:divId w:val="1648589032"/>
        </w:trPr>
        <w:tc>
          <w:tcPr>
            <w:tcW w:w="0" w:type="auto"/>
            <w:gridSpan w:val="3"/>
            <w:shd w:val="clear" w:color="auto" w:fill="CCEEFF"/>
            <w:tcMar>
              <w:top w:w="30" w:type="dxa"/>
              <w:left w:w="20" w:type="dxa"/>
              <w:bottom w:w="30" w:type="dxa"/>
              <w:right w:w="20" w:type="dxa"/>
            </w:tcMar>
            <w:vAlign w:val="bottom"/>
            <w:hideMark/>
          </w:tcPr>
          <w:p w14:paraId="19EF9E4F" w14:textId="77777777" w:rsidR="00000000" w:rsidRDefault="009B6C69">
            <w:pPr>
              <w:spacing w:after="100"/>
              <w:rPr>
                <w:rFonts w:eastAsia="Times New Roman"/>
              </w:rPr>
            </w:pPr>
            <w:r>
              <w:rPr>
                <w:rFonts w:eastAsia="Times New Roman"/>
                <w:color w:val="000000"/>
                <w:sz w:val="18"/>
                <w:szCs w:val="18"/>
              </w:rPr>
              <w:t>Customer/licensee (w)</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99078E" w14:textId="77777777" w:rsidR="00000000" w:rsidRDefault="009B6C69">
            <w:pPr>
              <w:spacing w:after="100"/>
              <w:jc w:val="right"/>
              <w:rPr>
                <w:rFonts w:eastAsia="Times New Roman"/>
              </w:rPr>
            </w:pPr>
            <w:r>
              <w:rPr>
                <w:rFonts w:eastAsia="Times New Roman"/>
                <w:color w:val="000000"/>
                <w:sz w:val="18"/>
                <w:szCs w:val="18"/>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C397AC" w14:textId="77777777" w:rsidR="00000000" w:rsidRDefault="009B6C69">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79E6719" w14:textId="77777777" w:rsidR="00000000" w:rsidRDefault="009B6C6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E5D3BE" w14:textId="77777777" w:rsidR="00000000" w:rsidRDefault="009B6C69">
            <w:pPr>
              <w:spacing w:after="100"/>
              <w:jc w:val="right"/>
              <w:rPr>
                <w:rFonts w:eastAsia="Times New Roman"/>
              </w:rPr>
            </w:pPr>
            <w:r>
              <w:rPr>
                <w:rFonts w:eastAsia="Times New Roman"/>
                <w:color w:val="000000"/>
                <w:sz w:val="18"/>
                <w:szCs w:val="18"/>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F8F991" w14:textId="77777777" w:rsidR="00000000" w:rsidRDefault="009B6C69">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B8AE579" w14:textId="77777777" w:rsidR="00000000" w:rsidRDefault="009B6C6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923CD4" w14:textId="77777777" w:rsidR="00000000" w:rsidRDefault="009B6C69">
            <w:pPr>
              <w:spacing w:after="100"/>
              <w:jc w:val="right"/>
              <w:rPr>
                <w:rFonts w:eastAsia="Times New Roman"/>
              </w:rPr>
            </w:pPr>
            <w:r>
              <w:rPr>
                <w:rFonts w:eastAsia="Times New Roman"/>
                <w:color w:val="000000"/>
                <w:sz w:val="18"/>
                <w:szCs w:val="18"/>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34841B" w14:textId="77777777" w:rsidR="00000000" w:rsidRDefault="009B6C69">
            <w:pPr>
              <w:spacing w:after="100"/>
              <w:rPr>
                <w:rFonts w:eastAsia="Times New Roman"/>
              </w:rPr>
            </w:pPr>
            <w:r>
              <w:rPr>
                <w:rFonts w:eastAsia="Times New Roman"/>
                <w:color w:val="000000"/>
                <w:sz w:val="18"/>
                <w:szCs w:val="18"/>
              </w:rPr>
              <w:t>%</w:t>
            </w:r>
          </w:p>
        </w:tc>
      </w:tr>
      <w:tr w:rsidR="00000000" w14:paraId="3BEDCEB8" w14:textId="77777777">
        <w:trPr>
          <w:divId w:val="1648589032"/>
        </w:trPr>
        <w:tc>
          <w:tcPr>
            <w:tcW w:w="0" w:type="auto"/>
            <w:gridSpan w:val="3"/>
            <w:shd w:val="clear" w:color="auto" w:fill="FFFFFF"/>
            <w:tcMar>
              <w:top w:w="30" w:type="dxa"/>
              <w:left w:w="20" w:type="dxa"/>
              <w:bottom w:w="30" w:type="dxa"/>
              <w:right w:w="20" w:type="dxa"/>
            </w:tcMar>
            <w:vAlign w:val="bottom"/>
            <w:hideMark/>
          </w:tcPr>
          <w:p w14:paraId="2BF686FA" w14:textId="77777777" w:rsidR="00000000" w:rsidRDefault="009B6C69">
            <w:pPr>
              <w:spacing w:after="100"/>
              <w:rPr>
                <w:rFonts w:eastAsia="Times New Roman"/>
              </w:rPr>
            </w:pPr>
            <w:r>
              <w:rPr>
                <w:rFonts w:eastAsia="Times New Roman"/>
                <w:color w:val="000000"/>
                <w:sz w:val="18"/>
                <w:szCs w:val="18"/>
              </w:rPr>
              <w:t>Customer/licensee (x)</w:t>
            </w:r>
          </w:p>
        </w:tc>
        <w:tc>
          <w:tcPr>
            <w:tcW w:w="0" w:type="auto"/>
            <w:gridSpan w:val="2"/>
            <w:shd w:val="clear" w:color="auto" w:fill="FFFFFF"/>
            <w:tcMar>
              <w:top w:w="30" w:type="dxa"/>
              <w:left w:w="20" w:type="dxa"/>
              <w:bottom w:w="30" w:type="dxa"/>
              <w:right w:w="0" w:type="dxa"/>
            </w:tcMar>
            <w:vAlign w:val="bottom"/>
            <w:hideMark/>
          </w:tcPr>
          <w:p w14:paraId="2BA4FE36" w14:textId="77777777" w:rsidR="00000000" w:rsidRDefault="009B6C69">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14:paraId="73B92BD7"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D3C939"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DB5BC2" w14:textId="77777777" w:rsidR="00000000" w:rsidRDefault="009B6C69">
            <w:pPr>
              <w:spacing w:after="100"/>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bottom"/>
            <w:hideMark/>
          </w:tcPr>
          <w:p w14:paraId="7E5C0953"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DEABEA"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76061A" w14:textId="77777777" w:rsidR="00000000" w:rsidRDefault="009B6C69">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14:paraId="02D4E1F9" w14:textId="77777777" w:rsidR="00000000" w:rsidRDefault="009B6C69">
            <w:pPr>
              <w:spacing w:after="100"/>
              <w:jc w:val="right"/>
              <w:rPr>
                <w:rFonts w:eastAsia="Times New Roman"/>
              </w:rPr>
            </w:pPr>
          </w:p>
        </w:tc>
      </w:tr>
      <w:tr w:rsidR="00000000" w14:paraId="1A0FC83F" w14:textId="77777777">
        <w:trPr>
          <w:divId w:val="1648589032"/>
        </w:trPr>
        <w:tc>
          <w:tcPr>
            <w:tcW w:w="0" w:type="auto"/>
            <w:gridSpan w:val="3"/>
            <w:shd w:val="clear" w:color="auto" w:fill="CCEEFF"/>
            <w:tcMar>
              <w:top w:w="30" w:type="dxa"/>
              <w:left w:w="20" w:type="dxa"/>
              <w:bottom w:w="30" w:type="dxa"/>
              <w:right w:w="20" w:type="dxa"/>
            </w:tcMar>
            <w:vAlign w:val="bottom"/>
            <w:hideMark/>
          </w:tcPr>
          <w:p w14:paraId="2D204AB4" w14:textId="77777777" w:rsidR="00000000" w:rsidRDefault="009B6C69">
            <w:pPr>
              <w:spacing w:after="100"/>
              <w:rPr>
                <w:rFonts w:eastAsia="Times New Roman"/>
              </w:rPr>
            </w:pPr>
            <w:r>
              <w:rPr>
                <w:rFonts w:eastAsia="Times New Roman"/>
                <w:color w:val="000000"/>
                <w:sz w:val="18"/>
                <w:szCs w:val="18"/>
              </w:rPr>
              <w:t>Customer/licensee (y)</w:t>
            </w:r>
          </w:p>
        </w:tc>
        <w:tc>
          <w:tcPr>
            <w:tcW w:w="0" w:type="auto"/>
            <w:gridSpan w:val="3"/>
            <w:shd w:val="clear" w:color="auto" w:fill="CCEEFF"/>
            <w:tcMar>
              <w:top w:w="30" w:type="dxa"/>
              <w:left w:w="20" w:type="dxa"/>
              <w:bottom w:w="30" w:type="dxa"/>
              <w:right w:w="260" w:type="dxa"/>
            </w:tcMar>
            <w:vAlign w:val="bottom"/>
            <w:hideMark/>
          </w:tcPr>
          <w:p w14:paraId="4ADEAE69" w14:textId="77777777" w:rsidR="00000000" w:rsidRDefault="009B6C69">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BD5D5DF" w14:textId="77777777" w:rsidR="00000000" w:rsidRDefault="009B6C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7AC326" w14:textId="77777777" w:rsidR="00000000" w:rsidRDefault="009B6C69">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14:paraId="419D5B4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C47249"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614824" w14:textId="77777777" w:rsidR="00000000" w:rsidRDefault="009B6C69">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14:paraId="5A195CF3" w14:textId="77777777" w:rsidR="00000000" w:rsidRDefault="009B6C69">
            <w:pPr>
              <w:spacing w:after="100"/>
              <w:jc w:val="right"/>
              <w:rPr>
                <w:rFonts w:eastAsia="Times New Roman"/>
              </w:rPr>
            </w:pPr>
          </w:p>
        </w:tc>
      </w:tr>
      <w:tr w:rsidR="00000000" w14:paraId="1B4A631C" w14:textId="77777777">
        <w:trPr>
          <w:divId w:val="1648589032"/>
        </w:trPr>
        <w:tc>
          <w:tcPr>
            <w:tcW w:w="0" w:type="auto"/>
            <w:gridSpan w:val="3"/>
            <w:vAlign w:val="center"/>
            <w:hideMark/>
          </w:tcPr>
          <w:p w14:paraId="6A81D6ED" w14:textId="77777777" w:rsidR="00000000" w:rsidRDefault="009B6C69">
            <w:pPr>
              <w:spacing w:after="100"/>
              <w:jc w:val="right"/>
              <w:rPr>
                <w:rFonts w:eastAsia="Times New Roman"/>
                <w:sz w:val="20"/>
                <w:szCs w:val="20"/>
              </w:rPr>
            </w:pPr>
          </w:p>
        </w:tc>
        <w:tc>
          <w:tcPr>
            <w:tcW w:w="0" w:type="auto"/>
            <w:gridSpan w:val="3"/>
            <w:vAlign w:val="center"/>
            <w:hideMark/>
          </w:tcPr>
          <w:p w14:paraId="121F2B3A" w14:textId="77777777" w:rsidR="00000000" w:rsidRDefault="009B6C69">
            <w:pPr>
              <w:spacing w:after="100"/>
              <w:rPr>
                <w:rFonts w:eastAsia="Times New Roman"/>
                <w:sz w:val="20"/>
                <w:szCs w:val="20"/>
              </w:rPr>
            </w:pPr>
          </w:p>
        </w:tc>
        <w:tc>
          <w:tcPr>
            <w:tcW w:w="0" w:type="auto"/>
            <w:gridSpan w:val="3"/>
            <w:vAlign w:val="center"/>
            <w:hideMark/>
          </w:tcPr>
          <w:p w14:paraId="50C9FD7A" w14:textId="77777777" w:rsidR="00000000" w:rsidRDefault="009B6C69">
            <w:pPr>
              <w:spacing w:after="100"/>
              <w:rPr>
                <w:rFonts w:eastAsia="Times New Roman"/>
                <w:sz w:val="20"/>
                <w:szCs w:val="20"/>
              </w:rPr>
            </w:pPr>
          </w:p>
        </w:tc>
        <w:tc>
          <w:tcPr>
            <w:tcW w:w="0" w:type="auto"/>
            <w:gridSpan w:val="3"/>
            <w:vAlign w:val="center"/>
            <w:hideMark/>
          </w:tcPr>
          <w:p w14:paraId="700E0E01" w14:textId="77777777" w:rsidR="00000000" w:rsidRDefault="009B6C69">
            <w:pPr>
              <w:spacing w:after="100"/>
              <w:rPr>
                <w:rFonts w:eastAsia="Times New Roman"/>
                <w:sz w:val="20"/>
                <w:szCs w:val="20"/>
              </w:rPr>
            </w:pPr>
          </w:p>
        </w:tc>
        <w:tc>
          <w:tcPr>
            <w:tcW w:w="0" w:type="auto"/>
            <w:gridSpan w:val="3"/>
            <w:vAlign w:val="center"/>
            <w:hideMark/>
          </w:tcPr>
          <w:p w14:paraId="663C30A6" w14:textId="77777777" w:rsidR="00000000" w:rsidRDefault="009B6C69">
            <w:pPr>
              <w:spacing w:after="100"/>
              <w:rPr>
                <w:rFonts w:eastAsia="Times New Roman"/>
                <w:sz w:val="20"/>
                <w:szCs w:val="20"/>
              </w:rPr>
            </w:pPr>
          </w:p>
        </w:tc>
        <w:tc>
          <w:tcPr>
            <w:tcW w:w="0" w:type="auto"/>
            <w:gridSpan w:val="3"/>
            <w:vAlign w:val="center"/>
            <w:hideMark/>
          </w:tcPr>
          <w:p w14:paraId="2E234CE9" w14:textId="77777777" w:rsidR="00000000" w:rsidRDefault="009B6C69">
            <w:pPr>
              <w:spacing w:after="100"/>
              <w:rPr>
                <w:rFonts w:eastAsia="Times New Roman"/>
                <w:sz w:val="20"/>
                <w:szCs w:val="20"/>
              </w:rPr>
            </w:pPr>
          </w:p>
        </w:tc>
      </w:tr>
      <w:tr w:rsidR="00000000" w14:paraId="3D097D55" w14:textId="77777777">
        <w:trPr>
          <w:divId w:val="1648589032"/>
        </w:trPr>
        <w:tc>
          <w:tcPr>
            <w:tcW w:w="0" w:type="auto"/>
            <w:gridSpan w:val="3"/>
            <w:shd w:val="clear" w:color="auto" w:fill="FFFFFF"/>
            <w:tcMar>
              <w:top w:w="30" w:type="dxa"/>
              <w:left w:w="20" w:type="dxa"/>
              <w:bottom w:w="30" w:type="dxa"/>
              <w:right w:w="20" w:type="dxa"/>
            </w:tcMar>
            <w:vAlign w:val="bottom"/>
            <w:hideMark/>
          </w:tcPr>
          <w:p w14:paraId="0FC8E232" w14:textId="77777777" w:rsidR="00000000" w:rsidRDefault="009B6C69">
            <w:pPr>
              <w:spacing w:after="100"/>
              <w:rPr>
                <w:rFonts w:eastAsia="Times New Roman"/>
              </w:rPr>
            </w:pPr>
            <w:r>
              <w:rPr>
                <w:rFonts w:eastAsia="Times New Roman"/>
                <w:color w:val="000000"/>
                <w:sz w:val="18"/>
                <w:szCs w:val="18"/>
              </w:rPr>
              <w:t>Customer/licensee (z)</w:t>
            </w:r>
          </w:p>
        </w:tc>
        <w:tc>
          <w:tcPr>
            <w:tcW w:w="0" w:type="auto"/>
            <w:gridSpan w:val="3"/>
            <w:shd w:val="clear" w:color="auto" w:fill="FFFFFF"/>
            <w:tcMar>
              <w:top w:w="30" w:type="dxa"/>
              <w:left w:w="20" w:type="dxa"/>
              <w:bottom w:w="30" w:type="dxa"/>
              <w:right w:w="260" w:type="dxa"/>
            </w:tcMar>
            <w:vAlign w:val="bottom"/>
            <w:hideMark/>
          </w:tcPr>
          <w:p w14:paraId="289A5468" w14:textId="77777777" w:rsidR="00000000" w:rsidRDefault="009B6C6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3A4F51E" w14:textId="77777777" w:rsidR="00000000" w:rsidRDefault="009B6C69">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2A5C69D9" w14:textId="77777777" w:rsidR="00000000" w:rsidRDefault="009B6C6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6557D87" w14:textId="77777777" w:rsidR="00000000" w:rsidRDefault="009B6C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BD79C4" w14:textId="77777777" w:rsidR="00000000" w:rsidRDefault="009B6C69">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14:paraId="67F4FFE2" w14:textId="77777777" w:rsidR="00000000" w:rsidRDefault="009B6C69">
            <w:pPr>
              <w:spacing w:after="100"/>
              <w:jc w:val="right"/>
              <w:rPr>
                <w:rFonts w:eastAsia="Times New Roman"/>
              </w:rPr>
            </w:pPr>
          </w:p>
        </w:tc>
      </w:tr>
    </w:tbl>
    <w:p w14:paraId="301A05DD" w14:textId="77777777" w:rsidR="00000000" w:rsidRDefault="009B6C69">
      <w:pPr>
        <w:ind w:firstLine="360"/>
        <w:divId w:val="2114665476"/>
        <w:rPr>
          <w:rFonts w:eastAsia="Times New Roman"/>
        </w:rPr>
      </w:pPr>
      <w:r>
        <w:rPr>
          <w:rFonts w:eastAsia="Times New Roman"/>
          <w:color w:val="000000"/>
          <w:sz w:val="18"/>
          <w:szCs w:val="18"/>
        </w:rPr>
        <w:t>* Less than 10%</w:t>
      </w:r>
    </w:p>
    <w:p w14:paraId="715FBCE8" w14:textId="77777777" w:rsidR="00000000" w:rsidRDefault="009B6C69">
      <w:pPr>
        <w:ind w:firstLine="360"/>
        <w:divId w:val="1975720922"/>
        <w:rPr>
          <w:rFonts w:eastAsia="Times New Roman"/>
        </w:rPr>
      </w:pPr>
      <w:r>
        <w:rPr>
          <w:rFonts w:eastAsia="Times New Roman"/>
          <w:color w:val="000000"/>
          <w:sz w:val="20"/>
          <w:szCs w:val="20"/>
        </w:rPr>
        <w:t>We rely on sole- or limited-source suppliers for some products, particularly products in our QCT segment, subjecting us to possible shortages of raw materials or manufacturing capacity. The loss of a supplier or the inability of a supplier to meet performa</w:t>
      </w:r>
      <w:r>
        <w:rPr>
          <w:rFonts w:eastAsia="Times New Roman"/>
          <w:color w:val="000000"/>
          <w:sz w:val="20"/>
          <w:szCs w:val="20"/>
        </w:rPr>
        <w:t>nce or quality specifications or delivery schedules could harm our ability to meet our delivery obligations and/or negatively impact our revenues, business operations and ability to compete for future business.</w:t>
      </w:r>
    </w:p>
    <w:p w14:paraId="00DF1762" w14:textId="77777777" w:rsidR="00000000" w:rsidRDefault="009B6C69">
      <w:pPr>
        <w:ind w:firstLine="360"/>
        <w:divId w:val="135992459"/>
        <w:rPr>
          <w:rFonts w:eastAsia="Times New Roman"/>
        </w:rPr>
      </w:pPr>
      <w:r>
        <w:rPr>
          <w:rFonts w:eastAsia="Times New Roman"/>
          <w:b/>
          <w:bCs/>
          <w:i/>
          <w:iCs/>
          <w:color w:val="000000"/>
          <w:sz w:val="20"/>
          <w:szCs w:val="20"/>
        </w:rPr>
        <w:t>Share-Based Compensation.</w:t>
      </w:r>
      <w:r>
        <w:rPr>
          <w:rFonts w:eastAsia="Times New Roman"/>
          <w:color w:val="000000"/>
          <w:sz w:val="20"/>
          <w:szCs w:val="20"/>
        </w:rPr>
        <w:t xml:space="preserve"> Share-based compens</w:t>
      </w:r>
      <w:r>
        <w:rPr>
          <w:rFonts w:eastAsia="Times New Roman"/>
          <w:color w:val="000000"/>
          <w:sz w:val="20"/>
          <w:szCs w:val="20"/>
        </w:rPr>
        <w:t>ation expense for equity-classified awards, principally related to restricted stock units (RSUs), is measured at the grant date, or at the acquisition date for awards assumed in business combinations, based on the estimated fair value of the award and is r</w:t>
      </w:r>
      <w:r>
        <w:rPr>
          <w:rFonts w:eastAsia="Times New Roman"/>
          <w:color w:val="000000"/>
          <w:sz w:val="20"/>
          <w:szCs w:val="20"/>
        </w:rPr>
        <w:t xml:space="preserve">ecognized over the employee’s requisite service period. The fair values of RSUs are estimated based on the fair market values of the underlying stock on the dates of grant or dates </w:t>
      </w:r>
    </w:p>
    <w:p w14:paraId="0990AAE6" w14:textId="77777777" w:rsidR="00000000" w:rsidRDefault="009B6C69">
      <w:pPr>
        <w:jc w:val="center"/>
        <w:divId w:val="932593622"/>
        <w:rPr>
          <w:rFonts w:eastAsia="Times New Roman"/>
        </w:rPr>
      </w:pPr>
      <w:r>
        <w:rPr>
          <w:rFonts w:eastAsia="Times New Roman"/>
          <w:color w:val="000000"/>
          <w:sz w:val="20"/>
          <w:szCs w:val="20"/>
        </w:rPr>
        <w:t>F-13</w:t>
      </w:r>
    </w:p>
    <w:p w14:paraId="0DF8F80D" w14:textId="77777777" w:rsidR="00000000" w:rsidRDefault="009B6C69">
      <w:pPr>
        <w:rPr>
          <w:rFonts w:eastAsia="Times New Roman"/>
        </w:rPr>
      </w:pPr>
      <w:r>
        <w:rPr>
          <w:rFonts w:eastAsia="Times New Roman"/>
        </w:rPr>
        <w:pict w14:anchorId="7F832BD7">
          <v:rect id="_x0000_i1093" style="width:0;height:1.5pt" o:hralign="center" o:hrstd="t" o:hr="t" fillcolor="#a0a0a0" stroked="f"/>
        </w:pict>
      </w:r>
    </w:p>
    <w:p w14:paraId="2350B612" w14:textId="77777777" w:rsidR="00000000" w:rsidRDefault="009B6C69">
      <w:pPr>
        <w:jc w:val="center"/>
        <w:divId w:val="1986541434"/>
        <w:rPr>
          <w:rFonts w:eastAsia="Times New Roman"/>
        </w:rPr>
      </w:pPr>
    </w:p>
    <w:p w14:paraId="6A659A3B" w14:textId="77777777" w:rsidR="00000000" w:rsidRDefault="009B6C69">
      <w:pPr>
        <w:jc w:val="center"/>
        <w:divId w:val="1986541434"/>
        <w:rPr>
          <w:rFonts w:eastAsia="Times New Roman"/>
        </w:rPr>
      </w:pPr>
      <w:r>
        <w:rPr>
          <w:rFonts w:eastAsia="Times New Roman"/>
          <w:b/>
          <w:bCs/>
          <w:color w:val="000000"/>
          <w:sz w:val="20"/>
          <w:szCs w:val="20"/>
        </w:rPr>
        <w:t>QUALCOMM Incorporated</w:t>
      </w:r>
    </w:p>
    <w:p w14:paraId="56DAA8C7" w14:textId="77777777" w:rsidR="00000000" w:rsidRDefault="009B6C69">
      <w:pPr>
        <w:jc w:val="center"/>
        <w:divId w:val="1986541434"/>
        <w:rPr>
          <w:rFonts w:eastAsia="Times New Roman"/>
        </w:rPr>
      </w:pPr>
      <w:r>
        <w:rPr>
          <w:rFonts w:eastAsia="Times New Roman"/>
          <w:b/>
          <w:bCs/>
          <w:color w:val="000000"/>
          <w:sz w:val="20"/>
          <w:szCs w:val="20"/>
        </w:rPr>
        <w:t>NOTES TO CONSOLIDATED FINANCIAL STATEMENTS</w:t>
      </w:r>
    </w:p>
    <w:p w14:paraId="1D89CCA3" w14:textId="77777777" w:rsidR="00000000" w:rsidRDefault="009B6C69">
      <w:pPr>
        <w:divId w:val="1649742261"/>
        <w:rPr>
          <w:rFonts w:eastAsia="Times New Roman"/>
        </w:rPr>
      </w:pPr>
      <w:r>
        <w:rPr>
          <w:rFonts w:eastAsia="Times New Roman"/>
          <w:color w:val="000000"/>
          <w:sz w:val="20"/>
          <w:szCs w:val="20"/>
        </w:rPr>
        <w:t>the RSUs are assumed. Share-based compensation expense is adjusted to exclude amounts related to share-based awards that are expected to be forfeited.</w:t>
      </w:r>
    </w:p>
    <w:p w14:paraId="4A7C43BC" w14:textId="77777777" w:rsidR="00000000" w:rsidRDefault="009B6C69">
      <w:pPr>
        <w:ind w:firstLine="360"/>
        <w:divId w:val="1435133718"/>
        <w:rPr>
          <w:rFonts w:eastAsia="Times New Roman"/>
        </w:rPr>
      </w:pPr>
      <w:r>
        <w:rPr>
          <w:rFonts w:eastAsia="Times New Roman"/>
          <w:b/>
          <w:bCs/>
          <w:i/>
          <w:iCs/>
          <w:color w:val="000000"/>
          <w:sz w:val="20"/>
          <w:szCs w:val="20"/>
        </w:rPr>
        <w:t>Legal and Regulatory Proceedings.</w:t>
      </w:r>
      <w:r>
        <w:rPr>
          <w:rFonts w:eastAsia="Times New Roman"/>
          <w:color w:val="000000"/>
          <w:sz w:val="20"/>
          <w:szCs w:val="20"/>
        </w:rPr>
        <w:t xml:space="preserve"> We are</w:t>
      </w:r>
      <w:r>
        <w:rPr>
          <w:rFonts w:eastAsia="Times New Roman"/>
          <w:color w:val="000000"/>
          <w:sz w:val="20"/>
          <w:szCs w:val="20"/>
        </w:rPr>
        <w:t xml:space="preserve"> currently involved in certain legal and regulatory proceedings. Litigation and investigations are inherently uncertain, and we face difficulties in evaluating or estimating likely outcomes or ranges of possible loss in antitrust and trade regulation inves</w:t>
      </w:r>
      <w:r>
        <w:rPr>
          <w:rFonts w:eastAsia="Times New Roman"/>
          <w:color w:val="000000"/>
          <w:sz w:val="20"/>
          <w:szCs w:val="20"/>
        </w:rPr>
        <w:t>tigations in particular. Investigations by antitrust and trade regulation agencies are not conducted in a consistent manner across jurisdictions. Further, each country and agency has different sets of laws, rules and regulations, both substantive and proce</w:t>
      </w:r>
      <w:r>
        <w:rPr>
          <w:rFonts w:eastAsia="Times New Roman"/>
          <w:color w:val="000000"/>
          <w:sz w:val="20"/>
          <w:szCs w:val="20"/>
        </w:rPr>
        <w:t xml:space="preserve">dural, as well as different legal principles, theories and potential remedies, and some agencies may seek to use the investigation to advance domestic policy goals. Depending on the jurisdiction, these investigations can involve non-transparent procedures </w:t>
      </w:r>
      <w:r>
        <w:rPr>
          <w:rFonts w:eastAsia="Times New Roman"/>
          <w:color w:val="000000"/>
          <w:sz w:val="20"/>
          <w:szCs w:val="20"/>
        </w:rPr>
        <w:t>under which we may not receive access to evidence relied upon by the enforcement agency or that may be exculpatory and may not be informed of the specific legal theories or evidence considered or relied upon by the agency. Unlike in civil litigation in the</w:t>
      </w:r>
      <w:r>
        <w:rPr>
          <w:rFonts w:eastAsia="Times New Roman"/>
          <w:color w:val="000000"/>
          <w:sz w:val="20"/>
          <w:szCs w:val="20"/>
        </w:rPr>
        <w:t xml:space="preserve"> United States, in foreign proceedings, we may not be entitled to discovery or depositions, allowed to cross-examine witnesses or confront our accusers. As a result, we may not be aware of, and may not be entitled to know, all allegations against us, or th</w:t>
      </w:r>
      <w:r>
        <w:rPr>
          <w:rFonts w:eastAsia="Times New Roman"/>
          <w:color w:val="000000"/>
          <w:sz w:val="20"/>
          <w:szCs w:val="20"/>
        </w:rPr>
        <w:t>e information or documents provided to, or discovered or prepared by, the agency. Accordingly, we may have little or no idea what an agency’s intent is with respect to liability, penalties or the timing of a decision. In many cases the agencies are given s</w:t>
      </w:r>
      <w:r>
        <w:rPr>
          <w:rFonts w:eastAsia="Times New Roman"/>
          <w:color w:val="000000"/>
          <w:sz w:val="20"/>
          <w:szCs w:val="20"/>
        </w:rPr>
        <w:t>ignificant discretion, and any available precedent may have limited, if any, predictive value in their jurisdictions or other jurisdictions. Accordingly, we cannot predict the outcome of these matters. A broad range of remedies with respect to our business</w:t>
      </w:r>
      <w:r>
        <w:rPr>
          <w:rFonts w:eastAsia="Times New Roman"/>
          <w:color w:val="000000"/>
          <w:sz w:val="20"/>
          <w:szCs w:val="20"/>
        </w:rPr>
        <w:t xml:space="preserve"> practices that are deemed to violate applicable laws are potentially available. These remedies may include, among others, injunctions, monetary damages or fines or other orders to pay money and the issuance of orders to cease certain conduct and/or to mod</w:t>
      </w:r>
      <w:r>
        <w:rPr>
          <w:rFonts w:eastAsia="Times New Roman"/>
          <w:color w:val="000000"/>
          <w:sz w:val="20"/>
          <w:szCs w:val="20"/>
        </w:rPr>
        <w:t>ify our business practices.</w:t>
      </w:r>
    </w:p>
    <w:p w14:paraId="1C3F57D2" w14:textId="77777777" w:rsidR="00000000" w:rsidRDefault="009B6C69">
      <w:pPr>
        <w:ind w:firstLine="360"/>
        <w:divId w:val="1297250553"/>
        <w:rPr>
          <w:rFonts w:eastAsia="Times New Roman"/>
        </w:rPr>
      </w:pPr>
      <w:r>
        <w:rPr>
          <w:rFonts w:eastAsia="Times New Roman"/>
          <w:color w:val="000000"/>
          <w:sz w:val="20"/>
          <w:szCs w:val="20"/>
        </w:rPr>
        <w:t>If there is at least a reasonable possibility that a material loss may have been incurred associated with pending legal and regulatory proceedings, we disclose such fact, and if reasonably estimable, we provide an estimate of th</w:t>
      </w:r>
      <w:r>
        <w:rPr>
          <w:rFonts w:eastAsia="Times New Roman"/>
          <w:color w:val="000000"/>
          <w:sz w:val="20"/>
          <w:szCs w:val="20"/>
        </w:rPr>
        <w:t>e possible loss or range of possible loss. We record our best estimate of a loss related to pending legal and regulatory proceedings when the loss is considered probable and the amount can be reasonably estimated. Where a range of loss can be reasonably es</w:t>
      </w:r>
      <w:r>
        <w:rPr>
          <w:rFonts w:eastAsia="Times New Roman"/>
          <w:color w:val="000000"/>
          <w:sz w:val="20"/>
          <w:szCs w:val="20"/>
        </w:rPr>
        <w:t>timated with no best estimate in the range, we record the minimum estimated liability. As additional information becomes available, we assess the potential liability related to pending legal and regulatory proceedings and revise our estimates and update ou</w:t>
      </w:r>
      <w:r>
        <w:rPr>
          <w:rFonts w:eastAsia="Times New Roman"/>
          <w:color w:val="000000"/>
          <w:sz w:val="20"/>
          <w:szCs w:val="20"/>
        </w:rPr>
        <w:t xml:space="preserve">r disclosures accordingly. Significant judgment is required in both the determination of probability and the determination as to whether a loss is reasonably estimable. Our legal costs associated with defending ourself are recorded to expense as incurred. </w:t>
      </w:r>
    </w:p>
    <w:p w14:paraId="4518C292" w14:textId="77777777" w:rsidR="00000000" w:rsidRDefault="009B6C69">
      <w:pPr>
        <w:ind w:firstLine="360"/>
        <w:divId w:val="136412995"/>
        <w:rPr>
          <w:rFonts w:eastAsia="Times New Roman"/>
        </w:rPr>
      </w:pPr>
      <w:r>
        <w:rPr>
          <w:rFonts w:eastAsia="Times New Roman"/>
          <w:b/>
          <w:bCs/>
          <w:i/>
          <w:iCs/>
          <w:color w:val="000000"/>
          <w:sz w:val="20"/>
          <w:szCs w:val="20"/>
        </w:rPr>
        <w:t>Foreign Currency.</w:t>
      </w:r>
      <w:r>
        <w:rPr>
          <w:rFonts w:eastAsia="Times New Roman"/>
          <w:color w:val="000000"/>
          <w:sz w:val="20"/>
          <w:szCs w:val="20"/>
        </w:rPr>
        <w:t xml:space="preserve"> Certain foreign subsidiaries use a local currency as the functional currency. Resulting translation gains or losses are recorded as a component of accumulated other comprehensive income (loss). Transaction gains or losses related to bala</w:t>
      </w:r>
      <w:r>
        <w:rPr>
          <w:rFonts w:eastAsia="Times New Roman"/>
          <w:color w:val="000000"/>
          <w:sz w:val="20"/>
          <w:szCs w:val="20"/>
        </w:rPr>
        <w:t xml:space="preserve">nces denominated in a currency other than the functional currency of the entity involved are recognized in the consolidated statements of operations. </w:t>
      </w:r>
    </w:p>
    <w:p w14:paraId="61ED261E" w14:textId="77777777" w:rsidR="00000000" w:rsidRDefault="009B6C69">
      <w:pPr>
        <w:ind w:firstLine="360"/>
        <w:divId w:val="1247150267"/>
        <w:rPr>
          <w:rFonts w:eastAsia="Times New Roman"/>
        </w:rPr>
      </w:pPr>
      <w:r>
        <w:rPr>
          <w:rFonts w:eastAsia="Times New Roman"/>
          <w:b/>
          <w:bCs/>
          <w:i/>
          <w:iCs/>
          <w:color w:val="000000"/>
          <w:sz w:val="20"/>
          <w:szCs w:val="20"/>
        </w:rPr>
        <w:t>Income Taxes.</w:t>
      </w:r>
      <w:r>
        <w:rPr>
          <w:rFonts w:eastAsia="Times New Roman"/>
          <w:color w:val="000000"/>
          <w:sz w:val="20"/>
          <w:szCs w:val="20"/>
        </w:rPr>
        <w:t xml:space="preserve"> The asset and liability approach is used to recognize deferred tax assets and liabilities f</w:t>
      </w:r>
      <w:r>
        <w:rPr>
          <w:rFonts w:eastAsia="Times New Roman"/>
          <w:color w:val="000000"/>
          <w:sz w:val="20"/>
          <w:szCs w:val="20"/>
        </w:rPr>
        <w:t>or the expected future tax consequences of temporary differences between the carrying amounts and the tax bases of assets and liabilities. Tax law and rate changes are reflected in income in the period such changes are enacted. We record a valuation allowa</w:t>
      </w:r>
      <w:r>
        <w:rPr>
          <w:rFonts w:eastAsia="Times New Roman"/>
          <w:color w:val="000000"/>
          <w:sz w:val="20"/>
          <w:szCs w:val="20"/>
        </w:rPr>
        <w:t xml:space="preserve">nce to reduce deferred tax assets to the amount that is more likely than not to be realized. We include interest and penalties related to income taxes, including unrecognized tax benefits, within income tax expense. We classify all deferred tax assets and </w:t>
      </w:r>
      <w:r>
        <w:rPr>
          <w:rFonts w:eastAsia="Times New Roman"/>
          <w:color w:val="000000"/>
          <w:sz w:val="20"/>
          <w:szCs w:val="20"/>
        </w:rPr>
        <w:t>liabilities as noncurrent in the consolidated balance sheets. We recognize excess tax benefits and shortfall tax detriments associated with share-based awards in the consolidated statements of operations, as a component of income tax expense, when realized</w:t>
      </w:r>
      <w:r>
        <w:rPr>
          <w:rFonts w:eastAsia="Times New Roman"/>
          <w:color w:val="000000"/>
          <w:sz w:val="20"/>
          <w:szCs w:val="20"/>
        </w:rPr>
        <w:t xml:space="preserve">. </w:t>
      </w:r>
    </w:p>
    <w:p w14:paraId="61DC26E3" w14:textId="77777777" w:rsidR="00000000" w:rsidRDefault="009B6C69">
      <w:pPr>
        <w:ind w:firstLine="360"/>
        <w:divId w:val="220561338"/>
        <w:rPr>
          <w:rFonts w:eastAsia="Times New Roman"/>
        </w:rPr>
      </w:pPr>
      <w:r>
        <w:rPr>
          <w:rFonts w:eastAsia="Times New Roman"/>
          <w:color w:val="000000"/>
          <w:sz w:val="20"/>
          <w:szCs w:val="20"/>
        </w:rPr>
        <w:t xml:space="preserve">Our income tax returns are based on calculations and assumptions that are subject to examination by the Internal Revenue Service (IRS) and other tax authorities. In addition, the calculation of our tax liabilities involves dealing with uncertainties in </w:t>
      </w:r>
      <w:r>
        <w:rPr>
          <w:rFonts w:eastAsia="Times New Roman"/>
          <w:color w:val="000000"/>
          <w:sz w:val="20"/>
          <w:szCs w:val="20"/>
        </w:rPr>
        <w:t>the application of complex tax regulations. We recognize liabilities for uncertain tax positions based on a two-step process. The first step is to evaluate the tax position for recognition by determining if the weight of available evidence indicates that i</w:t>
      </w:r>
      <w:r>
        <w:rPr>
          <w:rFonts w:eastAsia="Times New Roman"/>
          <w:color w:val="000000"/>
          <w:sz w:val="20"/>
          <w:szCs w:val="20"/>
        </w:rPr>
        <w:t>t is more likely than not that the position will be sustained on audit, including resolution of related appeals or litigation processes, if any. The second step is to measure the tax benefit as the largest amount that is more than 50% likely of being reali</w:t>
      </w:r>
      <w:r>
        <w:rPr>
          <w:rFonts w:eastAsia="Times New Roman"/>
          <w:color w:val="000000"/>
          <w:sz w:val="20"/>
          <w:szCs w:val="20"/>
        </w:rPr>
        <w:t>zed upon settlement. While we believe we have appropriate support for the positions taken on our tax returns, we regularly assess the potential outcomes of examinations by tax authorities in determining the adequacy of our provision for income taxes. We co</w:t>
      </w:r>
      <w:r>
        <w:rPr>
          <w:rFonts w:eastAsia="Times New Roman"/>
          <w:color w:val="000000"/>
          <w:sz w:val="20"/>
          <w:szCs w:val="20"/>
        </w:rPr>
        <w:t>ntinually assess the likelihood and amount of potential adjustments and adjust the income tax provision, income taxes payable and deferred taxes in the period in which the facts that give rise to a revision become known.</w:t>
      </w:r>
    </w:p>
    <w:p w14:paraId="55CCB213" w14:textId="77777777" w:rsidR="00000000" w:rsidRDefault="009B6C69">
      <w:pPr>
        <w:ind w:firstLine="360"/>
        <w:divId w:val="572810572"/>
        <w:rPr>
          <w:rFonts w:eastAsia="Times New Roman"/>
        </w:rPr>
      </w:pPr>
      <w:r>
        <w:rPr>
          <w:rFonts w:eastAsia="Times New Roman"/>
          <w:color w:val="000000"/>
          <w:sz w:val="20"/>
          <w:szCs w:val="20"/>
        </w:rPr>
        <w:t>We are subject to income taxes in t</w:t>
      </w:r>
      <w:r>
        <w:rPr>
          <w:rFonts w:eastAsia="Times New Roman"/>
          <w:color w:val="000000"/>
          <w:sz w:val="20"/>
          <w:szCs w:val="20"/>
        </w:rPr>
        <w:t xml:space="preserve">he United States and numerous foreign jurisdictions, and the assessment of our income tax positions involves dealing with uncertainties in the application of complex tax laws and regulations in various taxing jurisdictions. In addition, the application of </w:t>
      </w:r>
      <w:r>
        <w:rPr>
          <w:rFonts w:eastAsia="Times New Roman"/>
          <w:color w:val="000000"/>
          <w:sz w:val="20"/>
          <w:szCs w:val="20"/>
        </w:rPr>
        <w:t>tax laws and regulations is subject to legal and factual interpretation, judgment and uncertainty. Tax laws and regulations themselves are subject to change as a result of changes in fiscal policy, changes in legislation, the evolution of regulations and c</w:t>
      </w:r>
      <w:r>
        <w:rPr>
          <w:rFonts w:eastAsia="Times New Roman"/>
          <w:color w:val="000000"/>
          <w:sz w:val="20"/>
          <w:szCs w:val="20"/>
        </w:rPr>
        <w:t>ourt rulings. Significant judgments and estimates are required in determining our provision for income taxes, including those related to special deductions such as FDII (foreign-derived intangible income), tax incentives, intercompany research and developm</w:t>
      </w:r>
      <w:r>
        <w:rPr>
          <w:rFonts w:eastAsia="Times New Roman"/>
          <w:color w:val="000000"/>
          <w:sz w:val="20"/>
          <w:szCs w:val="20"/>
        </w:rPr>
        <w:t>ent cost-sharing arrangements, transfer pricing, tax credits and the realizability of deferred tax assets. While we believe we have appropriate support for the positions we have taken or that we plan to take on our tax returns, we regularly assess the pote</w:t>
      </w:r>
      <w:r>
        <w:rPr>
          <w:rFonts w:eastAsia="Times New Roman"/>
          <w:color w:val="000000"/>
          <w:sz w:val="20"/>
          <w:szCs w:val="20"/>
        </w:rPr>
        <w:t xml:space="preserve">ntial outcomes of examinations by taxing authorities in determining the adequacy of our provision for income taxes. Therefore, the actual liability for U.S. or foreign </w:t>
      </w:r>
    </w:p>
    <w:p w14:paraId="28D8540D" w14:textId="77777777" w:rsidR="00000000" w:rsidRDefault="009B6C69">
      <w:pPr>
        <w:jc w:val="center"/>
        <w:divId w:val="684677666"/>
        <w:rPr>
          <w:rFonts w:eastAsia="Times New Roman"/>
        </w:rPr>
      </w:pPr>
      <w:r>
        <w:rPr>
          <w:rFonts w:eastAsia="Times New Roman"/>
          <w:color w:val="000000"/>
          <w:sz w:val="20"/>
          <w:szCs w:val="20"/>
        </w:rPr>
        <w:t>F-14</w:t>
      </w:r>
    </w:p>
    <w:p w14:paraId="0E1D45B3" w14:textId="77777777" w:rsidR="00000000" w:rsidRDefault="009B6C69">
      <w:pPr>
        <w:rPr>
          <w:rFonts w:eastAsia="Times New Roman"/>
        </w:rPr>
      </w:pPr>
      <w:r>
        <w:rPr>
          <w:rFonts w:eastAsia="Times New Roman"/>
        </w:rPr>
        <w:pict w14:anchorId="6635D1E9">
          <v:rect id="_x0000_i1094" style="width:0;height:1.5pt" o:hralign="center" o:hrstd="t" o:hr="t" fillcolor="#a0a0a0" stroked="f"/>
        </w:pict>
      </w:r>
    </w:p>
    <w:p w14:paraId="1407A8BD" w14:textId="77777777" w:rsidR="00000000" w:rsidRDefault="009B6C69">
      <w:pPr>
        <w:jc w:val="center"/>
        <w:divId w:val="447284405"/>
        <w:rPr>
          <w:rFonts w:eastAsia="Times New Roman"/>
        </w:rPr>
      </w:pPr>
    </w:p>
    <w:p w14:paraId="04E123CB" w14:textId="77777777" w:rsidR="00000000" w:rsidRDefault="009B6C69">
      <w:pPr>
        <w:jc w:val="center"/>
        <w:divId w:val="447284405"/>
        <w:rPr>
          <w:rFonts w:eastAsia="Times New Roman"/>
        </w:rPr>
      </w:pPr>
      <w:r>
        <w:rPr>
          <w:rFonts w:eastAsia="Times New Roman"/>
          <w:b/>
          <w:bCs/>
          <w:color w:val="000000"/>
          <w:sz w:val="20"/>
          <w:szCs w:val="20"/>
        </w:rPr>
        <w:t>QUALCOMM Incorporated</w:t>
      </w:r>
    </w:p>
    <w:p w14:paraId="4C26E103" w14:textId="77777777" w:rsidR="00000000" w:rsidRDefault="009B6C69">
      <w:pPr>
        <w:jc w:val="center"/>
        <w:divId w:val="447284405"/>
        <w:rPr>
          <w:rFonts w:eastAsia="Times New Roman"/>
        </w:rPr>
      </w:pPr>
      <w:r>
        <w:rPr>
          <w:rFonts w:eastAsia="Times New Roman"/>
          <w:b/>
          <w:bCs/>
          <w:color w:val="000000"/>
          <w:sz w:val="20"/>
          <w:szCs w:val="20"/>
        </w:rPr>
        <w:t xml:space="preserve">NOTES TO CONSOLIDATED </w:t>
      </w:r>
      <w:r>
        <w:rPr>
          <w:rFonts w:eastAsia="Times New Roman"/>
          <w:b/>
          <w:bCs/>
          <w:color w:val="000000"/>
          <w:sz w:val="20"/>
          <w:szCs w:val="20"/>
        </w:rPr>
        <w:t>FINANCIAL STATEMENTS</w:t>
      </w:r>
    </w:p>
    <w:p w14:paraId="0A9307C2" w14:textId="77777777" w:rsidR="00000000" w:rsidRDefault="009B6C69">
      <w:pPr>
        <w:divId w:val="364871655"/>
        <w:rPr>
          <w:rFonts w:eastAsia="Times New Roman"/>
        </w:rPr>
      </w:pPr>
      <w:r>
        <w:rPr>
          <w:rFonts w:eastAsia="Times New Roman"/>
          <w:color w:val="000000"/>
          <w:sz w:val="20"/>
          <w:szCs w:val="20"/>
        </w:rPr>
        <w:t>taxes may be materially different from our estimates, which could result in the need to record additional tax liabilities or potentially reverse previously recorded tax liabilities. For tax years prior to fiscal 2021, we are participat</w:t>
      </w:r>
      <w:r>
        <w:rPr>
          <w:rFonts w:eastAsia="Times New Roman"/>
          <w:color w:val="000000"/>
          <w:sz w:val="20"/>
          <w:szCs w:val="20"/>
        </w:rPr>
        <w:t>ing in the IRS Compliance Assurance Process program whereby we endeavor to agree with the IRS on the treatment of all issues prior to filing our federal return.</w:t>
      </w:r>
    </w:p>
    <w:p w14:paraId="459D64E2" w14:textId="77777777" w:rsidR="00000000" w:rsidRDefault="009B6C69">
      <w:pPr>
        <w:ind w:firstLine="360"/>
        <w:divId w:val="27604697"/>
        <w:rPr>
          <w:rFonts w:eastAsia="Times New Roman"/>
        </w:rPr>
      </w:pPr>
      <w:r>
        <w:rPr>
          <w:rFonts w:eastAsia="Times New Roman"/>
          <w:b/>
          <w:bCs/>
          <w:i/>
          <w:iCs/>
          <w:color w:val="000000"/>
          <w:sz w:val="20"/>
          <w:szCs w:val="20"/>
        </w:rPr>
        <w:t>Stock Repurchases.</w:t>
      </w:r>
      <w:r>
        <w:rPr>
          <w:rFonts w:eastAsia="Times New Roman"/>
          <w:i/>
          <w:iCs/>
          <w:color w:val="000000"/>
          <w:sz w:val="20"/>
          <w:szCs w:val="20"/>
        </w:rPr>
        <w:t xml:space="preserve"> </w:t>
      </w:r>
      <w:r>
        <w:rPr>
          <w:rFonts w:eastAsia="Times New Roman"/>
          <w:color w:val="000000"/>
          <w:sz w:val="20"/>
          <w:szCs w:val="20"/>
        </w:rPr>
        <w:t>To reflect share repurchases in the consolidated balance sheet, we (i) reduc</w:t>
      </w:r>
      <w:r>
        <w:rPr>
          <w:rFonts w:eastAsia="Times New Roman"/>
          <w:color w:val="000000"/>
          <w:sz w:val="20"/>
          <w:szCs w:val="20"/>
        </w:rPr>
        <w:t>e common stock for the par value of the shares, (ii) reduce paid-in capital for the amount in excess of par to zero during the quarter in which the shares are repurchased and (iii) record the residual amount, if any, to retained earnings.</w:t>
      </w:r>
    </w:p>
    <w:p w14:paraId="42340FE9" w14:textId="77777777" w:rsidR="00000000" w:rsidRDefault="009B6C69">
      <w:pPr>
        <w:ind w:firstLine="360"/>
        <w:divId w:val="825780722"/>
        <w:rPr>
          <w:rFonts w:eastAsia="Times New Roman"/>
        </w:rPr>
      </w:pPr>
      <w:r>
        <w:rPr>
          <w:rFonts w:eastAsia="Times New Roman"/>
          <w:color w:val="000000"/>
          <w:sz w:val="20"/>
          <w:szCs w:val="20"/>
        </w:rPr>
        <w:t>In August 2022, t</w:t>
      </w:r>
      <w:r>
        <w:rPr>
          <w:rFonts w:eastAsia="Times New Roman"/>
          <w:color w:val="000000"/>
          <w:sz w:val="20"/>
          <w:szCs w:val="20"/>
        </w:rPr>
        <w:t>he Inflation Reduction Act was enacted in the United States, which included, among other items, a 1% excise tax on certain net stock repurchases after December 31, 2022. Any such excise tax on our stock repurchases will be recorded as a component of stockh</w:t>
      </w:r>
      <w:r>
        <w:rPr>
          <w:rFonts w:eastAsia="Times New Roman"/>
          <w:color w:val="000000"/>
          <w:sz w:val="20"/>
          <w:szCs w:val="20"/>
        </w:rPr>
        <w:t>olders’ equity.</w:t>
      </w:r>
    </w:p>
    <w:p w14:paraId="6253475E" w14:textId="77777777" w:rsidR="00000000" w:rsidRDefault="009B6C69">
      <w:pPr>
        <w:ind w:firstLine="360"/>
        <w:divId w:val="1349679269"/>
        <w:rPr>
          <w:rFonts w:eastAsia="Times New Roman"/>
        </w:rPr>
      </w:pPr>
      <w:r>
        <w:rPr>
          <w:rFonts w:eastAsia="Times New Roman"/>
          <w:b/>
          <w:bCs/>
          <w:i/>
          <w:iCs/>
          <w:color w:val="000000"/>
          <w:sz w:val="20"/>
          <w:szCs w:val="20"/>
        </w:rPr>
        <w:t xml:space="preserve">Earnings (Loss) Per Share. </w:t>
      </w:r>
      <w:r>
        <w:rPr>
          <w:rFonts w:eastAsia="Times New Roman"/>
          <w:color w:val="000000"/>
          <w:sz w:val="20"/>
          <w:szCs w:val="20"/>
        </w:rPr>
        <w:t>Basic earnings (loss) per share is computed by dividing net income (loss) by the weighted-average number of common shares outstanding during the reporting period. Diluted earnings per share is computed by dividing</w:t>
      </w:r>
      <w:r>
        <w:rPr>
          <w:rFonts w:eastAsia="Times New Roman"/>
          <w:color w:val="000000"/>
          <w:sz w:val="20"/>
          <w:szCs w:val="20"/>
        </w:rPr>
        <w:t xml:space="preserve"> net income by the combination of the weighted-average number of dilutive common share equivalents, comprised of shares issuable under our share-based compensation plans and shares subject to accelerated share repurchase programs, if any, and the weighted-</w:t>
      </w:r>
      <w:r>
        <w:rPr>
          <w:rFonts w:eastAsia="Times New Roman"/>
          <w:color w:val="000000"/>
          <w:sz w:val="20"/>
          <w:szCs w:val="20"/>
        </w:rPr>
        <w:t>average number of common shares outstanding during the reporting period. The following table provides information about the diluted earnings per share calculation (in millions):</w:t>
      </w:r>
      <w:r>
        <w:rPr>
          <w:rFonts w:eastAsia="Times New Roman"/>
          <w:color w:val="000000"/>
          <w:sz w:val="18"/>
          <w:szCs w:val="18"/>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60"/>
        <w:gridCol w:w="5042"/>
        <w:gridCol w:w="37"/>
        <w:gridCol w:w="61"/>
        <w:gridCol w:w="887"/>
        <w:gridCol w:w="36"/>
        <w:gridCol w:w="36"/>
        <w:gridCol w:w="36"/>
        <w:gridCol w:w="36"/>
        <w:gridCol w:w="48"/>
        <w:gridCol w:w="887"/>
        <w:gridCol w:w="36"/>
        <w:gridCol w:w="36"/>
        <w:gridCol w:w="36"/>
        <w:gridCol w:w="36"/>
        <w:gridCol w:w="48"/>
        <w:gridCol w:w="887"/>
        <w:gridCol w:w="36"/>
      </w:tblGrid>
      <w:tr w:rsidR="00000000" w14:paraId="645D8A44" w14:textId="77777777">
        <w:trPr>
          <w:divId w:val="1349679269"/>
        </w:trPr>
        <w:tc>
          <w:tcPr>
            <w:tcW w:w="50" w:type="pct"/>
            <w:vAlign w:val="center"/>
            <w:hideMark/>
          </w:tcPr>
          <w:p w14:paraId="2FE5C64E" w14:textId="77777777" w:rsidR="00000000" w:rsidRDefault="009B6C69">
            <w:pPr>
              <w:ind w:firstLine="360"/>
              <w:rPr>
                <w:rFonts w:eastAsia="Times New Roman"/>
              </w:rPr>
            </w:pPr>
          </w:p>
        </w:tc>
        <w:tc>
          <w:tcPr>
            <w:tcW w:w="3056" w:type="pct"/>
            <w:vAlign w:val="center"/>
            <w:hideMark/>
          </w:tcPr>
          <w:p w14:paraId="1CF55A0E" w14:textId="77777777" w:rsidR="00000000" w:rsidRDefault="009B6C69">
            <w:pPr>
              <w:spacing w:after="100"/>
              <w:rPr>
                <w:rFonts w:eastAsia="Times New Roman"/>
                <w:sz w:val="20"/>
                <w:szCs w:val="20"/>
              </w:rPr>
            </w:pPr>
          </w:p>
        </w:tc>
        <w:tc>
          <w:tcPr>
            <w:tcW w:w="5" w:type="pct"/>
            <w:vAlign w:val="center"/>
            <w:hideMark/>
          </w:tcPr>
          <w:p w14:paraId="0B8C9C03" w14:textId="77777777" w:rsidR="00000000" w:rsidRDefault="009B6C69">
            <w:pPr>
              <w:spacing w:after="100"/>
              <w:rPr>
                <w:rFonts w:eastAsia="Times New Roman"/>
                <w:sz w:val="20"/>
                <w:szCs w:val="20"/>
              </w:rPr>
            </w:pPr>
          </w:p>
        </w:tc>
        <w:tc>
          <w:tcPr>
            <w:tcW w:w="50" w:type="pct"/>
            <w:vAlign w:val="center"/>
            <w:hideMark/>
          </w:tcPr>
          <w:p w14:paraId="2C49D929" w14:textId="77777777" w:rsidR="00000000" w:rsidRDefault="009B6C69">
            <w:pPr>
              <w:spacing w:after="100"/>
              <w:rPr>
                <w:rFonts w:eastAsia="Times New Roman"/>
                <w:sz w:val="20"/>
                <w:szCs w:val="20"/>
              </w:rPr>
            </w:pPr>
          </w:p>
        </w:tc>
        <w:tc>
          <w:tcPr>
            <w:tcW w:w="549" w:type="pct"/>
            <w:vAlign w:val="center"/>
            <w:hideMark/>
          </w:tcPr>
          <w:p w14:paraId="281CCAF8" w14:textId="77777777" w:rsidR="00000000" w:rsidRDefault="009B6C69">
            <w:pPr>
              <w:spacing w:after="100"/>
              <w:rPr>
                <w:rFonts w:eastAsia="Times New Roman"/>
                <w:sz w:val="20"/>
                <w:szCs w:val="20"/>
              </w:rPr>
            </w:pPr>
          </w:p>
        </w:tc>
        <w:tc>
          <w:tcPr>
            <w:tcW w:w="5" w:type="pct"/>
            <w:vAlign w:val="center"/>
            <w:hideMark/>
          </w:tcPr>
          <w:p w14:paraId="73A35419" w14:textId="77777777" w:rsidR="00000000" w:rsidRDefault="009B6C69">
            <w:pPr>
              <w:spacing w:after="100"/>
              <w:rPr>
                <w:rFonts w:eastAsia="Times New Roman"/>
                <w:sz w:val="20"/>
                <w:szCs w:val="20"/>
              </w:rPr>
            </w:pPr>
          </w:p>
        </w:tc>
        <w:tc>
          <w:tcPr>
            <w:tcW w:w="5" w:type="pct"/>
            <w:vAlign w:val="center"/>
            <w:hideMark/>
          </w:tcPr>
          <w:p w14:paraId="5BDE3246" w14:textId="77777777" w:rsidR="00000000" w:rsidRDefault="009B6C69">
            <w:pPr>
              <w:spacing w:after="100"/>
              <w:rPr>
                <w:rFonts w:eastAsia="Times New Roman"/>
                <w:sz w:val="20"/>
                <w:szCs w:val="20"/>
              </w:rPr>
            </w:pPr>
          </w:p>
        </w:tc>
        <w:tc>
          <w:tcPr>
            <w:tcW w:w="27" w:type="pct"/>
            <w:vAlign w:val="center"/>
            <w:hideMark/>
          </w:tcPr>
          <w:p w14:paraId="763B968C" w14:textId="77777777" w:rsidR="00000000" w:rsidRDefault="009B6C69">
            <w:pPr>
              <w:spacing w:after="100"/>
              <w:rPr>
                <w:rFonts w:eastAsia="Times New Roman"/>
                <w:sz w:val="20"/>
                <w:szCs w:val="20"/>
              </w:rPr>
            </w:pPr>
          </w:p>
        </w:tc>
        <w:tc>
          <w:tcPr>
            <w:tcW w:w="5" w:type="pct"/>
            <w:vAlign w:val="center"/>
            <w:hideMark/>
          </w:tcPr>
          <w:p w14:paraId="670B6102" w14:textId="77777777" w:rsidR="00000000" w:rsidRDefault="009B6C69">
            <w:pPr>
              <w:spacing w:after="100"/>
              <w:rPr>
                <w:rFonts w:eastAsia="Times New Roman"/>
                <w:sz w:val="20"/>
                <w:szCs w:val="20"/>
              </w:rPr>
            </w:pPr>
          </w:p>
        </w:tc>
        <w:tc>
          <w:tcPr>
            <w:tcW w:w="50" w:type="pct"/>
            <w:vAlign w:val="center"/>
            <w:hideMark/>
          </w:tcPr>
          <w:p w14:paraId="3A957626" w14:textId="77777777" w:rsidR="00000000" w:rsidRDefault="009B6C69">
            <w:pPr>
              <w:spacing w:after="100"/>
              <w:rPr>
                <w:rFonts w:eastAsia="Times New Roman"/>
                <w:sz w:val="20"/>
                <w:szCs w:val="20"/>
              </w:rPr>
            </w:pPr>
          </w:p>
        </w:tc>
        <w:tc>
          <w:tcPr>
            <w:tcW w:w="549" w:type="pct"/>
            <w:vAlign w:val="center"/>
            <w:hideMark/>
          </w:tcPr>
          <w:p w14:paraId="12E26347" w14:textId="77777777" w:rsidR="00000000" w:rsidRDefault="009B6C69">
            <w:pPr>
              <w:spacing w:after="100"/>
              <w:rPr>
                <w:rFonts w:eastAsia="Times New Roman"/>
                <w:sz w:val="20"/>
                <w:szCs w:val="20"/>
              </w:rPr>
            </w:pPr>
          </w:p>
        </w:tc>
        <w:tc>
          <w:tcPr>
            <w:tcW w:w="5" w:type="pct"/>
            <w:vAlign w:val="center"/>
            <w:hideMark/>
          </w:tcPr>
          <w:p w14:paraId="12075B9C" w14:textId="77777777" w:rsidR="00000000" w:rsidRDefault="009B6C69">
            <w:pPr>
              <w:spacing w:after="100"/>
              <w:rPr>
                <w:rFonts w:eastAsia="Times New Roman"/>
                <w:sz w:val="20"/>
                <w:szCs w:val="20"/>
              </w:rPr>
            </w:pPr>
          </w:p>
        </w:tc>
        <w:tc>
          <w:tcPr>
            <w:tcW w:w="5" w:type="pct"/>
            <w:vAlign w:val="center"/>
            <w:hideMark/>
          </w:tcPr>
          <w:p w14:paraId="3F5227B8" w14:textId="77777777" w:rsidR="00000000" w:rsidRDefault="009B6C69">
            <w:pPr>
              <w:spacing w:after="100"/>
              <w:rPr>
                <w:rFonts w:eastAsia="Times New Roman"/>
                <w:sz w:val="20"/>
                <w:szCs w:val="20"/>
              </w:rPr>
            </w:pPr>
          </w:p>
        </w:tc>
        <w:tc>
          <w:tcPr>
            <w:tcW w:w="27" w:type="pct"/>
            <w:vAlign w:val="center"/>
            <w:hideMark/>
          </w:tcPr>
          <w:p w14:paraId="4DCA9296" w14:textId="77777777" w:rsidR="00000000" w:rsidRDefault="009B6C69">
            <w:pPr>
              <w:spacing w:after="100"/>
              <w:rPr>
                <w:rFonts w:eastAsia="Times New Roman"/>
                <w:sz w:val="20"/>
                <w:szCs w:val="20"/>
              </w:rPr>
            </w:pPr>
          </w:p>
        </w:tc>
        <w:tc>
          <w:tcPr>
            <w:tcW w:w="5" w:type="pct"/>
            <w:vAlign w:val="center"/>
            <w:hideMark/>
          </w:tcPr>
          <w:p w14:paraId="6F666F0A" w14:textId="77777777" w:rsidR="00000000" w:rsidRDefault="009B6C69">
            <w:pPr>
              <w:spacing w:after="100"/>
              <w:rPr>
                <w:rFonts w:eastAsia="Times New Roman"/>
                <w:sz w:val="20"/>
                <w:szCs w:val="20"/>
              </w:rPr>
            </w:pPr>
          </w:p>
        </w:tc>
        <w:tc>
          <w:tcPr>
            <w:tcW w:w="50" w:type="pct"/>
            <w:vAlign w:val="center"/>
            <w:hideMark/>
          </w:tcPr>
          <w:p w14:paraId="47BEB7B6" w14:textId="77777777" w:rsidR="00000000" w:rsidRDefault="009B6C69">
            <w:pPr>
              <w:spacing w:after="100"/>
              <w:rPr>
                <w:rFonts w:eastAsia="Times New Roman"/>
                <w:sz w:val="20"/>
                <w:szCs w:val="20"/>
              </w:rPr>
            </w:pPr>
          </w:p>
        </w:tc>
        <w:tc>
          <w:tcPr>
            <w:tcW w:w="549" w:type="pct"/>
            <w:vAlign w:val="center"/>
            <w:hideMark/>
          </w:tcPr>
          <w:p w14:paraId="7A9A9C4D" w14:textId="77777777" w:rsidR="00000000" w:rsidRDefault="009B6C69">
            <w:pPr>
              <w:spacing w:after="100"/>
              <w:rPr>
                <w:rFonts w:eastAsia="Times New Roman"/>
                <w:sz w:val="20"/>
                <w:szCs w:val="20"/>
              </w:rPr>
            </w:pPr>
          </w:p>
        </w:tc>
        <w:tc>
          <w:tcPr>
            <w:tcW w:w="5" w:type="pct"/>
            <w:vAlign w:val="center"/>
            <w:hideMark/>
          </w:tcPr>
          <w:p w14:paraId="186B385A" w14:textId="77777777" w:rsidR="00000000" w:rsidRDefault="009B6C69">
            <w:pPr>
              <w:spacing w:after="100"/>
              <w:rPr>
                <w:rFonts w:eastAsia="Times New Roman"/>
                <w:sz w:val="20"/>
                <w:szCs w:val="20"/>
              </w:rPr>
            </w:pPr>
          </w:p>
        </w:tc>
      </w:tr>
      <w:tr w:rsidR="00000000" w14:paraId="50F9AE3B" w14:textId="77777777">
        <w:trPr>
          <w:divId w:val="1349679269"/>
        </w:trPr>
        <w:tc>
          <w:tcPr>
            <w:tcW w:w="0" w:type="auto"/>
            <w:gridSpan w:val="3"/>
            <w:tcMar>
              <w:top w:w="0" w:type="dxa"/>
              <w:left w:w="20" w:type="dxa"/>
              <w:bottom w:w="0" w:type="dxa"/>
              <w:right w:w="20" w:type="dxa"/>
            </w:tcMar>
            <w:vAlign w:val="center"/>
            <w:hideMark/>
          </w:tcPr>
          <w:p w14:paraId="738E4E08"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554885C"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14:paraId="07000A37"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7949CD3"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0B511103"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0066912" w14:textId="77777777" w:rsidR="00000000" w:rsidRDefault="009B6C69">
            <w:pPr>
              <w:spacing w:after="100"/>
              <w:jc w:val="center"/>
              <w:rPr>
                <w:rFonts w:eastAsia="Times New Roman"/>
              </w:rPr>
            </w:pPr>
            <w:r>
              <w:rPr>
                <w:rFonts w:eastAsia="Times New Roman"/>
                <w:b/>
                <w:bCs/>
                <w:color w:val="000000"/>
                <w:sz w:val="18"/>
                <w:szCs w:val="18"/>
              </w:rPr>
              <w:t>2020</w:t>
            </w:r>
          </w:p>
        </w:tc>
      </w:tr>
      <w:tr w:rsidR="00000000" w14:paraId="0F0880E0" w14:textId="77777777">
        <w:trPr>
          <w:divId w:val="1349679269"/>
        </w:trPr>
        <w:tc>
          <w:tcPr>
            <w:tcW w:w="0" w:type="auto"/>
            <w:gridSpan w:val="3"/>
            <w:shd w:val="clear" w:color="auto" w:fill="CCEEFF"/>
            <w:tcMar>
              <w:top w:w="30" w:type="dxa"/>
              <w:left w:w="20" w:type="dxa"/>
              <w:bottom w:w="30" w:type="dxa"/>
              <w:right w:w="20" w:type="dxa"/>
            </w:tcMar>
            <w:vAlign w:val="bottom"/>
            <w:hideMark/>
          </w:tcPr>
          <w:p w14:paraId="159DED58" w14:textId="77777777" w:rsidR="00000000" w:rsidRDefault="009B6C69">
            <w:pPr>
              <w:spacing w:after="100"/>
              <w:rPr>
                <w:rFonts w:eastAsia="Times New Roman"/>
              </w:rPr>
            </w:pPr>
            <w:r>
              <w:rPr>
                <w:rFonts w:eastAsia="Times New Roman"/>
                <w:color w:val="000000"/>
                <w:sz w:val="18"/>
                <w:szCs w:val="18"/>
              </w:rPr>
              <w:t>Dilutive common share equivalents included in diluted shares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A70FA0" w14:textId="77777777" w:rsidR="00000000" w:rsidRDefault="009B6C69">
            <w:pPr>
              <w:spacing w:after="100"/>
              <w:jc w:val="right"/>
              <w:rPr>
                <w:rFonts w:eastAsia="Times New Roman"/>
              </w:rPr>
            </w:pPr>
            <w:r>
              <w:rPr>
                <w:rFonts w:eastAsia="Times New Roman"/>
                <w:color w:val="000000"/>
                <w:sz w:val="18"/>
                <w:szCs w:val="18"/>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0F51FB"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C8D065"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EF6DBD" w14:textId="77777777" w:rsidR="00000000" w:rsidRDefault="009B6C69">
            <w:pPr>
              <w:spacing w:after="100"/>
              <w:jc w:val="right"/>
              <w:rPr>
                <w:rFonts w:eastAsia="Times New Roman"/>
              </w:rPr>
            </w:pPr>
            <w:r>
              <w:rPr>
                <w:rFonts w:eastAsia="Times New Roman"/>
                <w:color w:val="000000"/>
                <w:sz w:val="18"/>
                <w:szCs w:val="18"/>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51A43B"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164A98"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388DEB" w14:textId="77777777" w:rsidR="00000000" w:rsidRDefault="009B6C69">
            <w:pPr>
              <w:spacing w:after="100"/>
              <w:jc w:val="right"/>
              <w:rPr>
                <w:rFonts w:eastAsia="Times New Roman"/>
              </w:rPr>
            </w:pPr>
            <w:r>
              <w:rPr>
                <w:rFonts w:eastAsia="Times New Roman"/>
                <w:color w:val="000000"/>
                <w:sz w:val="18"/>
                <w:szCs w:val="18"/>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A9755E" w14:textId="77777777" w:rsidR="00000000" w:rsidRDefault="009B6C69">
            <w:pPr>
              <w:spacing w:after="100"/>
              <w:jc w:val="right"/>
              <w:rPr>
                <w:rFonts w:eastAsia="Times New Roman"/>
              </w:rPr>
            </w:pPr>
          </w:p>
        </w:tc>
      </w:tr>
      <w:tr w:rsidR="00000000" w14:paraId="41166238" w14:textId="77777777">
        <w:trPr>
          <w:divId w:val="1349679269"/>
        </w:trPr>
        <w:tc>
          <w:tcPr>
            <w:tcW w:w="0" w:type="auto"/>
            <w:gridSpan w:val="3"/>
            <w:tcMar>
              <w:top w:w="30" w:type="dxa"/>
              <w:left w:w="20" w:type="dxa"/>
              <w:bottom w:w="30" w:type="dxa"/>
              <w:right w:w="20" w:type="dxa"/>
            </w:tcMar>
            <w:vAlign w:val="bottom"/>
            <w:hideMark/>
          </w:tcPr>
          <w:p w14:paraId="5444D02A" w14:textId="77777777" w:rsidR="00000000" w:rsidRDefault="009B6C69">
            <w:pPr>
              <w:spacing w:after="100"/>
              <w:rPr>
                <w:rFonts w:eastAsia="Times New Roman"/>
              </w:rPr>
            </w:pPr>
            <w:r>
              <w:rPr>
                <w:rFonts w:eastAsia="Times New Roman"/>
                <w:color w:val="000000"/>
                <w:sz w:val="18"/>
                <w:szCs w:val="18"/>
              </w:rPr>
              <w:t>Shares of common stock equivalents not included because the effect would be anti-dilutive or certain performance conditions were not satisfied at the end of the period</w:t>
            </w:r>
          </w:p>
        </w:tc>
        <w:tc>
          <w:tcPr>
            <w:tcW w:w="0" w:type="auto"/>
            <w:gridSpan w:val="2"/>
            <w:tcMar>
              <w:top w:w="30" w:type="dxa"/>
              <w:left w:w="20" w:type="dxa"/>
              <w:bottom w:w="30" w:type="dxa"/>
              <w:right w:w="0" w:type="dxa"/>
            </w:tcMar>
            <w:vAlign w:val="bottom"/>
            <w:hideMark/>
          </w:tcPr>
          <w:p w14:paraId="6EF2BD56" w14:textId="77777777" w:rsidR="00000000" w:rsidRDefault="009B6C69">
            <w:pPr>
              <w:spacing w:after="100"/>
              <w:jc w:val="right"/>
              <w:rPr>
                <w:rFonts w:eastAsia="Times New Roman"/>
              </w:rPr>
            </w:pPr>
            <w:r>
              <w:rPr>
                <w:rFonts w:eastAsia="Times New Roman"/>
                <w:color w:val="000000"/>
                <w:sz w:val="18"/>
                <w:szCs w:val="18"/>
              </w:rPr>
              <w:t>1 </w:t>
            </w:r>
          </w:p>
        </w:tc>
        <w:tc>
          <w:tcPr>
            <w:tcW w:w="0" w:type="auto"/>
            <w:tcMar>
              <w:top w:w="30" w:type="dxa"/>
              <w:left w:w="0" w:type="dxa"/>
              <w:bottom w:w="30" w:type="dxa"/>
              <w:right w:w="20" w:type="dxa"/>
            </w:tcMar>
            <w:vAlign w:val="bottom"/>
            <w:hideMark/>
          </w:tcPr>
          <w:p w14:paraId="71568386" w14:textId="77777777" w:rsidR="00000000" w:rsidRDefault="009B6C6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F00B27A" w14:textId="77777777" w:rsidR="00000000" w:rsidRDefault="009B6C6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8CBC377" w14:textId="77777777" w:rsidR="00000000" w:rsidRDefault="009B6C69">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14:paraId="3C16A192" w14:textId="77777777" w:rsidR="00000000" w:rsidRDefault="009B6C6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B4122E6" w14:textId="77777777" w:rsidR="00000000" w:rsidRDefault="009B6C6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CE4A8A0" w14:textId="77777777" w:rsidR="00000000" w:rsidRDefault="009B6C69">
            <w:pPr>
              <w:spacing w:after="100"/>
              <w:jc w:val="right"/>
              <w:rPr>
                <w:rFonts w:eastAsia="Times New Roman"/>
              </w:rPr>
            </w:pPr>
            <w:r>
              <w:rPr>
                <w:rFonts w:eastAsia="Times New Roman"/>
                <w:color w:val="000000"/>
                <w:sz w:val="18"/>
                <w:szCs w:val="18"/>
              </w:rPr>
              <w:t>1 </w:t>
            </w:r>
          </w:p>
        </w:tc>
        <w:tc>
          <w:tcPr>
            <w:tcW w:w="0" w:type="auto"/>
            <w:tcMar>
              <w:top w:w="30" w:type="dxa"/>
              <w:left w:w="0" w:type="dxa"/>
              <w:bottom w:w="30" w:type="dxa"/>
              <w:right w:w="20" w:type="dxa"/>
            </w:tcMar>
            <w:vAlign w:val="bottom"/>
            <w:hideMark/>
          </w:tcPr>
          <w:p w14:paraId="0B25B827" w14:textId="77777777" w:rsidR="00000000" w:rsidRDefault="009B6C69">
            <w:pPr>
              <w:spacing w:after="100"/>
              <w:jc w:val="right"/>
              <w:rPr>
                <w:rFonts w:eastAsia="Times New Roman"/>
              </w:rPr>
            </w:pPr>
          </w:p>
        </w:tc>
      </w:tr>
    </w:tbl>
    <w:p w14:paraId="12C2E513" w14:textId="77777777" w:rsidR="00000000" w:rsidRDefault="009B6C69">
      <w:pPr>
        <w:divId w:val="17317176"/>
        <w:rPr>
          <w:rFonts w:eastAsia="Times New Roman"/>
        </w:rPr>
      </w:pPr>
      <w:r>
        <w:rPr>
          <w:rFonts w:eastAsia="Times New Roman"/>
          <w:b/>
          <w:bCs/>
          <w:color w:val="000000"/>
          <w:sz w:val="20"/>
          <w:szCs w:val="20"/>
        </w:rPr>
        <w:t>Note 2. Composition of Certain Financial Statement Items</w:t>
      </w:r>
    </w:p>
    <w:tbl>
      <w:tblPr>
        <w:tblW w:w="4992" w:type="pct"/>
        <w:tblCellMar>
          <w:top w:w="15" w:type="dxa"/>
          <w:left w:w="15" w:type="dxa"/>
          <w:bottom w:w="15" w:type="dxa"/>
          <w:right w:w="15" w:type="dxa"/>
        </w:tblCellMar>
        <w:tblLook w:val="04A0" w:firstRow="1" w:lastRow="0" w:firstColumn="1" w:lastColumn="0" w:noHBand="0" w:noVBand="1"/>
      </w:tblPr>
      <w:tblGrid>
        <w:gridCol w:w="44"/>
        <w:gridCol w:w="6099"/>
        <w:gridCol w:w="36"/>
        <w:gridCol w:w="111"/>
        <w:gridCol w:w="870"/>
        <w:gridCol w:w="36"/>
        <w:gridCol w:w="36"/>
        <w:gridCol w:w="36"/>
        <w:gridCol w:w="36"/>
        <w:gridCol w:w="111"/>
        <w:gridCol w:w="842"/>
        <w:gridCol w:w="36"/>
      </w:tblGrid>
      <w:tr w:rsidR="00000000" w14:paraId="1E3FA420" w14:textId="77777777">
        <w:trPr>
          <w:divId w:val="17317176"/>
        </w:trPr>
        <w:tc>
          <w:tcPr>
            <w:tcW w:w="50" w:type="pct"/>
            <w:vAlign w:val="center"/>
            <w:hideMark/>
          </w:tcPr>
          <w:p w14:paraId="59DABE80" w14:textId="77777777" w:rsidR="00000000" w:rsidRDefault="009B6C69">
            <w:pPr>
              <w:rPr>
                <w:rFonts w:eastAsia="Times New Roman"/>
              </w:rPr>
            </w:pPr>
          </w:p>
        </w:tc>
        <w:tc>
          <w:tcPr>
            <w:tcW w:w="3700" w:type="pct"/>
            <w:vAlign w:val="center"/>
            <w:hideMark/>
          </w:tcPr>
          <w:p w14:paraId="37CB21F9" w14:textId="77777777" w:rsidR="00000000" w:rsidRDefault="009B6C69">
            <w:pPr>
              <w:spacing w:after="100"/>
              <w:rPr>
                <w:rFonts w:eastAsia="Times New Roman"/>
                <w:sz w:val="20"/>
                <w:szCs w:val="20"/>
              </w:rPr>
            </w:pPr>
          </w:p>
        </w:tc>
        <w:tc>
          <w:tcPr>
            <w:tcW w:w="5" w:type="pct"/>
            <w:vAlign w:val="center"/>
            <w:hideMark/>
          </w:tcPr>
          <w:p w14:paraId="06E30F66" w14:textId="77777777" w:rsidR="00000000" w:rsidRDefault="009B6C69">
            <w:pPr>
              <w:spacing w:after="100"/>
              <w:rPr>
                <w:rFonts w:eastAsia="Times New Roman"/>
                <w:sz w:val="20"/>
                <w:szCs w:val="20"/>
              </w:rPr>
            </w:pPr>
          </w:p>
        </w:tc>
        <w:tc>
          <w:tcPr>
            <w:tcW w:w="50" w:type="pct"/>
            <w:vAlign w:val="center"/>
            <w:hideMark/>
          </w:tcPr>
          <w:p w14:paraId="4FD26989" w14:textId="77777777" w:rsidR="00000000" w:rsidRDefault="009B6C69">
            <w:pPr>
              <w:spacing w:after="100"/>
              <w:rPr>
                <w:rFonts w:eastAsia="Times New Roman"/>
                <w:sz w:val="20"/>
                <w:szCs w:val="20"/>
              </w:rPr>
            </w:pPr>
          </w:p>
        </w:tc>
        <w:tc>
          <w:tcPr>
            <w:tcW w:w="548" w:type="pct"/>
            <w:vAlign w:val="center"/>
            <w:hideMark/>
          </w:tcPr>
          <w:p w14:paraId="5627906C" w14:textId="77777777" w:rsidR="00000000" w:rsidRDefault="009B6C69">
            <w:pPr>
              <w:spacing w:after="100"/>
              <w:rPr>
                <w:rFonts w:eastAsia="Times New Roman"/>
                <w:sz w:val="20"/>
                <w:szCs w:val="20"/>
              </w:rPr>
            </w:pPr>
          </w:p>
        </w:tc>
        <w:tc>
          <w:tcPr>
            <w:tcW w:w="5" w:type="pct"/>
            <w:vAlign w:val="center"/>
            <w:hideMark/>
          </w:tcPr>
          <w:p w14:paraId="46DC6F67" w14:textId="77777777" w:rsidR="00000000" w:rsidRDefault="009B6C69">
            <w:pPr>
              <w:spacing w:after="100"/>
              <w:rPr>
                <w:rFonts w:eastAsia="Times New Roman"/>
                <w:sz w:val="20"/>
                <w:szCs w:val="20"/>
              </w:rPr>
            </w:pPr>
          </w:p>
        </w:tc>
        <w:tc>
          <w:tcPr>
            <w:tcW w:w="5" w:type="pct"/>
            <w:vAlign w:val="center"/>
            <w:hideMark/>
          </w:tcPr>
          <w:p w14:paraId="11AA990A" w14:textId="77777777" w:rsidR="00000000" w:rsidRDefault="009B6C69">
            <w:pPr>
              <w:spacing w:after="100"/>
              <w:rPr>
                <w:rFonts w:eastAsia="Times New Roman"/>
                <w:sz w:val="20"/>
                <w:szCs w:val="20"/>
              </w:rPr>
            </w:pPr>
          </w:p>
        </w:tc>
        <w:tc>
          <w:tcPr>
            <w:tcW w:w="27" w:type="pct"/>
            <w:vAlign w:val="center"/>
            <w:hideMark/>
          </w:tcPr>
          <w:p w14:paraId="58BDC735" w14:textId="77777777" w:rsidR="00000000" w:rsidRDefault="009B6C69">
            <w:pPr>
              <w:spacing w:after="100"/>
              <w:rPr>
                <w:rFonts w:eastAsia="Times New Roman"/>
                <w:sz w:val="20"/>
                <w:szCs w:val="20"/>
              </w:rPr>
            </w:pPr>
          </w:p>
        </w:tc>
        <w:tc>
          <w:tcPr>
            <w:tcW w:w="5" w:type="pct"/>
            <w:vAlign w:val="center"/>
            <w:hideMark/>
          </w:tcPr>
          <w:p w14:paraId="03902D66" w14:textId="77777777" w:rsidR="00000000" w:rsidRDefault="009B6C69">
            <w:pPr>
              <w:spacing w:after="100"/>
              <w:rPr>
                <w:rFonts w:eastAsia="Times New Roman"/>
                <w:sz w:val="20"/>
                <w:szCs w:val="20"/>
              </w:rPr>
            </w:pPr>
          </w:p>
        </w:tc>
        <w:tc>
          <w:tcPr>
            <w:tcW w:w="50" w:type="pct"/>
            <w:vAlign w:val="center"/>
            <w:hideMark/>
          </w:tcPr>
          <w:p w14:paraId="4D2A602B" w14:textId="77777777" w:rsidR="00000000" w:rsidRDefault="009B6C69">
            <w:pPr>
              <w:spacing w:after="100"/>
              <w:rPr>
                <w:rFonts w:eastAsia="Times New Roman"/>
                <w:sz w:val="20"/>
                <w:szCs w:val="20"/>
              </w:rPr>
            </w:pPr>
          </w:p>
        </w:tc>
        <w:tc>
          <w:tcPr>
            <w:tcW w:w="548" w:type="pct"/>
            <w:vAlign w:val="center"/>
            <w:hideMark/>
          </w:tcPr>
          <w:p w14:paraId="6DB841B6" w14:textId="77777777" w:rsidR="00000000" w:rsidRDefault="009B6C69">
            <w:pPr>
              <w:spacing w:after="100"/>
              <w:rPr>
                <w:rFonts w:eastAsia="Times New Roman"/>
                <w:sz w:val="20"/>
                <w:szCs w:val="20"/>
              </w:rPr>
            </w:pPr>
          </w:p>
        </w:tc>
        <w:tc>
          <w:tcPr>
            <w:tcW w:w="5" w:type="pct"/>
            <w:vAlign w:val="center"/>
            <w:hideMark/>
          </w:tcPr>
          <w:p w14:paraId="50BDD921" w14:textId="77777777" w:rsidR="00000000" w:rsidRDefault="009B6C69">
            <w:pPr>
              <w:spacing w:after="100"/>
              <w:rPr>
                <w:rFonts w:eastAsia="Times New Roman"/>
                <w:sz w:val="20"/>
                <w:szCs w:val="20"/>
              </w:rPr>
            </w:pPr>
          </w:p>
        </w:tc>
      </w:tr>
      <w:tr w:rsidR="00000000" w14:paraId="2E0B0928" w14:textId="77777777">
        <w:trPr>
          <w:divId w:val="17317176"/>
        </w:trPr>
        <w:tc>
          <w:tcPr>
            <w:tcW w:w="0" w:type="auto"/>
            <w:gridSpan w:val="3"/>
            <w:tcMar>
              <w:top w:w="30" w:type="dxa"/>
              <w:left w:w="20" w:type="dxa"/>
              <w:bottom w:w="30" w:type="dxa"/>
              <w:right w:w="20" w:type="dxa"/>
            </w:tcMar>
            <w:vAlign w:val="bottom"/>
            <w:hideMark/>
          </w:tcPr>
          <w:p w14:paraId="0A883100" w14:textId="77777777" w:rsidR="00000000" w:rsidRDefault="009B6C69">
            <w:pPr>
              <w:spacing w:after="100"/>
              <w:divId w:val="181867042"/>
              <w:rPr>
                <w:rFonts w:eastAsia="Times New Roman"/>
              </w:rPr>
            </w:pPr>
            <w:r>
              <w:rPr>
                <w:rFonts w:eastAsia="Times New Roman"/>
                <w:b/>
                <w:bCs/>
                <w:i/>
                <w:iCs/>
                <w:color w:val="000000"/>
                <w:sz w:val="20"/>
                <w:szCs w:val="20"/>
              </w:rPr>
              <w:t>Accounts Receivable (in millions)</w:t>
            </w:r>
          </w:p>
        </w:tc>
        <w:tc>
          <w:tcPr>
            <w:tcW w:w="0" w:type="auto"/>
            <w:gridSpan w:val="3"/>
            <w:tcMar>
              <w:top w:w="0" w:type="dxa"/>
              <w:left w:w="20" w:type="dxa"/>
              <w:bottom w:w="0" w:type="dxa"/>
              <w:right w:w="20" w:type="dxa"/>
            </w:tcMar>
            <w:vAlign w:val="center"/>
            <w:hideMark/>
          </w:tcPr>
          <w:p w14:paraId="25CC8A85" w14:textId="77777777" w:rsidR="00000000" w:rsidRDefault="009B6C69">
            <w:pPr>
              <w:spacing w:after="100"/>
              <w:rPr>
                <w:rFonts w:eastAsia="Times New Roman"/>
              </w:rPr>
            </w:pPr>
          </w:p>
        </w:tc>
        <w:tc>
          <w:tcPr>
            <w:tcW w:w="0" w:type="auto"/>
            <w:gridSpan w:val="3"/>
            <w:tcMar>
              <w:top w:w="0" w:type="dxa"/>
              <w:left w:w="20" w:type="dxa"/>
              <w:bottom w:w="0" w:type="dxa"/>
              <w:right w:w="20" w:type="dxa"/>
            </w:tcMar>
            <w:vAlign w:val="center"/>
            <w:hideMark/>
          </w:tcPr>
          <w:p w14:paraId="32EAC8AA"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20EC02" w14:textId="77777777" w:rsidR="00000000" w:rsidRDefault="009B6C69">
            <w:pPr>
              <w:spacing w:after="100"/>
              <w:rPr>
                <w:rFonts w:eastAsia="Times New Roman"/>
                <w:sz w:val="20"/>
                <w:szCs w:val="20"/>
              </w:rPr>
            </w:pPr>
          </w:p>
        </w:tc>
      </w:tr>
      <w:tr w:rsidR="00000000" w14:paraId="5AE74C94" w14:textId="77777777">
        <w:trPr>
          <w:divId w:val="17317176"/>
        </w:trPr>
        <w:tc>
          <w:tcPr>
            <w:tcW w:w="0" w:type="auto"/>
            <w:gridSpan w:val="3"/>
            <w:tcMar>
              <w:top w:w="0" w:type="dxa"/>
              <w:left w:w="20" w:type="dxa"/>
              <w:bottom w:w="0" w:type="dxa"/>
              <w:right w:w="20" w:type="dxa"/>
            </w:tcMar>
            <w:vAlign w:val="center"/>
            <w:hideMark/>
          </w:tcPr>
          <w:p w14:paraId="786B03E4"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C814328" w14:textId="77777777" w:rsidR="00000000" w:rsidRDefault="009B6C69">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14:paraId="45FA1CCA"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72F4142" w14:textId="77777777" w:rsidR="00000000" w:rsidRDefault="009B6C69">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r>
      <w:tr w:rsidR="00000000" w14:paraId="4C97C893" w14:textId="77777777">
        <w:trPr>
          <w:divId w:val="17317176"/>
        </w:trPr>
        <w:tc>
          <w:tcPr>
            <w:tcW w:w="0" w:type="auto"/>
            <w:gridSpan w:val="3"/>
            <w:shd w:val="clear" w:color="auto" w:fill="CCEEFF"/>
            <w:tcMar>
              <w:top w:w="30" w:type="dxa"/>
              <w:left w:w="20" w:type="dxa"/>
              <w:bottom w:w="30" w:type="dxa"/>
              <w:right w:w="20" w:type="dxa"/>
            </w:tcMar>
            <w:vAlign w:val="bottom"/>
            <w:hideMark/>
          </w:tcPr>
          <w:p w14:paraId="7671AE2B" w14:textId="77777777" w:rsidR="00000000" w:rsidRDefault="009B6C69">
            <w:pPr>
              <w:spacing w:after="100"/>
              <w:rPr>
                <w:rFonts w:eastAsia="Times New Roman"/>
              </w:rPr>
            </w:pPr>
            <w:r>
              <w:rPr>
                <w:rFonts w:eastAsia="Times New Roman"/>
                <w:color w:val="000000"/>
                <w:sz w:val="18"/>
                <w:szCs w:val="18"/>
              </w:rPr>
              <w:t xml:space="preserve">Trade, net of allowances for doubtful accounts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3390C0"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44C33C" w14:textId="77777777" w:rsidR="00000000" w:rsidRDefault="009B6C69">
            <w:pPr>
              <w:spacing w:after="100"/>
              <w:jc w:val="right"/>
              <w:rPr>
                <w:rFonts w:eastAsia="Times New Roman"/>
              </w:rPr>
            </w:pPr>
            <w:r>
              <w:rPr>
                <w:rFonts w:eastAsia="Times New Roman"/>
                <w:color w:val="000000"/>
                <w:sz w:val="18"/>
                <w:szCs w:val="18"/>
              </w:rPr>
              <w:t>4,175 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02921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AB5D29"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21E1CE"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E09BF7" w14:textId="77777777" w:rsidR="00000000" w:rsidRDefault="009B6C69">
            <w:pPr>
              <w:spacing w:after="100"/>
              <w:jc w:val="right"/>
              <w:rPr>
                <w:rFonts w:eastAsia="Times New Roman"/>
              </w:rPr>
            </w:pPr>
            <w:r>
              <w:rPr>
                <w:rFonts w:eastAsia="Times New Roman"/>
                <w:color w:val="000000"/>
                <w:sz w:val="18"/>
                <w:szCs w:val="18"/>
              </w:rPr>
              <w:t>2,214 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CC1D95" w14:textId="77777777" w:rsidR="00000000" w:rsidRDefault="009B6C69">
            <w:pPr>
              <w:spacing w:after="100"/>
              <w:jc w:val="right"/>
              <w:rPr>
                <w:rFonts w:eastAsia="Times New Roman"/>
              </w:rPr>
            </w:pPr>
          </w:p>
        </w:tc>
      </w:tr>
      <w:tr w:rsidR="00000000" w14:paraId="7A9DE39C" w14:textId="77777777">
        <w:trPr>
          <w:divId w:val="17317176"/>
        </w:trPr>
        <w:tc>
          <w:tcPr>
            <w:tcW w:w="0" w:type="auto"/>
            <w:gridSpan w:val="3"/>
            <w:vAlign w:val="center"/>
            <w:hideMark/>
          </w:tcPr>
          <w:p w14:paraId="75F69B5F" w14:textId="77777777" w:rsidR="00000000" w:rsidRDefault="009B6C69">
            <w:pPr>
              <w:spacing w:after="100"/>
              <w:jc w:val="right"/>
              <w:rPr>
                <w:rFonts w:eastAsia="Times New Roman"/>
                <w:sz w:val="20"/>
                <w:szCs w:val="20"/>
              </w:rPr>
            </w:pPr>
          </w:p>
        </w:tc>
        <w:tc>
          <w:tcPr>
            <w:tcW w:w="0" w:type="auto"/>
            <w:gridSpan w:val="3"/>
            <w:vAlign w:val="center"/>
            <w:hideMark/>
          </w:tcPr>
          <w:p w14:paraId="10B381E7" w14:textId="77777777" w:rsidR="00000000" w:rsidRDefault="009B6C69">
            <w:pPr>
              <w:spacing w:after="100"/>
              <w:rPr>
                <w:rFonts w:eastAsia="Times New Roman"/>
                <w:sz w:val="20"/>
                <w:szCs w:val="20"/>
              </w:rPr>
            </w:pPr>
          </w:p>
        </w:tc>
        <w:tc>
          <w:tcPr>
            <w:tcW w:w="0" w:type="auto"/>
            <w:gridSpan w:val="3"/>
            <w:vAlign w:val="center"/>
            <w:hideMark/>
          </w:tcPr>
          <w:p w14:paraId="518B2E18" w14:textId="77777777" w:rsidR="00000000" w:rsidRDefault="009B6C69">
            <w:pPr>
              <w:spacing w:after="100"/>
              <w:rPr>
                <w:rFonts w:eastAsia="Times New Roman"/>
                <w:sz w:val="20"/>
                <w:szCs w:val="20"/>
              </w:rPr>
            </w:pPr>
          </w:p>
        </w:tc>
        <w:tc>
          <w:tcPr>
            <w:tcW w:w="0" w:type="auto"/>
            <w:gridSpan w:val="3"/>
            <w:vAlign w:val="center"/>
            <w:hideMark/>
          </w:tcPr>
          <w:p w14:paraId="63742AE1" w14:textId="77777777" w:rsidR="00000000" w:rsidRDefault="009B6C69">
            <w:pPr>
              <w:spacing w:after="100"/>
              <w:rPr>
                <w:rFonts w:eastAsia="Times New Roman"/>
                <w:sz w:val="20"/>
                <w:szCs w:val="20"/>
              </w:rPr>
            </w:pPr>
          </w:p>
        </w:tc>
      </w:tr>
      <w:tr w:rsidR="00000000" w14:paraId="5A47C217" w14:textId="77777777">
        <w:trPr>
          <w:divId w:val="17317176"/>
        </w:trPr>
        <w:tc>
          <w:tcPr>
            <w:tcW w:w="0" w:type="auto"/>
            <w:gridSpan w:val="3"/>
            <w:shd w:val="clear" w:color="auto" w:fill="FFFFFF"/>
            <w:tcMar>
              <w:top w:w="30" w:type="dxa"/>
              <w:left w:w="20" w:type="dxa"/>
              <w:bottom w:w="30" w:type="dxa"/>
              <w:right w:w="20" w:type="dxa"/>
            </w:tcMar>
            <w:vAlign w:val="bottom"/>
            <w:hideMark/>
          </w:tcPr>
          <w:p w14:paraId="1631CAC4" w14:textId="77777777" w:rsidR="00000000" w:rsidRDefault="009B6C69">
            <w:pPr>
              <w:spacing w:after="100"/>
              <w:rPr>
                <w:rFonts w:eastAsia="Times New Roman"/>
              </w:rPr>
            </w:pPr>
            <w:r>
              <w:rPr>
                <w:rFonts w:eastAsia="Times New Roman"/>
                <w:color w:val="000000"/>
                <w:sz w:val="18"/>
                <w:szCs w:val="18"/>
              </w:rPr>
              <w:t>Unbilled</w:t>
            </w:r>
          </w:p>
        </w:tc>
        <w:tc>
          <w:tcPr>
            <w:tcW w:w="0" w:type="auto"/>
            <w:gridSpan w:val="2"/>
            <w:shd w:val="clear" w:color="auto" w:fill="FFFFFF"/>
            <w:tcMar>
              <w:top w:w="30" w:type="dxa"/>
              <w:left w:w="20" w:type="dxa"/>
              <w:bottom w:w="30" w:type="dxa"/>
              <w:right w:w="0" w:type="dxa"/>
            </w:tcMar>
            <w:vAlign w:val="bottom"/>
            <w:hideMark/>
          </w:tcPr>
          <w:p w14:paraId="0F3C74AF" w14:textId="77777777" w:rsidR="00000000" w:rsidRDefault="009B6C69">
            <w:pPr>
              <w:spacing w:after="100"/>
              <w:jc w:val="right"/>
              <w:rPr>
                <w:rFonts w:eastAsia="Times New Roman"/>
              </w:rPr>
            </w:pPr>
            <w:r>
              <w:rPr>
                <w:rFonts w:eastAsia="Times New Roman"/>
                <w:color w:val="000000"/>
                <w:sz w:val="18"/>
                <w:szCs w:val="18"/>
              </w:rPr>
              <w:t>1,435 </w:t>
            </w:r>
          </w:p>
        </w:tc>
        <w:tc>
          <w:tcPr>
            <w:tcW w:w="0" w:type="auto"/>
            <w:shd w:val="clear" w:color="auto" w:fill="FFFFFF"/>
            <w:tcMar>
              <w:top w:w="30" w:type="dxa"/>
              <w:left w:w="0" w:type="dxa"/>
              <w:bottom w:w="30" w:type="dxa"/>
              <w:right w:w="20" w:type="dxa"/>
            </w:tcMar>
            <w:vAlign w:val="bottom"/>
            <w:hideMark/>
          </w:tcPr>
          <w:p w14:paraId="1D5508E3"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429F7D"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ED7300" w14:textId="77777777" w:rsidR="00000000" w:rsidRDefault="009B6C69">
            <w:pPr>
              <w:spacing w:after="100"/>
              <w:jc w:val="right"/>
              <w:rPr>
                <w:rFonts w:eastAsia="Times New Roman"/>
              </w:rPr>
            </w:pPr>
            <w:r>
              <w:rPr>
                <w:rFonts w:eastAsia="Times New Roman"/>
                <w:color w:val="000000"/>
                <w:sz w:val="18"/>
                <w:szCs w:val="18"/>
              </w:rPr>
              <w:t>1,354 </w:t>
            </w:r>
          </w:p>
        </w:tc>
        <w:tc>
          <w:tcPr>
            <w:tcW w:w="0" w:type="auto"/>
            <w:shd w:val="clear" w:color="auto" w:fill="FFFFFF"/>
            <w:tcMar>
              <w:top w:w="30" w:type="dxa"/>
              <w:left w:w="0" w:type="dxa"/>
              <w:bottom w:w="30" w:type="dxa"/>
              <w:right w:w="20" w:type="dxa"/>
            </w:tcMar>
            <w:vAlign w:val="bottom"/>
            <w:hideMark/>
          </w:tcPr>
          <w:p w14:paraId="206192C1" w14:textId="77777777" w:rsidR="00000000" w:rsidRDefault="009B6C69">
            <w:pPr>
              <w:spacing w:after="100"/>
              <w:jc w:val="right"/>
              <w:rPr>
                <w:rFonts w:eastAsia="Times New Roman"/>
              </w:rPr>
            </w:pPr>
          </w:p>
        </w:tc>
      </w:tr>
      <w:tr w:rsidR="00000000" w14:paraId="3DF8E1DA" w14:textId="77777777">
        <w:trPr>
          <w:divId w:val="17317176"/>
        </w:trPr>
        <w:tc>
          <w:tcPr>
            <w:tcW w:w="0" w:type="auto"/>
            <w:gridSpan w:val="3"/>
            <w:shd w:val="clear" w:color="auto" w:fill="CCEEFF"/>
            <w:tcMar>
              <w:top w:w="30" w:type="dxa"/>
              <w:left w:w="20" w:type="dxa"/>
              <w:bottom w:w="30" w:type="dxa"/>
              <w:right w:w="20" w:type="dxa"/>
            </w:tcMar>
            <w:vAlign w:val="bottom"/>
            <w:hideMark/>
          </w:tcPr>
          <w:p w14:paraId="0DEDCD3E" w14:textId="77777777" w:rsidR="00000000" w:rsidRDefault="009B6C69">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76E771AD" w14:textId="77777777" w:rsidR="00000000" w:rsidRDefault="009B6C69">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14:paraId="2800F5DB"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E49DB6"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833013" w14:textId="77777777" w:rsidR="00000000" w:rsidRDefault="009B6C69">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14:paraId="4BD82464" w14:textId="77777777" w:rsidR="00000000" w:rsidRDefault="009B6C69">
            <w:pPr>
              <w:spacing w:after="100"/>
              <w:jc w:val="right"/>
              <w:rPr>
                <w:rFonts w:eastAsia="Times New Roman"/>
              </w:rPr>
            </w:pPr>
          </w:p>
        </w:tc>
      </w:tr>
      <w:tr w:rsidR="00000000" w14:paraId="3AE98D8D" w14:textId="77777777">
        <w:trPr>
          <w:divId w:val="17317176"/>
        </w:trPr>
        <w:tc>
          <w:tcPr>
            <w:tcW w:w="0" w:type="auto"/>
            <w:gridSpan w:val="3"/>
            <w:shd w:val="clear" w:color="auto" w:fill="FFFFFF"/>
            <w:tcMar>
              <w:top w:w="0" w:type="dxa"/>
              <w:left w:w="20" w:type="dxa"/>
              <w:bottom w:w="0" w:type="dxa"/>
              <w:right w:w="20" w:type="dxa"/>
            </w:tcMar>
            <w:vAlign w:val="center"/>
            <w:hideMark/>
          </w:tcPr>
          <w:p w14:paraId="0FFD33A7"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FB33DC5"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559FEF" w14:textId="77777777" w:rsidR="00000000" w:rsidRDefault="009B6C69">
            <w:pPr>
              <w:spacing w:after="100"/>
              <w:jc w:val="right"/>
              <w:rPr>
                <w:rFonts w:eastAsia="Times New Roman"/>
              </w:rPr>
            </w:pPr>
            <w:r>
              <w:rPr>
                <w:rFonts w:eastAsia="Times New Roman"/>
                <w:color w:val="000000"/>
                <w:sz w:val="18"/>
                <w:szCs w:val="18"/>
              </w:rPr>
              <w:t>5,643 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E566E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AA3012"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402EF30"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F9EFDAC" w14:textId="77777777" w:rsidR="00000000" w:rsidRDefault="009B6C69">
            <w:pPr>
              <w:spacing w:after="100"/>
              <w:jc w:val="right"/>
              <w:rPr>
                <w:rFonts w:eastAsia="Times New Roman"/>
              </w:rPr>
            </w:pPr>
            <w:r>
              <w:rPr>
                <w:rFonts w:eastAsia="Times New Roman"/>
                <w:color w:val="000000"/>
                <w:sz w:val="18"/>
                <w:szCs w:val="18"/>
              </w:rPr>
              <w:t>3,579 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176856E" w14:textId="77777777" w:rsidR="00000000" w:rsidRDefault="009B6C69">
            <w:pPr>
              <w:spacing w:after="100"/>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6136"/>
        <w:gridCol w:w="144"/>
        <w:gridCol w:w="144"/>
        <w:gridCol w:w="908"/>
        <w:gridCol w:w="144"/>
        <w:gridCol w:w="144"/>
        <w:gridCol w:w="144"/>
        <w:gridCol w:w="144"/>
        <w:gridCol w:w="144"/>
        <w:gridCol w:w="908"/>
        <w:gridCol w:w="144"/>
      </w:tblGrid>
      <w:tr w:rsidR="00000000" w14:paraId="40765E6A" w14:textId="77777777">
        <w:tc>
          <w:tcPr>
            <w:tcW w:w="50" w:type="pct"/>
            <w:vAlign w:val="center"/>
            <w:hideMark/>
          </w:tcPr>
          <w:p w14:paraId="2CE823BB" w14:textId="77777777" w:rsidR="00000000" w:rsidRDefault="009B6C69">
            <w:pPr>
              <w:rPr>
                <w:rFonts w:eastAsia="Times New Roman"/>
              </w:rPr>
            </w:pPr>
          </w:p>
        </w:tc>
        <w:tc>
          <w:tcPr>
            <w:tcW w:w="3700" w:type="pct"/>
            <w:vAlign w:val="center"/>
            <w:hideMark/>
          </w:tcPr>
          <w:p w14:paraId="60AF8324" w14:textId="77777777" w:rsidR="00000000" w:rsidRDefault="009B6C69">
            <w:pPr>
              <w:spacing w:after="100"/>
              <w:rPr>
                <w:rFonts w:eastAsia="Times New Roman"/>
                <w:sz w:val="20"/>
                <w:szCs w:val="20"/>
              </w:rPr>
            </w:pPr>
          </w:p>
        </w:tc>
        <w:tc>
          <w:tcPr>
            <w:tcW w:w="5" w:type="pct"/>
            <w:vAlign w:val="center"/>
            <w:hideMark/>
          </w:tcPr>
          <w:p w14:paraId="4846DD7C" w14:textId="77777777" w:rsidR="00000000" w:rsidRDefault="009B6C69">
            <w:pPr>
              <w:spacing w:after="100"/>
              <w:rPr>
                <w:rFonts w:eastAsia="Times New Roman"/>
                <w:sz w:val="20"/>
                <w:szCs w:val="20"/>
              </w:rPr>
            </w:pPr>
          </w:p>
        </w:tc>
        <w:tc>
          <w:tcPr>
            <w:tcW w:w="50" w:type="pct"/>
            <w:vAlign w:val="center"/>
            <w:hideMark/>
          </w:tcPr>
          <w:p w14:paraId="61ABBCFB" w14:textId="77777777" w:rsidR="00000000" w:rsidRDefault="009B6C69">
            <w:pPr>
              <w:spacing w:after="100"/>
              <w:rPr>
                <w:rFonts w:eastAsia="Times New Roman"/>
                <w:sz w:val="20"/>
                <w:szCs w:val="20"/>
              </w:rPr>
            </w:pPr>
          </w:p>
        </w:tc>
        <w:tc>
          <w:tcPr>
            <w:tcW w:w="548" w:type="pct"/>
            <w:vAlign w:val="center"/>
            <w:hideMark/>
          </w:tcPr>
          <w:p w14:paraId="147DC858" w14:textId="77777777" w:rsidR="00000000" w:rsidRDefault="009B6C69">
            <w:pPr>
              <w:spacing w:after="100"/>
              <w:rPr>
                <w:rFonts w:eastAsia="Times New Roman"/>
                <w:sz w:val="20"/>
                <w:szCs w:val="20"/>
              </w:rPr>
            </w:pPr>
          </w:p>
        </w:tc>
        <w:tc>
          <w:tcPr>
            <w:tcW w:w="5" w:type="pct"/>
            <w:vAlign w:val="center"/>
            <w:hideMark/>
          </w:tcPr>
          <w:p w14:paraId="387BA5AC" w14:textId="77777777" w:rsidR="00000000" w:rsidRDefault="009B6C69">
            <w:pPr>
              <w:spacing w:after="100"/>
              <w:rPr>
                <w:rFonts w:eastAsia="Times New Roman"/>
                <w:sz w:val="20"/>
                <w:szCs w:val="20"/>
              </w:rPr>
            </w:pPr>
          </w:p>
        </w:tc>
        <w:tc>
          <w:tcPr>
            <w:tcW w:w="5" w:type="pct"/>
            <w:vAlign w:val="center"/>
            <w:hideMark/>
          </w:tcPr>
          <w:p w14:paraId="7A8F78D2" w14:textId="77777777" w:rsidR="00000000" w:rsidRDefault="009B6C69">
            <w:pPr>
              <w:spacing w:after="100"/>
              <w:rPr>
                <w:rFonts w:eastAsia="Times New Roman"/>
                <w:sz w:val="20"/>
                <w:szCs w:val="20"/>
              </w:rPr>
            </w:pPr>
          </w:p>
        </w:tc>
        <w:tc>
          <w:tcPr>
            <w:tcW w:w="27" w:type="pct"/>
            <w:vAlign w:val="center"/>
            <w:hideMark/>
          </w:tcPr>
          <w:p w14:paraId="6D1AF91C" w14:textId="77777777" w:rsidR="00000000" w:rsidRDefault="009B6C69">
            <w:pPr>
              <w:spacing w:after="100"/>
              <w:rPr>
                <w:rFonts w:eastAsia="Times New Roman"/>
                <w:sz w:val="20"/>
                <w:szCs w:val="20"/>
              </w:rPr>
            </w:pPr>
          </w:p>
        </w:tc>
        <w:tc>
          <w:tcPr>
            <w:tcW w:w="5" w:type="pct"/>
            <w:vAlign w:val="center"/>
            <w:hideMark/>
          </w:tcPr>
          <w:p w14:paraId="3ED3ABDF" w14:textId="77777777" w:rsidR="00000000" w:rsidRDefault="009B6C69">
            <w:pPr>
              <w:spacing w:after="100"/>
              <w:rPr>
                <w:rFonts w:eastAsia="Times New Roman"/>
                <w:sz w:val="20"/>
                <w:szCs w:val="20"/>
              </w:rPr>
            </w:pPr>
          </w:p>
        </w:tc>
        <w:tc>
          <w:tcPr>
            <w:tcW w:w="50" w:type="pct"/>
            <w:vAlign w:val="center"/>
            <w:hideMark/>
          </w:tcPr>
          <w:p w14:paraId="597557DC" w14:textId="77777777" w:rsidR="00000000" w:rsidRDefault="009B6C69">
            <w:pPr>
              <w:spacing w:after="100"/>
              <w:rPr>
                <w:rFonts w:eastAsia="Times New Roman"/>
                <w:sz w:val="20"/>
                <w:szCs w:val="20"/>
              </w:rPr>
            </w:pPr>
          </w:p>
        </w:tc>
        <w:tc>
          <w:tcPr>
            <w:tcW w:w="548" w:type="pct"/>
            <w:vAlign w:val="center"/>
            <w:hideMark/>
          </w:tcPr>
          <w:p w14:paraId="05B88890" w14:textId="77777777" w:rsidR="00000000" w:rsidRDefault="009B6C69">
            <w:pPr>
              <w:spacing w:after="100"/>
              <w:rPr>
                <w:rFonts w:eastAsia="Times New Roman"/>
                <w:sz w:val="20"/>
                <w:szCs w:val="20"/>
              </w:rPr>
            </w:pPr>
          </w:p>
        </w:tc>
        <w:tc>
          <w:tcPr>
            <w:tcW w:w="5" w:type="pct"/>
            <w:vAlign w:val="center"/>
            <w:hideMark/>
          </w:tcPr>
          <w:p w14:paraId="135BB689" w14:textId="77777777" w:rsidR="00000000" w:rsidRDefault="009B6C69">
            <w:pPr>
              <w:spacing w:after="100"/>
              <w:rPr>
                <w:rFonts w:eastAsia="Times New Roman"/>
                <w:sz w:val="20"/>
                <w:szCs w:val="20"/>
              </w:rPr>
            </w:pPr>
          </w:p>
        </w:tc>
      </w:tr>
      <w:tr w:rsidR="00000000" w14:paraId="1FD8E0E0" w14:textId="77777777">
        <w:tc>
          <w:tcPr>
            <w:tcW w:w="0" w:type="auto"/>
            <w:gridSpan w:val="3"/>
            <w:tcMar>
              <w:top w:w="30" w:type="dxa"/>
              <w:left w:w="20" w:type="dxa"/>
              <w:bottom w:w="30" w:type="dxa"/>
              <w:right w:w="20" w:type="dxa"/>
            </w:tcMar>
            <w:vAlign w:val="bottom"/>
            <w:hideMark/>
          </w:tcPr>
          <w:p w14:paraId="1810EEA3" w14:textId="77777777" w:rsidR="00000000" w:rsidRDefault="009B6C69">
            <w:pPr>
              <w:spacing w:after="100"/>
              <w:divId w:val="636224636"/>
              <w:rPr>
                <w:rFonts w:eastAsia="Times New Roman"/>
              </w:rPr>
            </w:pPr>
            <w:r>
              <w:rPr>
                <w:rFonts w:eastAsia="Times New Roman"/>
                <w:b/>
                <w:bCs/>
                <w:i/>
                <w:iCs/>
                <w:color w:val="000000"/>
                <w:sz w:val="20"/>
                <w:szCs w:val="20"/>
              </w:rPr>
              <w:t>Inventories (in millions)</w:t>
            </w:r>
          </w:p>
        </w:tc>
        <w:tc>
          <w:tcPr>
            <w:tcW w:w="0" w:type="auto"/>
            <w:gridSpan w:val="3"/>
            <w:tcMar>
              <w:top w:w="0" w:type="dxa"/>
              <w:left w:w="20" w:type="dxa"/>
              <w:bottom w:w="0" w:type="dxa"/>
              <w:right w:w="20" w:type="dxa"/>
            </w:tcMar>
            <w:vAlign w:val="center"/>
            <w:hideMark/>
          </w:tcPr>
          <w:p w14:paraId="5C9FACCB" w14:textId="77777777" w:rsidR="00000000" w:rsidRDefault="009B6C69">
            <w:pPr>
              <w:spacing w:after="100"/>
              <w:rPr>
                <w:rFonts w:eastAsia="Times New Roman"/>
              </w:rPr>
            </w:pPr>
          </w:p>
        </w:tc>
        <w:tc>
          <w:tcPr>
            <w:tcW w:w="0" w:type="auto"/>
            <w:gridSpan w:val="3"/>
            <w:tcMar>
              <w:top w:w="0" w:type="dxa"/>
              <w:left w:w="20" w:type="dxa"/>
              <w:bottom w:w="0" w:type="dxa"/>
              <w:right w:w="20" w:type="dxa"/>
            </w:tcMar>
            <w:vAlign w:val="center"/>
            <w:hideMark/>
          </w:tcPr>
          <w:p w14:paraId="74B4CFD2"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959097" w14:textId="77777777" w:rsidR="00000000" w:rsidRDefault="009B6C69">
            <w:pPr>
              <w:spacing w:after="100"/>
              <w:rPr>
                <w:rFonts w:eastAsia="Times New Roman"/>
                <w:sz w:val="20"/>
                <w:szCs w:val="20"/>
              </w:rPr>
            </w:pPr>
          </w:p>
        </w:tc>
      </w:tr>
      <w:tr w:rsidR="00000000" w14:paraId="3B23B01A" w14:textId="77777777">
        <w:tc>
          <w:tcPr>
            <w:tcW w:w="0" w:type="auto"/>
            <w:gridSpan w:val="3"/>
            <w:tcMar>
              <w:top w:w="0" w:type="dxa"/>
              <w:left w:w="20" w:type="dxa"/>
              <w:bottom w:w="0" w:type="dxa"/>
              <w:right w:w="20" w:type="dxa"/>
            </w:tcMar>
            <w:vAlign w:val="center"/>
            <w:hideMark/>
          </w:tcPr>
          <w:p w14:paraId="5E37BA0E"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AE98C45" w14:textId="77777777" w:rsidR="00000000" w:rsidRDefault="009B6C69">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14:paraId="0CB6FD19"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3186D3D" w14:textId="77777777" w:rsidR="00000000" w:rsidRDefault="009B6C69">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r>
      <w:tr w:rsidR="00000000" w14:paraId="4CA9E938" w14:textId="77777777">
        <w:tc>
          <w:tcPr>
            <w:tcW w:w="0" w:type="auto"/>
            <w:gridSpan w:val="3"/>
            <w:shd w:val="clear" w:color="auto" w:fill="CCEEFF"/>
            <w:tcMar>
              <w:top w:w="30" w:type="dxa"/>
              <w:left w:w="20" w:type="dxa"/>
              <w:bottom w:w="30" w:type="dxa"/>
              <w:right w:w="20" w:type="dxa"/>
            </w:tcMar>
            <w:vAlign w:val="bottom"/>
            <w:hideMark/>
          </w:tcPr>
          <w:p w14:paraId="6327A159" w14:textId="77777777" w:rsidR="00000000" w:rsidRDefault="009B6C69">
            <w:pPr>
              <w:spacing w:after="100"/>
              <w:rPr>
                <w:rFonts w:eastAsia="Times New Roman"/>
              </w:rPr>
            </w:pPr>
            <w:r>
              <w:rPr>
                <w:rFonts w:eastAsia="Times New Roman"/>
                <w:color w:val="000000"/>
                <w:sz w:val="18"/>
                <w:szCs w:val="18"/>
              </w:rPr>
              <w:t>Raw materials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65AD40"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B42288" w14:textId="77777777" w:rsidR="00000000" w:rsidRDefault="009B6C69">
            <w:pPr>
              <w:spacing w:after="100"/>
              <w:jc w:val="right"/>
              <w:rPr>
                <w:rFonts w:eastAsia="Times New Roman"/>
              </w:rPr>
            </w:pPr>
            <w:r>
              <w:rPr>
                <w:rFonts w:eastAsia="Times New Roman"/>
                <w:color w:val="000000"/>
                <w:sz w:val="18"/>
                <w:szCs w:val="18"/>
              </w:rPr>
              <w:t>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9D6A50"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0464AB"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96B349"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68D615" w14:textId="77777777" w:rsidR="00000000" w:rsidRDefault="009B6C69">
            <w:pPr>
              <w:spacing w:after="100"/>
              <w:jc w:val="right"/>
              <w:rPr>
                <w:rFonts w:eastAsia="Times New Roman"/>
              </w:rPr>
            </w:pPr>
            <w:r>
              <w:rPr>
                <w:rFonts w:eastAsia="Times New Roman"/>
                <w:color w:val="000000"/>
                <w:sz w:val="18"/>
                <w:szCs w:val="18"/>
              </w:rPr>
              <w:t>267 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E99FF1" w14:textId="77777777" w:rsidR="00000000" w:rsidRDefault="009B6C69">
            <w:pPr>
              <w:spacing w:after="100"/>
              <w:jc w:val="right"/>
              <w:rPr>
                <w:rFonts w:eastAsia="Times New Roman"/>
              </w:rPr>
            </w:pPr>
          </w:p>
        </w:tc>
      </w:tr>
      <w:tr w:rsidR="00000000" w14:paraId="7BA6808C" w14:textId="77777777">
        <w:tc>
          <w:tcPr>
            <w:tcW w:w="0" w:type="auto"/>
            <w:gridSpan w:val="3"/>
            <w:shd w:val="clear" w:color="auto" w:fill="FFFFFF"/>
            <w:tcMar>
              <w:top w:w="30" w:type="dxa"/>
              <w:left w:w="20" w:type="dxa"/>
              <w:bottom w:w="30" w:type="dxa"/>
              <w:right w:w="20" w:type="dxa"/>
            </w:tcMar>
            <w:vAlign w:val="bottom"/>
            <w:hideMark/>
          </w:tcPr>
          <w:p w14:paraId="2D64EF2C" w14:textId="77777777" w:rsidR="00000000" w:rsidRDefault="009B6C69">
            <w:pPr>
              <w:spacing w:after="100"/>
              <w:rPr>
                <w:rFonts w:eastAsia="Times New Roman"/>
              </w:rPr>
            </w:pPr>
            <w:r>
              <w:rPr>
                <w:rFonts w:eastAsia="Times New Roman"/>
                <w:color w:val="000000"/>
                <w:sz w:val="18"/>
                <w:szCs w:val="18"/>
              </w:rPr>
              <w:t>Work-in-process</w:t>
            </w:r>
          </w:p>
        </w:tc>
        <w:tc>
          <w:tcPr>
            <w:tcW w:w="0" w:type="auto"/>
            <w:gridSpan w:val="2"/>
            <w:shd w:val="clear" w:color="auto" w:fill="FFFFFF"/>
            <w:tcMar>
              <w:top w:w="30" w:type="dxa"/>
              <w:left w:w="20" w:type="dxa"/>
              <w:bottom w:w="30" w:type="dxa"/>
              <w:right w:w="0" w:type="dxa"/>
            </w:tcMar>
            <w:vAlign w:val="bottom"/>
            <w:hideMark/>
          </w:tcPr>
          <w:p w14:paraId="14383F0F" w14:textId="77777777" w:rsidR="00000000" w:rsidRDefault="009B6C69">
            <w:pPr>
              <w:spacing w:after="100"/>
              <w:jc w:val="right"/>
              <w:rPr>
                <w:rFonts w:eastAsia="Times New Roman"/>
              </w:rPr>
            </w:pPr>
            <w:r>
              <w:rPr>
                <w:rFonts w:eastAsia="Times New Roman"/>
                <w:color w:val="000000"/>
                <w:sz w:val="18"/>
                <w:szCs w:val="18"/>
              </w:rPr>
              <w:t>3,329 </w:t>
            </w:r>
          </w:p>
        </w:tc>
        <w:tc>
          <w:tcPr>
            <w:tcW w:w="0" w:type="auto"/>
            <w:shd w:val="clear" w:color="auto" w:fill="FFFFFF"/>
            <w:tcMar>
              <w:top w:w="30" w:type="dxa"/>
              <w:left w:w="0" w:type="dxa"/>
              <w:bottom w:w="30" w:type="dxa"/>
              <w:right w:w="20" w:type="dxa"/>
            </w:tcMar>
            <w:vAlign w:val="bottom"/>
            <w:hideMark/>
          </w:tcPr>
          <w:p w14:paraId="4CD7CE48"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1183F7"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004C1C" w14:textId="77777777" w:rsidR="00000000" w:rsidRDefault="009B6C69">
            <w:pPr>
              <w:spacing w:after="100"/>
              <w:jc w:val="right"/>
              <w:rPr>
                <w:rFonts w:eastAsia="Times New Roman"/>
              </w:rPr>
            </w:pPr>
            <w:r>
              <w:rPr>
                <w:rFonts w:eastAsia="Times New Roman"/>
                <w:color w:val="000000"/>
                <w:sz w:val="18"/>
                <w:szCs w:val="18"/>
              </w:rPr>
              <w:t>1,475 </w:t>
            </w:r>
          </w:p>
        </w:tc>
        <w:tc>
          <w:tcPr>
            <w:tcW w:w="0" w:type="auto"/>
            <w:shd w:val="clear" w:color="auto" w:fill="FFFFFF"/>
            <w:tcMar>
              <w:top w:w="30" w:type="dxa"/>
              <w:left w:w="0" w:type="dxa"/>
              <w:bottom w:w="30" w:type="dxa"/>
              <w:right w:w="20" w:type="dxa"/>
            </w:tcMar>
            <w:vAlign w:val="bottom"/>
            <w:hideMark/>
          </w:tcPr>
          <w:p w14:paraId="13749C8D" w14:textId="77777777" w:rsidR="00000000" w:rsidRDefault="009B6C69">
            <w:pPr>
              <w:spacing w:after="100"/>
              <w:jc w:val="right"/>
              <w:rPr>
                <w:rFonts w:eastAsia="Times New Roman"/>
              </w:rPr>
            </w:pPr>
          </w:p>
        </w:tc>
      </w:tr>
      <w:tr w:rsidR="00000000" w14:paraId="36C5E884" w14:textId="77777777">
        <w:tc>
          <w:tcPr>
            <w:tcW w:w="0" w:type="auto"/>
            <w:gridSpan w:val="3"/>
            <w:shd w:val="clear" w:color="auto" w:fill="CCEEFF"/>
            <w:tcMar>
              <w:top w:w="30" w:type="dxa"/>
              <w:left w:w="20" w:type="dxa"/>
              <w:bottom w:w="30" w:type="dxa"/>
              <w:right w:w="20" w:type="dxa"/>
            </w:tcMar>
            <w:vAlign w:val="bottom"/>
            <w:hideMark/>
          </w:tcPr>
          <w:p w14:paraId="3D9E64F5" w14:textId="77777777" w:rsidR="00000000" w:rsidRDefault="009B6C69">
            <w:pPr>
              <w:spacing w:after="100"/>
              <w:rPr>
                <w:rFonts w:eastAsia="Times New Roman"/>
              </w:rPr>
            </w:pPr>
            <w:r>
              <w:rPr>
                <w:rFonts w:eastAsia="Times New Roman"/>
                <w:color w:val="000000"/>
                <w:sz w:val="18"/>
                <w:szCs w:val="18"/>
              </w:rPr>
              <w:t>Finished goods</w:t>
            </w:r>
          </w:p>
        </w:tc>
        <w:tc>
          <w:tcPr>
            <w:tcW w:w="0" w:type="auto"/>
            <w:gridSpan w:val="2"/>
            <w:shd w:val="clear" w:color="auto" w:fill="CCEEFF"/>
            <w:tcMar>
              <w:top w:w="30" w:type="dxa"/>
              <w:left w:w="20" w:type="dxa"/>
              <w:bottom w:w="30" w:type="dxa"/>
              <w:right w:w="0" w:type="dxa"/>
            </w:tcMar>
            <w:vAlign w:val="bottom"/>
            <w:hideMark/>
          </w:tcPr>
          <w:p w14:paraId="0093ECA4" w14:textId="77777777" w:rsidR="00000000" w:rsidRDefault="009B6C69">
            <w:pPr>
              <w:spacing w:after="100"/>
              <w:jc w:val="right"/>
              <w:rPr>
                <w:rFonts w:eastAsia="Times New Roman"/>
              </w:rPr>
            </w:pPr>
            <w:r>
              <w:rPr>
                <w:rFonts w:eastAsia="Times New Roman"/>
                <w:color w:val="000000"/>
                <w:sz w:val="18"/>
                <w:szCs w:val="18"/>
              </w:rPr>
              <w:t>2,791 </w:t>
            </w:r>
          </w:p>
        </w:tc>
        <w:tc>
          <w:tcPr>
            <w:tcW w:w="0" w:type="auto"/>
            <w:shd w:val="clear" w:color="auto" w:fill="CCEEFF"/>
            <w:tcMar>
              <w:top w:w="30" w:type="dxa"/>
              <w:left w:w="0" w:type="dxa"/>
              <w:bottom w:w="30" w:type="dxa"/>
              <w:right w:w="20" w:type="dxa"/>
            </w:tcMar>
            <w:vAlign w:val="bottom"/>
            <w:hideMark/>
          </w:tcPr>
          <w:p w14:paraId="45E9F6B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A9B719"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E2145E" w14:textId="77777777" w:rsidR="00000000" w:rsidRDefault="009B6C69">
            <w:pPr>
              <w:spacing w:after="100"/>
              <w:jc w:val="right"/>
              <w:rPr>
                <w:rFonts w:eastAsia="Times New Roman"/>
              </w:rPr>
            </w:pPr>
            <w:r>
              <w:rPr>
                <w:rFonts w:eastAsia="Times New Roman"/>
                <w:color w:val="000000"/>
                <w:sz w:val="18"/>
                <w:szCs w:val="18"/>
              </w:rPr>
              <w:t>1,486 </w:t>
            </w:r>
          </w:p>
        </w:tc>
        <w:tc>
          <w:tcPr>
            <w:tcW w:w="0" w:type="auto"/>
            <w:shd w:val="clear" w:color="auto" w:fill="CCEEFF"/>
            <w:tcMar>
              <w:top w:w="30" w:type="dxa"/>
              <w:left w:w="0" w:type="dxa"/>
              <w:bottom w:w="30" w:type="dxa"/>
              <w:right w:w="20" w:type="dxa"/>
            </w:tcMar>
            <w:vAlign w:val="bottom"/>
            <w:hideMark/>
          </w:tcPr>
          <w:p w14:paraId="143455A2" w14:textId="77777777" w:rsidR="00000000" w:rsidRDefault="009B6C69">
            <w:pPr>
              <w:spacing w:after="100"/>
              <w:jc w:val="right"/>
              <w:rPr>
                <w:rFonts w:eastAsia="Times New Roman"/>
              </w:rPr>
            </w:pPr>
          </w:p>
        </w:tc>
      </w:tr>
      <w:tr w:rsidR="00000000" w14:paraId="23DB76DA" w14:textId="77777777">
        <w:tc>
          <w:tcPr>
            <w:tcW w:w="0" w:type="auto"/>
            <w:gridSpan w:val="3"/>
            <w:shd w:val="clear" w:color="auto" w:fill="FFFFFF"/>
            <w:tcMar>
              <w:top w:w="0" w:type="dxa"/>
              <w:left w:w="20" w:type="dxa"/>
              <w:bottom w:w="0" w:type="dxa"/>
              <w:right w:w="20" w:type="dxa"/>
            </w:tcMar>
            <w:vAlign w:val="center"/>
            <w:hideMark/>
          </w:tcPr>
          <w:p w14:paraId="6175E06D"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22F9296"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61747ED" w14:textId="77777777" w:rsidR="00000000" w:rsidRDefault="009B6C69">
            <w:pPr>
              <w:spacing w:after="100"/>
              <w:jc w:val="right"/>
              <w:rPr>
                <w:rFonts w:eastAsia="Times New Roman"/>
              </w:rPr>
            </w:pPr>
            <w:r>
              <w:rPr>
                <w:rFonts w:eastAsia="Times New Roman"/>
                <w:color w:val="000000"/>
                <w:sz w:val="18"/>
                <w:szCs w:val="18"/>
              </w:rPr>
              <w:t>6,341 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2F3B38"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FFC84F"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B44701"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E14D611" w14:textId="77777777" w:rsidR="00000000" w:rsidRDefault="009B6C69">
            <w:pPr>
              <w:spacing w:after="100"/>
              <w:jc w:val="right"/>
              <w:rPr>
                <w:rFonts w:eastAsia="Times New Roman"/>
              </w:rPr>
            </w:pPr>
            <w:r>
              <w:rPr>
                <w:rFonts w:eastAsia="Times New Roman"/>
                <w:color w:val="000000"/>
                <w:sz w:val="18"/>
                <w:szCs w:val="18"/>
              </w:rPr>
              <w:t>3,228 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6528CF" w14:textId="77777777" w:rsidR="00000000" w:rsidRDefault="009B6C69">
            <w:pPr>
              <w:spacing w:after="100"/>
              <w:jc w:val="right"/>
              <w:rPr>
                <w:rFonts w:eastAsia="Times New Roman"/>
              </w:rPr>
            </w:pPr>
          </w:p>
        </w:tc>
      </w:tr>
    </w:tbl>
    <w:p w14:paraId="356B4105" w14:textId="77777777" w:rsidR="00000000" w:rsidRDefault="009B6C69">
      <w:pPr>
        <w:jc w:val="center"/>
        <w:divId w:val="373233194"/>
        <w:rPr>
          <w:rFonts w:eastAsia="Times New Roman"/>
        </w:rPr>
      </w:pPr>
      <w:r>
        <w:rPr>
          <w:rFonts w:eastAsia="Times New Roman"/>
          <w:color w:val="000000"/>
          <w:sz w:val="20"/>
          <w:szCs w:val="20"/>
        </w:rPr>
        <w:t>F-15</w:t>
      </w:r>
    </w:p>
    <w:p w14:paraId="6EAA1CA7" w14:textId="77777777" w:rsidR="00000000" w:rsidRDefault="009B6C69">
      <w:pPr>
        <w:rPr>
          <w:rFonts w:eastAsia="Times New Roman"/>
        </w:rPr>
      </w:pPr>
      <w:r>
        <w:rPr>
          <w:rFonts w:eastAsia="Times New Roman"/>
        </w:rPr>
        <w:pict w14:anchorId="39C2CCC2">
          <v:rect id="_x0000_i1095" style="width:0;height:1.5pt" o:hralign="center" o:hrstd="t" o:hr="t" fillcolor="#a0a0a0" stroked="f"/>
        </w:pict>
      </w:r>
    </w:p>
    <w:p w14:paraId="0F1A2995" w14:textId="77777777" w:rsidR="00000000" w:rsidRDefault="009B6C69">
      <w:pPr>
        <w:jc w:val="center"/>
        <w:divId w:val="1692102913"/>
        <w:rPr>
          <w:rFonts w:eastAsia="Times New Roman"/>
        </w:rPr>
      </w:pPr>
    </w:p>
    <w:p w14:paraId="79B9F6CB" w14:textId="77777777" w:rsidR="00000000" w:rsidRDefault="009B6C69">
      <w:pPr>
        <w:jc w:val="center"/>
        <w:divId w:val="1692102913"/>
        <w:rPr>
          <w:rFonts w:eastAsia="Times New Roman"/>
        </w:rPr>
      </w:pPr>
      <w:r>
        <w:rPr>
          <w:rFonts w:eastAsia="Times New Roman"/>
          <w:b/>
          <w:bCs/>
          <w:color w:val="000000"/>
          <w:sz w:val="20"/>
          <w:szCs w:val="20"/>
        </w:rPr>
        <w:t>QUALCOMM Incorporated</w:t>
      </w:r>
    </w:p>
    <w:p w14:paraId="6E3DB664" w14:textId="77777777" w:rsidR="00000000" w:rsidRDefault="009B6C69">
      <w:pPr>
        <w:jc w:val="center"/>
        <w:divId w:val="1692102913"/>
        <w:rPr>
          <w:rFonts w:eastAsia="Times New Roman"/>
        </w:rPr>
      </w:pPr>
      <w:r>
        <w:rPr>
          <w:rFonts w:eastAsia="Times New Roman"/>
          <w:b/>
          <w:bCs/>
          <w:color w:val="000000"/>
          <w:sz w:val="20"/>
          <w:szCs w:val="20"/>
        </w:rPr>
        <w:t>NOTES TO CONSOLIDATED FINANCIAL STATEMENTS</w:t>
      </w:r>
    </w:p>
    <w:tbl>
      <w:tblPr>
        <w:tblW w:w="4992" w:type="pct"/>
        <w:tblCellMar>
          <w:top w:w="15" w:type="dxa"/>
          <w:left w:w="15" w:type="dxa"/>
          <w:bottom w:w="15" w:type="dxa"/>
          <w:right w:w="15" w:type="dxa"/>
        </w:tblCellMar>
        <w:tblLook w:val="04A0" w:firstRow="1" w:lastRow="0" w:firstColumn="1" w:lastColumn="0" w:noHBand="0" w:noVBand="1"/>
      </w:tblPr>
      <w:tblGrid>
        <w:gridCol w:w="44"/>
        <w:gridCol w:w="6099"/>
        <w:gridCol w:w="36"/>
        <w:gridCol w:w="111"/>
        <w:gridCol w:w="870"/>
        <w:gridCol w:w="36"/>
        <w:gridCol w:w="36"/>
        <w:gridCol w:w="36"/>
        <w:gridCol w:w="36"/>
        <w:gridCol w:w="111"/>
        <w:gridCol w:w="842"/>
        <w:gridCol w:w="36"/>
      </w:tblGrid>
      <w:tr w:rsidR="00000000" w14:paraId="179794F3" w14:textId="77777777">
        <w:trPr>
          <w:divId w:val="1078939404"/>
        </w:trPr>
        <w:tc>
          <w:tcPr>
            <w:tcW w:w="50" w:type="pct"/>
            <w:vAlign w:val="center"/>
            <w:hideMark/>
          </w:tcPr>
          <w:p w14:paraId="508B02DA" w14:textId="77777777" w:rsidR="00000000" w:rsidRDefault="009B6C69">
            <w:pPr>
              <w:jc w:val="center"/>
              <w:rPr>
                <w:rFonts w:eastAsia="Times New Roman"/>
              </w:rPr>
            </w:pPr>
          </w:p>
        </w:tc>
        <w:tc>
          <w:tcPr>
            <w:tcW w:w="3700" w:type="pct"/>
            <w:vAlign w:val="center"/>
            <w:hideMark/>
          </w:tcPr>
          <w:p w14:paraId="7FF94E04" w14:textId="77777777" w:rsidR="00000000" w:rsidRDefault="009B6C69">
            <w:pPr>
              <w:spacing w:after="100"/>
              <w:rPr>
                <w:rFonts w:eastAsia="Times New Roman"/>
                <w:sz w:val="20"/>
                <w:szCs w:val="20"/>
              </w:rPr>
            </w:pPr>
          </w:p>
        </w:tc>
        <w:tc>
          <w:tcPr>
            <w:tcW w:w="5" w:type="pct"/>
            <w:vAlign w:val="center"/>
            <w:hideMark/>
          </w:tcPr>
          <w:p w14:paraId="1A32F414" w14:textId="77777777" w:rsidR="00000000" w:rsidRDefault="009B6C69">
            <w:pPr>
              <w:spacing w:after="100"/>
              <w:rPr>
                <w:rFonts w:eastAsia="Times New Roman"/>
                <w:sz w:val="20"/>
                <w:szCs w:val="20"/>
              </w:rPr>
            </w:pPr>
          </w:p>
        </w:tc>
        <w:tc>
          <w:tcPr>
            <w:tcW w:w="50" w:type="pct"/>
            <w:vAlign w:val="center"/>
            <w:hideMark/>
          </w:tcPr>
          <w:p w14:paraId="2FCA6A39" w14:textId="77777777" w:rsidR="00000000" w:rsidRDefault="009B6C69">
            <w:pPr>
              <w:spacing w:after="100"/>
              <w:rPr>
                <w:rFonts w:eastAsia="Times New Roman"/>
                <w:sz w:val="20"/>
                <w:szCs w:val="20"/>
              </w:rPr>
            </w:pPr>
          </w:p>
        </w:tc>
        <w:tc>
          <w:tcPr>
            <w:tcW w:w="548" w:type="pct"/>
            <w:vAlign w:val="center"/>
            <w:hideMark/>
          </w:tcPr>
          <w:p w14:paraId="0359E713" w14:textId="77777777" w:rsidR="00000000" w:rsidRDefault="009B6C69">
            <w:pPr>
              <w:spacing w:after="100"/>
              <w:rPr>
                <w:rFonts w:eastAsia="Times New Roman"/>
                <w:sz w:val="20"/>
                <w:szCs w:val="20"/>
              </w:rPr>
            </w:pPr>
          </w:p>
        </w:tc>
        <w:tc>
          <w:tcPr>
            <w:tcW w:w="5" w:type="pct"/>
            <w:vAlign w:val="center"/>
            <w:hideMark/>
          </w:tcPr>
          <w:p w14:paraId="2B0279A1" w14:textId="77777777" w:rsidR="00000000" w:rsidRDefault="009B6C69">
            <w:pPr>
              <w:spacing w:after="100"/>
              <w:rPr>
                <w:rFonts w:eastAsia="Times New Roman"/>
                <w:sz w:val="20"/>
                <w:szCs w:val="20"/>
              </w:rPr>
            </w:pPr>
          </w:p>
        </w:tc>
        <w:tc>
          <w:tcPr>
            <w:tcW w:w="5" w:type="pct"/>
            <w:vAlign w:val="center"/>
            <w:hideMark/>
          </w:tcPr>
          <w:p w14:paraId="1900D208" w14:textId="77777777" w:rsidR="00000000" w:rsidRDefault="009B6C69">
            <w:pPr>
              <w:spacing w:after="100"/>
              <w:rPr>
                <w:rFonts w:eastAsia="Times New Roman"/>
                <w:sz w:val="20"/>
                <w:szCs w:val="20"/>
              </w:rPr>
            </w:pPr>
          </w:p>
        </w:tc>
        <w:tc>
          <w:tcPr>
            <w:tcW w:w="27" w:type="pct"/>
            <w:vAlign w:val="center"/>
            <w:hideMark/>
          </w:tcPr>
          <w:p w14:paraId="4F864DC1" w14:textId="77777777" w:rsidR="00000000" w:rsidRDefault="009B6C69">
            <w:pPr>
              <w:spacing w:after="100"/>
              <w:rPr>
                <w:rFonts w:eastAsia="Times New Roman"/>
                <w:sz w:val="20"/>
                <w:szCs w:val="20"/>
              </w:rPr>
            </w:pPr>
          </w:p>
        </w:tc>
        <w:tc>
          <w:tcPr>
            <w:tcW w:w="5" w:type="pct"/>
            <w:vAlign w:val="center"/>
            <w:hideMark/>
          </w:tcPr>
          <w:p w14:paraId="6E61BE93" w14:textId="77777777" w:rsidR="00000000" w:rsidRDefault="009B6C69">
            <w:pPr>
              <w:spacing w:after="100"/>
              <w:rPr>
                <w:rFonts w:eastAsia="Times New Roman"/>
                <w:sz w:val="20"/>
                <w:szCs w:val="20"/>
              </w:rPr>
            </w:pPr>
          </w:p>
        </w:tc>
        <w:tc>
          <w:tcPr>
            <w:tcW w:w="50" w:type="pct"/>
            <w:vAlign w:val="center"/>
            <w:hideMark/>
          </w:tcPr>
          <w:p w14:paraId="36D908F6" w14:textId="77777777" w:rsidR="00000000" w:rsidRDefault="009B6C69">
            <w:pPr>
              <w:spacing w:after="100"/>
              <w:rPr>
                <w:rFonts w:eastAsia="Times New Roman"/>
                <w:sz w:val="20"/>
                <w:szCs w:val="20"/>
              </w:rPr>
            </w:pPr>
          </w:p>
        </w:tc>
        <w:tc>
          <w:tcPr>
            <w:tcW w:w="548" w:type="pct"/>
            <w:vAlign w:val="center"/>
            <w:hideMark/>
          </w:tcPr>
          <w:p w14:paraId="3F398D13" w14:textId="77777777" w:rsidR="00000000" w:rsidRDefault="009B6C69">
            <w:pPr>
              <w:spacing w:after="100"/>
              <w:rPr>
                <w:rFonts w:eastAsia="Times New Roman"/>
                <w:sz w:val="20"/>
                <w:szCs w:val="20"/>
              </w:rPr>
            </w:pPr>
          </w:p>
        </w:tc>
        <w:tc>
          <w:tcPr>
            <w:tcW w:w="5" w:type="pct"/>
            <w:vAlign w:val="center"/>
            <w:hideMark/>
          </w:tcPr>
          <w:p w14:paraId="1DE5E53A" w14:textId="77777777" w:rsidR="00000000" w:rsidRDefault="009B6C69">
            <w:pPr>
              <w:spacing w:after="100"/>
              <w:rPr>
                <w:rFonts w:eastAsia="Times New Roman"/>
                <w:sz w:val="20"/>
                <w:szCs w:val="20"/>
              </w:rPr>
            </w:pPr>
          </w:p>
        </w:tc>
      </w:tr>
      <w:tr w:rsidR="00000000" w14:paraId="747A206F" w14:textId="77777777">
        <w:trPr>
          <w:divId w:val="1078939404"/>
        </w:trPr>
        <w:tc>
          <w:tcPr>
            <w:tcW w:w="0" w:type="auto"/>
            <w:gridSpan w:val="3"/>
            <w:tcMar>
              <w:top w:w="30" w:type="dxa"/>
              <w:left w:w="380" w:type="dxa"/>
              <w:bottom w:w="30" w:type="dxa"/>
              <w:right w:w="20" w:type="dxa"/>
            </w:tcMar>
            <w:hideMark/>
          </w:tcPr>
          <w:p w14:paraId="2D39EE91" w14:textId="77777777" w:rsidR="00000000" w:rsidRDefault="009B6C69">
            <w:pPr>
              <w:spacing w:after="100"/>
              <w:rPr>
                <w:rFonts w:eastAsia="Times New Roman"/>
              </w:rPr>
            </w:pPr>
            <w:r>
              <w:rPr>
                <w:rFonts w:eastAsia="Times New Roman"/>
                <w:b/>
                <w:bCs/>
                <w:i/>
                <w:iCs/>
                <w:color w:val="000000"/>
                <w:sz w:val="20"/>
                <w:szCs w:val="20"/>
              </w:rPr>
              <w:t>Property, Plant and Equipment (in millions)</w:t>
            </w:r>
          </w:p>
        </w:tc>
        <w:tc>
          <w:tcPr>
            <w:tcW w:w="0" w:type="auto"/>
            <w:gridSpan w:val="3"/>
            <w:tcMar>
              <w:top w:w="0" w:type="dxa"/>
              <w:left w:w="20" w:type="dxa"/>
              <w:bottom w:w="0" w:type="dxa"/>
              <w:right w:w="20" w:type="dxa"/>
            </w:tcMar>
            <w:vAlign w:val="center"/>
            <w:hideMark/>
          </w:tcPr>
          <w:p w14:paraId="228204AC" w14:textId="77777777" w:rsidR="00000000" w:rsidRDefault="009B6C69">
            <w:pPr>
              <w:spacing w:after="100"/>
              <w:rPr>
                <w:rFonts w:eastAsia="Times New Roman"/>
              </w:rPr>
            </w:pPr>
          </w:p>
        </w:tc>
        <w:tc>
          <w:tcPr>
            <w:tcW w:w="0" w:type="auto"/>
            <w:gridSpan w:val="3"/>
            <w:tcMar>
              <w:top w:w="0" w:type="dxa"/>
              <w:left w:w="20" w:type="dxa"/>
              <w:bottom w:w="0" w:type="dxa"/>
              <w:right w:w="20" w:type="dxa"/>
            </w:tcMar>
            <w:vAlign w:val="center"/>
            <w:hideMark/>
          </w:tcPr>
          <w:p w14:paraId="70FA05B6"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B9FF0B" w14:textId="77777777" w:rsidR="00000000" w:rsidRDefault="009B6C69">
            <w:pPr>
              <w:spacing w:after="100"/>
              <w:rPr>
                <w:rFonts w:eastAsia="Times New Roman"/>
                <w:sz w:val="20"/>
                <w:szCs w:val="20"/>
              </w:rPr>
            </w:pPr>
          </w:p>
        </w:tc>
      </w:tr>
      <w:tr w:rsidR="00000000" w14:paraId="6147A085" w14:textId="77777777">
        <w:trPr>
          <w:divId w:val="1078939404"/>
        </w:trPr>
        <w:tc>
          <w:tcPr>
            <w:tcW w:w="0" w:type="auto"/>
            <w:gridSpan w:val="3"/>
            <w:tcMar>
              <w:top w:w="0" w:type="dxa"/>
              <w:left w:w="20" w:type="dxa"/>
              <w:bottom w:w="0" w:type="dxa"/>
              <w:right w:w="20" w:type="dxa"/>
            </w:tcMar>
            <w:vAlign w:val="center"/>
            <w:hideMark/>
          </w:tcPr>
          <w:p w14:paraId="0C3B418E"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84EA88B" w14:textId="77777777" w:rsidR="00000000" w:rsidRDefault="009B6C69">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14:paraId="5CA4D308"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A40C162" w14:textId="77777777" w:rsidR="00000000" w:rsidRDefault="009B6C69">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r>
      <w:tr w:rsidR="00000000" w14:paraId="151ADB34" w14:textId="77777777">
        <w:trPr>
          <w:divId w:val="1078939404"/>
        </w:trPr>
        <w:tc>
          <w:tcPr>
            <w:tcW w:w="0" w:type="auto"/>
            <w:gridSpan w:val="3"/>
            <w:shd w:val="clear" w:color="auto" w:fill="CCEEFF"/>
            <w:tcMar>
              <w:top w:w="30" w:type="dxa"/>
              <w:left w:w="20" w:type="dxa"/>
              <w:bottom w:w="30" w:type="dxa"/>
              <w:right w:w="20" w:type="dxa"/>
            </w:tcMar>
            <w:vAlign w:val="bottom"/>
            <w:hideMark/>
          </w:tcPr>
          <w:p w14:paraId="13E5F8F1" w14:textId="77777777" w:rsidR="00000000" w:rsidRDefault="009B6C69">
            <w:pPr>
              <w:spacing w:after="100"/>
              <w:rPr>
                <w:rFonts w:eastAsia="Times New Roman"/>
              </w:rPr>
            </w:pPr>
            <w:r>
              <w:rPr>
                <w:rFonts w:eastAsia="Times New Roman"/>
                <w:color w:val="000000"/>
                <w:sz w:val="18"/>
                <w:szCs w:val="18"/>
              </w:rPr>
              <w:t>Land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8BFB3B"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3203CA" w14:textId="77777777" w:rsidR="00000000" w:rsidRDefault="009B6C69">
            <w:pPr>
              <w:spacing w:after="100"/>
              <w:jc w:val="right"/>
              <w:rPr>
                <w:rFonts w:eastAsia="Times New Roman"/>
              </w:rPr>
            </w:pPr>
            <w:r>
              <w:rPr>
                <w:rFonts w:eastAsia="Times New Roman"/>
                <w:color w:val="000000"/>
                <w:sz w:val="18"/>
                <w:szCs w:val="18"/>
              </w:rPr>
              <w:t>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C831E0"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2E41E2"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A236F8"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23A6F5" w14:textId="77777777" w:rsidR="00000000" w:rsidRDefault="009B6C69">
            <w:pPr>
              <w:spacing w:after="100"/>
              <w:jc w:val="right"/>
              <w:rPr>
                <w:rFonts w:eastAsia="Times New Roman"/>
              </w:rPr>
            </w:pPr>
            <w:r>
              <w:rPr>
                <w:rFonts w:eastAsia="Times New Roman"/>
                <w:color w:val="000000"/>
                <w:sz w:val="18"/>
                <w:szCs w:val="18"/>
              </w:rPr>
              <w:t>172 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C8B6D5" w14:textId="77777777" w:rsidR="00000000" w:rsidRDefault="009B6C69">
            <w:pPr>
              <w:spacing w:after="100"/>
              <w:jc w:val="right"/>
              <w:rPr>
                <w:rFonts w:eastAsia="Times New Roman"/>
              </w:rPr>
            </w:pPr>
          </w:p>
        </w:tc>
      </w:tr>
      <w:tr w:rsidR="00000000" w14:paraId="15B5D23B" w14:textId="77777777">
        <w:trPr>
          <w:divId w:val="1078939404"/>
        </w:trPr>
        <w:tc>
          <w:tcPr>
            <w:tcW w:w="0" w:type="auto"/>
            <w:gridSpan w:val="3"/>
            <w:shd w:val="clear" w:color="auto" w:fill="FFFFFF"/>
            <w:tcMar>
              <w:top w:w="30" w:type="dxa"/>
              <w:left w:w="20" w:type="dxa"/>
              <w:bottom w:w="30" w:type="dxa"/>
              <w:right w:w="20" w:type="dxa"/>
            </w:tcMar>
            <w:vAlign w:val="bottom"/>
            <w:hideMark/>
          </w:tcPr>
          <w:p w14:paraId="42581ADB" w14:textId="77777777" w:rsidR="00000000" w:rsidRDefault="009B6C69">
            <w:pPr>
              <w:spacing w:after="100"/>
              <w:rPr>
                <w:rFonts w:eastAsia="Times New Roman"/>
              </w:rPr>
            </w:pPr>
            <w:r>
              <w:rPr>
                <w:rFonts w:eastAsia="Times New Roman"/>
                <w:color w:val="000000"/>
                <w:sz w:val="18"/>
                <w:szCs w:val="18"/>
              </w:rPr>
              <w:t>Buildings and improvements</w:t>
            </w:r>
          </w:p>
        </w:tc>
        <w:tc>
          <w:tcPr>
            <w:tcW w:w="0" w:type="auto"/>
            <w:gridSpan w:val="2"/>
            <w:shd w:val="clear" w:color="auto" w:fill="FFFFFF"/>
            <w:tcMar>
              <w:top w:w="30" w:type="dxa"/>
              <w:left w:w="20" w:type="dxa"/>
              <w:bottom w:w="30" w:type="dxa"/>
              <w:right w:w="0" w:type="dxa"/>
            </w:tcMar>
            <w:vAlign w:val="bottom"/>
            <w:hideMark/>
          </w:tcPr>
          <w:p w14:paraId="490B098B" w14:textId="77777777" w:rsidR="00000000" w:rsidRDefault="009B6C69">
            <w:pPr>
              <w:spacing w:after="100"/>
              <w:jc w:val="right"/>
              <w:rPr>
                <w:rFonts w:eastAsia="Times New Roman"/>
              </w:rPr>
            </w:pPr>
            <w:r>
              <w:rPr>
                <w:rFonts w:eastAsia="Times New Roman"/>
                <w:color w:val="000000"/>
                <w:sz w:val="18"/>
                <w:szCs w:val="18"/>
              </w:rPr>
              <w:t>1,767 </w:t>
            </w:r>
          </w:p>
        </w:tc>
        <w:tc>
          <w:tcPr>
            <w:tcW w:w="0" w:type="auto"/>
            <w:shd w:val="clear" w:color="auto" w:fill="FFFFFF"/>
            <w:tcMar>
              <w:top w:w="30" w:type="dxa"/>
              <w:left w:w="0" w:type="dxa"/>
              <w:bottom w:w="30" w:type="dxa"/>
              <w:right w:w="20" w:type="dxa"/>
            </w:tcMar>
            <w:vAlign w:val="bottom"/>
            <w:hideMark/>
          </w:tcPr>
          <w:p w14:paraId="4779E5FF"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7952F0"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6F78DD" w14:textId="77777777" w:rsidR="00000000" w:rsidRDefault="009B6C69">
            <w:pPr>
              <w:spacing w:after="100"/>
              <w:jc w:val="right"/>
              <w:rPr>
                <w:rFonts w:eastAsia="Times New Roman"/>
              </w:rPr>
            </w:pPr>
            <w:r>
              <w:rPr>
                <w:rFonts w:eastAsia="Times New Roman"/>
                <w:color w:val="000000"/>
                <w:sz w:val="18"/>
                <w:szCs w:val="18"/>
              </w:rPr>
              <w:t>1,642 </w:t>
            </w:r>
          </w:p>
        </w:tc>
        <w:tc>
          <w:tcPr>
            <w:tcW w:w="0" w:type="auto"/>
            <w:shd w:val="clear" w:color="auto" w:fill="FFFFFF"/>
            <w:tcMar>
              <w:top w:w="30" w:type="dxa"/>
              <w:left w:w="0" w:type="dxa"/>
              <w:bottom w:w="30" w:type="dxa"/>
              <w:right w:w="20" w:type="dxa"/>
            </w:tcMar>
            <w:vAlign w:val="bottom"/>
            <w:hideMark/>
          </w:tcPr>
          <w:p w14:paraId="4E7C6830" w14:textId="77777777" w:rsidR="00000000" w:rsidRDefault="009B6C69">
            <w:pPr>
              <w:spacing w:after="100"/>
              <w:jc w:val="right"/>
              <w:rPr>
                <w:rFonts w:eastAsia="Times New Roman"/>
              </w:rPr>
            </w:pPr>
          </w:p>
        </w:tc>
      </w:tr>
      <w:tr w:rsidR="00000000" w14:paraId="2C52CDAD" w14:textId="77777777">
        <w:trPr>
          <w:divId w:val="1078939404"/>
        </w:trPr>
        <w:tc>
          <w:tcPr>
            <w:tcW w:w="0" w:type="auto"/>
            <w:gridSpan w:val="3"/>
            <w:shd w:val="clear" w:color="auto" w:fill="CCEEFF"/>
            <w:tcMar>
              <w:top w:w="30" w:type="dxa"/>
              <w:left w:w="20" w:type="dxa"/>
              <w:bottom w:w="30" w:type="dxa"/>
              <w:right w:w="20" w:type="dxa"/>
            </w:tcMar>
            <w:vAlign w:val="bottom"/>
            <w:hideMark/>
          </w:tcPr>
          <w:p w14:paraId="7B4EDE46" w14:textId="77777777" w:rsidR="00000000" w:rsidRDefault="009B6C69">
            <w:pPr>
              <w:spacing w:after="100"/>
              <w:rPr>
                <w:rFonts w:eastAsia="Times New Roman"/>
              </w:rPr>
            </w:pPr>
            <w:r>
              <w:rPr>
                <w:rFonts w:eastAsia="Times New Roman"/>
                <w:color w:val="000000"/>
                <w:sz w:val="18"/>
                <w:szCs w:val="18"/>
              </w:rPr>
              <w:t>Computer equipment and software</w:t>
            </w:r>
          </w:p>
        </w:tc>
        <w:tc>
          <w:tcPr>
            <w:tcW w:w="0" w:type="auto"/>
            <w:gridSpan w:val="2"/>
            <w:shd w:val="clear" w:color="auto" w:fill="CCEEFF"/>
            <w:tcMar>
              <w:top w:w="30" w:type="dxa"/>
              <w:left w:w="20" w:type="dxa"/>
              <w:bottom w:w="30" w:type="dxa"/>
              <w:right w:w="0" w:type="dxa"/>
            </w:tcMar>
            <w:vAlign w:val="bottom"/>
            <w:hideMark/>
          </w:tcPr>
          <w:p w14:paraId="1BB21027" w14:textId="77777777" w:rsidR="00000000" w:rsidRDefault="009B6C69">
            <w:pPr>
              <w:spacing w:after="100"/>
              <w:jc w:val="right"/>
              <w:rPr>
                <w:rFonts w:eastAsia="Times New Roman"/>
              </w:rPr>
            </w:pPr>
            <w:r>
              <w:rPr>
                <w:rFonts w:eastAsia="Times New Roman"/>
                <w:color w:val="000000"/>
                <w:sz w:val="18"/>
                <w:szCs w:val="18"/>
              </w:rPr>
              <w:t>1,680 </w:t>
            </w:r>
          </w:p>
        </w:tc>
        <w:tc>
          <w:tcPr>
            <w:tcW w:w="0" w:type="auto"/>
            <w:shd w:val="clear" w:color="auto" w:fill="CCEEFF"/>
            <w:tcMar>
              <w:top w:w="30" w:type="dxa"/>
              <w:left w:w="0" w:type="dxa"/>
              <w:bottom w:w="30" w:type="dxa"/>
              <w:right w:w="20" w:type="dxa"/>
            </w:tcMar>
            <w:vAlign w:val="bottom"/>
            <w:hideMark/>
          </w:tcPr>
          <w:p w14:paraId="1922713A"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5E755E"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C972F0" w14:textId="77777777" w:rsidR="00000000" w:rsidRDefault="009B6C69">
            <w:pPr>
              <w:spacing w:after="100"/>
              <w:jc w:val="right"/>
              <w:rPr>
                <w:rFonts w:eastAsia="Times New Roman"/>
              </w:rPr>
            </w:pPr>
            <w:r>
              <w:rPr>
                <w:rFonts w:eastAsia="Times New Roman"/>
                <w:color w:val="000000"/>
                <w:sz w:val="18"/>
                <w:szCs w:val="18"/>
              </w:rPr>
              <w:t>1,483 </w:t>
            </w:r>
          </w:p>
        </w:tc>
        <w:tc>
          <w:tcPr>
            <w:tcW w:w="0" w:type="auto"/>
            <w:shd w:val="clear" w:color="auto" w:fill="CCEEFF"/>
            <w:tcMar>
              <w:top w:w="30" w:type="dxa"/>
              <w:left w:w="0" w:type="dxa"/>
              <w:bottom w:w="30" w:type="dxa"/>
              <w:right w:w="20" w:type="dxa"/>
            </w:tcMar>
            <w:vAlign w:val="bottom"/>
            <w:hideMark/>
          </w:tcPr>
          <w:p w14:paraId="264B2839" w14:textId="77777777" w:rsidR="00000000" w:rsidRDefault="009B6C69">
            <w:pPr>
              <w:spacing w:after="100"/>
              <w:jc w:val="right"/>
              <w:rPr>
                <w:rFonts w:eastAsia="Times New Roman"/>
              </w:rPr>
            </w:pPr>
          </w:p>
        </w:tc>
      </w:tr>
      <w:tr w:rsidR="00000000" w14:paraId="7F2633CF" w14:textId="77777777">
        <w:trPr>
          <w:divId w:val="1078939404"/>
        </w:trPr>
        <w:tc>
          <w:tcPr>
            <w:tcW w:w="0" w:type="auto"/>
            <w:gridSpan w:val="3"/>
            <w:shd w:val="clear" w:color="auto" w:fill="FFFFFF"/>
            <w:tcMar>
              <w:top w:w="30" w:type="dxa"/>
              <w:left w:w="20" w:type="dxa"/>
              <w:bottom w:w="30" w:type="dxa"/>
              <w:right w:w="20" w:type="dxa"/>
            </w:tcMar>
            <w:vAlign w:val="bottom"/>
            <w:hideMark/>
          </w:tcPr>
          <w:p w14:paraId="7FA93DCF" w14:textId="77777777" w:rsidR="00000000" w:rsidRDefault="009B6C69">
            <w:pPr>
              <w:spacing w:after="100"/>
              <w:rPr>
                <w:rFonts w:eastAsia="Times New Roman"/>
              </w:rPr>
            </w:pPr>
            <w:r>
              <w:rPr>
                <w:rFonts w:eastAsia="Times New Roman"/>
                <w:color w:val="000000"/>
                <w:sz w:val="18"/>
                <w:szCs w:val="18"/>
              </w:rPr>
              <w:t>Machinery and equipment</w:t>
            </w:r>
          </w:p>
        </w:tc>
        <w:tc>
          <w:tcPr>
            <w:tcW w:w="0" w:type="auto"/>
            <w:gridSpan w:val="2"/>
            <w:shd w:val="clear" w:color="auto" w:fill="FFFFFF"/>
            <w:tcMar>
              <w:top w:w="30" w:type="dxa"/>
              <w:left w:w="20" w:type="dxa"/>
              <w:bottom w:w="30" w:type="dxa"/>
              <w:right w:w="0" w:type="dxa"/>
            </w:tcMar>
            <w:vAlign w:val="bottom"/>
            <w:hideMark/>
          </w:tcPr>
          <w:p w14:paraId="1AB537D8" w14:textId="77777777" w:rsidR="00000000" w:rsidRDefault="009B6C69">
            <w:pPr>
              <w:spacing w:after="100"/>
              <w:jc w:val="right"/>
              <w:rPr>
                <w:rFonts w:eastAsia="Times New Roman"/>
              </w:rPr>
            </w:pPr>
            <w:r>
              <w:rPr>
                <w:rFonts w:eastAsia="Times New Roman"/>
                <w:color w:val="000000"/>
                <w:sz w:val="18"/>
                <w:szCs w:val="18"/>
              </w:rPr>
              <w:t>7,349 </w:t>
            </w:r>
          </w:p>
        </w:tc>
        <w:tc>
          <w:tcPr>
            <w:tcW w:w="0" w:type="auto"/>
            <w:shd w:val="clear" w:color="auto" w:fill="FFFFFF"/>
            <w:tcMar>
              <w:top w:w="30" w:type="dxa"/>
              <w:left w:w="0" w:type="dxa"/>
              <w:bottom w:w="30" w:type="dxa"/>
              <w:right w:w="20" w:type="dxa"/>
            </w:tcMar>
            <w:vAlign w:val="bottom"/>
            <w:hideMark/>
          </w:tcPr>
          <w:p w14:paraId="352C26DF"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DC04D6"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B27F0E" w14:textId="77777777" w:rsidR="00000000" w:rsidRDefault="009B6C69">
            <w:pPr>
              <w:spacing w:after="100"/>
              <w:jc w:val="right"/>
              <w:rPr>
                <w:rFonts w:eastAsia="Times New Roman"/>
              </w:rPr>
            </w:pPr>
            <w:r>
              <w:rPr>
                <w:rFonts w:eastAsia="Times New Roman"/>
                <w:color w:val="000000"/>
                <w:sz w:val="18"/>
                <w:szCs w:val="18"/>
              </w:rPr>
              <w:t>6,420 </w:t>
            </w:r>
          </w:p>
        </w:tc>
        <w:tc>
          <w:tcPr>
            <w:tcW w:w="0" w:type="auto"/>
            <w:shd w:val="clear" w:color="auto" w:fill="FFFFFF"/>
            <w:tcMar>
              <w:top w:w="30" w:type="dxa"/>
              <w:left w:w="0" w:type="dxa"/>
              <w:bottom w:w="30" w:type="dxa"/>
              <w:right w:w="20" w:type="dxa"/>
            </w:tcMar>
            <w:vAlign w:val="bottom"/>
            <w:hideMark/>
          </w:tcPr>
          <w:p w14:paraId="42C0F28F" w14:textId="77777777" w:rsidR="00000000" w:rsidRDefault="009B6C69">
            <w:pPr>
              <w:spacing w:after="100"/>
              <w:jc w:val="right"/>
              <w:rPr>
                <w:rFonts w:eastAsia="Times New Roman"/>
              </w:rPr>
            </w:pPr>
          </w:p>
        </w:tc>
      </w:tr>
      <w:tr w:rsidR="00000000" w14:paraId="0A20D00D" w14:textId="77777777">
        <w:trPr>
          <w:divId w:val="1078939404"/>
        </w:trPr>
        <w:tc>
          <w:tcPr>
            <w:tcW w:w="0" w:type="auto"/>
            <w:gridSpan w:val="3"/>
            <w:shd w:val="clear" w:color="auto" w:fill="CCEEFF"/>
            <w:tcMar>
              <w:top w:w="30" w:type="dxa"/>
              <w:left w:w="20" w:type="dxa"/>
              <w:bottom w:w="30" w:type="dxa"/>
              <w:right w:w="20" w:type="dxa"/>
            </w:tcMar>
            <w:vAlign w:val="bottom"/>
            <w:hideMark/>
          </w:tcPr>
          <w:p w14:paraId="779E808F" w14:textId="77777777" w:rsidR="00000000" w:rsidRDefault="009B6C69">
            <w:pPr>
              <w:spacing w:after="100"/>
              <w:rPr>
                <w:rFonts w:eastAsia="Times New Roman"/>
              </w:rPr>
            </w:pPr>
            <w:r>
              <w:rPr>
                <w:rFonts w:eastAsia="Times New Roman"/>
                <w:color w:val="000000"/>
                <w:sz w:val="18"/>
                <w:szCs w:val="18"/>
              </w:rPr>
              <w:t>Furniture and office equipment</w:t>
            </w:r>
          </w:p>
        </w:tc>
        <w:tc>
          <w:tcPr>
            <w:tcW w:w="0" w:type="auto"/>
            <w:gridSpan w:val="2"/>
            <w:shd w:val="clear" w:color="auto" w:fill="CCEEFF"/>
            <w:tcMar>
              <w:top w:w="30" w:type="dxa"/>
              <w:left w:w="20" w:type="dxa"/>
              <w:bottom w:w="30" w:type="dxa"/>
              <w:right w:w="0" w:type="dxa"/>
            </w:tcMar>
            <w:vAlign w:val="bottom"/>
            <w:hideMark/>
          </w:tcPr>
          <w:p w14:paraId="16B6F19A" w14:textId="77777777" w:rsidR="00000000" w:rsidRDefault="009B6C69">
            <w:pPr>
              <w:spacing w:after="100"/>
              <w:jc w:val="right"/>
              <w:rPr>
                <w:rFonts w:eastAsia="Times New Roman"/>
              </w:rPr>
            </w:pPr>
            <w:r>
              <w:rPr>
                <w:rFonts w:eastAsia="Times New Roman"/>
                <w:color w:val="000000"/>
                <w:sz w:val="18"/>
                <w:szCs w:val="18"/>
              </w:rPr>
              <w:t>105 </w:t>
            </w:r>
          </w:p>
        </w:tc>
        <w:tc>
          <w:tcPr>
            <w:tcW w:w="0" w:type="auto"/>
            <w:shd w:val="clear" w:color="auto" w:fill="CCEEFF"/>
            <w:tcMar>
              <w:top w:w="30" w:type="dxa"/>
              <w:left w:w="0" w:type="dxa"/>
              <w:bottom w:w="30" w:type="dxa"/>
              <w:right w:w="20" w:type="dxa"/>
            </w:tcMar>
            <w:vAlign w:val="bottom"/>
            <w:hideMark/>
          </w:tcPr>
          <w:p w14:paraId="035F59F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0B3B55"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F02D94" w14:textId="77777777" w:rsidR="00000000" w:rsidRDefault="009B6C69">
            <w:pPr>
              <w:spacing w:after="100"/>
              <w:jc w:val="right"/>
              <w:rPr>
                <w:rFonts w:eastAsia="Times New Roman"/>
              </w:rPr>
            </w:pPr>
            <w:r>
              <w:rPr>
                <w:rFonts w:eastAsia="Times New Roman"/>
                <w:color w:val="000000"/>
                <w:sz w:val="18"/>
                <w:szCs w:val="18"/>
              </w:rPr>
              <w:t>94 </w:t>
            </w:r>
          </w:p>
        </w:tc>
        <w:tc>
          <w:tcPr>
            <w:tcW w:w="0" w:type="auto"/>
            <w:shd w:val="clear" w:color="auto" w:fill="CCEEFF"/>
            <w:tcMar>
              <w:top w:w="30" w:type="dxa"/>
              <w:left w:w="0" w:type="dxa"/>
              <w:bottom w:w="30" w:type="dxa"/>
              <w:right w:w="20" w:type="dxa"/>
            </w:tcMar>
            <w:vAlign w:val="bottom"/>
            <w:hideMark/>
          </w:tcPr>
          <w:p w14:paraId="7A1170C9" w14:textId="77777777" w:rsidR="00000000" w:rsidRDefault="009B6C69">
            <w:pPr>
              <w:spacing w:after="100"/>
              <w:jc w:val="right"/>
              <w:rPr>
                <w:rFonts w:eastAsia="Times New Roman"/>
              </w:rPr>
            </w:pPr>
          </w:p>
        </w:tc>
      </w:tr>
      <w:tr w:rsidR="00000000" w14:paraId="3F3602BF" w14:textId="77777777">
        <w:trPr>
          <w:divId w:val="1078939404"/>
        </w:trPr>
        <w:tc>
          <w:tcPr>
            <w:tcW w:w="0" w:type="auto"/>
            <w:gridSpan w:val="3"/>
            <w:shd w:val="clear" w:color="auto" w:fill="FFFFFF"/>
            <w:tcMar>
              <w:top w:w="30" w:type="dxa"/>
              <w:left w:w="20" w:type="dxa"/>
              <w:bottom w:w="30" w:type="dxa"/>
              <w:right w:w="20" w:type="dxa"/>
            </w:tcMar>
            <w:vAlign w:val="bottom"/>
            <w:hideMark/>
          </w:tcPr>
          <w:p w14:paraId="27DA2E1C" w14:textId="77777777" w:rsidR="00000000" w:rsidRDefault="009B6C69">
            <w:pPr>
              <w:spacing w:after="100"/>
              <w:rPr>
                <w:rFonts w:eastAsia="Times New Roman"/>
              </w:rPr>
            </w:pPr>
            <w:r>
              <w:rPr>
                <w:rFonts w:eastAsia="Times New Roman"/>
                <w:color w:val="000000"/>
                <w:sz w:val="18"/>
                <w:szCs w:val="18"/>
              </w:rPr>
              <w:t>Leasehold improvements</w:t>
            </w:r>
          </w:p>
        </w:tc>
        <w:tc>
          <w:tcPr>
            <w:tcW w:w="0" w:type="auto"/>
            <w:gridSpan w:val="2"/>
            <w:shd w:val="clear" w:color="auto" w:fill="FFFFFF"/>
            <w:tcMar>
              <w:top w:w="30" w:type="dxa"/>
              <w:left w:w="20" w:type="dxa"/>
              <w:bottom w:w="30" w:type="dxa"/>
              <w:right w:w="0" w:type="dxa"/>
            </w:tcMar>
            <w:vAlign w:val="bottom"/>
            <w:hideMark/>
          </w:tcPr>
          <w:p w14:paraId="7827A22A" w14:textId="77777777" w:rsidR="00000000" w:rsidRDefault="009B6C69">
            <w:pPr>
              <w:spacing w:after="100"/>
              <w:jc w:val="right"/>
              <w:rPr>
                <w:rFonts w:eastAsia="Times New Roman"/>
              </w:rPr>
            </w:pPr>
            <w:r>
              <w:rPr>
                <w:rFonts w:eastAsia="Times New Roman"/>
                <w:color w:val="000000"/>
                <w:sz w:val="18"/>
                <w:szCs w:val="18"/>
              </w:rPr>
              <w:t>369 </w:t>
            </w:r>
          </w:p>
        </w:tc>
        <w:tc>
          <w:tcPr>
            <w:tcW w:w="0" w:type="auto"/>
            <w:shd w:val="clear" w:color="auto" w:fill="FFFFFF"/>
            <w:tcMar>
              <w:top w:w="30" w:type="dxa"/>
              <w:left w:w="0" w:type="dxa"/>
              <w:bottom w:w="30" w:type="dxa"/>
              <w:right w:w="20" w:type="dxa"/>
            </w:tcMar>
            <w:vAlign w:val="bottom"/>
            <w:hideMark/>
          </w:tcPr>
          <w:p w14:paraId="238515BA"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9F4CC6"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51175A" w14:textId="77777777" w:rsidR="00000000" w:rsidRDefault="009B6C69">
            <w:pPr>
              <w:spacing w:after="100"/>
              <w:jc w:val="right"/>
              <w:rPr>
                <w:rFonts w:eastAsia="Times New Roman"/>
              </w:rPr>
            </w:pPr>
            <w:r>
              <w:rPr>
                <w:rFonts w:eastAsia="Times New Roman"/>
                <w:color w:val="000000"/>
                <w:sz w:val="18"/>
                <w:szCs w:val="18"/>
              </w:rPr>
              <w:t>374 </w:t>
            </w:r>
          </w:p>
        </w:tc>
        <w:tc>
          <w:tcPr>
            <w:tcW w:w="0" w:type="auto"/>
            <w:shd w:val="clear" w:color="auto" w:fill="FFFFFF"/>
            <w:tcMar>
              <w:top w:w="30" w:type="dxa"/>
              <w:left w:w="0" w:type="dxa"/>
              <w:bottom w:w="30" w:type="dxa"/>
              <w:right w:w="20" w:type="dxa"/>
            </w:tcMar>
            <w:vAlign w:val="bottom"/>
            <w:hideMark/>
          </w:tcPr>
          <w:p w14:paraId="2EF9C637" w14:textId="77777777" w:rsidR="00000000" w:rsidRDefault="009B6C69">
            <w:pPr>
              <w:spacing w:after="100"/>
              <w:jc w:val="right"/>
              <w:rPr>
                <w:rFonts w:eastAsia="Times New Roman"/>
              </w:rPr>
            </w:pPr>
          </w:p>
        </w:tc>
      </w:tr>
      <w:tr w:rsidR="00000000" w14:paraId="3AA7C3C9" w14:textId="77777777">
        <w:trPr>
          <w:divId w:val="1078939404"/>
        </w:trPr>
        <w:tc>
          <w:tcPr>
            <w:tcW w:w="0" w:type="auto"/>
            <w:gridSpan w:val="3"/>
            <w:shd w:val="clear" w:color="auto" w:fill="CCEEFF"/>
            <w:tcMar>
              <w:top w:w="30" w:type="dxa"/>
              <w:left w:w="20" w:type="dxa"/>
              <w:bottom w:w="30" w:type="dxa"/>
              <w:right w:w="20" w:type="dxa"/>
            </w:tcMar>
            <w:vAlign w:val="bottom"/>
            <w:hideMark/>
          </w:tcPr>
          <w:p w14:paraId="16144044" w14:textId="77777777" w:rsidR="00000000" w:rsidRDefault="009B6C69">
            <w:pPr>
              <w:spacing w:after="100"/>
              <w:rPr>
                <w:rFonts w:eastAsia="Times New Roman"/>
              </w:rPr>
            </w:pPr>
            <w:r>
              <w:rPr>
                <w:rFonts w:eastAsia="Times New Roman"/>
                <w:color w:val="000000"/>
                <w:sz w:val="18"/>
                <w:szCs w:val="18"/>
              </w:rPr>
              <w:t>Construction in progress</w:t>
            </w:r>
          </w:p>
        </w:tc>
        <w:tc>
          <w:tcPr>
            <w:tcW w:w="0" w:type="auto"/>
            <w:gridSpan w:val="2"/>
            <w:shd w:val="clear" w:color="auto" w:fill="CCEEFF"/>
            <w:tcMar>
              <w:top w:w="30" w:type="dxa"/>
              <w:left w:w="20" w:type="dxa"/>
              <w:bottom w:w="30" w:type="dxa"/>
              <w:right w:w="0" w:type="dxa"/>
            </w:tcMar>
            <w:vAlign w:val="bottom"/>
            <w:hideMark/>
          </w:tcPr>
          <w:p w14:paraId="21F2333E" w14:textId="77777777" w:rsidR="00000000" w:rsidRDefault="009B6C69">
            <w:pPr>
              <w:spacing w:after="100"/>
              <w:jc w:val="right"/>
              <w:rPr>
                <w:rFonts w:eastAsia="Times New Roman"/>
              </w:rPr>
            </w:pPr>
            <w:r>
              <w:rPr>
                <w:rFonts w:eastAsia="Times New Roman"/>
                <w:color w:val="000000"/>
                <w:sz w:val="18"/>
                <w:szCs w:val="18"/>
              </w:rPr>
              <w:t>330 </w:t>
            </w:r>
          </w:p>
        </w:tc>
        <w:tc>
          <w:tcPr>
            <w:tcW w:w="0" w:type="auto"/>
            <w:shd w:val="clear" w:color="auto" w:fill="CCEEFF"/>
            <w:tcMar>
              <w:top w:w="30" w:type="dxa"/>
              <w:left w:w="0" w:type="dxa"/>
              <w:bottom w:w="30" w:type="dxa"/>
              <w:right w:w="20" w:type="dxa"/>
            </w:tcMar>
            <w:vAlign w:val="bottom"/>
            <w:hideMark/>
          </w:tcPr>
          <w:p w14:paraId="63A4906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440F04"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00D941" w14:textId="77777777" w:rsidR="00000000" w:rsidRDefault="009B6C69">
            <w:pPr>
              <w:spacing w:after="100"/>
              <w:jc w:val="right"/>
              <w:rPr>
                <w:rFonts w:eastAsia="Times New Roman"/>
              </w:rPr>
            </w:pPr>
            <w:r>
              <w:rPr>
                <w:rFonts w:eastAsia="Times New Roman"/>
                <w:color w:val="000000"/>
                <w:sz w:val="18"/>
                <w:szCs w:val="18"/>
              </w:rPr>
              <w:t>269 </w:t>
            </w:r>
          </w:p>
        </w:tc>
        <w:tc>
          <w:tcPr>
            <w:tcW w:w="0" w:type="auto"/>
            <w:shd w:val="clear" w:color="auto" w:fill="CCEEFF"/>
            <w:tcMar>
              <w:top w:w="30" w:type="dxa"/>
              <w:left w:w="0" w:type="dxa"/>
              <w:bottom w:w="30" w:type="dxa"/>
              <w:right w:w="20" w:type="dxa"/>
            </w:tcMar>
            <w:vAlign w:val="bottom"/>
            <w:hideMark/>
          </w:tcPr>
          <w:p w14:paraId="649B736B" w14:textId="77777777" w:rsidR="00000000" w:rsidRDefault="009B6C69">
            <w:pPr>
              <w:spacing w:after="100"/>
              <w:jc w:val="right"/>
              <w:rPr>
                <w:rFonts w:eastAsia="Times New Roman"/>
              </w:rPr>
            </w:pPr>
          </w:p>
        </w:tc>
      </w:tr>
      <w:tr w:rsidR="00000000" w14:paraId="715F5493" w14:textId="77777777">
        <w:trPr>
          <w:divId w:val="1078939404"/>
        </w:trPr>
        <w:tc>
          <w:tcPr>
            <w:tcW w:w="0" w:type="auto"/>
            <w:gridSpan w:val="3"/>
            <w:shd w:val="clear" w:color="auto" w:fill="FFFFFF"/>
            <w:tcMar>
              <w:top w:w="0" w:type="dxa"/>
              <w:left w:w="20" w:type="dxa"/>
              <w:bottom w:w="0" w:type="dxa"/>
              <w:right w:w="20" w:type="dxa"/>
            </w:tcMar>
            <w:vAlign w:val="center"/>
            <w:hideMark/>
          </w:tcPr>
          <w:p w14:paraId="510ECFC8"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461CB9" w14:textId="77777777" w:rsidR="00000000" w:rsidRDefault="009B6C69">
            <w:pPr>
              <w:spacing w:after="100"/>
              <w:jc w:val="right"/>
              <w:rPr>
                <w:rFonts w:eastAsia="Times New Roman"/>
              </w:rPr>
            </w:pPr>
            <w:r>
              <w:rPr>
                <w:rFonts w:eastAsia="Times New Roman"/>
                <w:color w:val="000000"/>
                <w:sz w:val="18"/>
                <w:szCs w:val="18"/>
              </w:rPr>
              <w:t>11,770 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C8C2B7"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E2DAB2"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ECADF0" w14:textId="77777777" w:rsidR="00000000" w:rsidRDefault="009B6C69">
            <w:pPr>
              <w:spacing w:after="100"/>
              <w:jc w:val="right"/>
              <w:rPr>
                <w:rFonts w:eastAsia="Times New Roman"/>
              </w:rPr>
            </w:pPr>
            <w:r>
              <w:rPr>
                <w:rFonts w:eastAsia="Times New Roman"/>
                <w:color w:val="000000"/>
                <w:sz w:val="18"/>
                <w:szCs w:val="18"/>
              </w:rPr>
              <w:t>10,454 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D9B0C6" w14:textId="77777777" w:rsidR="00000000" w:rsidRDefault="009B6C69">
            <w:pPr>
              <w:spacing w:after="100"/>
              <w:jc w:val="right"/>
              <w:rPr>
                <w:rFonts w:eastAsia="Times New Roman"/>
              </w:rPr>
            </w:pPr>
          </w:p>
        </w:tc>
      </w:tr>
      <w:tr w:rsidR="00000000" w14:paraId="76837EE7" w14:textId="77777777">
        <w:trPr>
          <w:divId w:val="1078939404"/>
        </w:trPr>
        <w:tc>
          <w:tcPr>
            <w:tcW w:w="0" w:type="auto"/>
            <w:gridSpan w:val="3"/>
            <w:shd w:val="clear" w:color="auto" w:fill="CCEEFF"/>
            <w:tcMar>
              <w:top w:w="30" w:type="dxa"/>
              <w:left w:w="20" w:type="dxa"/>
              <w:bottom w:w="30" w:type="dxa"/>
              <w:right w:w="20" w:type="dxa"/>
            </w:tcMar>
            <w:vAlign w:val="bottom"/>
            <w:hideMark/>
          </w:tcPr>
          <w:p w14:paraId="713C7187" w14:textId="77777777" w:rsidR="00000000" w:rsidRDefault="009B6C69">
            <w:pPr>
              <w:spacing w:after="100"/>
              <w:rPr>
                <w:rFonts w:eastAsia="Times New Roman"/>
              </w:rPr>
            </w:pPr>
            <w:r>
              <w:rPr>
                <w:rFonts w:eastAsia="Times New Roman"/>
                <w:color w:val="000000"/>
                <w:sz w:val="18"/>
                <w:szCs w:val="18"/>
              </w:rPr>
              <w:t>Less accumulated depreciation and amortization</w:t>
            </w:r>
          </w:p>
        </w:tc>
        <w:tc>
          <w:tcPr>
            <w:tcW w:w="0" w:type="auto"/>
            <w:gridSpan w:val="2"/>
            <w:shd w:val="clear" w:color="auto" w:fill="CCEEFF"/>
            <w:tcMar>
              <w:top w:w="30" w:type="dxa"/>
              <w:left w:w="20" w:type="dxa"/>
              <w:bottom w:w="30" w:type="dxa"/>
              <w:right w:w="0" w:type="dxa"/>
            </w:tcMar>
            <w:vAlign w:val="bottom"/>
            <w:hideMark/>
          </w:tcPr>
          <w:p w14:paraId="36DC3810" w14:textId="77777777" w:rsidR="00000000" w:rsidRDefault="009B6C69">
            <w:pPr>
              <w:spacing w:after="100"/>
              <w:jc w:val="right"/>
              <w:rPr>
                <w:rFonts w:eastAsia="Times New Roman"/>
              </w:rPr>
            </w:pPr>
            <w:r>
              <w:rPr>
                <w:rFonts w:eastAsia="Times New Roman"/>
                <w:color w:val="000000"/>
                <w:sz w:val="18"/>
                <w:szCs w:val="18"/>
              </w:rPr>
              <w:t>(6,602)</w:t>
            </w:r>
          </w:p>
        </w:tc>
        <w:tc>
          <w:tcPr>
            <w:tcW w:w="0" w:type="auto"/>
            <w:shd w:val="clear" w:color="auto" w:fill="CCEEFF"/>
            <w:tcMar>
              <w:top w:w="30" w:type="dxa"/>
              <w:left w:w="0" w:type="dxa"/>
              <w:bottom w:w="30" w:type="dxa"/>
              <w:right w:w="20" w:type="dxa"/>
            </w:tcMar>
            <w:vAlign w:val="bottom"/>
            <w:hideMark/>
          </w:tcPr>
          <w:p w14:paraId="395F8692"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BA50D4"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BB9AED" w14:textId="77777777" w:rsidR="00000000" w:rsidRDefault="009B6C69">
            <w:pPr>
              <w:spacing w:after="100"/>
              <w:jc w:val="right"/>
              <w:rPr>
                <w:rFonts w:eastAsia="Times New Roman"/>
              </w:rPr>
            </w:pPr>
            <w:r>
              <w:rPr>
                <w:rFonts w:eastAsia="Times New Roman"/>
                <w:color w:val="000000"/>
                <w:sz w:val="18"/>
                <w:szCs w:val="18"/>
              </w:rPr>
              <w:t>(5,895)</w:t>
            </w:r>
          </w:p>
        </w:tc>
        <w:tc>
          <w:tcPr>
            <w:tcW w:w="0" w:type="auto"/>
            <w:shd w:val="clear" w:color="auto" w:fill="CCEEFF"/>
            <w:tcMar>
              <w:top w:w="30" w:type="dxa"/>
              <w:left w:w="0" w:type="dxa"/>
              <w:bottom w:w="30" w:type="dxa"/>
              <w:right w:w="20" w:type="dxa"/>
            </w:tcMar>
            <w:vAlign w:val="bottom"/>
            <w:hideMark/>
          </w:tcPr>
          <w:p w14:paraId="06333BA3" w14:textId="77777777" w:rsidR="00000000" w:rsidRDefault="009B6C69">
            <w:pPr>
              <w:spacing w:after="100"/>
              <w:jc w:val="right"/>
              <w:rPr>
                <w:rFonts w:eastAsia="Times New Roman"/>
              </w:rPr>
            </w:pPr>
          </w:p>
        </w:tc>
      </w:tr>
      <w:tr w:rsidR="00000000" w14:paraId="281A6F59" w14:textId="77777777">
        <w:trPr>
          <w:divId w:val="1078939404"/>
        </w:trPr>
        <w:tc>
          <w:tcPr>
            <w:tcW w:w="0" w:type="auto"/>
            <w:gridSpan w:val="3"/>
            <w:shd w:val="clear" w:color="auto" w:fill="FFFFFF"/>
            <w:tcMar>
              <w:top w:w="0" w:type="dxa"/>
              <w:left w:w="20" w:type="dxa"/>
              <w:bottom w:w="0" w:type="dxa"/>
              <w:right w:w="20" w:type="dxa"/>
            </w:tcMar>
            <w:vAlign w:val="center"/>
            <w:hideMark/>
          </w:tcPr>
          <w:p w14:paraId="2DA867F1"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0A8647D"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723E461" w14:textId="77777777" w:rsidR="00000000" w:rsidRDefault="009B6C69">
            <w:pPr>
              <w:spacing w:after="100"/>
              <w:jc w:val="right"/>
              <w:rPr>
                <w:rFonts w:eastAsia="Times New Roman"/>
              </w:rPr>
            </w:pPr>
            <w:r>
              <w:rPr>
                <w:rFonts w:eastAsia="Times New Roman"/>
                <w:color w:val="000000"/>
                <w:sz w:val="18"/>
                <w:szCs w:val="18"/>
              </w:rPr>
              <w:t>5,168 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6FD3654"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1A0D3A"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7A6CAC"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0A7CD0A" w14:textId="77777777" w:rsidR="00000000" w:rsidRDefault="009B6C69">
            <w:pPr>
              <w:spacing w:after="100"/>
              <w:jc w:val="right"/>
              <w:rPr>
                <w:rFonts w:eastAsia="Times New Roman"/>
              </w:rPr>
            </w:pPr>
            <w:r>
              <w:rPr>
                <w:rFonts w:eastAsia="Times New Roman"/>
                <w:color w:val="000000"/>
                <w:sz w:val="18"/>
                <w:szCs w:val="18"/>
              </w:rPr>
              <w:t>4,559 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071C836" w14:textId="77777777" w:rsidR="00000000" w:rsidRDefault="009B6C69">
            <w:pPr>
              <w:spacing w:after="100"/>
              <w:jc w:val="right"/>
              <w:rPr>
                <w:rFonts w:eastAsia="Times New Roman"/>
              </w:rPr>
            </w:pPr>
          </w:p>
        </w:tc>
      </w:tr>
    </w:tbl>
    <w:p w14:paraId="192E77DC" w14:textId="77777777" w:rsidR="00000000" w:rsidRDefault="009B6C69">
      <w:pPr>
        <w:ind w:firstLine="360"/>
        <w:divId w:val="406535555"/>
        <w:rPr>
          <w:rFonts w:eastAsia="Times New Roman"/>
        </w:rPr>
      </w:pPr>
      <w:r>
        <w:rPr>
          <w:rFonts w:eastAsia="Times New Roman"/>
          <w:color w:val="000000"/>
          <w:sz w:val="20"/>
          <w:szCs w:val="20"/>
        </w:rPr>
        <w:t>Depreciation and amortization expense related to property, plant and equipment for fiscal 2022, 2021 and 2020 was $1.3 billion, $1.0 billion and $772 million, respectively.</w:t>
      </w:r>
    </w:p>
    <w:p w14:paraId="26B8FFB0" w14:textId="77777777" w:rsidR="00000000" w:rsidRDefault="009B6C69">
      <w:pPr>
        <w:ind w:firstLine="360"/>
        <w:divId w:val="1857843789"/>
        <w:rPr>
          <w:rFonts w:eastAsia="Times New Roman"/>
        </w:rPr>
      </w:pPr>
      <w:r>
        <w:rPr>
          <w:rFonts w:eastAsia="Times New Roman"/>
          <w:b/>
          <w:bCs/>
          <w:i/>
          <w:iCs/>
          <w:color w:val="000000"/>
          <w:sz w:val="20"/>
          <w:szCs w:val="20"/>
        </w:rPr>
        <w:t>Goodwill and Other Intangible Assets.</w:t>
      </w:r>
      <w:r>
        <w:rPr>
          <w:rFonts w:eastAsia="Times New Roman"/>
          <w:color w:val="000000"/>
          <w:sz w:val="20"/>
          <w:szCs w:val="20"/>
        </w:rPr>
        <w:t xml:space="preserve"> </w:t>
      </w:r>
      <w:r>
        <w:rPr>
          <w:rFonts w:eastAsia="Times New Roman"/>
          <w:color w:val="000000"/>
          <w:sz w:val="20"/>
          <w:szCs w:val="20"/>
        </w:rPr>
        <w:t>We allocate goodwill to our reporting units for impairment testing purposes. The following table presents the goodwill allocated to our segments, as described in Note 8, as well as the changes in the carrying amounts of goodwill during fiscal 2022 and 2021</w:t>
      </w:r>
      <w:r>
        <w:rPr>
          <w:rFonts w:eastAsia="Times New Roman"/>
          <w:color w:val="000000"/>
          <w:sz w:val="20"/>
          <w:szCs w:val="20"/>
        </w:rPr>
        <w:t xml:space="preserve"> (in millions):</w:t>
      </w:r>
    </w:p>
    <w:tbl>
      <w:tblPr>
        <w:tblW w:w="4992" w:type="pct"/>
        <w:tblCellMar>
          <w:top w:w="15" w:type="dxa"/>
          <w:left w:w="15" w:type="dxa"/>
          <w:bottom w:w="15" w:type="dxa"/>
          <w:right w:w="15" w:type="dxa"/>
        </w:tblCellMar>
        <w:tblLook w:val="04A0" w:firstRow="1" w:lastRow="0" w:firstColumn="1" w:lastColumn="0" w:noHBand="0" w:noVBand="1"/>
      </w:tblPr>
      <w:tblGrid>
        <w:gridCol w:w="38"/>
        <w:gridCol w:w="4991"/>
        <w:gridCol w:w="37"/>
        <w:gridCol w:w="36"/>
        <w:gridCol w:w="110"/>
        <w:gridCol w:w="853"/>
        <w:gridCol w:w="36"/>
        <w:gridCol w:w="36"/>
        <w:gridCol w:w="36"/>
        <w:gridCol w:w="36"/>
        <w:gridCol w:w="110"/>
        <w:gridCol w:w="818"/>
        <w:gridCol w:w="36"/>
        <w:gridCol w:w="36"/>
        <w:gridCol w:w="36"/>
        <w:gridCol w:w="36"/>
        <w:gridCol w:w="36"/>
        <w:gridCol w:w="36"/>
        <w:gridCol w:w="110"/>
        <w:gridCol w:w="794"/>
        <w:gridCol w:w="36"/>
      </w:tblGrid>
      <w:tr w:rsidR="00000000" w14:paraId="4328DCA0" w14:textId="77777777">
        <w:trPr>
          <w:divId w:val="782920656"/>
        </w:trPr>
        <w:tc>
          <w:tcPr>
            <w:tcW w:w="50" w:type="pct"/>
            <w:vAlign w:val="center"/>
            <w:hideMark/>
          </w:tcPr>
          <w:p w14:paraId="2235CD15" w14:textId="77777777" w:rsidR="00000000" w:rsidRDefault="009B6C69">
            <w:pPr>
              <w:ind w:firstLine="360"/>
              <w:rPr>
                <w:rFonts w:eastAsia="Times New Roman"/>
              </w:rPr>
            </w:pPr>
          </w:p>
        </w:tc>
        <w:tc>
          <w:tcPr>
            <w:tcW w:w="3074" w:type="pct"/>
            <w:vAlign w:val="center"/>
            <w:hideMark/>
          </w:tcPr>
          <w:p w14:paraId="05095B10" w14:textId="77777777" w:rsidR="00000000" w:rsidRDefault="009B6C69">
            <w:pPr>
              <w:spacing w:after="100"/>
              <w:rPr>
                <w:rFonts w:eastAsia="Times New Roman"/>
                <w:sz w:val="20"/>
                <w:szCs w:val="20"/>
              </w:rPr>
            </w:pPr>
          </w:p>
        </w:tc>
        <w:tc>
          <w:tcPr>
            <w:tcW w:w="5" w:type="pct"/>
            <w:vAlign w:val="center"/>
            <w:hideMark/>
          </w:tcPr>
          <w:p w14:paraId="52F72806" w14:textId="77777777" w:rsidR="00000000" w:rsidRDefault="009B6C69">
            <w:pPr>
              <w:spacing w:after="100"/>
              <w:rPr>
                <w:rFonts w:eastAsia="Times New Roman"/>
                <w:sz w:val="20"/>
                <w:szCs w:val="20"/>
              </w:rPr>
            </w:pPr>
          </w:p>
        </w:tc>
        <w:tc>
          <w:tcPr>
            <w:tcW w:w="0" w:type="auto"/>
            <w:vAlign w:val="center"/>
            <w:hideMark/>
          </w:tcPr>
          <w:p w14:paraId="6EC76101" w14:textId="77777777" w:rsidR="00000000" w:rsidRDefault="009B6C69">
            <w:pPr>
              <w:spacing w:after="100"/>
              <w:rPr>
                <w:rFonts w:eastAsia="Times New Roman"/>
                <w:sz w:val="20"/>
                <w:szCs w:val="20"/>
              </w:rPr>
            </w:pPr>
          </w:p>
        </w:tc>
        <w:tc>
          <w:tcPr>
            <w:tcW w:w="50" w:type="pct"/>
            <w:vAlign w:val="center"/>
            <w:hideMark/>
          </w:tcPr>
          <w:p w14:paraId="71E15E65" w14:textId="77777777" w:rsidR="00000000" w:rsidRDefault="009B6C69">
            <w:pPr>
              <w:spacing w:after="100"/>
              <w:rPr>
                <w:rFonts w:eastAsia="Times New Roman"/>
                <w:sz w:val="20"/>
                <w:szCs w:val="20"/>
              </w:rPr>
            </w:pPr>
          </w:p>
        </w:tc>
        <w:tc>
          <w:tcPr>
            <w:tcW w:w="548" w:type="pct"/>
            <w:vAlign w:val="center"/>
            <w:hideMark/>
          </w:tcPr>
          <w:p w14:paraId="6DEF2C6B" w14:textId="77777777" w:rsidR="00000000" w:rsidRDefault="009B6C69">
            <w:pPr>
              <w:spacing w:after="100"/>
              <w:rPr>
                <w:rFonts w:eastAsia="Times New Roman"/>
                <w:sz w:val="20"/>
                <w:szCs w:val="20"/>
              </w:rPr>
            </w:pPr>
          </w:p>
        </w:tc>
        <w:tc>
          <w:tcPr>
            <w:tcW w:w="5" w:type="pct"/>
            <w:vAlign w:val="center"/>
            <w:hideMark/>
          </w:tcPr>
          <w:p w14:paraId="0B87FC16" w14:textId="77777777" w:rsidR="00000000" w:rsidRDefault="009B6C69">
            <w:pPr>
              <w:spacing w:after="100"/>
              <w:rPr>
                <w:rFonts w:eastAsia="Times New Roman"/>
                <w:sz w:val="20"/>
                <w:szCs w:val="20"/>
              </w:rPr>
            </w:pPr>
          </w:p>
        </w:tc>
        <w:tc>
          <w:tcPr>
            <w:tcW w:w="5" w:type="pct"/>
            <w:vAlign w:val="center"/>
            <w:hideMark/>
          </w:tcPr>
          <w:p w14:paraId="7ADE8B2A" w14:textId="77777777" w:rsidR="00000000" w:rsidRDefault="009B6C69">
            <w:pPr>
              <w:spacing w:after="100"/>
              <w:rPr>
                <w:rFonts w:eastAsia="Times New Roman"/>
                <w:sz w:val="20"/>
                <w:szCs w:val="20"/>
              </w:rPr>
            </w:pPr>
          </w:p>
        </w:tc>
        <w:tc>
          <w:tcPr>
            <w:tcW w:w="27" w:type="pct"/>
            <w:vAlign w:val="center"/>
            <w:hideMark/>
          </w:tcPr>
          <w:p w14:paraId="468DCCC8" w14:textId="77777777" w:rsidR="00000000" w:rsidRDefault="009B6C69">
            <w:pPr>
              <w:spacing w:after="100"/>
              <w:rPr>
                <w:rFonts w:eastAsia="Times New Roman"/>
                <w:sz w:val="20"/>
                <w:szCs w:val="20"/>
              </w:rPr>
            </w:pPr>
          </w:p>
        </w:tc>
        <w:tc>
          <w:tcPr>
            <w:tcW w:w="5" w:type="pct"/>
            <w:vAlign w:val="center"/>
            <w:hideMark/>
          </w:tcPr>
          <w:p w14:paraId="48F5FEAE" w14:textId="77777777" w:rsidR="00000000" w:rsidRDefault="009B6C69">
            <w:pPr>
              <w:spacing w:after="100"/>
              <w:rPr>
                <w:rFonts w:eastAsia="Times New Roman"/>
                <w:sz w:val="20"/>
                <w:szCs w:val="20"/>
              </w:rPr>
            </w:pPr>
          </w:p>
        </w:tc>
        <w:tc>
          <w:tcPr>
            <w:tcW w:w="50" w:type="pct"/>
            <w:vAlign w:val="center"/>
            <w:hideMark/>
          </w:tcPr>
          <w:p w14:paraId="203833E0" w14:textId="77777777" w:rsidR="00000000" w:rsidRDefault="009B6C69">
            <w:pPr>
              <w:spacing w:after="100"/>
              <w:rPr>
                <w:rFonts w:eastAsia="Times New Roman"/>
                <w:sz w:val="20"/>
                <w:szCs w:val="20"/>
              </w:rPr>
            </w:pPr>
          </w:p>
        </w:tc>
        <w:tc>
          <w:tcPr>
            <w:tcW w:w="548" w:type="pct"/>
            <w:vAlign w:val="center"/>
            <w:hideMark/>
          </w:tcPr>
          <w:p w14:paraId="272AE9F9" w14:textId="77777777" w:rsidR="00000000" w:rsidRDefault="009B6C69">
            <w:pPr>
              <w:spacing w:after="100"/>
              <w:rPr>
                <w:rFonts w:eastAsia="Times New Roman"/>
                <w:sz w:val="20"/>
                <w:szCs w:val="20"/>
              </w:rPr>
            </w:pPr>
          </w:p>
        </w:tc>
        <w:tc>
          <w:tcPr>
            <w:tcW w:w="5" w:type="pct"/>
            <w:vAlign w:val="center"/>
            <w:hideMark/>
          </w:tcPr>
          <w:p w14:paraId="345EC7E1" w14:textId="77777777" w:rsidR="00000000" w:rsidRDefault="009B6C69">
            <w:pPr>
              <w:spacing w:after="100"/>
              <w:rPr>
                <w:rFonts w:eastAsia="Times New Roman"/>
                <w:sz w:val="20"/>
                <w:szCs w:val="20"/>
              </w:rPr>
            </w:pPr>
          </w:p>
        </w:tc>
        <w:tc>
          <w:tcPr>
            <w:tcW w:w="5" w:type="pct"/>
            <w:vAlign w:val="center"/>
            <w:hideMark/>
          </w:tcPr>
          <w:p w14:paraId="3326D516" w14:textId="77777777" w:rsidR="00000000" w:rsidRDefault="009B6C69">
            <w:pPr>
              <w:spacing w:after="100"/>
              <w:rPr>
                <w:rFonts w:eastAsia="Times New Roman"/>
                <w:sz w:val="20"/>
                <w:szCs w:val="20"/>
              </w:rPr>
            </w:pPr>
          </w:p>
        </w:tc>
        <w:tc>
          <w:tcPr>
            <w:tcW w:w="27" w:type="pct"/>
            <w:vAlign w:val="center"/>
            <w:hideMark/>
          </w:tcPr>
          <w:p w14:paraId="73C9785E" w14:textId="77777777" w:rsidR="00000000" w:rsidRDefault="009B6C69">
            <w:pPr>
              <w:spacing w:after="100"/>
              <w:rPr>
                <w:rFonts w:eastAsia="Times New Roman"/>
                <w:sz w:val="20"/>
                <w:szCs w:val="20"/>
              </w:rPr>
            </w:pPr>
          </w:p>
        </w:tc>
        <w:tc>
          <w:tcPr>
            <w:tcW w:w="5" w:type="pct"/>
            <w:vAlign w:val="center"/>
            <w:hideMark/>
          </w:tcPr>
          <w:p w14:paraId="131BA404" w14:textId="77777777" w:rsidR="00000000" w:rsidRDefault="009B6C69">
            <w:pPr>
              <w:spacing w:after="100"/>
              <w:rPr>
                <w:rFonts w:eastAsia="Times New Roman"/>
                <w:sz w:val="20"/>
                <w:szCs w:val="20"/>
              </w:rPr>
            </w:pPr>
          </w:p>
        </w:tc>
        <w:tc>
          <w:tcPr>
            <w:tcW w:w="0" w:type="auto"/>
            <w:vAlign w:val="center"/>
            <w:hideMark/>
          </w:tcPr>
          <w:p w14:paraId="266FD64A" w14:textId="77777777" w:rsidR="00000000" w:rsidRDefault="009B6C69">
            <w:pPr>
              <w:spacing w:after="100"/>
              <w:rPr>
                <w:rFonts w:eastAsia="Times New Roman"/>
                <w:sz w:val="20"/>
                <w:szCs w:val="20"/>
              </w:rPr>
            </w:pPr>
          </w:p>
        </w:tc>
        <w:tc>
          <w:tcPr>
            <w:tcW w:w="0" w:type="auto"/>
            <w:vAlign w:val="center"/>
            <w:hideMark/>
          </w:tcPr>
          <w:p w14:paraId="2B7CAE80" w14:textId="77777777" w:rsidR="00000000" w:rsidRDefault="009B6C69">
            <w:pPr>
              <w:spacing w:after="100"/>
              <w:rPr>
                <w:rFonts w:eastAsia="Times New Roman"/>
                <w:sz w:val="20"/>
                <w:szCs w:val="20"/>
              </w:rPr>
            </w:pPr>
          </w:p>
        </w:tc>
        <w:tc>
          <w:tcPr>
            <w:tcW w:w="50" w:type="pct"/>
            <w:vAlign w:val="center"/>
            <w:hideMark/>
          </w:tcPr>
          <w:p w14:paraId="693F2144" w14:textId="77777777" w:rsidR="00000000" w:rsidRDefault="009B6C69">
            <w:pPr>
              <w:spacing w:after="100"/>
              <w:rPr>
                <w:rFonts w:eastAsia="Times New Roman"/>
                <w:sz w:val="20"/>
                <w:szCs w:val="20"/>
              </w:rPr>
            </w:pPr>
          </w:p>
        </w:tc>
        <w:tc>
          <w:tcPr>
            <w:tcW w:w="533" w:type="pct"/>
            <w:vAlign w:val="center"/>
            <w:hideMark/>
          </w:tcPr>
          <w:p w14:paraId="35EC1375" w14:textId="77777777" w:rsidR="00000000" w:rsidRDefault="009B6C69">
            <w:pPr>
              <w:spacing w:after="100"/>
              <w:rPr>
                <w:rFonts w:eastAsia="Times New Roman"/>
                <w:sz w:val="20"/>
                <w:szCs w:val="20"/>
              </w:rPr>
            </w:pPr>
          </w:p>
        </w:tc>
        <w:tc>
          <w:tcPr>
            <w:tcW w:w="5" w:type="pct"/>
            <w:vAlign w:val="center"/>
            <w:hideMark/>
          </w:tcPr>
          <w:p w14:paraId="3CB33C9B" w14:textId="77777777" w:rsidR="00000000" w:rsidRDefault="009B6C69">
            <w:pPr>
              <w:spacing w:after="100"/>
              <w:rPr>
                <w:rFonts w:eastAsia="Times New Roman"/>
                <w:sz w:val="20"/>
                <w:szCs w:val="20"/>
              </w:rPr>
            </w:pPr>
          </w:p>
        </w:tc>
      </w:tr>
      <w:tr w:rsidR="00000000" w14:paraId="37F5E50B" w14:textId="77777777">
        <w:trPr>
          <w:divId w:val="782920656"/>
        </w:trPr>
        <w:tc>
          <w:tcPr>
            <w:tcW w:w="0" w:type="auto"/>
            <w:gridSpan w:val="3"/>
            <w:tcMar>
              <w:top w:w="0" w:type="dxa"/>
              <w:left w:w="20" w:type="dxa"/>
              <w:bottom w:w="0" w:type="dxa"/>
              <w:right w:w="20" w:type="dxa"/>
            </w:tcMar>
            <w:vAlign w:val="center"/>
            <w:hideMark/>
          </w:tcPr>
          <w:p w14:paraId="11A4C98F" w14:textId="77777777" w:rsidR="00000000" w:rsidRDefault="009B6C69">
            <w:pPr>
              <w:spacing w:after="100"/>
              <w:rPr>
                <w:rFonts w:eastAsia="Times New Roman"/>
                <w:sz w:val="20"/>
                <w:szCs w:val="20"/>
              </w:rPr>
            </w:pPr>
          </w:p>
        </w:tc>
        <w:tc>
          <w:tcPr>
            <w:tcW w:w="0" w:type="auto"/>
            <w:vAlign w:val="center"/>
            <w:hideMark/>
          </w:tcPr>
          <w:p w14:paraId="79D527D8"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16692D1" w14:textId="77777777" w:rsidR="00000000" w:rsidRDefault="009B6C69">
            <w:pPr>
              <w:spacing w:after="100"/>
              <w:jc w:val="center"/>
              <w:rPr>
                <w:rFonts w:eastAsia="Times New Roman"/>
              </w:rPr>
            </w:pPr>
            <w:r>
              <w:rPr>
                <w:rFonts w:eastAsia="Times New Roman"/>
                <w:b/>
                <w:bCs/>
                <w:color w:val="000000"/>
                <w:sz w:val="18"/>
                <w:szCs w:val="18"/>
              </w:rPr>
              <w:t>QCT</w:t>
            </w:r>
          </w:p>
        </w:tc>
        <w:tc>
          <w:tcPr>
            <w:tcW w:w="0" w:type="auto"/>
            <w:gridSpan w:val="3"/>
            <w:tcMar>
              <w:top w:w="0" w:type="dxa"/>
              <w:left w:w="20" w:type="dxa"/>
              <w:bottom w:w="0" w:type="dxa"/>
              <w:right w:w="20" w:type="dxa"/>
            </w:tcMar>
            <w:vAlign w:val="center"/>
            <w:hideMark/>
          </w:tcPr>
          <w:p w14:paraId="571B0D74"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3DFF774" w14:textId="77777777" w:rsidR="00000000" w:rsidRDefault="009B6C69">
            <w:pPr>
              <w:spacing w:after="100"/>
              <w:jc w:val="center"/>
              <w:rPr>
                <w:rFonts w:eastAsia="Times New Roman"/>
              </w:rPr>
            </w:pPr>
            <w:r>
              <w:rPr>
                <w:rFonts w:eastAsia="Times New Roman"/>
                <w:b/>
                <w:bCs/>
                <w:color w:val="000000"/>
                <w:sz w:val="18"/>
                <w:szCs w:val="18"/>
              </w:rPr>
              <w:t>QTL</w:t>
            </w:r>
          </w:p>
        </w:tc>
        <w:tc>
          <w:tcPr>
            <w:tcW w:w="0" w:type="auto"/>
            <w:gridSpan w:val="3"/>
            <w:tcMar>
              <w:top w:w="0" w:type="dxa"/>
              <w:left w:w="20" w:type="dxa"/>
              <w:bottom w:w="0" w:type="dxa"/>
              <w:right w:w="20" w:type="dxa"/>
            </w:tcMar>
            <w:vAlign w:val="center"/>
            <w:hideMark/>
          </w:tcPr>
          <w:p w14:paraId="0224FA0E" w14:textId="77777777" w:rsidR="00000000" w:rsidRDefault="009B6C69">
            <w:pPr>
              <w:spacing w:after="100"/>
              <w:jc w:val="center"/>
              <w:rPr>
                <w:rFonts w:eastAsia="Times New Roman"/>
              </w:rPr>
            </w:pPr>
          </w:p>
        </w:tc>
        <w:tc>
          <w:tcPr>
            <w:tcW w:w="0" w:type="auto"/>
            <w:vAlign w:val="center"/>
            <w:hideMark/>
          </w:tcPr>
          <w:p w14:paraId="5F99A78D" w14:textId="77777777" w:rsidR="00000000" w:rsidRDefault="009B6C69">
            <w:pPr>
              <w:spacing w:after="100"/>
              <w:rPr>
                <w:rFonts w:eastAsia="Times New Roman"/>
                <w:sz w:val="20"/>
                <w:szCs w:val="20"/>
              </w:rPr>
            </w:pPr>
          </w:p>
        </w:tc>
        <w:tc>
          <w:tcPr>
            <w:tcW w:w="0" w:type="auto"/>
            <w:vAlign w:val="center"/>
            <w:hideMark/>
          </w:tcPr>
          <w:p w14:paraId="24BDBC78"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DF415D2" w14:textId="77777777" w:rsidR="00000000" w:rsidRDefault="009B6C69">
            <w:pPr>
              <w:spacing w:after="100"/>
              <w:jc w:val="center"/>
              <w:rPr>
                <w:rFonts w:eastAsia="Times New Roman"/>
              </w:rPr>
            </w:pPr>
            <w:r>
              <w:rPr>
                <w:rFonts w:eastAsia="Times New Roman"/>
                <w:b/>
                <w:bCs/>
                <w:color w:val="000000"/>
                <w:sz w:val="18"/>
                <w:szCs w:val="18"/>
              </w:rPr>
              <w:t>Total</w:t>
            </w:r>
          </w:p>
        </w:tc>
      </w:tr>
      <w:tr w:rsidR="00000000" w14:paraId="359C235F" w14:textId="77777777">
        <w:trPr>
          <w:divId w:val="782920656"/>
        </w:trPr>
        <w:tc>
          <w:tcPr>
            <w:tcW w:w="0" w:type="auto"/>
            <w:gridSpan w:val="3"/>
            <w:shd w:val="clear" w:color="auto" w:fill="CCEEFF"/>
            <w:tcMar>
              <w:top w:w="30" w:type="dxa"/>
              <w:left w:w="20" w:type="dxa"/>
              <w:bottom w:w="30" w:type="dxa"/>
              <w:right w:w="20" w:type="dxa"/>
            </w:tcMar>
            <w:vAlign w:val="bottom"/>
            <w:hideMark/>
          </w:tcPr>
          <w:p w14:paraId="6F60A2F9" w14:textId="77777777" w:rsidR="00000000" w:rsidRDefault="009B6C69">
            <w:pPr>
              <w:spacing w:after="100"/>
              <w:rPr>
                <w:rFonts w:eastAsia="Times New Roman"/>
              </w:rPr>
            </w:pPr>
            <w:r>
              <w:rPr>
                <w:rFonts w:eastAsia="Times New Roman"/>
                <w:b/>
                <w:bCs/>
                <w:color w:val="000000"/>
                <w:sz w:val="18"/>
                <w:szCs w:val="18"/>
              </w:rPr>
              <w:t>Balance at September 27, 2020</w:t>
            </w:r>
          </w:p>
        </w:tc>
        <w:tc>
          <w:tcPr>
            <w:tcW w:w="0" w:type="auto"/>
            <w:vAlign w:val="center"/>
            <w:hideMark/>
          </w:tcPr>
          <w:p w14:paraId="69590B56" w14:textId="77777777" w:rsidR="00000000" w:rsidRDefault="009B6C6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14DD34"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76CA23" w14:textId="77777777" w:rsidR="00000000" w:rsidRDefault="009B6C69">
            <w:pPr>
              <w:spacing w:after="100"/>
              <w:jc w:val="right"/>
              <w:rPr>
                <w:rFonts w:eastAsia="Times New Roman"/>
              </w:rPr>
            </w:pPr>
            <w:r>
              <w:rPr>
                <w:rFonts w:eastAsia="Times New Roman"/>
                <w:color w:val="000000"/>
                <w:sz w:val="18"/>
                <w:szCs w:val="18"/>
              </w:rPr>
              <w:t>5,605 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358E09"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96C9B6"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C507D0"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C96EFB" w14:textId="77777777" w:rsidR="00000000" w:rsidRDefault="009B6C69">
            <w:pPr>
              <w:spacing w:after="100"/>
              <w:jc w:val="right"/>
              <w:rPr>
                <w:rFonts w:eastAsia="Times New Roman"/>
              </w:rPr>
            </w:pPr>
            <w:r>
              <w:rPr>
                <w:rFonts w:eastAsia="Times New Roman"/>
                <w:color w:val="000000"/>
                <w:sz w:val="18"/>
                <w:szCs w:val="18"/>
              </w:rPr>
              <w:t>718 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B38AC5"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DF7D82" w14:textId="77777777" w:rsidR="00000000" w:rsidRDefault="009B6C69">
            <w:pPr>
              <w:spacing w:after="100"/>
              <w:jc w:val="right"/>
              <w:rPr>
                <w:rFonts w:eastAsia="Times New Roman"/>
                <w:sz w:val="20"/>
                <w:szCs w:val="20"/>
              </w:rPr>
            </w:pPr>
          </w:p>
        </w:tc>
        <w:tc>
          <w:tcPr>
            <w:tcW w:w="0" w:type="auto"/>
            <w:vAlign w:val="center"/>
            <w:hideMark/>
          </w:tcPr>
          <w:p w14:paraId="58DECB2D" w14:textId="77777777" w:rsidR="00000000" w:rsidRDefault="009B6C69">
            <w:pPr>
              <w:spacing w:after="100"/>
              <w:rPr>
                <w:rFonts w:eastAsia="Times New Roman"/>
                <w:sz w:val="20"/>
                <w:szCs w:val="20"/>
              </w:rPr>
            </w:pPr>
          </w:p>
        </w:tc>
        <w:tc>
          <w:tcPr>
            <w:tcW w:w="0" w:type="auto"/>
            <w:vAlign w:val="center"/>
            <w:hideMark/>
          </w:tcPr>
          <w:p w14:paraId="76256D36"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DBB817"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320D6A" w14:textId="77777777" w:rsidR="00000000" w:rsidRDefault="009B6C69">
            <w:pPr>
              <w:spacing w:after="100"/>
              <w:jc w:val="right"/>
              <w:rPr>
                <w:rFonts w:eastAsia="Times New Roman"/>
              </w:rPr>
            </w:pPr>
            <w:r>
              <w:rPr>
                <w:rFonts w:eastAsia="Times New Roman"/>
                <w:color w:val="000000"/>
                <w:sz w:val="18"/>
                <w:szCs w:val="18"/>
              </w:rPr>
              <w:t>6,323 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398B27" w14:textId="77777777" w:rsidR="00000000" w:rsidRDefault="009B6C69">
            <w:pPr>
              <w:spacing w:after="100"/>
              <w:jc w:val="right"/>
              <w:rPr>
                <w:rFonts w:eastAsia="Times New Roman"/>
              </w:rPr>
            </w:pPr>
          </w:p>
        </w:tc>
      </w:tr>
      <w:tr w:rsidR="00000000" w14:paraId="51D1F40D" w14:textId="77777777">
        <w:trPr>
          <w:divId w:val="782920656"/>
        </w:trPr>
        <w:tc>
          <w:tcPr>
            <w:tcW w:w="0" w:type="auto"/>
            <w:gridSpan w:val="3"/>
            <w:shd w:val="clear" w:color="auto" w:fill="FFFFFF"/>
            <w:tcMar>
              <w:top w:w="30" w:type="dxa"/>
              <w:left w:w="155" w:type="dxa"/>
              <w:bottom w:w="30" w:type="dxa"/>
              <w:right w:w="20" w:type="dxa"/>
            </w:tcMar>
            <w:vAlign w:val="bottom"/>
            <w:hideMark/>
          </w:tcPr>
          <w:p w14:paraId="4205C2F0" w14:textId="77777777" w:rsidR="00000000" w:rsidRDefault="009B6C69">
            <w:pPr>
              <w:spacing w:after="100"/>
              <w:rPr>
                <w:rFonts w:eastAsia="Times New Roman"/>
              </w:rPr>
            </w:pPr>
            <w:r>
              <w:rPr>
                <w:rFonts w:eastAsia="Times New Roman"/>
                <w:color w:val="000000"/>
                <w:sz w:val="18"/>
                <w:szCs w:val="18"/>
              </w:rPr>
              <w:t>Acquisitions</w:t>
            </w:r>
          </w:p>
        </w:tc>
        <w:tc>
          <w:tcPr>
            <w:tcW w:w="0" w:type="auto"/>
            <w:vAlign w:val="center"/>
            <w:hideMark/>
          </w:tcPr>
          <w:p w14:paraId="72143957" w14:textId="77777777" w:rsidR="00000000" w:rsidRDefault="009B6C6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E8BBBD" w14:textId="77777777" w:rsidR="00000000" w:rsidRDefault="009B6C69">
            <w:pPr>
              <w:spacing w:after="100"/>
              <w:jc w:val="right"/>
              <w:rPr>
                <w:rFonts w:eastAsia="Times New Roman"/>
              </w:rPr>
            </w:pPr>
            <w:r>
              <w:rPr>
                <w:rFonts w:eastAsia="Times New Roman"/>
                <w:color w:val="000000"/>
                <w:sz w:val="18"/>
                <w:szCs w:val="18"/>
              </w:rPr>
              <w:t>912 </w:t>
            </w:r>
          </w:p>
        </w:tc>
        <w:tc>
          <w:tcPr>
            <w:tcW w:w="0" w:type="auto"/>
            <w:shd w:val="clear" w:color="auto" w:fill="FFFFFF"/>
            <w:tcMar>
              <w:top w:w="30" w:type="dxa"/>
              <w:left w:w="0" w:type="dxa"/>
              <w:bottom w:w="30" w:type="dxa"/>
              <w:right w:w="20" w:type="dxa"/>
            </w:tcMar>
            <w:vAlign w:val="bottom"/>
            <w:hideMark/>
          </w:tcPr>
          <w:p w14:paraId="57770252"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A0FAA1"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BBA91D" w14:textId="77777777" w:rsidR="00000000" w:rsidRDefault="009B6C69">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bottom"/>
            <w:hideMark/>
          </w:tcPr>
          <w:p w14:paraId="6F5380F8"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879636" w14:textId="77777777" w:rsidR="00000000" w:rsidRDefault="009B6C69">
            <w:pPr>
              <w:spacing w:after="100"/>
              <w:jc w:val="right"/>
              <w:rPr>
                <w:rFonts w:eastAsia="Times New Roman"/>
                <w:sz w:val="20"/>
                <w:szCs w:val="20"/>
              </w:rPr>
            </w:pPr>
          </w:p>
        </w:tc>
        <w:tc>
          <w:tcPr>
            <w:tcW w:w="0" w:type="auto"/>
            <w:vAlign w:val="center"/>
            <w:hideMark/>
          </w:tcPr>
          <w:p w14:paraId="799A9A03" w14:textId="77777777" w:rsidR="00000000" w:rsidRDefault="009B6C69">
            <w:pPr>
              <w:spacing w:after="100"/>
              <w:rPr>
                <w:rFonts w:eastAsia="Times New Roman"/>
                <w:sz w:val="20"/>
                <w:szCs w:val="20"/>
              </w:rPr>
            </w:pPr>
          </w:p>
        </w:tc>
        <w:tc>
          <w:tcPr>
            <w:tcW w:w="0" w:type="auto"/>
            <w:vAlign w:val="center"/>
            <w:hideMark/>
          </w:tcPr>
          <w:p w14:paraId="3B1363CB"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E84294" w14:textId="77777777" w:rsidR="00000000" w:rsidRDefault="009B6C69">
            <w:pPr>
              <w:spacing w:after="100"/>
              <w:jc w:val="right"/>
              <w:rPr>
                <w:rFonts w:eastAsia="Times New Roman"/>
              </w:rPr>
            </w:pPr>
            <w:r>
              <w:rPr>
                <w:rFonts w:eastAsia="Times New Roman"/>
                <w:color w:val="000000"/>
                <w:sz w:val="18"/>
                <w:szCs w:val="18"/>
              </w:rPr>
              <w:t>917 </w:t>
            </w:r>
          </w:p>
        </w:tc>
        <w:tc>
          <w:tcPr>
            <w:tcW w:w="0" w:type="auto"/>
            <w:shd w:val="clear" w:color="auto" w:fill="FFFFFF"/>
            <w:tcMar>
              <w:top w:w="30" w:type="dxa"/>
              <w:left w:w="0" w:type="dxa"/>
              <w:bottom w:w="30" w:type="dxa"/>
              <w:right w:w="20" w:type="dxa"/>
            </w:tcMar>
            <w:vAlign w:val="bottom"/>
            <w:hideMark/>
          </w:tcPr>
          <w:p w14:paraId="764F0DD1" w14:textId="77777777" w:rsidR="00000000" w:rsidRDefault="009B6C69">
            <w:pPr>
              <w:spacing w:after="100"/>
              <w:jc w:val="right"/>
              <w:rPr>
                <w:rFonts w:eastAsia="Times New Roman"/>
              </w:rPr>
            </w:pPr>
          </w:p>
        </w:tc>
      </w:tr>
      <w:tr w:rsidR="00000000" w14:paraId="0A3DDED5" w14:textId="77777777">
        <w:trPr>
          <w:divId w:val="782920656"/>
        </w:trPr>
        <w:tc>
          <w:tcPr>
            <w:tcW w:w="0" w:type="auto"/>
            <w:gridSpan w:val="3"/>
            <w:vAlign w:val="center"/>
            <w:hideMark/>
          </w:tcPr>
          <w:p w14:paraId="7E8C6A90" w14:textId="77777777" w:rsidR="00000000" w:rsidRDefault="009B6C69">
            <w:pPr>
              <w:spacing w:after="100"/>
              <w:jc w:val="right"/>
              <w:rPr>
                <w:rFonts w:eastAsia="Times New Roman"/>
                <w:sz w:val="20"/>
                <w:szCs w:val="20"/>
              </w:rPr>
            </w:pPr>
          </w:p>
        </w:tc>
        <w:tc>
          <w:tcPr>
            <w:tcW w:w="0" w:type="auto"/>
            <w:vAlign w:val="center"/>
            <w:hideMark/>
          </w:tcPr>
          <w:p w14:paraId="6BE12054" w14:textId="77777777" w:rsidR="00000000" w:rsidRDefault="009B6C69">
            <w:pPr>
              <w:spacing w:after="100"/>
              <w:rPr>
                <w:rFonts w:eastAsia="Times New Roman"/>
                <w:sz w:val="20"/>
                <w:szCs w:val="20"/>
              </w:rPr>
            </w:pPr>
          </w:p>
        </w:tc>
        <w:tc>
          <w:tcPr>
            <w:tcW w:w="0" w:type="auto"/>
            <w:gridSpan w:val="3"/>
            <w:vAlign w:val="center"/>
            <w:hideMark/>
          </w:tcPr>
          <w:p w14:paraId="36A226D6" w14:textId="77777777" w:rsidR="00000000" w:rsidRDefault="009B6C69">
            <w:pPr>
              <w:spacing w:after="100"/>
              <w:rPr>
                <w:rFonts w:eastAsia="Times New Roman"/>
                <w:sz w:val="20"/>
                <w:szCs w:val="20"/>
              </w:rPr>
            </w:pPr>
          </w:p>
        </w:tc>
        <w:tc>
          <w:tcPr>
            <w:tcW w:w="0" w:type="auto"/>
            <w:gridSpan w:val="3"/>
            <w:vAlign w:val="center"/>
            <w:hideMark/>
          </w:tcPr>
          <w:p w14:paraId="05B89E03" w14:textId="77777777" w:rsidR="00000000" w:rsidRDefault="009B6C69">
            <w:pPr>
              <w:spacing w:after="100"/>
              <w:rPr>
                <w:rFonts w:eastAsia="Times New Roman"/>
                <w:sz w:val="20"/>
                <w:szCs w:val="20"/>
              </w:rPr>
            </w:pPr>
          </w:p>
        </w:tc>
        <w:tc>
          <w:tcPr>
            <w:tcW w:w="0" w:type="auto"/>
            <w:gridSpan w:val="3"/>
            <w:vAlign w:val="center"/>
            <w:hideMark/>
          </w:tcPr>
          <w:p w14:paraId="16928A65" w14:textId="77777777" w:rsidR="00000000" w:rsidRDefault="009B6C69">
            <w:pPr>
              <w:spacing w:after="100"/>
              <w:rPr>
                <w:rFonts w:eastAsia="Times New Roman"/>
                <w:sz w:val="20"/>
                <w:szCs w:val="20"/>
              </w:rPr>
            </w:pPr>
          </w:p>
        </w:tc>
        <w:tc>
          <w:tcPr>
            <w:tcW w:w="0" w:type="auto"/>
            <w:gridSpan w:val="3"/>
            <w:vAlign w:val="center"/>
            <w:hideMark/>
          </w:tcPr>
          <w:p w14:paraId="0ED40C1A" w14:textId="77777777" w:rsidR="00000000" w:rsidRDefault="009B6C69">
            <w:pPr>
              <w:spacing w:after="100"/>
              <w:rPr>
                <w:rFonts w:eastAsia="Times New Roman"/>
                <w:sz w:val="20"/>
                <w:szCs w:val="20"/>
              </w:rPr>
            </w:pPr>
          </w:p>
        </w:tc>
        <w:tc>
          <w:tcPr>
            <w:tcW w:w="0" w:type="auto"/>
            <w:vAlign w:val="center"/>
            <w:hideMark/>
          </w:tcPr>
          <w:p w14:paraId="77E0F8E4" w14:textId="77777777" w:rsidR="00000000" w:rsidRDefault="009B6C69">
            <w:pPr>
              <w:spacing w:after="100"/>
              <w:rPr>
                <w:rFonts w:eastAsia="Times New Roman"/>
                <w:sz w:val="20"/>
                <w:szCs w:val="20"/>
              </w:rPr>
            </w:pPr>
          </w:p>
        </w:tc>
        <w:tc>
          <w:tcPr>
            <w:tcW w:w="0" w:type="auto"/>
            <w:vAlign w:val="center"/>
            <w:hideMark/>
          </w:tcPr>
          <w:p w14:paraId="0CB92C8E" w14:textId="77777777" w:rsidR="00000000" w:rsidRDefault="009B6C69">
            <w:pPr>
              <w:spacing w:after="100"/>
              <w:rPr>
                <w:rFonts w:eastAsia="Times New Roman"/>
                <w:sz w:val="20"/>
                <w:szCs w:val="20"/>
              </w:rPr>
            </w:pPr>
          </w:p>
        </w:tc>
        <w:tc>
          <w:tcPr>
            <w:tcW w:w="0" w:type="auto"/>
            <w:gridSpan w:val="3"/>
            <w:vAlign w:val="center"/>
            <w:hideMark/>
          </w:tcPr>
          <w:p w14:paraId="36EF0274" w14:textId="77777777" w:rsidR="00000000" w:rsidRDefault="009B6C69">
            <w:pPr>
              <w:spacing w:after="100"/>
              <w:rPr>
                <w:rFonts w:eastAsia="Times New Roman"/>
                <w:sz w:val="20"/>
                <w:szCs w:val="20"/>
              </w:rPr>
            </w:pPr>
          </w:p>
        </w:tc>
      </w:tr>
      <w:tr w:rsidR="00000000" w14:paraId="3C63A127" w14:textId="77777777">
        <w:trPr>
          <w:divId w:val="782920656"/>
        </w:trPr>
        <w:tc>
          <w:tcPr>
            <w:tcW w:w="0" w:type="auto"/>
            <w:gridSpan w:val="3"/>
            <w:shd w:val="clear" w:color="auto" w:fill="CCEEFF"/>
            <w:tcMar>
              <w:top w:w="30" w:type="dxa"/>
              <w:left w:w="155" w:type="dxa"/>
              <w:bottom w:w="30" w:type="dxa"/>
              <w:right w:w="20" w:type="dxa"/>
            </w:tcMar>
            <w:vAlign w:val="bottom"/>
            <w:hideMark/>
          </w:tcPr>
          <w:p w14:paraId="029A37D2" w14:textId="77777777" w:rsidR="00000000" w:rsidRDefault="009B6C69">
            <w:pPr>
              <w:spacing w:after="100"/>
              <w:rPr>
                <w:rFonts w:eastAsia="Times New Roman"/>
              </w:rPr>
            </w:pPr>
            <w:r>
              <w:rPr>
                <w:rFonts w:eastAsia="Times New Roman"/>
                <w:color w:val="000000"/>
                <w:sz w:val="18"/>
                <w:szCs w:val="18"/>
              </w:rPr>
              <w:t>Foreign currency translation adjustments</w:t>
            </w:r>
          </w:p>
        </w:tc>
        <w:tc>
          <w:tcPr>
            <w:tcW w:w="0" w:type="auto"/>
            <w:vAlign w:val="center"/>
            <w:hideMark/>
          </w:tcPr>
          <w:p w14:paraId="715C2DBB" w14:textId="77777777" w:rsidR="00000000" w:rsidRDefault="009B6C6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5352D9" w14:textId="77777777" w:rsidR="00000000" w:rsidRDefault="009B6C69">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14:paraId="2F9E3F9A"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FAB8A8"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8AEA57"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94CAEE5"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DE763D" w14:textId="77777777" w:rsidR="00000000" w:rsidRDefault="009B6C69">
            <w:pPr>
              <w:spacing w:after="100"/>
              <w:jc w:val="right"/>
              <w:rPr>
                <w:rFonts w:eastAsia="Times New Roman"/>
                <w:sz w:val="20"/>
                <w:szCs w:val="20"/>
              </w:rPr>
            </w:pPr>
          </w:p>
        </w:tc>
        <w:tc>
          <w:tcPr>
            <w:tcW w:w="0" w:type="auto"/>
            <w:vAlign w:val="center"/>
            <w:hideMark/>
          </w:tcPr>
          <w:p w14:paraId="7A6AC871" w14:textId="77777777" w:rsidR="00000000" w:rsidRDefault="009B6C69">
            <w:pPr>
              <w:spacing w:after="100"/>
              <w:rPr>
                <w:rFonts w:eastAsia="Times New Roman"/>
                <w:sz w:val="20"/>
                <w:szCs w:val="20"/>
              </w:rPr>
            </w:pPr>
          </w:p>
        </w:tc>
        <w:tc>
          <w:tcPr>
            <w:tcW w:w="0" w:type="auto"/>
            <w:vAlign w:val="center"/>
            <w:hideMark/>
          </w:tcPr>
          <w:p w14:paraId="6D987F6C"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5D537D" w14:textId="77777777" w:rsidR="00000000" w:rsidRDefault="009B6C69">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14:paraId="2D58A2A0" w14:textId="77777777" w:rsidR="00000000" w:rsidRDefault="009B6C69">
            <w:pPr>
              <w:spacing w:after="100"/>
              <w:jc w:val="right"/>
              <w:rPr>
                <w:rFonts w:eastAsia="Times New Roman"/>
              </w:rPr>
            </w:pPr>
          </w:p>
        </w:tc>
      </w:tr>
      <w:tr w:rsidR="00000000" w14:paraId="6CB5BFFC" w14:textId="77777777">
        <w:trPr>
          <w:divId w:val="782920656"/>
        </w:trPr>
        <w:tc>
          <w:tcPr>
            <w:tcW w:w="0" w:type="auto"/>
            <w:gridSpan w:val="3"/>
            <w:shd w:val="clear" w:color="auto" w:fill="FFFFFF"/>
            <w:tcMar>
              <w:top w:w="30" w:type="dxa"/>
              <w:left w:w="20" w:type="dxa"/>
              <w:bottom w:w="30" w:type="dxa"/>
              <w:right w:w="20" w:type="dxa"/>
            </w:tcMar>
            <w:vAlign w:val="bottom"/>
            <w:hideMark/>
          </w:tcPr>
          <w:p w14:paraId="552A2484" w14:textId="77777777" w:rsidR="00000000" w:rsidRDefault="009B6C69">
            <w:pPr>
              <w:spacing w:after="100"/>
              <w:rPr>
                <w:rFonts w:eastAsia="Times New Roman"/>
              </w:rPr>
            </w:pPr>
            <w:r>
              <w:rPr>
                <w:rFonts w:eastAsia="Times New Roman"/>
                <w:b/>
                <w:bCs/>
                <w:color w:val="000000"/>
                <w:sz w:val="18"/>
                <w:szCs w:val="18"/>
              </w:rPr>
              <w:t>Balance at September 26, 2021 (1)</w:t>
            </w:r>
          </w:p>
        </w:tc>
        <w:tc>
          <w:tcPr>
            <w:tcW w:w="0" w:type="auto"/>
            <w:vAlign w:val="center"/>
            <w:hideMark/>
          </w:tcPr>
          <w:p w14:paraId="4CC7C381" w14:textId="77777777" w:rsidR="00000000" w:rsidRDefault="009B6C6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6A406C1" w14:textId="77777777" w:rsidR="00000000" w:rsidRDefault="009B6C69">
            <w:pPr>
              <w:spacing w:after="100"/>
              <w:jc w:val="right"/>
              <w:rPr>
                <w:rFonts w:eastAsia="Times New Roman"/>
              </w:rPr>
            </w:pPr>
            <w:r>
              <w:rPr>
                <w:rFonts w:eastAsia="Times New Roman"/>
                <w:color w:val="000000"/>
                <w:sz w:val="18"/>
                <w:szCs w:val="18"/>
              </w:rPr>
              <w:t>6,523 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A3DA40"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F8B5AD"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5E5B08" w14:textId="77777777" w:rsidR="00000000" w:rsidRDefault="009B6C69">
            <w:pPr>
              <w:spacing w:after="100"/>
              <w:jc w:val="right"/>
              <w:rPr>
                <w:rFonts w:eastAsia="Times New Roman"/>
              </w:rPr>
            </w:pPr>
            <w:r>
              <w:rPr>
                <w:rFonts w:eastAsia="Times New Roman"/>
                <w:color w:val="000000"/>
                <w:sz w:val="18"/>
                <w:szCs w:val="18"/>
              </w:rPr>
              <w:t>723 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D709AF"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9B7F3B" w14:textId="77777777" w:rsidR="00000000" w:rsidRDefault="009B6C69">
            <w:pPr>
              <w:spacing w:after="100"/>
              <w:jc w:val="right"/>
              <w:rPr>
                <w:rFonts w:eastAsia="Times New Roman"/>
                <w:sz w:val="20"/>
                <w:szCs w:val="20"/>
              </w:rPr>
            </w:pPr>
          </w:p>
        </w:tc>
        <w:tc>
          <w:tcPr>
            <w:tcW w:w="0" w:type="auto"/>
            <w:vAlign w:val="center"/>
            <w:hideMark/>
          </w:tcPr>
          <w:p w14:paraId="5B6CA943" w14:textId="77777777" w:rsidR="00000000" w:rsidRDefault="009B6C69">
            <w:pPr>
              <w:spacing w:after="100"/>
              <w:rPr>
                <w:rFonts w:eastAsia="Times New Roman"/>
                <w:sz w:val="20"/>
                <w:szCs w:val="20"/>
              </w:rPr>
            </w:pPr>
          </w:p>
        </w:tc>
        <w:tc>
          <w:tcPr>
            <w:tcW w:w="0" w:type="auto"/>
            <w:vAlign w:val="center"/>
            <w:hideMark/>
          </w:tcPr>
          <w:p w14:paraId="72A65D55" w14:textId="77777777" w:rsidR="00000000" w:rsidRDefault="009B6C69">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577897" w14:textId="77777777" w:rsidR="00000000" w:rsidRDefault="009B6C69">
            <w:pPr>
              <w:spacing w:after="100"/>
              <w:jc w:val="right"/>
              <w:rPr>
                <w:rFonts w:eastAsia="Times New Roman"/>
              </w:rPr>
            </w:pPr>
            <w:r>
              <w:rPr>
                <w:rFonts w:eastAsia="Times New Roman"/>
                <w:color w:val="000000"/>
                <w:sz w:val="18"/>
                <w:szCs w:val="18"/>
              </w:rPr>
              <w:t>7,246 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BA3CA7" w14:textId="77777777" w:rsidR="00000000" w:rsidRDefault="009B6C69">
            <w:pPr>
              <w:spacing w:after="100"/>
              <w:jc w:val="right"/>
              <w:rPr>
                <w:rFonts w:eastAsia="Times New Roman"/>
              </w:rPr>
            </w:pPr>
          </w:p>
        </w:tc>
      </w:tr>
      <w:tr w:rsidR="00000000" w14:paraId="0C2410C2" w14:textId="77777777">
        <w:trPr>
          <w:divId w:val="782920656"/>
        </w:trPr>
        <w:tc>
          <w:tcPr>
            <w:tcW w:w="0" w:type="auto"/>
            <w:gridSpan w:val="3"/>
            <w:shd w:val="clear" w:color="auto" w:fill="CCEEFF"/>
            <w:tcMar>
              <w:top w:w="30" w:type="dxa"/>
              <w:left w:w="155" w:type="dxa"/>
              <w:bottom w:w="30" w:type="dxa"/>
              <w:right w:w="20" w:type="dxa"/>
            </w:tcMar>
            <w:vAlign w:val="bottom"/>
            <w:hideMark/>
          </w:tcPr>
          <w:p w14:paraId="1393275A" w14:textId="77777777" w:rsidR="00000000" w:rsidRDefault="009B6C69">
            <w:pPr>
              <w:spacing w:after="100"/>
              <w:rPr>
                <w:rFonts w:eastAsia="Times New Roman"/>
              </w:rPr>
            </w:pPr>
            <w:r>
              <w:rPr>
                <w:rFonts w:eastAsia="Times New Roman"/>
                <w:color w:val="000000"/>
                <w:sz w:val="18"/>
                <w:szCs w:val="18"/>
              </w:rPr>
              <w:t>Acquisitions</w:t>
            </w:r>
          </w:p>
        </w:tc>
        <w:tc>
          <w:tcPr>
            <w:tcW w:w="0" w:type="auto"/>
            <w:vAlign w:val="center"/>
            <w:hideMark/>
          </w:tcPr>
          <w:p w14:paraId="0F596477" w14:textId="77777777" w:rsidR="00000000" w:rsidRDefault="009B6C6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6FE89E" w14:textId="77777777" w:rsidR="00000000" w:rsidRDefault="009B6C69">
            <w:pPr>
              <w:spacing w:after="100"/>
              <w:jc w:val="right"/>
              <w:rPr>
                <w:rFonts w:eastAsia="Times New Roman"/>
              </w:rPr>
            </w:pPr>
            <w:r>
              <w:rPr>
                <w:rFonts w:eastAsia="Times New Roman"/>
                <w:color w:val="000000"/>
                <w:sz w:val="18"/>
                <w:szCs w:val="18"/>
              </w:rPr>
              <w:t>3,375 </w:t>
            </w:r>
          </w:p>
        </w:tc>
        <w:tc>
          <w:tcPr>
            <w:tcW w:w="0" w:type="auto"/>
            <w:shd w:val="clear" w:color="auto" w:fill="CCEEFF"/>
            <w:tcMar>
              <w:top w:w="30" w:type="dxa"/>
              <w:left w:w="0" w:type="dxa"/>
              <w:bottom w:w="30" w:type="dxa"/>
              <w:right w:w="20" w:type="dxa"/>
            </w:tcMar>
            <w:vAlign w:val="bottom"/>
            <w:hideMark/>
          </w:tcPr>
          <w:p w14:paraId="273BE8D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613CAE"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61A33E" w14:textId="77777777" w:rsidR="00000000" w:rsidRDefault="009B6C69">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14:paraId="55C07F0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D612F9" w14:textId="77777777" w:rsidR="00000000" w:rsidRDefault="009B6C69">
            <w:pPr>
              <w:spacing w:after="100"/>
              <w:jc w:val="right"/>
              <w:rPr>
                <w:rFonts w:eastAsia="Times New Roman"/>
                <w:sz w:val="20"/>
                <w:szCs w:val="20"/>
              </w:rPr>
            </w:pPr>
          </w:p>
        </w:tc>
        <w:tc>
          <w:tcPr>
            <w:tcW w:w="0" w:type="auto"/>
            <w:vAlign w:val="center"/>
            <w:hideMark/>
          </w:tcPr>
          <w:p w14:paraId="33A2B5B9" w14:textId="77777777" w:rsidR="00000000" w:rsidRDefault="009B6C69">
            <w:pPr>
              <w:spacing w:after="100"/>
              <w:rPr>
                <w:rFonts w:eastAsia="Times New Roman"/>
                <w:sz w:val="20"/>
                <w:szCs w:val="20"/>
              </w:rPr>
            </w:pPr>
          </w:p>
        </w:tc>
        <w:tc>
          <w:tcPr>
            <w:tcW w:w="0" w:type="auto"/>
            <w:vAlign w:val="center"/>
            <w:hideMark/>
          </w:tcPr>
          <w:p w14:paraId="042236D4"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9E1478" w14:textId="77777777" w:rsidR="00000000" w:rsidRDefault="009B6C69">
            <w:pPr>
              <w:spacing w:after="100"/>
              <w:jc w:val="right"/>
              <w:rPr>
                <w:rFonts w:eastAsia="Times New Roman"/>
              </w:rPr>
            </w:pPr>
            <w:r>
              <w:rPr>
                <w:rFonts w:eastAsia="Times New Roman"/>
                <w:color w:val="000000"/>
                <w:sz w:val="18"/>
                <w:szCs w:val="18"/>
              </w:rPr>
              <w:t>3,387 </w:t>
            </w:r>
          </w:p>
        </w:tc>
        <w:tc>
          <w:tcPr>
            <w:tcW w:w="0" w:type="auto"/>
            <w:shd w:val="clear" w:color="auto" w:fill="CCEEFF"/>
            <w:tcMar>
              <w:top w:w="30" w:type="dxa"/>
              <w:left w:w="0" w:type="dxa"/>
              <w:bottom w:w="30" w:type="dxa"/>
              <w:right w:w="20" w:type="dxa"/>
            </w:tcMar>
            <w:vAlign w:val="bottom"/>
            <w:hideMark/>
          </w:tcPr>
          <w:p w14:paraId="5E8414EF" w14:textId="77777777" w:rsidR="00000000" w:rsidRDefault="009B6C69">
            <w:pPr>
              <w:spacing w:after="100"/>
              <w:jc w:val="right"/>
              <w:rPr>
                <w:rFonts w:eastAsia="Times New Roman"/>
              </w:rPr>
            </w:pPr>
          </w:p>
        </w:tc>
      </w:tr>
      <w:tr w:rsidR="00000000" w14:paraId="5A1EBE5B" w14:textId="77777777">
        <w:trPr>
          <w:divId w:val="782920656"/>
        </w:trPr>
        <w:tc>
          <w:tcPr>
            <w:tcW w:w="0" w:type="auto"/>
            <w:gridSpan w:val="3"/>
            <w:vAlign w:val="center"/>
            <w:hideMark/>
          </w:tcPr>
          <w:p w14:paraId="5EA3A696" w14:textId="77777777" w:rsidR="00000000" w:rsidRDefault="009B6C69">
            <w:pPr>
              <w:spacing w:after="100"/>
              <w:jc w:val="right"/>
              <w:rPr>
                <w:rFonts w:eastAsia="Times New Roman"/>
                <w:sz w:val="20"/>
                <w:szCs w:val="20"/>
              </w:rPr>
            </w:pPr>
          </w:p>
        </w:tc>
        <w:tc>
          <w:tcPr>
            <w:tcW w:w="0" w:type="auto"/>
            <w:vAlign w:val="center"/>
            <w:hideMark/>
          </w:tcPr>
          <w:p w14:paraId="473AA69A" w14:textId="77777777" w:rsidR="00000000" w:rsidRDefault="009B6C69">
            <w:pPr>
              <w:spacing w:after="100"/>
              <w:rPr>
                <w:rFonts w:eastAsia="Times New Roman"/>
                <w:sz w:val="20"/>
                <w:szCs w:val="20"/>
              </w:rPr>
            </w:pPr>
          </w:p>
        </w:tc>
        <w:tc>
          <w:tcPr>
            <w:tcW w:w="0" w:type="auto"/>
            <w:gridSpan w:val="3"/>
            <w:vAlign w:val="center"/>
            <w:hideMark/>
          </w:tcPr>
          <w:p w14:paraId="3016412E" w14:textId="77777777" w:rsidR="00000000" w:rsidRDefault="009B6C69">
            <w:pPr>
              <w:spacing w:after="100"/>
              <w:rPr>
                <w:rFonts w:eastAsia="Times New Roman"/>
                <w:sz w:val="20"/>
                <w:szCs w:val="20"/>
              </w:rPr>
            </w:pPr>
          </w:p>
        </w:tc>
        <w:tc>
          <w:tcPr>
            <w:tcW w:w="0" w:type="auto"/>
            <w:gridSpan w:val="3"/>
            <w:vAlign w:val="center"/>
            <w:hideMark/>
          </w:tcPr>
          <w:p w14:paraId="60CF5661" w14:textId="77777777" w:rsidR="00000000" w:rsidRDefault="009B6C69">
            <w:pPr>
              <w:spacing w:after="100"/>
              <w:rPr>
                <w:rFonts w:eastAsia="Times New Roman"/>
                <w:sz w:val="20"/>
                <w:szCs w:val="20"/>
              </w:rPr>
            </w:pPr>
          </w:p>
        </w:tc>
        <w:tc>
          <w:tcPr>
            <w:tcW w:w="0" w:type="auto"/>
            <w:gridSpan w:val="3"/>
            <w:vAlign w:val="center"/>
            <w:hideMark/>
          </w:tcPr>
          <w:p w14:paraId="0D31AAD2" w14:textId="77777777" w:rsidR="00000000" w:rsidRDefault="009B6C69">
            <w:pPr>
              <w:spacing w:after="100"/>
              <w:rPr>
                <w:rFonts w:eastAsia="Times New Roman"/>
                <w:sz w:val="20"/>
                <w:szCs w:val="20"/>
              </w:rPr>
            </w:pPr>
          </w:p>
        </w:tc>
        <w:tc>
          <w:tcPr>
            <w:tcW w:w="0" w:type="auto"/>
            <w:gridSpan w:val="3"/>
            <w:vAlign w:val="center"/>
            <w:hideMark/>
          </w:tcPr>
          <w:p w14:paraId="4572FD20" w14:textId="77777777" w:rsidR="00000000" w:rsidRDefault="009B6C69">
            <w:pPr>
              <w:spacing w:after="100"/>
              <w:rPr>
                <w:rFonts w:eastAsia="Times New Roman"/>
                <w:sz w:val="20"/>
                <w:szCs w:val="20"/>
              </w:rPr>
            </w:pPr>
          </w:p>
        </w:tc>
        <w:tc>
          <w:tcPr>
            <w:tcW w:w="0" w:type="auto"/>
            <w:vAlign w:val="center"/>
            <w:hideMark/>
          </w:tcPr>
          <w:p w14:paraId="67658F5C" w14:textId="77777777" w:rsidR="00000000" w:rsidRDefault="009B6C69">
            <w:pPr>
              <w:spacing w:after="100"/>
              <w:rPr>
                <w:rFonts w:eastAsia="Times New Roman"/>
                <w:sz w:val="20"/>
                <w:szCs w:val="20"/>
              </w:rPr>
            </w:pPr>
          </w:p>
        </w:tc>
        <w:tc>
          <w:tcPr>
            <w:tcW w:w="0" w:type="auto"/>
            <w:vAlign w:val="center"/>
            <w:hideMark/>
          </w:tcPr>
          <w:p w14:paraId="3E39BB5A" w14:textId="77777777" w:rsidR="00000000" w:rsidRDefault="009B6C69">
            <w:pPr>
              <w:spacing w:after="100"/>
              <w:rPr>
                <w:rFonts w:eastAsia="Times New Roman"/>
                <w:sz w:val="20"/>
                <w:szCs w:val="20"/>
              </w:rPr>
            </w:pPr>
          </w:p>
        </w:tc>
        <w:tc>
          <w:tcPr>
            <w:tcW w:w="0" w:type="auto"/>
            <w:gridSpan w:val="3"/>
            <w:vAlign w:val="center"/>
            <w:hideMark/>
          </w:tcPr>
          <w:p w14:paraId="47D539FF" w14:textId="77777777" w:rsidR="00000000" w:rsidRDefault="009B6C69">
            <w:pPr>
              <w:spacing w:after="100"/>
              <w:rPr>
                <w:rFonts w:eastAsia="Times New Roman"/>
                <w:sz w:val="20"/>
                <w:szCs w:val="20"/>
              </w:rPr>
            </w:pPr>
          </w:p>
        </w:tc>
      </w:tr>
      <w:tr w:rsidR="00000000" w14:paraId="573EB1DC" w14:textId="77777777">
        <w:trPr>
          <w:divId w:val="782920656"/>
        </w:trPr>
        <w:tc>
          <w:tcPr>
            <w:tcW w:w="0" w:type="auto"/>
            <w:gridSpan w:val="3"/>
            <w:shd w:val="clear" w:color="auto" w:fill="FFFFFF"/>
            <w:tcMar>
              <w:top w:w="30" w:type="dxa"/>
              <w:left w:w="155" w:type="dxa"/>
              <w:bottom w:w="30" w:type="dxa"/>
              <w:right w:w="20" w:type="dxa"/>
            </w:tcMar>
            <w:vAlign w:val="bottom"/>
            <w:hideMark/>
          </w:tcPr>
          <w:p w14:paraId="68799747" w14:textId="77777777" w:rsidR="00000000" w:rsidRDefault="009B6C69">
            <w:pPr>
              <w:spacing w:after="100"/>
              <w:rPr>
                <w:rFonts w:eastAsia="Times New Roman"/>
              </w:rPr>
            </w:pPr>
            <w:r>
              <w:rPr>
                <w:rFonts w:eastAsia="Times New Roman"/>
                <w:color w:val="000000"/>
                <w:sz w:val="18"/>
                <w:szCs w:val="18"/>
              </w:rPr>
              <w:t>Foreign currency translation adjustments</w:t>
            </w:r>
          </w:p>
        </w:tc>
        <w:tc>
          <w:tcPr>
            <w:tcW w:w="0" w:type="auto"/>
            <w:vAlign w:val="center"/>
            <w:hideMark/>
          </w:tcPr>
          <w:p w14:paraId="1BAD600D" w14:textId="77777777" w:rsidR="00000000" w:rsidRDefault="009B6C6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4AA3B8" w14:textId="77777777" w:rsidR="00000000" w:rsidRDefault="009B6C69">
            <w:pPr>
              <w:spacing w:after="100"/>
              <w:jc w:val="right"/>
              <w:rPr>
                <w:rFonts w:eastAsia="Times New Roman"/>
              </w:rPr>
            </w:pPr>
            <w:r>
              <w:rPr>
                <w:rFonts w:eastAsia="Times New Roman"/>
                <w:color w:val="000000"/>
                <w:sz w:val="18"/>
                <w:szCs w:val="18"/>
              </w:rPr>
              <w:t>(121)</w:t>
            </w:r>
          </w:p>
        </w:tc>
        <w:tc>
          <w:tcPr>
            <w:tcW w:w="0" w:type="auto"/>
            <w:shd w:val="clear" w:color="auto" w:fill="FFFFFF"/>
            <w:tcMar>
              <w:top w:w="30" w:type="dxa"/>
              <w:left w:w="0" w:type="dxa"/>
              <w:bottom w:w="30" w:type="dxa"/>
              <w:right w:w="20" w:type="dxa"/>
            </w:tcMar>
            <w:vAlign w:val="bottom"/>
            <w:hideMark/>
          </w:tcPr>
          <w:p w14:paraId="7B77B13E"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D78AD7"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F62290" w14:textId="77777777" w:rsidR="00000000" w:rsidRDefault="009B6C69">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bottom"/>
            <w:hideMark/>
          </w:tcPr>
          <w:p w14:paraId="2998BA97"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3B093F" w14:textId="77777777" w:rsidR="00000000" w:rsidRDefault="009B6C69">
            <w:pPr>
              <w:spacing w:after="100"/>
              <w:jc w:val="right"/>
              <w:rPr>
                <w:rFonts w:eastAsia="Times New Roman"/>
                <w:sz w:val="20"/>
                <w:szCs w:val="20"/>
              </w:rPr>
            </w:pPr>
          </w:p>
        </w:tc>
        <w:tc>
          <w:tcPr>
            <w:tcW w:w="0" w:type="auto"/>
            <w:vAlign w:val="center"/>
            <w:hideMark/>
          </w:tcPr>
          <w:p w14:paraId="6ADEA048" w14:textId="77777777" w:rsidR="00000000" w:rsidRDefault="009B6C69">
            <w:pPr>
              <w:spacing w:after="100"/>
              <w:rPr>
                <w:rFonts w:eastAsia="Times New Roman"/>
                <w:sz w:val="20"/>
                <w:szCs w:val="20"/>
              </w:rPr>
            </w:pPr>
          </w:p>
        </w:tc>
        <w:tc>
          <w:tcPr>
            <w:tcW w:w="0" w:type="auto"/>
            <w:vAlign w:val="center"/>
            <w:hideMark/>
          </w:tcPr>
          <w:p w14:paraId="79B7E7A8"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3F21D4" w14:textId="77777777" w:rsidR="00000000" w:rsidRDefault="009B6C69">
            <w:pPr>
              <w:spacing w:after="100"/>
              <w:jc w:val="right"/>
              <w:rPr>
                <w:rFonts w:eastAsia="Times New Roman"/>
              </w:rPr>
            </w:pPr>
            <w:r>
              <w:rPr>
                <w:rFonts w:eastAsia="Times New Roman"/>
                <w:color w:val="000000"/>
                <w:sz w:val="18"/>
                <w:szCs w:val="18"/>
              </w:rPr>
              <w:t>(125)</w:t>
            </w:r>
          </w:p>
        </w:tc>
        <w:tc>
          <w:tcPr>
            <w:tcW w:w="0" w:type="auto"/>
            <w:shd w:val="clear" w:color="auto" w:fill="FFFFFF"/>
            <w:tcMar>
              <w:top w:w="30" w:type="dxa"/>
              <w:left w:w="0" w:type="dxa"/>
              <w:bottom w:w="30" w:type="dxa"/>
              <w:right w:w="20" w:type="dxa"/>
            </w:tcMar>
            <w:vAlign w:val="bottom"/>
            <w:hideMark/>
          </w:tcPr>
          <w:p w14:paraId="540176FD" w14:textId="77777777" w:rsidR="00000000" w:rsidRDefault="009B6C69">
            <w:pPr>
              <w:spacing w:after="100"/>
              <w:jc w:val="right"/>
              <w:rPr>
                <w:rFonts w:eastAsia="Times New Roman"/>
              </w:rPr>
            </w:pPr>
          </w:p>
        </w:tc>
      </w:tr>
      <w:tr w:rsidR="00000000" w14:paraId="2E170DFB" w14:textId="77777777">
        <w:trPr>
          <w:divId w:val="782920656"/>
        </w:trPr>
        <w:tc>
          <w:tcPr>
            <w:tcW w:w="0" w:type="auto"/>
            <w:gridSpan w:val="3"/>
            <w:shd w:val="clear" w:color="auto" w:fill="CCEEFF"/>
            <w:tcMar>
              <w:top w:w="30" w:type="dxa"/>
              <w:left w:w="20" w:type="dxa"/>
              <w:bottom w:w="30" w:type="dxa"/>
              <w:right w:w="20" w:type="dxa"/>
            </w:tcMar>
            <w:vAlign w:val="bottom"/>
            <w:hideMark/>
          </w:tcPr>
          <w:p w14:paraId="1B3A189F" w14:textId="77777777" w:rsidR="00000000" w:rsidRDefault="009B6C69">
            <w:pPr>
              <w:spacing w:after="100"/>
              <w:rPr>
                <w:rFonts w:eastAsia="Times New Roman"/>
              </w:rPr>
            </w:pPr>
            <w:r>
              <w:rPr>
                <w:rFonts w:eastAsia="Times New Roman"/>
                <w:b/>
                <w:bCs/>
                <w:color w:val="000000"/>
                <w:sz w:val="18"/>
                <w:szCs w:val="18"/>
              </w:rPr>
              <w:t>Balance at September 25, 2022 (1)</w:t>
            </w:r>
          </w:p>
        </w:tc>
        <w:tc>
          <w:tcPr>
            <w:tcW w:w="0" w:type="auto"/>
            <w:vAlign w:val="center"/>
            <w:hideMark/>
          </w:tcPr>
          <w:p w14:paraId="1ECF3B1E" w14:textId="77777777" w:rsidR="00000000" w:rsidRDefault="009B6C6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F1BBFF3"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69F7CC8" w14:textId="77777777" w:rsidR="00000000" w:rsidRDefault="009B6C69">
            <w:pPr>
              <w:spacing w:after="100"/>
              <w:jc w:val="right"/>
              <w:rPr>
                <w:rFonts w:eastAsia="Times New Roman"/>
              </w:rPr>
            </w:pPr>
            <w:r>
              <w:rPr>
                <w:rFonts w:eastAsia="Times New Roman"/>
                <w:color w:val="000000"/>
                <w:sz w:val="18"/>
                <w:szCs w:val="18"/>
              </w:rPr>
              <w:t>9,777 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F82E4A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8A3533"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27ECA1"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AD7CC9" w14:textId="77777777" w:rsidR="00000000" w:rsidRDefault="009B6C69">
            <w:pPr>
              <w:spacing w:after="100"/>
              <w:jc w:val="right"/>
              <w:rPr>
                <w:rFonts w:eastAsia="Times New Roman"/>
              </w:rPr>
            </w:pPr>
            <w:r>
              <w:rPr>
                <w:rFonts w:eastAsia="Times New Roman"/>
                <w:color w:val="000000"/>
                <w:sz w:val="18"/>
                <w:szCs w:val="18"/>
              </w:rPr>
              <w:t>731 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898E98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431B2A" w14:textId="77777777" w:rsidR="00000000" w:rsidRDefault="009B6C69">
            <w:pPr>
              <w:spacing w:after="100"/>
              <w:jc w:val="right"/>
              <w:rPr>
                <w:rFonts w:eastAsia="Times New Roman"/>
                <w:sz w:val="20"/>
                <w:szCs w:val="20"/>
              </w:rPr>
            </w:pPr>
          </w:p>
        </w:tc>
        <w:tc>
          <w:tcPr>
            <w:tcW w:w="0" w:type="auto"/>
            <w:vAlign w:val="center"/>
            <w:hideMark/>
          </w:tcPr>
          <w:p w14:paraId="5275FEB8" w14:textId="77777777" w:rsidR="00000000" w:rsidRDefault="009B6C69">
            <w:pPr>
              <w:spacing w:after="100"/>
              <w:rPr>
                <w:rFonts w:eastAsia="Times New Roman"/>
                <w:sz w:val="20"/>
                <w:szCs w:val="20"/>
              </w:rPr>
            </w:pPr>
          </w:p>
        </w:tc>
        <w:tc>
          <w:tcPr>
            <w:tcW w:w="0" w:type="auto"/>
            <w:vAlign w:val="center"/>
            <w:hideMark/>
          </w:tcPr>
          <w:p w14:paraId="13B9AA72" w14:textId="77777777" w:rsidR="00000000" w:rsidRDefault="009B6C69">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CC8379"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4DC8B4E" w14:textId="77777777" w:rsidR="00000000" w:rsidRDefault="009B6C69">
            <w:pPr>
              <w:spacing w:after="100"/>
              <w:jc w:val="right"/>
              <w:rPr>
                <w:rFonts w:eastAsia="Times New Roman"/>
              </w:rPr>
            </w:pPr>
            <w:r>
              <w:rPr>
                <w:rFonts w:eastAsia="Times New Roman"/>
                <w:color w:val="000000"/>
                <w:sz w:val="18"/>
                <w:szCs w:val="18"/>
              </w:rPr>
              <w:t>10,508 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BD8FAB6" w14:textId="77777777" w:rsidR="00000000" w:rsidRDefault="009B6C69">
            <w:pPr>
              <w:spacing w:after="100"/>
              <w:jc w:val="right"/>
              <w:rPr>
                <w:rFonts w:eastAsia="Times New Roman"/>
              </w:rPr>
            </w:pPr>
          </w:p>
        </w:tc>
      </w:tr>
    </w:tbl>
    <w:p w14:paraId="4580254F" w14:textId="77777777" w:rsidR="00000000" w:rsidRDefault="009B6C69">
      <w:pPr>
        <w:divId w:val="576089698"/>
        <w:rPr>
          <w:rFonts w:eastAsia="Times New Roman"/>
        </w:rPr>
      </w:pPr>
      <w:r>
        <w:rPr>
          <w:rFonts w:eastAsia="Times New Roman"/>
          <w:color w:val="000000"/>
          <w:sz w:val="18"/>
          <w:szCs w:val="18"/>
        </w:rPr>
        <w:t>(1) Cumulative goodwill impairments were $812 million at both September 25, 2022 and September 26,</w:t>
      </w:r>
      <w:r>
        <w:rPr>
          <w:rFonts w:eastAsia="Times New Roman"/>
          <w:color w:val="000000"/>
          <w:sz w:val="18"/>
          <w:szCs w:val="18"/>
        </w:rPr>
        <w:t xml:space="preserve"> 2021.</w:t>
      </w:r>
    </w:p>
    <w:p w14:paraId="60241A58" w14:textId="77777777" w:rsidR="00000000" w:rsidRDefault="009B6C69">
      <w:pPr>
        <w:ind w:firstLine="360"/>
        <w:divId w:val="1151605114"/>
        <w:rPr>
          <w:rFonts w:eastAsia="Times New Roman"/>
        </w:rPr>
      </w:pPr>
      <w:r>
        <w:rPr>
          <w:rFonts w:eastAsia="Times New Roman"/>
          <w:color w:val="000000"/>
          <w:sz w:val="20"/>
          <w:szCs w:val="20"/>
        </w:rPr>
        <w:t>The components of other intangible assets, net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1651"/>
        <w:gridCol w:w="36"/>
        <w:gridCol w:w="111"/>
        <w:gridCol w:w="707"/>
        <w:gridCol w:w="36"/>
        <w:gridCol w:w="36"/>
        <w:gridCol w:w="36"/>
        <w:gridCol w:w="36"/>
        <w:gridCol w:w="111"/>
        <w:gridCol w:w="973"/>
        <w:gridCol w:w="36"/>
        <w:gridCol w:w="36"/>
        <w:gridCol w:w="36"/>
        <w:gridCol w:w="36"/>
        <w:gridCol w:w="86"/>
        <w:gridCol w:w="936"/>
        <w:gridCol w:w="36"/>
        <w:gridCol w:w="36"/>
        <w:gridCol w:w="36"/>
        <w:gridCol w:w="36"/>
        <w:gridCol w:w="111"/>
        <w:gridCol w:w="681"/>
        <w:gridCol w:w="36"/>
        <w:gridCol w:w="36"/>
        <w:gridCol w:w="36"/>
        <w:gridCol w:w="36"/>
        <w:gridCol w:w="111"/>
        <w:gridCol w:w="973"/>
        <w:gridCol w:w="36"/>
        <w:gridCol w:w="36"/>
        <w:gridCol w:w="36"/>
        <w:gridCol w:w="36"/>
        <w:gridCol w:w="86"/>
        <w:gridCol w:w="936"/>
        <w:gridCol w:w="36"/>
      </w:tblGrid>
      <w:tr w:rsidR="00000000" w14:paraId="63512CC4" w14:textId="77777777">
        <w:trPr>
          <w:divId w:val="1942764773"/>
        </w:trPr>
        <w:tc>
          <w:tcPr>
            <w:tcW w:w="50" w:type="pct"/>
            <w:vAlign w:val="center"/>
            <w:hideMark/>
          </w:tcPr>
          <w:p w14:paraId="64138938" w14:textId="77777777" w:rsidR="00000000" w:rsidRDefault="009B6C69">
            <w:pPr>
              <w:ind w:firstLine="360"/>
              <w:rPr>
                <w:rFonts w:eastAsia="Times New Roman"/>
              </w:rPr>
            </w:pPr>
          </w:p>
        </w:tc>
        <w:tc>
          <w:tcPr>
            <w:tcW w:w="1142" w:type="pct"/>
            <w:vAlign w:val="center"/>
            <w:hideMark/>
          </w:tcPr>
          <w:p w14:paraId="5C840EB8" w14:textId="77777777" w:rsidR="00000000" w:rsidRDefault="009B6C69">
            <w:pPr>
              <w:spacing w:after="100"/>
              <w:rPr>
                <w:rFonts w:eastAsia="Times New Roman"/>
                <w:sz w:val="20"/>
                <w:szCs w:val="20"/>
              </w:rPr>
            </w:pPr>
          </w:p>
        </w:tc>
        <w:tc>
          <w:tcPr>
            <w:tcW w:w="5" w:type="pct"/>
            <w:vAlign w:val="center"/>
            <w:hideMark/>
          </w:tcPr>
          <w:p w14:paraId="51359FD4" w14:textId="77777777" w:rsidR="00000000" w:rsidRDefault="009B6C69">
            <w:pPr>
              <w:spacing w:after="100"/>
              <w:rPr>
                <w:rFonts w:eastAsia="Times New Roman"/>
                <w:sz w:val="20"/>
                <w:szCs w:val="20"/>
              </w:rPr>
            </w:pPr>
          </w:p>
        </w:tc>
        <w:tc>
          <w:tcPr>
            <w:tcW w:w="50" w:type="pct"/>
            <w:vAlign w:val="center"/>
            <w:hideMark/>
          </w:tcPr>
          <w:p w14:paraId="114172F1" w14:textId="77777777" w:rsidR="00000000" w:rsidRDefault="009B6C69">
            <w:pPr>
              <w:spacing w:after="100"/>
              <w:rPr>
                <w:rFonts w:eastAsia="Times New Roman"/>
                <w:sz w:val="20"/>
                <w:szCs w:val="20"/>
              </w:rPr>
            </w:pPr>
          </w:p>
        </w:tc>
        <w:tc>
          <w:tcPr>
            <w:tcW w:w="547" w:type="pct"/>
            <w:vAlign w:val="center"/>
            <w:hideMark/>
          </w:tcPr>
          <w:p w14:paraId="16E342BF" w14:textId="77777777" w:rsidR="00000000" w:rsidRDefault="009B6C69">
            <w:pPr>
              <w:spacing w:after="100"/>
              <w:rPr>
                <w:rFonts w:eastAsia="Times New Roman"/>
                <w:sz w:val="20"/>
                <w:szCs w:val="20"/>
              </w:rPr>
            </w:pPr>
          </w:p>
        </w:tc>
        <w:tc>
          <w:tcPr>
            <w:tcW w:w="5" w:type="pct"/>
            <w:vAlign w:val="center"/>
            <w:hideMark/>
          </w:tcPr>
          <w:p w14:paraId="27845FE5" w14:textId="77777777" w:rsidR="00000000" w:rsidRDefault="009B6C69">
            <w:pPr>
              <w:spacing w:after="100"/>
              <w:rPr>
                <w:rFonts w:eastAsia="Times New Roman"/>
                <w:sz w:val="20"/>
                <w:szCs w:val="20"/>
              </w:rPr>
            </w:pPr>
          </w:p>
        </w:tc>
        <w:tc>
          <w:tcPr>
            <w:tcW w:w="5" w:type="pct"/>
            <w:vAlign w:val="center"/>
            <w:hideMark/>
          </w:tcPr>
          <w:p w14:paraId="1C5FAB1C" w14:textId="77777777" w:rsidR="00000000" w:rsidRDefault="009B6C69">
            <w:pPr>
              <w:spacing w:after="100"/>
              <w:rPr>
                <w:rFonts w:eastAsia="Times New Roman"/>
                <w:sz w:val="20"/>
                <w:szCs w:val="20"/>
              </w:rPr>
            </w:pPr>
          </w:p>
        </w:tc>
        <w:tc>
          <w:tcPr>
            <w:tcW w:w="27" w:type="pct"/>
            <w:vAlign w:val="center"/>
            <w:hideMark/>
          </w:tcPr>
          <w:p w14:paraId="1D341FA0" w14:textId="77777777" w:rsidR="00000000" w:rsidRDefault="009B6C69">
            <w:pPr>
              <w:spacing w:after="100"/>
              <w:rPr>
                <w:rFonts w:eastAsia="Times New Roman"/>
                <w:sz w:val="20"/>
                <w:szCs w:val="20"/>
              </w:rPr>
            </w:pPr>
          </w:p>
        </w:tc>
        <w:tc>
          <w:tcPr>
            <w:tcW w:w="5" w:type="pct"/>
            <w:vAlign w:val="center"/>
            <w:hideMark/>
          </w:tcPr>
          <w:p w14:paraId="73ADF76B" w14:textId="77777777" w:rsidR="00000000" w:rsidRDefault="009B6C69">
            <w:pPr>
              <w:spacing w:after="100"/>
              <w:rPr>
                <w:rFonts w:eastAsia="Times New Roman"/>
                <w:sz w:val="20"/>
                <w:szCs w:val="20"/>
              </w:rPr>
            </w:pPr>
          </w:p>
        </w:tc>
        <w:tc>
          <w:tcPr>
            <w:tcW w:w="50" w:type="pct"/>
            <w:vAlign w:val="center"/>
            <w:hideMark/>
          </w:tcPr>
          <w:p w14:paraId="73F9A9D8" w14:textId="77777777" w:rsidR="00000000" w:rsidRDefault="009B6C69">
            <w:pPr>
              <w:spacing w:after="100"/>
              <w:rPr>
                <w:rFonts w:eastAsia="Times New Roman"/>
                <w:sz w:val="20"/>
                <w:szCs w:val="20"/>
              </w:rPr>
            </w:pPr>
          </w:p>
        </w:tc>
        <w:tc>
          <w:tcPr>
            <w:tcW w:w="547" w:type="pct"/>
            <w:vAlign w:val="center"/>
            <w:hideMark/>
          </w:tcPr>
          <w:p w14:paraId="4BF5CBEA" w14:textId="77777777" w:rsidR="00000000" w:rsidRDefault="009B6C69">
            <w:pPr>
              <w:spacing w:after="100"/>
              <w:rPr>
                <w:rFonts w:eastAsia="Times New Roman"/>
                <w:sz w:val="20"/>
                <w:szCs w:val="20"/>
              </w:rPr>
            </w:pPr>
          </w:p>
        </w:tc>
        <w:tc>
          <w:tcPr>
            <w:tcW w:w="5" w:type="pct"/>
            <w:vAlign w:val="center"/>
            <w:hideMark/>
          </w:tcPr>
          <w:p w14:paraId="2F9CA102" w14:textId="77777777" w:rsidR="00000000" w:rsidRDefault="009B6C69">
            <w:pPr>
              <w:spacing w:after="100"/>
              <w:rPr>
                <w:rFonts w:eastAsia="Times New Roman"/>
                <w:sz w:val="20"/>
                <w:szCs w:val="20"/>
              </w:rPr>
            </w:pPr>
          </w:p>
        </w:tc>
        <w:tc>
          <w:tcPr>
            <w:tcW w:w="5" w:type="pct"/>
            <w:vAlign w:val="center"/>
            <w:hideMark/>
          </w:tcPr>
          <w:p w14:paraId="26D98AC4" w14:textId="77777777" w:rsidR="00000000" w:rsidRDefault="009B6C69">
            <w:pPr>
              <w:spacing w:after="100"/>
              <w:rPr>
                <w:rFonts w:eastAsia="Times New Roman"/>
                <w:sz w:val="20"/>
                <w:szCs w:val="20"/>
              </w:rPr>
            </w:pPr>
          </w:p>
        </w:tc>
        <w:tc>
          <w:tcPr>
            <w:tcW w:w="27" w:type="pct"/>
            <w:vAlign w:val="center"/>
            <w:hideMark/>
          </w:tcPr>
          <w:p w14:paraId="02AD4E29" w14:textId="77777777" w:rsidR="00000000" w:rsidRDefault="009B6C69">
            <w:pPr>
              <w:spacing w:after="100"/>
              <w:rPr>
                <w:rFonts w:eastAsia="Times New Roman"/>
                <w:sz w:val="20"/>
                <w:szCs w:val="20"/>
              </w:rPr>
            </w:pPr>
          </w:p>
        </w:tc>
        <w:tc>
          <w:tcPr>
            <w:tcW w:w="5" w:type="pct"/>
            <w:vAlign w:val="center"/>
            <w:hideMark/>
          </w:tcPr>
          <w:p w14:paraId="4D9C1CE9" w14:textId="77777777" w:rsidR="00000000" w:rsidRDefault="009B6C69">
            <w:pPr>
              <w:spacing w:after="100"/>
              <w:rPr>
                <w:rFonts w:eastAsia="Times New Roman"/>
                <w:sz w:val="20"/>
                <w:szCs w:val="20"/>
              </w:rPr>
            </w:pPr>
          </w:p>
        </w:tc>
        <w:tc>
          <w:tcPr>
            <w:tcW w:w="50" w:type="pct"/>
            <w:vAlign w:val="center"/>
            <w:hideMark/>
          </w:tcPr>
          <w:p w14:paraId="790E0251" w14:textId="77777777" w:rsidR="00000000" w:rsidRDefault="009B6C69">
            <w:pPr>
              <w:spacing w:after="100"/>
              <w:rPr>
                <w:rFonts w:eastAsia="Times New Roman"/>
                <w:sz w:val="20"/>
                <w:szCs w:val="20"/>
              </w:rPr>
            </w:pPr>
          </w:p>
        </w:tc>
        <w:tc>
          <w:tcPr>
            <w:tcW w:w="547" w:type="pct"/>
            <w:vAlign w:val="center"/>
            <w:hideMark/>
          </w:tcPr>
          <w:p w14:paraId="297BCEF2" w14:textId="77777777" w:rsidR="00000000" w:rsidRDefault="009B6C69">
            <w:pPr>
              <w:spacing w:after="100"/>
              <w:rPr>
                <w:rFonts w:eastAsia="Times New Roman"/>
                <w:sz w:val="20"/>
                <w:szCs w:val="20"/>
              </w:rPr>
            </w:pPr>
          </w:p>
        </w:tc>
        <w:tc>
          <w:tcPr>
            <w:tcW w:w="5" w:type="pct"/>
            <w:vAlign w:val="center"/>
            <w:hideMark/>
          </w:tcPr>
          <w:p w14:paraId="0DBED496" w14:textId="77777777" w:rsidR="00000000" w:rsidRDefault="009B6C69">
            <w:pPr>
              <w:spacing w:after="100"/>
              <w:rPr>
                <w:rFonts w:eastAsia="Times New Roman"/>
                <w:sz w:val="20"/>
                <w:szCs w:val="20"/>
              </w:rPr>
            </w:pPr>
          </w:p>
        </w:tc>
        <w:tc>
          <w:tcPr>
            <w:tcW w:w="5" w:type="pct"/>
            <w:vAlign w:val="center"/>
            <w:hideMark/>
          </w:tcPr>
          <w:p w14:paraId="6CEE3A95" w14:textId="77777777" w:rsidR="00000000" w:rsidRDefault="009B6C69">
            <w:pPr>
              <w:spacing w:after="100"/>
              <w:rPr>
                <w:rFonts w:eastAsia="Times New Roman"/>
                <w:sz w:val="20"/>
                <w:szCs w:val="20"/>
              </w:rPr>
            </w:pPr>
          </w:p>
        </w:tc>
        <w:tc>
          <w:tcPr>
            <w:tcW w:w="27" w:type="pct"/>
            <w:vAlign w:val="center"/>
            <w:hideMark/>
          </w:tcPr>
          <w:p w14:paraId="0A4A59E6" w14:textId="77777777" w:rsidR="00000000" w:rsidRDefault="009B6C69">
            <w:pPr>
              <w:spacing w:after="100"/>
              <w:rPr>
                <w:rFonts w:eastAsia="Times New Roman"/>
                <w:sz w:val="20"/>
                <w:szCs w:val="20"/>
              </w:rPr>
            </w:pPr>
          </w:p>
        </w:tc>
        <w:tc>
          <w:tcPr>
            <w:tcW w:w="5" w:type="pct"/>
            <w:vAlign w:val="center"/>
            <w:hideMark/>
          </w:tcPr>
          <w:p w14:paraId="61677218" w14:textId="77777777" w:rsidR="00000000" w:rsidRDefault="009B6C69">
            <w:pPr>
              <w:spacing w:after="100"/>
              <w:rPr>
                <w:rFonts w:eastAsia="Times New Roman"/>
                <w:sz w:val="20"/>
                <w:szCs w:val="20"/>
              </w:rPr>
            </w:pPr>
          </w:p>
        </w:tc>
        <w:tc>
          <w:tcPr>
            <w:tcW w:w="50" w:type="pct"/>
            <w:vAlign w:val="center"/>
            <w:hideMark/>
          </w:tcPr>
          <w:p w14:paraId="5890DCA2" w14:textId="77777777" w:rsidR="00000000" w:rsidRDefault="009B6C69">
            <w:pPr>
              <w:spacing w:after="100"/>
              <w:rPr>
                <w:rFonts w:eastAsia="Times New Roman"/>
                <w:sz w:val="20"/>
                <w:szCs w:val="20"/>
              </w:rPr>
            </w:pPr>
          </w:p>
        </w:tc>
        <w:tc>
          <w:tcPr>
            <w:tcW w:w="547" w:type="pct"/>
            <w:vAlign w:val="center"/>
            <w:hideMark/>
          </w:tcPr>
          <w:p w14:paraId="486D0B7E" w14:textId="77777777" w:rsidR="00000000" w:rsidRDefault="009B6C69">
            <w:pPr>
              <w:spacing w:after="100"/>
              <w:rPr>
                <w:rFonts w:eastAsia="Times New Roman"/>
                <w:sz w:val="20"/>
                <w:szCs w:val="20"/>
              </w:rPr>
            </w:pPr>
          </w:p>
        </w:tc>
        <w:tc>
          <w:tcPr>
            <w:tcW w:w="5" w:type="pct"/>
            <w:vAlign w:val="center"/>
            <w:hideMark/>
          </w:tcPr>
          <w:p w14:paraId="1A5EB60B" w14:textId="77777777" w:rsidR="00000000" w:rsidRDefault="009B6C69">
            <w:pPr>
              <w:spacing w:after="100"/>
              <w:rPr>
                <w:rFonts w:eastAsia="Times New Roman"/>
                <w:sz w:val="20"/>
                <w:szCs w:val="20"/>
              </w:rPr>
            </w:pPr>
          </w:p>
        </w:tc>
        <w:tc>
          <w:tcPr>
            <w:tcW w:w="5" w:type="pct"/>
            <w:vAlign w:val="center"/>
            <w:hideMark/>
          </w:tcPr>
          <w:p w14:paraId="3E7A9299" w14:textId="77777777" w:rsidR="00000000" w:rsidRDefault="009B6C69">
            <w:pPr>
              <w:spacing w:after="100"/>
              <w:rPr>
                <w:rFonts w:eastAsia="Times New Roman"/>
                <w:sz w:val="20"/>
                <w:szCs w:val="20"/>
              </w:rPr>
            </w:pPr>
          </w:p>
        </w:tc>
        <w:tc>
          <w:tcPr>
            <w:tcW w:w="27" w:type="pct"/>
            <w:vAlign w:val="center"/>
            <w:hideMark/>
          </w:tcPr>
          <w:p w14:paraId="7F56BFCF" w14:textId="77777777" w:rsidR="00000000" w:rsidRDefault="009B6C69">
            <w:pPr>
              <w:spacing w:after="100"/>
              <w:rPr>
                <w:rFonts w:eastAsia="Times New Roman"/>
                <w:sz w:val="20"/>
                <w:szCs w:val="20"/>
              </w:rPr>
            </w:pPr>
          </w:p>
        </w:tc>
        <w:tc>
          <w:tcPr>
            <w:tcW w:w="5" w:type="pct"/>
            <w:vAlign w:val="center"/>
            <w:hideMark/>
          </w:tcPr>
          <w:p w14:paraId="3E096C4C" w14:textId="77777777" w:rsidR="00000000" w:rsidRDefault="009B6C69">
            <w:pPr>
              <w:spacing w:after="100"/>
              <w:rPr>
                <w:rFonts w:eastAsia="Times New Roman"/>
                <w:sz w:val="20"/>
                <w:szCs w:val="20"/>
              </w:rPr>
            </w:pPr>
          </w:p>
        </w:tc>
        <w:tc>
          <w:tcPr>
            <w:tcW w:w="50" w:type="pct"/>
            <w:vAlign w:val="center"/>
            <w:hideMark/>
          </w:tcPr>
          <w:p w14:paraId="0A8C8272" w14:textId="77777777" w:rsidR="00000000" w:rsidRDefault="009B6C69">
            <w:pPr>
              <w:spacing w:after="100"/>
              <w:rPr>
                <w:rFonts w:eastAsia="Times New Roman"/>
                <w:sz w:val="20"/>
                <w:szCs w:val="20"/>
              </w:rPr>
            </w:pPr>
          </w:p>
        </w:tc>
        <w:tc>
          <w:tcPr>
            <w:tcW w:w="547" w:type="pct"/>
            <w:vAlign w:val="center"/>
            <w:hideMark/>
          </w:tcPr>
          <w:p w14:paraId="4B74F2EE" w14:textId="77777777" w:rsidR="00000000" w:rsidRDefault="009B6C69">
            <w:pPr>
              <w:spacing w:after="100"/>
              <w:rPr>
                <w:rFonts w:eastAsia="Times New Roman"/>
                <w:sz w:val="20"/>
                <w:szCs w:val="20"/>
              </w:rPr>
            </w:pPr>
          </w:p>
        </w:tc>
        <w:tc>
          <w:tcPr>
            <w:tcW w:w="5" w:type="pct"/>
            <w:vAlign w:val="center"/>
            <w:hideMark/>
          </w:tcPr>
          <w:p w14:paraId="6098720B" w14:textId="77777777" w:rsidR="00000000" w:rsidRDefault="009B6C69">
            <w:pPr>
              <w:spacing w:after="100"/>
              <w:rPr>
                <w:rFonts w:eastAsia="Times New Roman"/>
                <w:sz w:val="20"/>
                <w:szCs w:val="20"/>
              </w:rPr>
            </w:pPr>
          </w:p>
        </w:tc>
        <w:tc>
          <w:tcPr>
            <w:tcW w:w="5" w:type="pct"/>
            <w:vAlign w:val="center"/>
            <w:hideMark/>
          </w:tcPr>
          <w:p w14:paraId="535C0B2D" w14:textId="77777777" w:rsidR="00000000" w:rsidRDefault="009B6C69">
            <w:pPr>
              <w:spacing w:after="100"/>
              <w:rPr>
                <w:rFonts w:eastAsia="Times New Roman"/>
                <w:sz w:val="20"/>
                <w:szCs w:val="20"/>
              </w:rPr>
            </w:pPr>
          </w:p>
        </w:tc>
        <w:tc>
          <w:tcPr>
            <w:tcW w:w="27" w:type="pct"/>
            <w:vAlign w:val="center"/>
            <w:hideMark/>
          </w:tcPr>
          <w:p w14:paraId="0D25AEDE" w14:textId="77777777" w:rsidR="00000000" w:rsidRDefault="009B6C69">
            <w:pPr>
              <w:spacing w:after="100"/>
              <w:rPr>
                <w:rFonts w:eastAsia="Times New Roman"/>
                <w:sz w:val="20"/>
                <w:szCs w:val="20"/>
              </w:rPr>
            </w:pPr>
          </w:p>
        </w:tc>
        <w:tc>
          <w:tcPr>
            <w:tcW w:w="5" w:type="pct"/>
            <w:vAlign w:val="center"/>
            <w:hideMark/>
          </w:tcPr>
          <w:p w14:paraId="79B2353D" w14:textId="77777777" w:rsidR="00000000" w:rsidRDefault="009B6C69">
            <w:pPr>
              <w:spacing w:after="100"/>
              <w:rPr>
                <w:rFonts w:eastAsia="Times New Roman"/>
                <w:sz w:val="20"/>
                <w:szCs w:val="20"/>
              </w:rPr>
            </w:pPr>
          </w:p>
        </w:tc>
        <w:tc>
          <w:tcPr>
            <w:tcW w:w="50" w:type="pct"/>
            <w:vAlign w:val="center"/>
            <w:hideMark/>
          </w:tcPr>
          <w:p w14:paraId="44B16703" w14:textId="77777777" w:rsidR="00000000" w:rsidRDefault="009B6C69">
            <w:pPr>
              <w:spacing w:after="100"/>
              <w:rPr>
                <w:rFonts w:eastAsia="Times New Roman"/>
                <w:sz w:val="20"/>
                <w:szCs w:val="20"/>
              </w:rPr>
            </w:pPr>
          </w:p>
        </w:tc>
        <w:tc>
          <w:tcPr>
            <w:tcW w:w="547" w:type="pct"/>
            <w:vAlign w:val="center"/>
            <w:hideMark/>
          </w:tcPr>
          <w:p w14:paraId="64C9AFAF" w14:textId="77777777" w:rsidR="00000000" w:rsidRDefault="009B6C69">
            <w:pPr>
              <w:spacing w:after="100"/>
              <w:rPr>
                <w:rFonts w:eastAsia="Times New Roman"/>
                <w:sz w:val="20"/>
                <w:szCs w:val="20"/>
              </w:rPr>
            </w:pPr>
          </w:p>
        </w:tc>
        <w:tc>
          <w:tcPr>
            <w:tcW w:w="5" w:type="pct"/>
            <w:vAlign w:val="center"/>
            <w:hideMark/>
          </w:tcPr>
          <w:p w14:paraId="2865C55C" w14:textId="77777777" w:rsidR="00000000" w:rsidRDefault="009B6C69">
            <w:pPr>
              <w:spacing w:after="100"/>
              <w:rPr>
                <w:rFonts w:eastAsia="Times New Roman"/>
                <w:sz w:val="20"/>
                <w:szCs w:val="20"/>
              </w:rPr>
            </w:pPr>
          </w:p>
        </w:tc>
      </w:tr>
      <w:tr w:rsidR="00000000" w14:paraId="32826864" w14:textId="77777777">
        <w:trPr>
          <w:divId w:val="1942764773"/>
        </w:trPr>
        <w:tc>
          <w:tcPr>
            <w:tcW w:w="0" w:type="auto"/>
            <w:gridSpan w:val="3"/>
            <w:tcMar>
              <w:top w:w="0" w:type="dxa"/>
              <w:left w:w="20" w:type="dxa"/>
              <w:bottom w:w="0" w:type="dxa"/>
              <w:right w:w="20" w:type="dxa"/>
            </w:tcMar>
            <w:vAlign w:val="center"/>
            <w:hideMark/>
          </w:tcPr>
          <w:p w14:paraId="3C2F4CF2" w14:textId="77777777" w:rsidR="00000000" w:rsidRDefault="009B6C69">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7DA7AF69" w14:textId="77777777" w:rsidR="00000000" w:rsidRDefault="009B6C69">
            <w:pPr>
              <w:spacing w:after="100"/>
              <w:jc w:val="center"/>
              <w:rPr>
                <w:rFonts w:eastAsia="Times New Roman"/>
              </w:rPr>
            </w:pPr>
            <w:r>
              <w:rPr>
                <w:rFonts w:eastAsia="Times New Roman"/>
                <w:b/>
                <w:bCs/>
                <w:color w:val="000000"/>
                <w:sz w:val="18"/>
                <w:szCs w:val="18"/>
              </w:rPr>
              <w:t>September 25, 2022</w:t>
            </w:r>
          </w:p>
        </w:tc>
        <w:tc>
          <w:tcPr>
            <w:tcW w:w="0" w:type="auto"/>
            <w:gridSpan w:val="3"/>
            <w:tcMar>
              <w:top w:w="0" w:type="dxa"/>
              <w:left w:w="20" w:type="dxa"/>
              <w:bottom w:w="0" w:type="dxa"/>
              <w:right w:w="20" w:type="dxa"/>
            </w:tcMar>
            <w:vAlign w:val="center"/>
            <w:hideMark/>
          </w:tcPr>
          <w:p w14:paraId="250144A2" w14:textId="77777777" w:rsidR="00000000" w:rsidRDefault="009B6C69">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3CB2CD7F" w14:textId="77777777" w:rsidR="00000000" w:rsidRDefault="009B6C69">
            <w:pPr>
              <w:spacing w:after="100"/>
              <w:jc w:val="center"/>
              <w:rPr>
                <w:rFonts w:eastAsia="Times New Roman"/>
              </w:rPr>
            </w:pPr>
            <w:r>
              <w:rPr>
                <w:rFonts w:eastAsia="Times New Roman"/>
                <w:b/>
                <w:bCs/>
                <w:color w:val="000000"/>
                <w:sz w:val="18"/>
                <w:szCs w:val="18"/>
              </w:rPr>
              <w:t>September 26, 2021</w:t>
            </w:r>
          </w:p>
        </w:tc>
      </w:tr>
      <w:tr w:rsidR="00000000" w14:paraId="1BB28C1E" w14:textId="77777777">
        <w:trPr>
          <w:divId w:val="1942764773"/>
        </w:trPr>
        <w:tc>
          <w:tcPr>
            <w:tcW w:w="0" w:type="auto"/>
            <w:gridSpan w:val="3"/>
            <w:tcMar>
              <w:top w:w="0" w:type="dxa"/>
              <w:left w:w="20" w:type="dxa"/>
              <w:bottom w:w="0" w:type="dxa"/>
              <w:right w:w="20" w:type="dxa"/>
            </w:tcMar>
            <w:vAlign w:val="center"/>
            <w:hideMark/>
          </w:tcPr>
          <w:p w14:paraId="4FEB8358"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1A9798" w14:textId="77777777" w:rsidR="00000000" w:rsidRDefault="009B6C69">
            <w:pPr>
              <w:spacing w:after="100"/>
              <w:jc w:val="center"/>
              <w:rPr>
                <w:rFonts w:eastAsia="Times New Roman"/>
              </w:rPr>
            </w:pPr>
            <w:r>
              <w:rPr>
                <w:rFonts w:eastAsia="Times New Roman"/>
                <w:b/>
                <w:bCs/>
                <w:color w:val="000000"/>
                <w:sz w:val="18"/>
                <w:szCs w:val="18"/>
              </w:rPr>
              <w:t>Gross Carrying</w:t>
            </w:r>
            <w:r>
              <w:rPr>
                <w:rFonts w:eastAsia="Times New Roman"/>
                <w:b/>
                <w:bCs/>
                <w:color w:val="000000"/>
                <w:sz w:val="18"/>
                <w:szCs w:val="18"/>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2C3666C8"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11C1DA" w14:textId="77777777" w:rsidR="00000000" w:rsidRDefault="009B6C69">
            <w:pPr>
              <w:spacing w:after="100"/>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r>
            <w:r>
              <w:rPr>
                <w:rFonts w:eastAsia="Times New Roman"/>
                <w:b/>
                <w:bCs/>
                <w:color w:val="000000"/>
                <w:sz w:val="18"/>
                <w:szCs w:val="18"/>
              </w:rPr>
              <w:t>Amortization</w:t>
            </w:r>
          </w:p>
        </w:tc>
        <w:tc>
          <w:tcPr>
            <w:tcW w:w="0" w:type="auto"/>
            <w:gridSpan w:val="3"/>
            <w:tcBorders>
              <w:top w:val="single" w:sz="8" w:space="0" w:color="000000"/>
            </w:tcBorders>
            <w:tcMar>
              <w:top w:w="0" w:type="dxa"/>
              <w:left w:w="20" w:type="dxa"/>
              <w:bottom w:w="0" w:type="dxa"/>
              <w:right w:w="20" w:type="dxa"/>
            </w:tcMar>
            <w:vAlign w:val="center"/>
            <w:hideMark/>
          </w:tcPr>
          <w:p w14:paraId="4A468EB4"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DD6650" w14:textId="77777777" w:rsidR="00000000" w:rsidRDefault="009B6C69">
            <w:pPr>
              <w:spacing w:after="100"/>
              <w:jc w:val="center"/>
              <w:rPr>
                <w:rFonts w:eastAsia="Times New Roman"/>
              </w:rPr>
            </w:pPr>
            <w:r>
              <w:rPr>
                <w:rFonts w:eastAsia="Times New Roman"/>
                <w:b/>
                <w:bCs/>
                <w:color w:val="000000"/>
                <w:sz w:val="18"/>
                <w:szCs w:val="18"/>
              </w:rPr>
              <w:t>Weighted-average amortization period</w:t>
            </w:r>
            <w:r>
              <w:rPr>
                <w:rFonts w:eastAsia="Times New Roman"/>
                <w:b/>
                <w:bCs/>
                <w:color w:val="000000"/>
                <w:sz w:val="18"/>
                <w:szCs w:val="18"/>
              </w:rPr>
              <w:br/>
              <w:t>(years)</w:t>
            </w:r>
          </w:p>
        </w:tc>
        <w:tc>
          <w:tcPr>
            <w:tcW w:w="0" w:type="auto"/>
            <w:gridSpan w:val="3"/>
            <w:tcMar>
              <w:top w:w="0" w:type="dxa"/>
              <w:left w:w="20" w:type="dxa"/>
              <w:bottom w:w="0" w:type="dxa"/>
              <w:right w:w="20" w:type="dxa"/>
            </w:tcMar>
            <w:vAlign w:val="center"/>
            <w:hideMark/>
          </w:tcPr>
          <w:p w14:paraId="3BAAB326"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A79977" w14:textId="77777777" w:rsidR="00000000" w:rsidRDefault="009B6C69">
            <w:pPr>
              <w:spacing w:after="100"/>
              <w:jc w:val="center"/>
              <w:rPr>
                <w:rFonts w:eastAsia="Times New Roman"/>
              </w:rPr>
            </w:pPr>
            <w:r>
              <w:rPr>
                <w:rFonts w:eastAsia="Times New Roman"/>
                <w:b/>
                <w:bCs/>
                <w:color w:val="000000"/>
                <w:sz w:val="18"/>
                <w:szCs w:val="18"/>
              </w:rPr>
              <w:t>Gross Carrying</w:t>
            </w:r>
            <w:r>
              <w:rPr>
                <w:rFonts w:eastAsia="Times New Roman"/>
                <w:b/>
                <w:bCs/>
                <w:color w:val="000000"/>
                <w:sz w:val="18"/>
                <w:szCs w:val="18"/>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1EB729D9"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CD2579" w14:textId="77777777" w:rsidR="00000000" w:rsidRDefault="009B6C69">
            <w:pPr>
              <w:spacing w:after="100"/>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t>Amortization</w:t>
            </w:r>
          </w:p>
        </w:tc>
        <w:tc>
          <w:tcPr>
            <w:tcW w:w="0" w:type="auto"/>
            <w:gridSpan w:val="3"/>
            <w:tcBorders>
              <w:top w:val="single" w:sz="8" w:space="0" w:color="000000"/>
            </w:tcBorders>
            <w:tcMar>
              <w:top w:w="0" w:type="dxa"/>
              <w:left w:w="20" w:type="dxa"/>
              <w:bottom w:w="0" w:type="dxa"/>
              <w:right w:w="20" w:type="dxa"/>
            </w:tcMar>
            <w:vAlign w:val="center"/>
            <w:hideMark/>
          </w:tcPr>
          <w:p w14:paraId="20238347"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6FF910" w14:textId="77777777" w:rsidR="00000000" w:rsidRDefault="009B6C69">
            <w:pPr>
              <w:spacing w:after="100"/>
              <w:jc w:val="center"/>
              <w:rPr>
                <w:rFonts w:eastAsia="Times New Roman"/>
              </w:rPr>
            </w:pPr>
            <w:r>
              <w:rPr>
                <w:rFonts w:eastAsia="Times New Roman"/>
                <w:b/>
                <w:bCs/>
                <w:color w:val="000000"/>
                <w:sz w:val="18"/>
                <w:szCs w:val="18"/>
              </w:rPr>
              <w:t>Weighted-average amortization period</w:t>
            </w:r>
            <w:r>
              <w:rPr>
                <w:rFonts w:eastAsia="Times New Roman"/>
                <w:b/>
                <w:bCs/>
                <w:color w:val="000000"/>
                <w:sz w:val="18"/>
                <w:szCs w:val="18"/>
              </w:rPr>
              <w:br/>
              <w:t>(years)</w:t>
            </w:r>
          </w:p>
        </w:tc>
      </w:tr>
      <w:tr w:rsidR="00000000" w14:paraId="1329D8F6" w14:textId="77777777">
        <w:trPr>
          <w:divId w:val="1942764773"/>
        </w:trPr>
        <w:tc>
          <w:tcPr>
            <w:tcW w:w="0" w:type="auto"/>
            <w:gridSpan w:val="3"/>
            <w:shd w:val="clear" w:color="auto" w:fill="CCEEFF"/>
            <w:tcMar>
              <w:top w:w="30" w:type="dxa"/>
              <w:left w:w="20" w:type="dxa"/>
              <w:bottom w:w="30" w:type="dxa"/>
              <w:right w:w="20" w:type="dxa"/>
            </w:tcMar>
            <w:vAlign w:val="bottom"/>
            <w:hideMark/>
          </w:tcPr>
          <w:p w14:paraId="2BB6224F" w14:textId="77777777" w:rsidR="00000000" w:rsidRDefault="009B6C69">
            <w:pPr>
              <w:spacing w:after="100"/>
              <w:rPr>
                <w:rFonts w:eastAsia="Times New Roman"/>
              </w:rPr>
            </w:pPr>
            <w:r>
              <w:rPr>
                <w:rFonts w:eastAsia="Times New Roman"/>
                <w:color w:val="000000"/>
                <w:sz w:val="18"/>
                <w:szCs w:val="18"/>
              </w:rPr>
              <w:t>Technology-based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4EE826"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2CBD2A" w14:textId="77777777" w:rsidR="00000000" w:rsidRDefault="009B6C69">
            <w:pPr>
              <w:spacing w:after="100"/>
              <w:jc w:val="right"/>
              <w:rPr>
                <w:rFonts w:eastAsia="Times New Roman"/>
              </w:rPr>
            </w:pPr>
            <w:r>
              <w:rPr>
                <w:rFonts w:eastAsia="Times New Roman"/>
                <w:color w:val="000000"/>
                <w:sz w:val="18"/>
                <w:szCs w:val="18"/>
              </w:rPr>
              <w:t>5,517 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61D96A"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DE7339"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F748FE"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B818B5" w14:textId="77777777" w:rsidR="00000000" w:rsidRDefault="009B6C69">
            <w:pPr>
              <w:spacing w:after="100"/>
              <w:jc w:val="right"/>
              <w:rPr>
                <w:rFonts w:eastAsia="Times New Roman"/>
              </w:rPr>
            </w:pPr>
            <w:r>
              <w:rPr>
                <w:rFonts w:eastAsia="Times New Roman"/>
                <w:color w:val="000000"/>
                <w:sz w:val="18"/>
                <w:szCs w:val="18"/>
              </w:rPr>
              <w:t>(3,669)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98A8D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919505" w14:textId="77777777" w:rsidR="00000000" w:rsidRDefault="009B6C69">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70ED003" w14:textId="77777777" w:rsidR="00000000" w:rsidRDefault="009B6C69">
            <w:pPr>
              <w:spacing w:after="100"/>
              <w:jc w:val="center"/>
              <w:rPr>
                <w:rFonts w:eastAsia="Times New Roman"/>
              </w:rPr>
            </w:pPr>
            <w:r>
              <w:rPr>
                <w:rFonts w:eastAsia="Times New Roman"/>
                <w:color w:val="000000"/>
                <w:sz w:val="18"/>
                <w:szCs w:val="18"/>
              </w:rPr>
              <w:t>12</w:t>
            </w:r>
          </w:p>
        </w:tc>
        <w:tc>
          <w:tcPr>
            <w:tcW w:w="0" w:type="auto"/>
            <w:gridSpan w:val="3"/>
            <w:shd w:val="clear" w:color="auto" w:fill="CCEEFF"/>
            <w:tcMar>
              <w:top w:w="0" w:type="dxa"/>
              <w:left w:w="20" w:type="dxa"/>
              <w:bottom w:w="0" w:type="dxa"/>
              <w:right w:w="20" w:type="dxa"/>
            </w:tcMar>
            <w:vAlign w:val="center"/>
            <w:hideMark/>
          </w:tcPr>
          <w:p w14:paraId="7E4ECBD7" w14:textId="77777777" w:rsidR="00000000" w:rsidRDefault="009B6C69">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EF059F"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B76AD1" w14:textId="77777777" w:rsidR="00000000" w:rsidRDefault="009B6C69">
            <w:pPr>
              <w:spacing w:after="100"/>
              <w:jc w:val="right"/>
              <w:rPr>
                <w:rFonts w:eastAsia="Times New Roman"/>
              </w:rPr>
            </w:pPr>
            <w:r>
              <w:rPr>
                <w:rFonts w:eastAsia="Times New Roman"/>
                <w:color w:val="000000"/>
                <w:sz w:val="18"/>
                <w:szCs w:val="18"/>
              </w:rPr>
              <w:t>5,385 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89CDC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A772CD"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EC0ED1"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015ACA" w14:textId="77777777" w:rsidR="00000000" w:rsidRDefault="009B6C69">
            <w:pPr>
              <w:spacing w:after="100"/>
              <w:jc w:val="right"/>
              <w:rPr>
                <w:rFonts w:eastAsia="Times New Roman"/>
              </w:rPr>
            </w:pPr>
            <w:r>
              <w:rPr>
                <w:rFonts w:eastAsia="Times New Roman"/>
                <w:color w:val="000000"/>
                <w:sz w:val="18"/>
                <w:szCs w:val="18"/>
              </w:rPr>
              <w:t>(3,971)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04E2A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790B3F" w14:textId="77777777" w:rsidR="00000000" w:rsidRDefault="009B6C69">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3B14828" w14:textId="77777777" w:rsidR="00000000" w:rsidRDefault="009B6C69">
            <w:pPr>
              <w:spacing w:after="100"/>
              <w:jc w:val="center"/>
              <w:rPr>
                <w:rFonts w:eastAsia="Times New Roman"/>
              </w:rPr>
            </w:pPr>
            <w:r>
              <w:rPr>
                <w:rFonts w:eastAsia="Times New Roman"/>
                <w:color w:val="000000"/>
                <w:sz w:val="18"/>
                <w:szCs w:val="18"/>
              </w:rPr>
              <w:t>11</w:t>
            </w:r>
          </w:p>
        </w:tc>
      </w:tr>
      <w:tr w:rsidR="00000000" w14:paraId="2A6B454B" w14:textId="77777777">
        <w:trPr>
          <w:divId w:val="1942764773"/>
        </w:trPr>
        <w:tc>
          <w:tcPr>
            <w:tcW w:w="0" w:type="auto"/>
            <w:gridSpan w:val="3"/>
            <w:shd w:val="clear" w:color="auto" w:fill="FFFFFF"/>
            <w:tcMar>
              <w:top w:w="30" w:type="dxa"/>
              <w:left w:w="20" w:type="dxa"/>
              <w:bottom w:w="30" w:type="dxa"/>
              <w:right w:w="20" w:type="dxa"/>
            </w:tcMar>
            <w:vAlign w:val="bottom"/>
            <w:hideMark/>
          </w:tcPr>
          <w:p w14:paraId="47751235" w14:textId="77777777" w:rsidR="00000000" w:rsidRDefault="009B6C69">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714867F9" w14:textId="77777777" w:rsidR="00000000" w:rsidRDefault="009B6C69">
            <w:pPr>
              <w:spacing w:after="100"/>
              <w:jc w:val="right"/>
              <w:rPr>
                <w:rFonts w:eastAsia="Times New Roman"/>
              </w:rPr>
            </w:pPr>
            <w:r>
              <w:rPr>
                <w:rFonts w:eastAsia="Times New Roman"/>
                <w:color w:val="000000"/>
                <w:sz w:val="18"/>
                <w:szCs w:val="18"/>
              </w:rPr>
              <w:t>90 </w:t>
            </w:r>
          </w:p>
        </w:tc>
        <w:tc>
          <w:tcPr>
            <w:tcW w:w="0" w:type="auto"/>
            <w:shd w:val="clear" w:color="auto" w:fill="FFFFFF"/>
            <w:tcMar>
              <w:top w:w="30" w:type="dxa"/>
              <w:left w:w="0" w:type="dxa"/>
              <w:bottom w:w="30" w:type="dxa"/>
              <w:right w:w="20" w:type="dxa"/>
            </w:tcMar>
            <w:vAlign w:val="bottom"/>
            <w:hideMark/>
          </w:tcPr>
          <w:p w14:paraId="01C9AACE"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AA5151"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FE57EA" w14:textId="77777777" w:rsidR="00000000" w:rsidRDefault="009B6C69">
            <w:pPr>
              <w:spacing w:after="100"/>
              <w:jc w:val="right"/>
              <w:rPr>
                <w:rFonts w:eastAsia="Times New Roman"/>
              </w:rPr>
            </w:pPr>
            <w:r>
              <w:rPr>
                <w:rFonts w:eastAsia="Times New Roman"/>
                <w:color w:val="000000"/>
                <w:sz w:val="18"/>
                <w:szCs w:val="18"/>
              </w:rPr>
              <w:t>(56)</w:t>
            </w:r>
          </w:p>
        </w:tc>
        <w:tc>
          <w:tcPr>
            <w:tcW w:w="0" w:type="auto"/>
            <w:shd w:val="clear" w:color="auto" w:fill="FFFFFF"/>
            <w:tcMar>
              <w:top w:w="30" w:type="dxa"/>
              <w:left w:w="0" w:type="dxa"/>
              <w:bottom w:w="30" w:type="dxa"/>
              <w:right w:w="20" w:type="dxa"/>
            </w:tcMar>
            <w:vAlign w:val="bottom"/>
            <w:hideMark/>
          </w:tcPr>
          <w:p w14:paraId="087F5B1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D5515A" w14:textId="77777777" w:rsidR="00000000" w:rsidRDefault="009B6C6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A9EA9AF" w14:textId="77777777" w:rsidR="00000000" w:rsidRDefault="009B6C69">
            <w:pPr>
              <w:spacing w:after="100"/>
              <w:jc w:val="center"/>
              <w:rPr>
                <w:rFonts w:eastAsia="Times New Roman"/>
              </w:rPr>
            </w:pPr>
            <w:r>
              <w:rPr>
                <w:rFonts w:eastAsia="Times New Roman"/>
                <w:color w:val="000000"/>
                <w:sz w:val="18"/>
                <w:szCs w:val="18"/>
              </w:rPr>
              <w:t>10</w:t>
            </w:r>
          </w:p>
        </w:tc>
        <w:tc>
          <w:tcPr>
            <w:tcW w:w="0" w:type="auto"/>
            <w:gridSpan w:val="3"/>
            <w:shd w:val="clear" w:color="auto" w:fill="FFFFFF"/>
            <w:tcMar>
              <w:top w:w="0" w:type="dxa"/>
              <w:left w:w="20" w:type="dxa"/>
              <w:bottom w:w="0" w:type="dxa"/>
              <w:right w:w="20" w:type="dxa"/>
            </w:tcMar>
            <w:vAlign w:val="center"/>
            <w:hideMark/>
          </w:tcPr>
          <w:p w14:paraId="43E07D0F" w14:textId="77777777" w:rsidR="00000000" w:rsidRDefault="009B6C69">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2A842A" w14:textId="77777777" w:rsidR="00000000" w:rsidRDefault="009B6C69">
            <w:pPr>
              <w:spacing w:after="100"/>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bottom"/>
            <w:hideMark/>
          </w:tcPr>
          <w:p w14:paraId="781CFF52"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BD23F"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3D6C44" w14:textId="77777777" w:rsidR="00000000" w:rsidRDefault="009B6C69">
            <w:pPr>
              <w:spacing w:after="100"/>
              <w:jc w:val="right"/>
              <w:rPr>
                <w:rFonts w:eastAsia="Times New Roman"/>
              </w:rPr>
            </w:pPr>
            <w:r>
              <w:rPr>
                <w:rFonts w:eastAsia="Times New Roman"/>
                <w:color w:val="000000"/>
                <w:sz w:val="18"/>
                <w:szCs w:val="18"/>
              </w:rPr>
              <w:t>(49)</w:t>
            </w:r>
          </w:p>
        </w:tc>
        <w:tc>
          <w:tcPr>
            <w:tcW w:w="0" w:type="auto"/>
            <w:shd w:val="clear" w:color="auto" w:fill="FFFFFF"/>
            <w:tcMar>
              <w:top w:w="30" w:type="dxa"/>
              <w:left w:w="0" w:type="dxa"/>
              <w:bottom w:w="30" w:type="dxa"/>
              <w:right w:w="20" w:type="dxa"/>
            </w:tcMar>
            <w:vAlign w:val="bottom"/>
            <w:hideMark/>
          </w:tcPr>
          <w:p w14:paraId="576F3B14"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3A47F4" w14:textId="77777777" w:rsidR="00000000" w:rsidRDefault="009B6C6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3E745BE" w14:textId="77777777" w:rsidR="00000000" w:rsidRDefault="009B6C69">
            <w:pPr>
              <w:spacing w:after="100"/>
              <w:jc w:val="center"/>
              <w:rPr>
                <w:rFonts w:eastAsia="Times New Roman"/>
              </w:rPr>
            </w:pPr>
            <w:r>
              <w:rPr>
                <w:rFonts w:eastAsia="Times New Roman"/>
                <w:color w:val="000000"/>
                <w:sz w:val="18"/>
                <w:szCs w:val="18"/>
              </w:rPr>
              <w:t>10</w:t>
            </w:r>
          </w:p>
        </w:tc>
      </w:tr>
      <w:tr w:rsidR="00000000" w14:paraId="1D605A8F" w14:textId="77777777">
        <w:trPr>
          <w:divId w:val="1942764773"/>
        </w:trPr>
        <w:tc>
          <w:tcPr>
            <w:tcW w:w="0" w:type="auto"/>
            <w:gridSpan w:val="3"/>
            <w:shd w:val="clear" w:color="auto" w:fill="CCEEFF"/>
            <w:tcMar>
              <w:top w:w="0" w:type="dxa"/>
              <w:left w:w="20" w:type="dxa"/>
              <w:bottom w:w="0" w:type="dxa"/>
              <w:right w:w="20" w:type="dxa"/>
            </w:tcMar>
            <w:vAlign w:val="center"/>
            <w:hideMark/>
          </w:tcPr>
          <w:p w14:paraId="704E1BB8" w14:textId="77777777" w:rsidR="00000000" w:rsidRDefault="009B6C69">
            <w:pPr>
              <w:spacing w:after="100"/>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F8A5B00"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D20442" w14:textId="77777777" w:rsidR="00000000" w:rsidRDefault="009B6C69">
            <w:pPr>
              <w:spacing w:after="100"/>
              <w:jc w:val="right"/>
              <w:rPr>
                <w:rFonts w:eastAsia="Times New Roman"/>
              </w:rPr>
            </w:pPr>
            <w:r>
              <w:rPr>
                <w:rFonts w:eastAsia="Times New Roman"/>
                <w:color w:val="000000"/>
                <w:sz w:val="18"/>
                <w:szCs w:val="18"/>
              </w:rPr>
              <w:t>5,607 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8FA628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A25C9D"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C7B3C6"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3488A60" w14:textId="77777777" w:rsidR="00000000" w:rsidRDefault="009B6C69">
            <w:pPr>
              <w:spacing w:after="100"/>
              <w:jc w:val="right"/>
              <w:rPr>
                <w:rFonts w:eastAsia="Times New Roman"/>
              </w:rPr>
            </w:pPr>
            <w:r>
              <w:rPr>
                <w:rFonts w:eastAsia="Times New Roman"/>
                <w:color w:val="000000"/>
                <w:sz w:val="18"/>
                <w:szCs w:val="18"/>
              </w:rPr>
              <w:t>(3,725)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0F1376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6480D" w14:textId="77777777" w:rsidR="00000000" w:rsidRDefault="009B6C6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D66DCF6" w14:textId="77777777" w:rsidR="00000000" w:rsidRDefault="009B6C69">
            <w:pPr>
              <w:spacing w:after="100"/>
              <w:jc w:val="center"/>
              <w:rPr>
                <w:rFonts w:eastAsia="Times New Roman"/>
              </w:rPr>
            </w:pPr>
            <w:r>
              <w:rPr>
                <w:rFonts w:eastAsia="Times New Roman"/>
                <w:color w:val="000000"/>
                <w:sz w:val="18"/>
                <w:szCs w:val="18"/>
              </w:rPr>
              <w:t>10</w:t>
            </w:r>
          </w:p>
        </w:tc>
        <w:tc>
          <w:tcPr>
            <w:tcW w:w="0" w:type="auto"/>
            <w:gridSpan w:val="3"/>
            <w:shd w:val="clear" w:color="auto" w:fill="CCEEFF"/>
            <w:tcMar>
              <w:top w:w="0" w:type="dxa"/>
              <w:left w:w="20" w:type="dxa"/>
              <w:bottom w:w="0" w:type="dxa"/>
              <w:right w:w="20" w:type="dxa"/>
            </w:tcMar>
            <w:vAlign w:val="center"/>
            <w:hideMark/>
          </w:tcPr>
          <w:p w14:paraId="3E3792B9" w14:textId="77777777" w:rsidR="00000000" w:rsidRDefault="009B6C69">
            <w:pPr>
              <w:spacing w:after="100"/>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049660"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C09D28A" w14:textId="77777777" w:rsidR="00000000" w:rsidRDefault="009B6C69">
            <w:pPr>
              <w:spacing w:after="100"/>
              <w:jc w:val="right"/>
              <w:rPr>
                <w:rFonts w:eastAsia="Times New Roman"/>
              </w:rPr>
            </w:pPr>
            <w:r>
              <w:rPr>
                <w:rFonts w:eastAsia="Times New Roman"/>
                <w:color w:val="000000"/>
                <w:sz w:val="18"/>
                <w:szCs w:val="18"/>
              </w:rPr>
              <w:t>5,478 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FDEE71A"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54AAA9"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23E38B"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7DD36A5" w14:textId="77777777" w:rsidR="00000000" w:rsidRDefault="009B6C69">
            <w:pPr>
              <w:spacing w:after="100"/>
              <w:jc w:val="right"/>
              <w:rPr>
                <w:rFonts w:eastAsia="Times New Roman"/>
              </w:rPr>
            </w:pPr>
            <w:r>
              <w:rPr>
                <w:rFonts w:eastAsia="Times New Roman"/>
                <w:color w:val="000000"/>
                <w:sz w:val="18"/>
                <w:szCs w:val="18"/>
              </w:rPr>
              <w:t>(4,020)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86283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C0A7E3" w14:textId="77777777" w:rsidR="00000000" w:rsidRDefault="009B6C6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6F558E6" w14:textId="77777777" w:rsidR="00000000" w:rsidRDefault="009B6C69">
            <w:pPr>
              <w:spacing w:after="100"/>
              <w:jc w:val="center"/>
              <w:rPr>
                <w:rFonts w:eastAsia="Times New Roman"/>
              </w:rPr>
            </w:pPr>
            <w:r>
              <w:rPr>
                <w:rFonts w:eastAsia="Times New Roman"/>
                <w:color w:val="000000"/>
                <w:sz w:val="18"/>
                <w:szCs w:val="18"/>
              </w:rPr>
              <w:t>11</w:t>
            </w:r>
          </w:p>
        </w:tc>
      </w:tr>
    </w:tbl>
    <w:p w14:paraId="147ED2C1" w14:textId="77777777" w:rsidR="00000000" w:rsidRDefault="009B6C69">
      <w:pPr>
        <w:ind w:firstLine="360"/>
        <w:divId w:val="1153062322"/>
        <w:rPr>
          <w:rFonts w:eastAsia="Times New Roman"/>
        </w:rPr>
      </w:pPr>
      <w:r>
        <w:rPr>
          <w:rFonts w:eastAsia="Times New Roman"/>
          <w:color w:val="000000"/>
          <w:sz w:val="20"/>
          <w:szCs w:val="20"/>
        </w:rPr>
        <w:t>All of these intangible assets are subject to amortization, other than acquired in-process research and development which had a carrying</w:t>
      </w:r>
      <w:r>
        <w:rPr>
          <w:rFonts w:eastAsia="Times New Roman"/>
          <w:color w:val="000000"/>
          <w:sz w:val="20"/>
          <w:szCs w:val="20"/>
        </w:rPr>
        <w:t xml:space="preserve"> value of $546 million and $247 million at</w:t>
      </w:r>
      <w:r>
        <w:rPr>
          <w:rFonts w:eastAsia="Times New Roman"/>
          <w:color w:val="000000"/>
          <w:sz w:val="18"/>
          <w:szCs w:val="18"/>
        </w:rPr>
        <w:t xml:space="preserve"> </w:t>
      </w:r>
      <w:r>
        <w:rPr>
          <w:rFonts w:eastAsia="Times New Roman"/>
          <w:color w:val="000000"/>
          <w:sz w:val="20"/>
          <w:szCs w:val="20"/>
        </w:rPr>
        <w:t>September 25, 2022 and September 26, 2021, respectively. Amortization expense related to these intangible assets was $482 million, $537 million and $621 million for fiscal 2022, 2021 and 2020, respectively. At Sep</w:t>
      </w:r>
      <w:r>
        <w:rPr>
          <w:rFonts w:eastAsia="Times New Roman"/>
          <w:color w:val="000000"/>
          <w:sz w:val="20"/>
          <w:szCs w:val="20"/>
        </w:rPr>
        <w:t>tember 25, 2022, amortization expense related to other intangible assets, including acquired in-process research and development beginning upon the completion of the underlying projects, is expected to be $429 million, $275 million, $245 million, $246 mill</w:t>
      </w:r>
      <w:r>
        <w:rPr>
          <w:rFonts w:eastAsia="Times New Roman"/>
          <w:color w:val="000000"/>
          <w:sz w:val="20"/>
          <w:szCs w:val="20"/>
        </w:rPr>
        <w:t>ion and $168 million for each of the five years from fiscal 2023 through 2027, respectively, and $519 million thereafter.</w:t>
      </w:r>
    </w:p>
    <w:p w14:paraId="6067EF6F" w14:textId="77777777" w:rsidR="00000000" w:rsidRDefault="009B6C69">
      <w:pPr>
        <w:jc w:val="center"/>
        <w:divId w:val="730613580"/>
        <w:rPr>
          <w:rFonts w:eastAsia="Times New Roman"/>
        </w:rPr>
      </w:pPr>
      <w:r>
        <w:rPr>
          <w:rFonts w:eastAsia="Times New Roman"/>
          <w:color w:val="000000"/>
          <w:sz w:val="20"/>
          <w:szCs w:val="20"/>
        </w:rPr>
        <w:t>F-16</w:t>
      </w:r>
    </w:p>
    <w:p w14:paraId="0E594D71" w14:textId="77777777" w:rsidR="00000000" w:rsidRDefault="009B6C69">
      <w:pPr>
        <w:rPr>
          <w:rFonts w:eastAsia="Times New Roman"/>
        </w:rPr>
      </w:pPr>
      <w:r>
        <w:rPr>
          <w:rFonts w:eastAsia="Times New Roman"/>
        </w:rPr>
        <w:pict w14:anchorId="013604A6">
          <v:rect id="_x0000_i1096" style="width:0;height:1.5pt" o:hralign="center" o:hrstd="t" o:hr="t" fillcolor="#a0a0a0" stroked="f"/>
        </w:pict>
      </w:r>
    </w:p>
    <w:p w14:paraId="12FCB2E8" w14:textId="77777777" w:rsidR="00000000" w:rsidRDefault="009B6C69">
      <w:pPr>
        <w:jc w:val="center"/>
        <w:divId w:val="363096026"/>
        <w:rPr>
          <w:rFonts w:eastAsia="Times New Roman"/>
        </w:rPr>
      </w:pPr>
    </w:p>
    <w:p w14:paraId="0368335F" w14:textId="77777777" w:rsidR="00000000" w:rsidRDefault="009B6C69">
      <w:pPr>
        <w:jc w:val="center"/>
        <w:divId w:val="363096026"/>
        <w:rPr>
          <w:rFonts w:eastAsia="Times New Roman"/>
        </w:rPr>
      </w:pPr>
      <w:r>
        <w:rPr>
          <w:rFonts w:eastAsia="Times New Roman"/>
          <w:b/>
          <w:bCs/>
          <w:color w:val="000000"/>
          <w:sz w:val="20"/>
          <w:szCs w:val="20"/>
        </w:rPr>
        <w:t>QUALCOMM Incorporated</w:t>
      </w:r>
    </w:p>
    <w:p w14:paraId="4F8762C2" w14:textId="77777777" w:rsidR="00000000" w:rsidRDefault="009B6C69">
      <w:pPr>
        <w:jc w:val="center"/>
        <w:divId w:val="363096026"/>
        <w:rPr>
          <w:rFonts w:eastAsia="Times New Roman"/>
        </w:rPr>
      </w:pPr>
      <w:r>
        <w:rPr>
          <w:rFonts w:eastAsia="Times New Roman"/>
          <w:b/>
          <w:bCs/>
          <w:color w:val="000000"/>
          <w:sz w:val="20"/>
          <w:szCs w:val="20"/>
        </w:rPr>
        <w:t>NOTES TO CONSOLIDATED FINANCIAL STATEMENTS</w:t>
      </w:r>
    </w:p>
    <w:p w14:paraId="17E47C81" w14:textId="77777777" w:rsidR="00000000" w:rsidRDefault="009B6C69">
      <w:pPr>
        <w:ind w:firstLine="360"/>
        <w:divId w:val="747196619"/>
        <w:rPr>
          <w:rFonts w:eastAsia="Times New Roman"/>
        </w:rPr>
      </w:pPr>
      <w:r>
        <w:rPr>
          <w:rFonts w:eastAsia="Times New Roman"/>
          <w:b/>
          <w:bCs/>
          <w:i/>
          <w:iCs/>
          <w:color w:val="000000"/>
          <w:sz w:val="20"/>
          <w:szCs w:val="20"/>
        </w:rPr>
        <w:t xml:space="preserve">Equity Method and Non-marketable Equity Investments. </w:t>
      </w:r>
      <w:r>
        <w:rPr>
          <w:rFonts w:eastAsia="Times New Roman"/>
          <w:color w:val="000000"/>
          <w:sz w:val="20"/>
          <w:szCs w:val="20"/>
        </w:rPr>
        <w:t>The carrying values of our equity method and non-marketable equity investments are recorded in other assets and were as follows (in millions):</w:t>
      </w:r>
    </w:p>
    <w:tbl>
      <w:tblPr>
        <w:tblW w:w="4992" w:type="pct"/>
        <w:tblCellMar>
          <w:top w:w="15" w:type="dxa"/>
          <w:left w:w="15" w:type="dxa"/>
          <w:bottom w:w="15" w:type="dxa"/>
          <w:right w:w="15" w:type="dxa"/>
        </w:tblCellMar>
        <w:tblLook w:val="04A0" w:firstRow="1" w:lastRow="0" w:firstColumn="1" w:lastColumn="0" w:noHBand="0" w:noVBand="1"/>
      </w:tblPr>
      <w:tblGrid>
        <w:gridCol w:w="44"/>
        <w:gridCol w:w="6099"/>
        <w:gridCol w:w="36"/>
        <w:gridCol w:w="111"/>
        <w:gridCol w:w="870"/>
        <w:gridCol w:w="36"/>
        <w:gridCol w:w="36"/>
        <w:gridCol w:w="36"/>
        <w:gridCol w:w="36"/>
        <w:gridCol w:w="111"/>
        <w:gridCol w:w="842"/>
        <w:gridCol w:w="36"/>
      </w:tblGrid>
      <w:tr w:rsidR="00000000" w14:paraId="64BA99AC" w14:textId="77777777">
        <w:trPr>
          <w:divId w:val="1578903705"/>
        </w:trPr>
        <w:tc>
          <w:tcPr>
            <w:tcW w:w="50" w:type="pct"/>
            <w:vAlign w:val="center"/>
            <w:hideMark/>
          </w:tcPr>
          <w:p w14:paraId="3389140A" w14:textId="77777777" w:rsidR="00000000" w:rsidRDefault="009B6C69">
            <w:pPr>
              <w:ind w:firstLine="360"/>
              <w:rPr>
                <w:rFonts w:eastAsia="Times New Roman"/>
              </w:rPr>
            </w:pPr>
          </w:p>
        </w:tc>
        <w:tc>
          <w:tcPr>
            <w:tcW w:w="3700" w:type="pct"/>
            <w:vAlign w:val="center"/>
            <w:hideMark/>
          </w:tcPr>
          <w:p w14:paraId="2CD29FCC" w14:textId="77777777" w:rsidR="00000000" w:rsidRDefault="009B6C69">
            <w:pPr>
              <w:spacing w:after="100"/>
              <w:rPr>
                <w:rFonts w:eastAsia="Times New Roman"/>
                <w:sz w:val="20"/>
                <w:szCs w:val="20"/>
              </w:rPr>
            </w:pPr>
          </w:p>
        </w:tc>
        <w:tc>
          <w:tcPr>
            <w:tcW w:w="5" w:type="pct"/>
            <w:vAlign w:val="center"/>
            <w:hideMark/>
          </w:tcPr>
          <w:p w14:paraId="2749189F" w14:textId="77777777" w:rsidR="00000000" w:rsidRDefault="009B6C69">
            <w:pPr>
              <w:spacing w:after="100"/>
              <w:rPr>
                <w:rFonts w:eastAsia="Times New Roman"/>
                <w:sz w:val="20"/>
                <w:szCs w:val="20"/>
              </w:rPr>
            </w:pPr>
          </w:p>
        </w:tc>
        <w:tc>
          <w:tcPr>
            <w:tcW w:w="50" w:type="pct"/>
            <w:vAlign w:val="center"/>
            <w:hideMark/>
          </w:tcPr>
          <w:p w14:paraId="3A42587D" w14:textId="77777777" w:rsidR="00000000" w:rsidRDefault="009B6C69">
            <w:pPr>
              <w:spacing w:after="100"/>
              <w:rPr>
                <w:rFonts w:eastAsia="Times New Roman"/>
                <w:sz w:val="20"/>
                <w:szCs w:val="20"/>
              </w:rPr>
            </w:pPr>
          </w:p>
        </w:tc>
        <w:tc>
          <w:tcPr>
            <w:tcW w:w="548" w:type="pct"/>
            <w:vAlign w:val="center"/>
            <w:hideMark/>
          </w:tcPr>
          <w:p w14:paraId="1E498D40" w14:textId="77777777" w:rsidR="00000000" w:rsidRDefault="009B6C69">
            <w:pPr>
              <w:spacing w:after="100"/>
              <w:rPr>
                <w:rFonts w:eastAsia="Times New Roman"/>
                <w:sz w:val="20"/>
                <w:szCs w:val="20"/>
              </w:rPr>
            </w:pPr>
          </w:p>
        </w:tc>
        <w:tc>
          <w:tcPr>
            <w:tcW w:w="5" w:type="pct"/>
            <w:vAlign w:val="center"/>
            <w:hideMark/>
          </w:tcPr>
          <w:p w14:paraId="06BCA1ED" w14:textId="77777777" w:rsidR="00000000" w:rsidRDefault="009B6C69">
            <w:pPr>
              <w:spacing w:after="100"/>
              <w:rPr>
                <w:rFonts w:eastAsia="Times New Roman"/>
                <w:sz w:val="20"/>
                <w:szCs w:val="20"/>
              </w:rPr>
            </w:pPr>
          </w:p>
        </w:tc>
        <w:tc>
          <w:tcPr>
            <w:tcW w:w="5" w:type="pct"/>
            <w:vAlign w:val="center"/>
            <w:hideMark/>
          </w:tcPr>
          <w:p w14:paraId="0D9CB421" w14:textId="77777777" w:rsidR="00000000" w:rsidRDefault="009B6C69">
            <w:pPr>
              <w:spacing w:after="100"/>
              <w:rPr>
                <w:rFonts w:eastAsia="Times New Roman"/>
                <w:sz w:val="20"/>
                <w:szCs w:val="20"/>
              </w:rPr>
            </w:pPr>
          </w:p>
        </w:tc>
        <w:tc>
          <w:tcPr>
            <w:tcW w:w="27" w:type="pct"/>
            <w:vAlign w:val="center"/>
            <w:hideMark/>
          </w:tcPr>
          <w:p w14:paraId="4FB6FDD9" w14:textId="77777777" w:rsidR="00000000" w:rsidRDefault="009B6C69">
            <w:pPr>
              <w:spacing w:after="100"/>
              <w:rPr>
                <w:rFonts w:eastAsia="Times New Roman"/>
                <w:sz w:val="20"/>
                <w:szCs w:val="20"/>
              </w:rPr>
            </w:pPr>
          </w:p>
        </w:tc>
        <w:tc>
          <w:tcPr>
            <w:tcW w:w="5" w:type="pct"/>
            <w:vAlign w:val="center"/>
            <w:hideMark/>
          </w:tcPr>
          <w:p w14:paraId="3A355FF3" w14:textId="77777777" w:rsidR="00000000" w:rsidRDefault="009B6C69">
            <w:pPr>
              <w:spacing w:after="100"/>
              <w:rPr>
                <w:rFonts w:eastAsia="Times New Roman"/>
                <w:sz w:val="20"/>
                <w:szCs w:val="20"/>
              </w:rPr>
            </w:pPr>
          </w:p>
        </w:tc>
        <w:tc>
          <w:tcPr>
            <w:tcW w:w="50" w:type="pct"/>
            <w:vAlign w:val="center"/>
            <w:hideMark/>
          </w:tcPr>
          <w:p w14:paraId="2CAEB942" w14:textId="77777777" w:rsidR="00000000" w:rsidRDefault="009B6C69">
            <w:pPr>
              <w:spacing w:after="100"/>
              <w:rPr>
                <w:rFonts w:eastAsia="Times New Roman"/>
                <w:sz w:val="20"/>
                <w:szCs w:val="20"/>
              </w:rPr>
            </w:pPr>
          </w:p>
        </w:tc>
        <w:tc>
          <w:tcPr>
            <w:tcW w:w="548" w:type="pct"/>
            <w:vAlign w:val="center"/>
            <w:hideMark/>
          </w:tcPr>
          <w:p w14:paraId="4605D37F" w14:textId="77777777" w:rsidR="00000000" w:rsidRDefault="009B6C69">
            <w:pPr>
              <w:spacing w:after="100"/>
              <w:rPr>
                <w:rFonts w:eastAsia="Times New Roman"/>
                <w:sz w:val="20"/>
                <w:szCs w:val="20"/>
              </w:rPr>
            </w:pPr>
          </w:p>
        </w:tc>
        <w:tc>
          <w:tcPr>
            <w:tcW w:w="5" w:type="pct"/>
            <w:vAlign w:val="center"/>
            <w:hideMark/>
          </w:tcPr>
          <w:p w14:paraId="688F83A7" w14:textId="77777777" w:rsidR="00000000" w:rsidRDefault="009B6C69">
            <w:pPr>
              <w:spacing w:after="100"/>
              <w:rPr>
                <w:rFonts w:eastAsia="Times New Roman"/>
                <w:sz w:val="20"/>
                <w:szCs w:val="20"/>
              </w:rPr>
            </w:pPr>
          </w:p>
        </w:tc>
      </w:tr>
      <w:tr w:rsidR="00000000" w14:paraId="40433DC5" w14:textId="77777777">
        <w:trPr>
          <w:divId w:val="1578903705"/>
        </w:trPr>
        <w:tc>
          <w:tcPr>
            <w:tcW w:w="0" w:type="auto"/>
            <w:gridSpan w:val="3"/>
            <w:tcMar>
              <w:top w:w="0" w:type="dxa"/>
              <w:left w:w="20" w:type="dxa"/>
              <w:bottom w:w="0" w:type="dxa"/>
              <w:right w:w="20" w:type="dxa"/>
            </w:tcMar>
            <w:vAlign w:val="center"/>
            <w:hideMark/>
          </w:tcPr>
          <w:p w14:paraId="65A64CED"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7E1FA16" w14:textId="77777777" w:rsidR="00000000" w:rsidRDefault="009B6C69">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14:paraId="7343FD99"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264CE19" w14:textId="77777777" w:rsidR="00000000" w:rsidRDefault="009B6C69">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r>
      <w:tr w:rsidR="00000000" w14:paraId="31E46632" w14:textId="77777777">
        <w:trPr>
          <w:divId w:val="1578903705"/>
        </w:trPr>
        <w:tc>
          <w:tcPr>
            <w:tcW w:w="0" w:type="auto"/>
            <w:gridSpan w:val="3"/>
            <w:shd w:val="clear" w:color="auto" w:fill="CCEEFF"/>
            <w:tcMar>
              <w:top w:w="30" w:type="dxa"/>
              <w:left w:w="20" w:type="dxa"/>
              <w:bottom w:w="30" w:type="dxa"/>
              <w:right w:w="20" w:type="dxa"/>
            </w:tcMar>
            <w:vAlign w:val="bottom"/>
            <w:hideMark/>
          </w:tcPr>
          <w:p w14:paraId="6EA57A3E" w14:textId="77777777" w:rsidR="00000000" w:rsidRDefault="009B6C69">
            <w:pPr>
              <w:spacing w:after="100"/>
              <w:rPr>
                <w:rFonts w:eastAsia="Times New Roman"/>
              </w:rPr>
            </w:pPr>
            <w:r>
              <w:rPr>
                <w:rFonts w:eastAsia="Times New Roman"/>
                <w:color w:val="000000"/>
                <w:sz w:val="18"/>
                <w:szCs w:val="18"/>
              </w:rPr>
              <w:t>Equity method investments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4F87E5"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1D4145" w14:textId="77777777" w:rsidR="00000000" w:rsidRDefault="009B6C69">
            <w:pPr>
              <w:spacing w:after="100"/>
              <w:jc w:val="right"/>
              <w:rPr>
                <w:rFonts w:eastAsia="Times New Roman"/>
              </w:rPr>
            </w:pPr>
            <w:r>
              <w:rPr>
                <w:rFonts w:eastAsia="Times New Roman"/>
                <w:color w:val="000000"/>
                <w:sz w:val="18"/>
                <w:szCs w:val="18"/>
              </w:rPr>
              <w:t>189 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5DCF2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E1ECC2"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44882D"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28D494" w14:textId="77777777" w:rsidR="00000000" w:rsidRDefault="009B6C69">
            <w:pPr>
              <w:spacing w:after="100"/>
              <w:jc w:val="right"/>
              <w:rPr>
                <w:rFonts w:eastAsia="Times New Roman"/>
              </w:rPr>
            </w:pPr>
            <w:r>
              <w:rPr>
                <w:rFonts w:eastAsia="Times New Roman"/>
                <w:color w:val="000000"/>
                <w:sz w:val="18"/>
                <w:szCs w:val="18"/>
              </w:rPr>
              <w:t>214 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700E61" w14:textId="77777777" w:rsidR="00000000" w:rsidRDefault="009B6C69">
            <w:pPr>
              <w:spacing w:after="100"/>
              <w:jc w:val="right"/>
              <w:rPr>
                <w:rFonts w:eastAsia="Times New Roman"/>
              </w:rPr>
            </w:pPr>
          </w:p>
        </w:tc>
      </w:tr>
      <w:tr w:rsidR="00000000" w14:paraId="4D9D0F80" w14:textId="77777777">
        <w:trPr>
          <w:divId w:val="1578903705"/>
        </w:trPr>
        <w:tc>
          <w:tcPr>
            <w:tcW w:w="0" w:type="auto"/>
            <w:gridSpan w:val="3"/>
            <w:tcMar>
              <w:top w:w="30" w:type="dxa"/>
              <w:left w:w="20" w:type="dxa"/>
              <w:bottom w:w="30" w:type="dxa"/>
              <w:right w:w="20" w:type="dxa"/>
            </w:tcMar>
            <w:vAlign w:val="bottom"/>
            <w:hideMark/>
          </w:tcPr>
          <w:p w14:paraId="22316688" w14:textId="77777777" w:rsidR="00000000" w:rsidRDefault="009B6C69">
            <w:pPr>
              <w:spacing w:after="100"/>
              <w:rPr>
                <w:rFonts w:eastAsia="Times New Roman"/>
              </w:rPr>
            </w:pPr>
            <w:r>
              <w:rPr>
                <w:rFonts w:eastAsia="Times New Roman"/>
                <w:color w:val="000000"/>
                <w:sz w:val="18"/>
                <w:szCs w:val="18"/>
              </w:rPr>
              <w:t>Non-marketable equity investments</w:t>
            </w:r>
          </w:p>
        </w:tc>
        <w:tc>
          <w:tcPr>
            <w:tcW w:w="0" w:type="auto"/>
            <w:gridSpan w:val="2"/>
            <w:tcMar>
              <w:top w:w="30" w:type="dxa"/>
              <w:left w:w="20" w:type="dxa"/>
              <w:bottom w:w="30" w:type="dxa"/>
              <w:right w:w="0" w:type="dxa"/>
            </w:tcMar>
            <w:vAlign w:val="bottom"/>
            <w:hideMark/>
          </w:tcPr>
          <w:p w14:paraId="5C372521" w14:textId="77777777" w:rsidR="00000000" w:rsidRDefault="009B6C69">
            <w:pPr>
              <w:spacing w:after="100"/>
              <w:jc w:val="right"/>
              <w:rPr>
                <w:rFonts w:eastAsia="Times New Roman"/>
              </w:rPr>
            </w:pPr>
            <w:r>
              <w:rPr>
                <w:rFonts w:eastAsia="Times New Roman"/>
                <w:color w:val="000000"/>
                <w:sz w:val="18"/>
                <w:szCs w:val="18"/>
              </w:rPr>
              <w:t>1,105 </w:t>
            </w:r>
          </w:p>
        </w:tc>
        <w:tc>
          <w:tcPr>
            <w:tcW w:w="0" w:type="auto"/>
            <w:tcMar>
              <w:top w:w="30" w:type="dxa"/>
              <w:left w:w="0" w:type="dxa"/>
              <w:bottom w:w="30" w:type="dxa"/>
              <w:right w:w="20" w:type="dxa"/>
            </w:tcMar>
            <w:vAlign w:val="bottom"/>
            <w:hideMark/>
          </w:tcPr>
          <w:p w14:paraId="4A9845E5" w14:textId="77777777" w:rsidR="00000000" w:rsidRDefault="009B6C6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EBE330A" w14:textId="77777777" w:rsidR="00000000" w:rsidRDefault="009B6C6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1B8E018" w14:textId="77777777" w:rsidR="00000000" w:rsidRDefault="009B6C69">
            <w:pPr>
              <w:spacing w:after="100"/>
              <w:jc w:val="right"/>
              <w:rPr>
                <w:rFonts w:eastAsia="Times New Roman"/>
              </w:rPr>
            </w:pPr>
            <w:r>
              <w:rPr>
                <w:rFonts w:eastAsia="Times New Roman"/>
                <w:color w:val="000000"/>
                <w:sz w:val="18"/>
                <w:szCs w:val="18"/>
              </w:rPr>
              <w:t>1,051 </w:t>
            </w:r>
          </w:p>
        </w:tc>
        <w:tc>
          <w:tcPr>
            <w:tcW w:w="0" w:type="auto"/>
            <w:tcMar>
              <w:top w:w="30" w:type="dxa"/>
              <w:left w:w="0" w:type="dxa"/>
              <w:bottom w:w="30" w:type="dxa"/>
              <w:right w:w="20" w:type="dxa"/>
            </w:tcMar>
            <w:vAlign w:val="bottom"/>
            <w:hideMark/>
          </w:tcPr>
          <w:p w14:paraId="5C79F446" w14:textId="77777777" w:rsidR="00000000" w:rsidRDefault="009B6C69">
            <w:pPr>
              <w:spacing w:after="100"/>
              <w:jc w:val="right"/>
              <w:rPr>
                <w:rFonts w:eastAsia="Times New Roman"/>
              </w:rPr>
            </w:pPr>
          </w:p>
        </w:tc>
      </w:tr>
      <w:tr w:rsidR="00000000" w14:paraId="377EA5BB" w14:textId="77777777">
        <w:trPr>
          <w:divId w:val="1578903705"/>
        </w:trPr>
        <w:tc>
          <w:tcPr>
            <w:tcW w:w="0" w:type="auto"/>
            <w:gridSpan w:val="3"/>
            <w:shd w:val="clear" w:color="auto" w:fill="CCEEFF"/>
            <w:tcMar>
              <w:top w:w="0" w:type="dxa"/>
              <w:left w:w="20" w:type="dxa"/>
              <w:bottom w:w="0" w:type="dxa"/>
              <w:right w:w="20" w:type="dxa"/>
            </w:tcMar>
            <w:vAlign w:val="center"/>
            <w:hideMark/>
          </w:tcPr>
          <w:p w14:paraId="1D6874D3"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B567587"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EE7A2B2" w14:textId="77777777" w:rsidR="00000000" w:rsidRDefault="009B6C69">
            <w:pPr>
              <w:spacing w:after="100"/>
              <w:jc w:val="right"/>
              <w:rPr>
                <w:rFonts w:eastAsia="Times New Roman"/>
              </w:rPr>
            </w:pPr>
            <w:r>
              <w:rPr>
                <w:rFonts w:eastAsia="Times New Roman"/>
                <w:color w:val="000000"/>
                <w:sz w:val="18"/>
                <w:szCs w:val="18"/>
              </w:rPr>
              <w:t>1,294 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7595AA9"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F7D0A0"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0B4BB0"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363764F" w14:textId="77777777" w:rsidR="00000000" w:rsidRDefault="009B6C69">
            <w:pPr>
              <w:spacing w:after="100"/>
              <w:jc w:val="right"/>
              <w:rPr>
                <w:rFonts w:eastAsia="Times New Roman"/>
              </w:rPr>
            </w:pPr>
            <w:r>
              <w:rPr>
                <w:rFonts w:eastAsia="Times New Roman"/>
                <w:color w:val="000000"/>
                <w:sz w:val="18"/>
                <w:szCs w:val="18"/>
              </w:rPr>
              <w:t>1,265 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BE603C" w14:textId="77777777" w:rsidR="00000000" w:rsidRDefault="009B6C69">
            <w:pPr>
              <w:spacing w:after="100"/>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6136"/>
        <w:gridCol w:w="144"/>
        <w:gridCol w:w="144"/>
        <w:gridCol w:w="908"/>
        <w:gridCol w:w="144"/>
        <w:gridCol w:w="144"/>
        <w:gridCol w:w="144"/>
        <w:gridCol w:w="144"/>
        <w:gridCol w:w="144"/>
        <w:gridCol w:w="908"/>
        <w:gridCol w:w="144"/>
      </w:tblGrid>
      <w:tr w:rsidR="00000000" w14:paraId="53D5F788" w14:textId="77777777">
        <w:tc>
          <w:tcPr>
            <w:tcW w:w="50" w:type="pct"/>
            <w:vAlign w:val="center"/>
            <w:hideMark/>
          </w:tcPr>
          <w:p w14:paraId="10A8B8CC" w14:textId="77777777" w:rsidR="00000000" w:rsidRDefault="009B6C69">
            <w:pPr>
              <w:rPr>
                <w:rFonts w:eastAsia="Times New Roman"/>
              </w:rPr>
            </w:pPr>
          </w:p>
        </w:tc>
        <w:tc>
          <w:tcPr>
            <w:tcW w:w="3700" w:type="pct"/>
            <w:vAlign w:val="center"/>
            <w:hideMark/>
          </w:tcPr>
          <w:p w14:paraId="33C636FD" w14:textId="77777777" w:rsidR="00000000" w:rsidRDefault="009B6C69">
            <w:pPr>
              <w:spacing w:after="100"/>
              <w:rPr>
                <w:rFonts w:eastAsia="Times New Roman"/>
                <w:sz w:val="20"/>
                <w:szCs w:val="20"/>
              </w:rPr>
            </w:pPr>
          </w:p>
        </w:tc>
        <w:tc>
          <w:tcPr>
            <w:tcW w:w="5" w:type="pct"/>
            <w:vAlign w:val="center"/>
            <w:hideMark/>
          </w:tcPr>
          <w:p w14:paraId="56384952" w14:textId="77777777" w:rsidR="00000000" w:rsidRDefault="009B6C69">
            <w:pPr>
              <w:spacing w:after="100"/>
              <w:rPr>
                <w:rFonts w:eastAsia="Times New Roman"/>
                <w:sz w:val="20"/>
                <w:szCs w:val="20"/>
              </w:rPr>
            </w:pPr>
          </w:p>
        </w:tc>
        <w:tc>
          <w:tcPr>
            <w:tcW w:w="50" w:type="pct"/>
            <w:vAlign w:val="center"/>
            <w:hideMark/>
          </w:tcPr>
          <w:p w14:paraId="4861BE95" w14:textId="77777777" w:rsidR="00000000" w:rsidRDefault="009B6C69">
            <w:pPr>
              <w:spacing w:after="100"/>
              <w:rPr>
                <w:rFonts w:eastAsia="Times New Roman"/>
                <w:sz w:val="20"/>
                <w:szCs w:val="20"/>
              </w:rPr>
            </w:pPr>
          </w:p>
        </w:tc>
        <w:tc>
          <w:tcPr>
            <w:tcW w:w="548" w:type="pct"/>
            <w:vAlign w:val="center"/>
            <w:hideMark/>
          </w:tcPr>
          <w:p w14:paraId="68D93444" w14:textId="77777777" w:rsidR="00000000" w:rsidRDefault="009B6C69">
            <w:pPr>
              <w:spacing w:after="100"/>
              <w:rPr>
                <w:rFonts w:eastAsia="Times New Roman"/>
                <w:sz w:val="20"/>
                <w:szCs w:val="20"/>
              </w:rPr>
            </w:pPr>
          </w:p>
        </w:tc>
        <w:tc>
          <w:tcPr>
            <w:tcW w:w="5" w:type="pct"/>
            <w:vAlign w:val="center"/>
            <w:hideMark/>
          </w:tcPr>
          <w:p w14:paraId="6FB7023F" w14:textId="77777777" w:rsidR="00000000" w:rsidRDefault="009B6C69">
            <w:pPr>
              <w:spacing w:after="100"/>
              <w:rPr>
                <w:rFonts w:eastAsia="Times New Roman"/>
                <w:sz w:val="20"/>
                <w:szCs w:val="20"/>
              </w:rPr>
            </w:pPr>
          </w:p>
        </w:tc>
        <w:tc>
          <w:tcPr>
            <w:tcW w:w="5" w:type="pct"/>
            <w:vAlign w:val="center"/>
            <w:hideMark/>
          </w:tcPr>
          <w:p w14:paraId="5ADE1A27" w14:textId="77777777" w:rsidR="00000000" w:rsidRDefault="009B6C69">
            <w:pPr>
              <w:spacing w:after="100"/>
              <w:rPr>
                <w:rFonts w:eastAsia="Times New Roman"/>
                <w:sz w:val="20"/>
                <w:szCs w:val="20"/>
              </w:rPr>
            </w:pPr>
          </w:p>
        </w:tc>
        <w:tc>
          <w:tcPr>
            <w:tcW w:w="27" w:type="pct"/>
            <w:vAlign w:val="center"/>
            <w:hideMark/>
          </w:tcPr>
          <w:p w14:paraId="159E4055" w14:textId="77777777" w:rsidR="00000000" w:rsidRDefault="009B6C69">
            <w:pPr>
              <w:spacing w:after="100"/>
              <w:rPr>
                <w:rFonts w:eastAsia="Times New Roman"/>
                <w:sz w:val="20"/>
                <w:szCs w:val="20"/>
              </w:rPr>
            </w:pPr>
          </w:p>
        </w:tc>
        <w:tc>
          <w:tcPr>
            <w:tcW w:w="5" w:type="pct"/>
            <w:vAlign w:val="center"/>
            <w:hideMark/>
          </w:tcPr>
          <w:p w14:paraId="7316C183" w14:textId="77777777" w:rsidR="00000000" w:rsidRDefault="009B6C69">
            <w:pPr>
              <w:spacing w:after="100"/>
              <w:rPr>
                <w:rFonts w:eastAsia="Times New Roman"/>
                <w:sz w:val="20"/>
                <w:szCs w:val="20"/>
              </w:rPr>
            </w:pPr>
          </w:p>
        </w:tc>
        <w:tc>
          <w:tcPr>
            <w:tcW w:w="50" w:type="pct"/>
            <w:vAlign w:val="center"/>
            <w:hideMark/>
          </w:tcPr>
          <w:p w14:paraId="4B0AA71D" w14:textId="77777777" w:rsidR="00000000" w:rsidRDefault="009B6C69">
            <w:pPr>
              <w:spacing w:after="100"/>
              <w:rPr>
                <w:rFonts w:eastAsia="Times New Roman"/>
                <w:sz w:val="20"/>
                <w:szCs w:val="20"/>
              </w:rPr>
            </w:pPr>
          </w:p>
        </w:tc>
        <w:tc>
          <w:tcPr>
            <w:tcW w:w="548" w:type="pct"/>
            <w:vAlign w:val="center"/>
            <w:hideMark/>
          </w:tcPr>
          <w:p w14:paraId="72B9EC5B" w14:textId="77777777" w:rsidR="00000000" w:rsidRDefault="009B6C69">
            <w:pPr>
              <w:spacing w:after="100"/>
              <w:rPr>
                <w:rFonts w:eastAsia="Times New Roman"/>
                <w:sz w:val="20"/>
                <w:szCs w:val="20"/>
              </w:rPr>
            </w:pPr>
          </w:p>
        </w:tc>
        <w:tc>
          <w:tcPr>
            <w:tcW w:w="5" w:type="pct"/>
            <w:vAlign w:val="center"/>
            <w:hideMark/>
          </w:tcPr>
          <w:p w14:paraId="61AD63AE" w14:textId="77777777" w:rsidR="00000000" w:rsidRDefault="009B6C69">
            <w:pPr>
              <w:spacing w:after="100"/>
              <w:rPr>
                <w:rFonts w:eastAsia="Times New Roman"/>
                <w:sz w:val="20"/>
                <w:szCs w:val="20"/>
              </w:rPr>
            </w:pPr>
          </w:p>
        </w:tc>
      </w:tr>
      <w:tr w:rsidR="00000000" w14:paraId="638B94CA" w14:textId="77777777">
        <w:tc>
          <w:tcPr>
            <w:tcW w:w="0" w:type="auto"/>
            <w:gridSpan w:val="3"/>
            <w:tcMar>
              <w:top w:w="30" w:type="dxa"/>
              <w:left w:w="20" w:type="dxa"/>
              <w:bottom w:w="30" w:type="dxa"/>
              <w:right w:w="20" w:type="dxa"/>
            </w:tcMar>
            <w:vAlign w:val="bottom"/>
            <w:hideMark/>
          </w:tcPr>
          <w:p w14:paraId="5285F6C5" w14:textId="77777777" w:rsidR="00000000" w:rsidRDefault="009B6C69">
            <w:pPr>
              <w:spacing w:after="100"/>
              <w:ind w:firstLine="360"/>
              <w:divId w:val="455224870"/>
              <w:rPr>
                <w:rFonts w:eastAsia="Times New Roman"/>
              </w:rPr>
            </w:pPr>
            <w:r>
              <w:rPr>
                <w:rFonts w:eastAsia="Times New Roman"/>
                <w:b/>
                <w:bCs/>
                <w:i/>
                <w:iCs/>
                <w:color w:val="000000"/>
                <w:sz w:val="20"/>
                <w:szCs w:val="20"/>
              </w:rPr>
              <w:t>Other Current Liabilities (in millions)</w:t>
            </w:r>
          </w:p>
        </w:tc>
        <w:tc>
          <w:tcPr>
            <w:tcW w:w="0" w:type="auto"/>
            <w:gridSpan w:val="3"/>
            <w:tcMar>
              <w:top w:w="0" w:type="dxa"/>
              <w:left w:w="20" w:type="dxa"/>
              <w:bottom w:w="0" w:type="dxa"/>
              <w:right w:w="20" w:type="dxa"/>
            </w:tcMar>
            <w:vAlign w:val="center"/>
            <w:hideMark/>
          </w:tcPr>
          <w:p w14:paraId="7858BFA6" w14:textId="77777777" w:rsidR="00000000" w:rsidRDefault="009B6C69">
            <w:pPr>
              <w:spacing w:after="100"/>
              <w:ind w:firstLine="360"/>
              <w:rPr>
                <w:rFonts w:eastAsia="Times New Roman"/>
              </w:rPr>
            </w:pPr>
          </w:p>
        </w:tc>
        <w:tc>
          <w:tcPr>
            <w:tcW w:w="0" w:type="auto"/>
            <w:gridSpan w:val="3"/>
            <w:tcMar>
              <w:top w:w="0" w:type="dxa"/>
              <w:left w:w="20" w:type="dxa"/>
              <w:bottom w:w="0" w:type="dxa"/>
              <w:right w:w="20" w:type="dxa"/>
            </w:tcMar>
            <w:vAlign w:val="center"/>
            <w:hideMark/>
          </w:tcPr>
          <w:p w14:paraId="7FBD4C92"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2F7441" w14:textId="77777777" w:rsidR="00000000" w:rsidRDefault="009B6C69">
            <w:pPr>
              <w:spacing w:after="100"/>
              <w:rPr>
                <w:rFonts w:eastAsia="Times New Roman"/>
                <w:sz w:val="20"/>
                <w:szCs w:val="20"/>
              </w:rPr>
            </w:pPr>
          </w:p>
        </w:tc>
      </w:tr>
      <w:tr w:rsidR="00000000" w14:paraId="00614908" w14:textId="77777777">
        <w:tc>
          <w:tcPr>
            <w:tcW w:w="0" w:type="auto"/>
            <w:gridSpan w:val="3"/>
            <w:tcMar>
              <w:top w:w="0" w:type="dxa"/>
              <w:left w:w="20" w:type="dxa"/>
              <w:bottom w:w="0" w:type="dxa"/>
              <w:right w:w="20" w:type="dxa"/>
            </w:tcMar>
            <w:vAlign w:val="center"/>
            <w:hideMark/>
          </w:tcPr>
          <w:p w14:paraId="7CD7E58B"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18DEF60" w14:textId="77777777" w:rsidR="00000000" w:rsidRDefault="009B6C69">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14:paraId="3D24DC50"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A24C9DF" w14:textId="77777777" w:rsidR="00000000" w:rsidRDefault="009B6C69">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r>
      <w:tr w:rsidR="00000000" w14:paraId="0075288D" w14:textId="77777777">
        <w:tc>
          <w:tcPr>
            <w:tcW w:w="0" w:type="auto"/>
            <w:gridSpan w:val="3"/>
            <w:shd w:val="clear" w:color="auto" w:fill="CCEEFF"/>
            <w:tcMar>
              <w:top w:w="30" w:type="dxa"/>
              <w:left w:w="20" w:type="dxa"/>
              <w:bottom w:w="30" w:type="dxa"/>
              <w:right w:w="20" w:type="dxa"/>
            </w:tcMar>
            <w:vAlign w:val="bottom"/>
            <w:hideMark/>
          </w:tcPr>
          <w:p w14:paraId="2F3B634B" w14:textId="77777777" w:rsidR="00000000" w:rsidRDefault="009B6C69">
            <w:pPr>
              <w:spacing w:after="100"/>
              <w:rPr>
                <w:rFonts w:eastAsia="Times New Roman"/>
              </w:rPr>
            </w:pPr>
            <w:r>
              <w:rPr>
                <w:rFonts w:eastAsia="Times New Roman"/>
                <w:color w:val="000000"/>
                <w:sz w:val="18"/>
                <w:szCs w:val="18"/>
              </w:rPr>
              <w:t>Customer incentives and other customer-related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5CEE3F"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2C9903" w14:textId="77777777" w:rsidR="00000000" w:rsidRDefault="009B6C69">
            <w:pPr>
              <w:spacing w:after="100"/>
              <w:jc w:val="right"/>
              <w:rPr>
                <w:rFonts w:eastAsia="Times New Roman"/>
              </w:rPr>
            </w:pPr>
            <w:r>
              <w:rPr>
                <w:rFonts w:eastAsia="Times New Roman"/>
                <w:color w:val="000000"/>
                <w:sz w:val="18"/>
                <w:szCs w:val="18"/>
              </w:rPr>
              <w:t>1,879 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F6F5C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3FF6DC"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EE43C5"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AA9AFA" w14:textId="77777777" w:rsidR="00000000" w:rsidRDefault="009B6C69">
            <w:pPr>
              <w:spacing w:after="100"/>
              <w:jc w:val="right"/>
              <w:rPr>
                <w:rFonts w:eastAsia="Times New Roman"/>
              </w:rPr>
            </w:pPr>
            <w:r>
              <w:rPr>
                <w:rFonts w:eastAsia="Times New Roman"/>
                <w:color w:val="000000"/>
                <w:sz w:val="18"/>
                <w:szCs w:val="18"/>
              </w:rPr>
              <w:t>1,974 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0874CA" w14:textId="77777777" w:rsidR="00000000" w:rsidRDefault="009B6C69">
            <w:pPr>
              <w:spacing w:after="100"/>
              <w:jc w:val="right"/>
              <w:rPr>
                <w:rFonts w:eastAsia="Times New Roman"/>
              </w:rPr>
            </w:pPr>
          </w:p>
        </w:tc>
      </w:tr>
      <w:tr w:rsidR="00000000" w14:paraId="0DDB9170" w14:textId="77777777">
        <w:tc>
          <w:tcPr>
            <w:tcW w:w="0" w:type="auto"/>
            <w:gridSpan w:val="3"/>
            <w:shd w:val="clear" w:color="auto" w:fill="FFFFFF"/>
            <w:tcMar>
              <w:top w:w="30" w:type="dxa"/>
              <w:left w:w="20" w:type="dxa"/>
              <w:bottom w:w="30" w:type="dxa"/>
              <w:right w:w="20" w:type="dxa"/>
            </w:tcMar>
            <w:vAlign w:val="bottom"/>
            <w:hideMark/>
          </w:tcPr>
          <w:p w14:paraId="29A1616C" w14:textId="77777777" w:rsidR="00000000" w:rsidRDefault="009B6C69">
            <w:pPr>
              <w:spacing w:after="100"/>
              <w:rPr>
                <w:rFonts w:eastAsia="Times New Roman"/>
              </w:rPr>
            </w:pPr>
            <w:r>
              <w:rPr>
                <w:rFonts w:eastAsia="Times New Roman"/>
                <w:color w:val="000000"/>
                <w:sz w:val="18"/>
                <w:szCs w:val="18"/>
              </w:rPr>
              <w:t>Accrual for EC fines (Note 7)</w:t>
            </w:r>
          </w:p>
        </w:tc>
        <w:tc>
          <w:tcPr>
            <w:tcW w:w="0" w:type="auto"/>
            <w:gridSpan w:val="2"/>
            <w:shd w:val="clear" w:color="auto" w:fill="FFFFFF"/>
            <w:tcMar>
              <w:top w:w="30" w:type="dxa"/>
              <w:left w:w="20" w:type="dxa"/>
              <w:bottom w:w="30" w:type="dxa"/>
              <w:right w:w="0" w:type="dxa"/>
            </w:tcMar>
            <w:vAlign w:val="bottom"/>
            <w:hideMark/>
          </w:tcPr>
          <w:p w14:paraId="2F23288E" w14:textId="77777777" w:rsidR="00000000" w:rsidRDefault="009B6C69">
            <w:pPr>
              <w:spacing w:after="100"/>
              <w:jc w:val="right"/>
              <w:rPr>
                <w:rFonts w:eastAsia="Times New Roman"/>
              </w:rPr>
            </w:pPr>
            <w:r>
              <w:rPr>
                <w:rFonts w:eastAsia="Times New Roman"/>
                <w:color w:val="000000"/>
                <w:sz w:val="18"/>
                <w:szCs w:val="18"/>
              </w:rPr>
              <w:t>245 </w:t>
            </w:r>
          </w:p>
        </w:tc>
        <w:tc>
          <w:tcPr>
            <w:tcW w:w="0" w:type="auto"/>
            <w:shd w:val="clear" w:color="auto" w:fill="FFFFFF"/>
            <w:tcMar>
              <w:top w:w="30" w:type="dxa"/>
              <w:left w:w="0" w:type="dxa"/>
              <w:bottom w:w="30" w:type="dxa"/>
              <w:right w:w="20" w:type="dxa"/>
            </w:tcMar>
            <w:vAlign w:val="bottom"/>
            <w:hideMark/>
          </w:tcPr>
          <w:p w14:paraId="72D79707"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C9DC05" w14:textId="77777777" w:rsidR="00000000" w:rsidRDefault="009B6C6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20A806A" w14:textId="77777777" w:rsidR="00000000" w:rsidRDefault="009B6C69">
            <w:pPr>
              <w:spacing w:after="100"/>
              <w:jc w:val="right"/>
              <w:rPr>
                <w:rFonts w:eastAsia="Times New Roman"/>
              </w:rPr>
            </w:pPr>
            <w:r>
              <w:rPr>
                <w:rFonts w:eastAsia="Times New Roman"/>
                <w:color w:val="000000"/>
                <w:sz w:val="18"/>
                <w:szCs w:val="18"/>
              </w:rPr>
              <w:t>1,522 </w:t>
            </w:r>
          </w:p>
        </w:tc>
        <w:tc>
          <w:tcPr>
            <w:tcW w:w="0" w:type="auto"/>
            <w:tcMar>
              <w:top w:w="30" w:type="dxa"/>
              <w:left w:w="0" w:type="dxa"/>
              <w:bottom w:w="30" w:type="dxa"/>
              <w:right w:w="20" w:type="dxa"/>
            </w:tcMar>
            <w:vAlign w:val="bottom"/>
            <w:hideMark/>
          </w:tcPr>
          <w:p w14:paraId="67ED18C1" w14:textId="77777777" w:rsidR="00000000" w:rsidRDefault="009B6C69">
            <w:pPr>
              <w:spacing w:after="100"/>
              <w:jc w:val="right"/>
              <w:rPr>
                <w:rFonts w:eastAsia="Times New Roman"/>
              </w:rPr>
            </w:pPr>
          </w:p>
        </w:tc>
      </w:tr>
      <w:tr w:rsidR="00000000" w14:paraId="4955442C" w14:textId="77777777">
        <w:tc>
          <w:tcPr>
            <w:tcW w:w="0" w:type="auto"/>
            <w:gridSpan w:val="3"/>
            <w:shd w:val="clear" w:color="auto" w:fill="CCEEFF"/>
            <w:tcMar>
              <w:top w:w="30" w:type="dxa"/>
              <w:left w:w="20" w:type="dxa"/>
              <w:bottom w:w="30" w:type="dxa"/>
              <w:right w:w="20" w:type="dxa"/>
            </w:tcMar>
            <w:vAlign w:val="bottom"/>
            <w:hideMark/>
          </w:tcPr>
          <w:p w14:paraId="3B6740B1" w14:textId="77777777" w:rsidR="00000000" w:rsidRDefault="009B6C69">
            <w:pPr>
              <w:spacing w:after="100"/>
              <w:rPr>
                <w:rFonts w:eastAsia="Times New Roman"/>
              </w:rPr>
            </w:pPr>
            <w:r>
              <w:rPr>
                <w:rFonts w:eastAsia="Times New Roman"/>
                <w:color w:val="000000"/>
                <w:sz w:val="18"/>
                <w:szCs w:val="18"/>
              </w:rPr>
              <w:t>Income taxes payable</w:t>
            </w:r>
          </w:p>
        </w:tc>
        <w:tc>
          <w:tcPr>
            <w:tcW w:w="0" w:type="auto"/>
            <w:gridSpan w:val="2"/>
            <w:shd w:val="clear" w:color="auto" w:fill="CCEEFF"/>
            <w:tcMar>
              <w:top w:w="30" w:type="dxa"/>
              <w:left w:w="20" w:type="dxa"/>
              <w:bottom w:w="30" w:type="dxa"/>
              <w:right w:w="0" w:type="dxa"/>
            </w:tcMar>
            <w:vAlign w:val="bottom"/>
            <w:hideMark/>
          </w:tcPr>
          <w:p w14:paraId="03299953" w14:textId="77777777" w:rsidR="00000000" w:rsidRDefault="009B6C69">
            <w:pPr>
              <w:spacing w:after="100"/>
              <w:jc w:val="right"/>
              <w:rPr>
                <w:rFonts w:eastAsia="Times New Roman"/>
              </w:rPr>
            </w:pPr>
            <w:r>
              <w:rPr>
                <w:rFonts w:eastAsia="Times New Roman"/>
                <w:color w:val="000000"/>
                <w:sz w:val="18"/>
                <w:szCs w:val="18"/>
              </w:rPr>
              <w:t>634 </w:t>
            </w:r>
          </w:p>
        </w:tc>
        <w:tc>
          <w:tcPr>
            <w:tcW w:w="0" w:type="auto"/>
            <w:shd w:val="clear" w:color="auto" w:fill="CCEEFF"/>
            <w:tcMar>
              <w:top w:w="30" w:type="dxa"/>
              <w:left w:w="0" w:type="dxa"/>
              <w:bottom w:w="30" w:type="dxa"/>
              <w:right w:w="20" w:type="dxa"/>
            </w:tcMar>
            <w:vAlign w:val="bottom"/>
            <w:hideMark/>
          </w:tcPr>
          <w:p w14:paraId="6DEBC28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923918"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A510ED" w14:textId="77777777" w:rsidR="00000000" w:rsidRDefault="009B6C69">
            <w:pPr>
              <w:spacing w:after="100"/>
              <w:jc w:val="right"/>
              <w:rPr>
                <w:rFonts w:eastAsia="Times New Roman"/>
              </w:rPr>
            </w:pPr>
            <w:r>
              <w:rPr>
                <w:rFonts w:eastAsia="Times New Roman"/>
                <w:color w:val="000000"/>
                <w:sz w:val="18"/>
                <w:szCs w:val="18"/>
              </w:rPr>
              <w:t>862 </w:t>
            </w:r>
          </w:p>
        </w:tc>
        <w:tc>
          <w:tcPr>
            <w:tcW w:w="0" w:type="auto"/>
            <w:shd w:val="clear" w:color="auto" w:fill="CCEEFF"/>
            <w:tcMar>
              <w:top w:w="30" w:type="dxa"/>
              <w:left w:w="0" w:type="dxa"/>
              <w:bottom w:w="30" w:type="dxa"/>
              <w:right w:w="20" w:type="dxa"/>
            </w:tcMar>
            <w:vAlign w:val="bottom"/>
            <w:hideMark/>
          </w:tcPr>
          <w:p w14:paraId="138751AE" w14:textId="77777777" w:rsidR="00000000" w:rsidRDefault="009B6C69">
            <w:pPr>
              <w:spacing w:after="100"/>
              <w:jc w:val="right"/>
              <w:rPr>
                <w:rFonts w:eastAsia="Times New Roman"/>
              </w:rPr>
            </w:pPr>
          </w:p>
        </w:tc>
      </w:tr>
      <w:tr w:rsidR="00000000" w14:paraId="5CB38E5C" w14:textId="77777777">
        <w:tc>
          <w:tcPr>
            <w:tcW w:w="0" w:type="auto"/>
            <w:gridSpan w:val="3"/>
            <w:vAlign w:val="center"/>
            <w:hideMark/>
          </w:tcPr>
          <w:p w14:paraId="67251C28" w14:textId="77777777" w:rsidR="00000000" w:rsidRDefault="009B6C69">
            <w:pPr>
              <w:spacing w:after="100"/>
              <w:jc w:val="right"/>
              <w:rPr>
                <w:rFonts w:eastAsia="Times New Roman"/>
                <w:sz w:val="20"/>
                <w:szCs w:val="20"/>
              </w:rPr>
            </w:pPr>
          </w:p>
        </w:tc>
        <w:tc>
          <w:tcPr>
            <w:tcW w:w="0" w:type="auto"/>
            <w:gridSpan w:val="3"/>
            <w:vAlign w:val="center"/>
            <w:hideMark/>
          </w:tcPr>
          <w:p w14:paraId="15B61203" w14:textId="77777777" w:rsidR="00000000" w:rsidRDefault="009B6C69">
            <w:pPr>
              <w:spacing w:after="100"/>
              <w:rPr>
                <w:rFonts w:eastAsia="Times New Roman"/>
                <w:sz w:val="20"/>
                <w:szCs w:val="20"/>
              </w:rPr>
            </w:pPr>
          </w:p>
        </w:tc>
        <w:tc>
          <w:tcPr>
            <w:tcW w:w="0" w:type="auto"/>
            <w:gridSpan w:val="3"/>
            <w:vAlign w:val="center"/>
            <w:hideMark/>
          </w:tcPr>
          <w:p w14:paraId="04DDAAA6" w14:textId="77777777" w:rsidR="00000000" w:rsidRDefault="009B6C69">
            <w:pPr>
              <w:spacing w:after="100"/>
              <w:rPr>
                <w:rFonts w:eastAsia="Times New Roman"/>
                <w:sz w:val="20"/>
                <w:szCs w:val="20"/>
              </w:rPr>
            </w:pPr>
          </w:p>
        </w:tc>
        <w:tc>
          <w:tcPr>
            <w:tcW w:w="0" w:type="auto"/>
            <w:gridSpan w:val="3"/>
            <w:vAlign w:val="center"/>
            <w:hideMark/>
          </w:tcPr>
          <w:p w14:paraId="46E86690" w14:textId="77777777" w:rsidR="00000000" w:rsidRDefault="009B6C69">
            <w:pPr>
              <w:spacing w:after="100"/>
              <w:rPr>
                <w:rFonts w:eastAsia="Times New Roman"/>
                <w:sz w:val="20"/>
                <w:szCs w:val="20"/>
              </w:rPr>
            </w:pPr>
          </w:p>
        </w:tc>
      </w:tr>
      <w:tr w:rsidR="00000000" w14:paraId="6A5A89EB" w14:textId="77777777">
        <w:tc>
          <w:tcPr>
            <w:tcW w:w="0" w:type="auto"/>
            <w:gridSpan w:val="3"/>
            <w:shd w:val="clear" w:color="auto" w:fill="FFFFFF"/>
            <w:tcMar>
              <w:top w:w="30" w:type="dxa"/>
              <w:left w:w="20" w:type="dxa"/>
              <w:bottom w:w="30" w:type="dxa"/>
              <w:right w:w="20" w:type="dxa"/>
            </w:tcMar>
            <w:vAlign w:val="bottom"/>
            <w:hideMark/>
          </w:tcPr>
          <w:p w14:paraId="6F693669" w14:textId="77777777" w:rsidR="00000000" w:rsidRDefault="009B6C69">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325955ED" w14:textId="77777777" w:rsidR="00000000" w:rsidRDefault="009B6C69">
            <w:pPr>
              <w:spacing w:after="100"/>
              <w:jc w:val="right"/>
              <w:rPr>
                <w:rFonts w:eastAsia="Times New Roman"/>
              </w:rPr>
            </w:pPr>
            <w:r>
              <w:rPr>
                <w:rFonts w:eastAsia="Times New Roman"/>
                <w:color w:val="000000"/>
                <w:sz w:val="18"/>
                <w:szCs w:val="18"/>
              </w:rPr>
              <w:t>931 </w:t>
            </w:r>
          </w:p>
        </w:tc>
        <w:tc>
          <w:tcPr>
            <w:tcW w:w="0" w:type="auto"/>
            <w:shd w:val="clear" w:color="auto" w:fill="FFFFFF"/>
            <w:tcMar>
              <w:top w:w="30" w:type="dxa"/>
              <w:left w:w="0" w:type="dxa"/>
              <w:bottom w:w="30" w:type="dxa"/>
              <w:right w:w="20" w:type="dxa"/>
            </w:tcMar>
            <w:vAlign w:val="bottom"/>
            <w:hideMark/>
          </w:tcPr>
          <w:p w14:paraId="284241A3"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DCCA35"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460B61" w14:textId="77777777" w:rsidR="00000000" w:rsidRDefault="009B6C69">
            <w:pPr>
              <w:spacing w:after="100"/>
              <w:jc w:val="right"/>
              <w:rPr>
                <w:rFonts w:eastAsia="Times New Roman"/>
              </w:rPr>
            </w:pPr>
            <w:r>
              <w:rPr>
                <w:rFonts w:eastAsia="Times New Roman"/>
                <w:color w:val="000000"/>
                <w:sz w:val="18"/>
                <w:szCs w:val="18"/>
              </w:rPr>
              <w:t>656 </w:t>
            </w:r>
          </w:p>
        </w:tc>
        <w:tc>
          <w:tcPr>
            <w:tcW w:w="0" w:type="auto"/>
            <w:shd w:val="clear" w:color="auto" w:fill="FFFFFF"/>
            <w:tcMar>
              <w:top w:w="30" w:type="dxa"/>
              <w:left w:w="0" w:type="dxa"/>
              <w:bottom w:w="30" w:type="dxa"/>
              <w:right w:w="20" w:type="dxa"/>
            </w:tcMar>
            <w:vAlign w:val="bottom"/>
            <w:hideMark/>
          </w:tcPr>
          <w:p w14:paraId="772F3D96" w14:textId="77777777" w:rsidR="00000000" w:rsidRDefault="009B6C69">
            <w:pPr>
              <w:spacing w:after="100"/>
              <w:jc w:val="right"/>
              <w:rPr>
                <w:rFonts w:eastAsia="Times New Roman"/>
              </w:rPr>
            </w:pPr>
          </w:p>
        </w:tc>
      </w:tr>
      <w:tr w:rsidR="00000000" w14:paraId="2D0D4E26" w14:textId="77777777">
        <w:tc>
          <w:tcPr>
            <w:tcW w:w="0" w:type="auto"/>
            <w:gridSpan w:val="3"/>
            <w:shd w:val="clear" w:color="auto" w:fill="CCEEFF"/>
            <w:tcMar>
              <w:top w:w="0" w:type="dxa"/>
              <w:left w:w="20" w:type="dxa"/>
              <w:bottom w:w="0" w:type="dxa"/>
              <w:right w:w="20" w:type="dxa"/>
            </w:tcMar>
            <w:vAlign w:val="center"/>
            <w:hideMark/>
          </w:tcPr>
          <w:p w14:paraId="2E69ED70"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0C6BF33"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3A1D561" w14:textId="77777777" w:rsidR="00000000" w:rsidRDefault="009B6C69">
            <w:pPr>
              <w:spacing w:after="100"/>
              <w:jc w:val="right"/>
              <w:rPr>
                <w:rFonts w:eastAsia="Times New Roman"/>
              </w:rPr>
            </w:pPr>
            <w:r>
              <w:rPr>
                <w:rFonts w:eastAsia="Times New Roman"/>
                <w:color w:val="000000"/>
                <w:sz w:val="18"/>
                <w:szCs w:val="18"/>
              </w:rPr>
              <w:t>3,689 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83B98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70B72D"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92FF200"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F639A68" w14:textId="77777777" w:rsidR="00000000" w:rsidRDefault="009B6C69">
            <w:pPr>
              <w:spacing w:after="100"/>
              <w:jc w:val="right"/>
              <w:rPr>
                <w:rFonts w:eastAsia="Times New Roman"/>
              </w:rPr>
            </w:pPr>
            <w:r>
              <w:rPr>
                <w:rFonts w:eastAsia="Times New Roman"/>
                <w:color w:val="000000"/>
                <w:sz w:val="18"/>
                <w:szCs w:val="18"/>
              </w:rPr>
              <w:t>5,014 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B27484B" w14:textId="77777777" w:rsidR="00000000" w:rsidRDefault="009B6C69">
            <w:pPr>
              <w:spacing w:after="100"/>
              <w:jc w:val="right"/>
              <w:rPr>
                <w:rFonts w:eastAsia="Times New Roman"/>
              </w:rPr>
            </w:pPr>
          </w:p>
        </w:tc>
      </w:tr>
    </w:tbl>
    <w:p w14:paraId="727BC6AB" w14:textId="77777777" w:rsidR="00000000" w:rsidRDefault="009B6C69">
      <w:pPr>
        <w:ind w:firstLine="360"/>
        <w:divId w:val="2020278716"/>
        <w:rPr>
          <w:rFonts w:eastAsia="Times New Roman"/>
        </w:rPr>
      </w:pPr>
      <w:r>
        <w:rPr>
          <w:rFonts w:eastAsia="Times New Roman"/>
          <w:b/>
          <w:bCs/>
          <w:i/>
          <w:iCs/>
          <w:color w:val="000000"/>
          <w:sz w:val="20"/>
          <w:szCs w:val="20"/>
        </w:rPr>
        <w:t xml:space="preserve">Revenues. </w:t>
      </w:r>
      <w:r>
        <w:rPr>
          <w:rFonts w:eastAsia="Times New Roman"/>
          <w:color w:val="000000"/>
          <w:sz w:val="20"/>
          <w:szCs w:val="20"/>
        </w:rPr>
        <w:t xml:space="preserve">We disaggregate our revenues by segment (Note 8), by product and service (as presented on our consolidated statements of operations), and for our QCT segment, by revenue stream, which is based on the industry and application in which our products are sold </w:t>
      </w:r>
      <w:r>
        <w:rPr>
          <w:rFonts w:eastAsia="Times New Roman"/>
          <w:color w:val="000000"/>
          <w:sz w:val="20"/>
          <w:szCs w:val="20"/>
        </w:rPr>
        <w:t>(as presented below). In certain cases, the determination of QCT revenues by industry and application requires the use of certain assumptions. Substantially all of QCT’s revenues consist of equipment revenues that are recognized at a point in time, and sub</w:t>
      </w:r>
      <w:r>
        <w:rPr>
          <w:rFonts w:eastAsia="Times New Roman"/>
          <w:color w:val="000000"/>
          <w:sz w:val="20"/>
          <w:szCs w:val="20"/>
        </w:rPr>
        <w:t>stantially all of QTL’s revenues represent licensing revenues that are recognized over time and are principally from royalties generated through our licensees’ sales of mobile handsets. QCT revenue streams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364"/>
        <w:gridCol w:w="38"/>
        <w:gridCol w:w="36"/>
        <w:gridCol w:w="36"/>
        <w:gridCol w:w="36"/>
        <w:gridCol w:w="36"/>
        <w:gridCol w:w="400"/>
        <w:gridCol w:w="46"/>
        <w:gridCol w:w="400"/>
        <w:gridCol w:w="46"/>
        <w:gridCol w:w="110"/>
        <w:gridCol w:w="747"/>
        <w:gridCol w:w="36"/>
        <w:gridCol w:w="36"/>
        <w:gridCol w:w="36"/>
        <w:gridCol w:w="36"/>
        <w:gridCol w:w="110"/>
        <w:gridCol w:w="701"/>
        <w:gridCol w:w="36"/>
        <w:gridCol w:w="36"/>
        <w:gridCol w:w="36"/>
        <w:gridCol w:w="36"/>
        <w:gridCol w:w="110"/>
        <w:gridCol w:w="702"/>
        <w:gridCol w:w="36"/>
      </w:tblGrid>
      <w:tr w:rsidR="00000000" w14:paraId="4AF4C703" w14:textId="77777777">
        <w:trPr>
          <w:divId w:val="1711222437"/>
        </w:trPr>
        <w:tc>
          <w:tcPr>
            <w:tcW w:w="50" w:type="pct"/>
            <w:vAlign w:val="center"/>
            <w:hideMark/>
          </w:tcPr>
          <w:p w14:paraId="1181772C" w14:textId="77777777" w:rsidR="00000000" w:rsidRDefault="009B6C69">
            <w:pPr>
              <w:ind w:firstLine="360"/>
              <w:rPr>
                <w:rFonts w:eastAsia="Times New Roman"/>
              </w:rPr>
            </w:pPr>
          </w:p>
        </w:tc>
        <w:tc>
          <w:tcPr>
            <w:tcW w:w="3056" w:type="pct"/>
            <w:vAlign w:val="center"/>
            <w:hideMark/>
          </w:tcPr>
          <w:p w14:paraId="2EC59FF0" w14:textId="77777777" w:rsidR="00000000" w:rsidRDefault="009B6C69">
            <w:pPr>
              <w:spacing w:after="100"/>
              <w:rPr>
                <w:rFonts w:eastAsia="Times New Roman"/>
                <w:sz w:val="20"/>
                <w:szCs w:val="20"/>
              </w:rPr>
            </w:pPr>
          </w:p>
        </w:tc>
        <w:tc>
          <w:tcPr>
            <w:tcW w:w="5" w:type="pct"/>
            <w:vAlign w:val="center"/>
            <w:hideMark/>
          </w:tcPr>
          <w:p w14:paraId="6E958291" w14:textId="77777777" w:rsidR="00000000" w:rsidRDefault="009B6C69">
            <w:pPr>
              <w:spacing w:after="100"/>
              <w:rPr>
                <w:rFonts w:eastAsia="Times New Roman"/>
                <w:sz w:val="20"/>
                <w:szCs w:val="20"/>
              </w:rPr>
            </w:pPr>
          </w:p>
        </w:tc>
        <w:tc>
          <w:tcPr>
            <w:tcW w:w="0" w:type="auto"/>
            <w:vAlign w:val="center"/>
            <w:hideMark/>
          </w:tcPr>
          <w:p w14:paraId="78BEE058" w14:textId="77777777" w:rsidR="00000000" w:rsidRDefault="009B6C69">
            <w:pPr>
              <w:spacing w:after="100"/>
              <w:rPr>
                <w:rFonts w:eastAsia="Times New Roman"/>
                <w:sz w:val="20"/>
                <w:szCs w:val="20"/>
              </w:rPr>
            </w:pPr>
          </w:p>
        </w:tc>
        <w:tc>
          <w:tcPr>
            <w:tcW w:w="0" w:type="auto"/>
            <w:vAlign w:val="center"/>
            <w:hideMark/>
          </w:tcPr>
          <w:p w14:paraId="4DB190EB" w14:textId="77777777" w:rsidR="00000000" w:rsidRDefault="009B6C69">
            <w:pPr>
              <w:spacing w:after="100"/>
              <w:rPr>
                <w:rFonts w:eastAsia="Times New Roman"/>
                <w:sz w:val="20"/>
                <w:szCs w:val="20"/>
              </w:rPr>
            </w:pPr>
          </w:p>
        </w:tc>
        <w:tc>
          <w:tcPr>
            <w:tcW w:w="0" w:type="auto"/>
            <w:vAlign w:val="center"/>
            <w:hideMark/>
          </w:tcPr>
          <w:p w14:paraId="30117870" w14:textId="77777777" w:rsidR="00000000" w:rsidRDefault="009B6C69">
            <w:pPr>
              <w:spacing w:after="100"/>
              <w:rPr>
                <w:rFonts w:eastAsia="Times New Roman"/>
                <w:sz w:val="20"/>
                <w:szCs w:val="20"/>
              </w:rPr>
            </w:pPr>
          </w:p>
        </w:tc>
        <w:tc>
          <w:tcPr>
            <w:tcW w:w="0" w:type="auto"/>
            <w:vAlign w:val="center"/>
            <w:hideMark/>
          </w:tcPr>
          <w:p w14:paraId="29463E33" w14:textId="77777777" w:rsidR="00000000" w:rsidRDefault="009B6C69">
            <w:pPr>
              <w:spacing w:after="100"/>
              <w:rPr>
                <w:rFonts w:eastAsia="Times New Roman"/>
                <w:sz w:val="20"/>
                <w:szCs w:val="20"/>
              </w:rPr>
            </w:pPr>
          </w:p>
        </w:tc>
        <w:tc>
          <w:tcPr>
            <w:tcW w:w="0" w:type="auto"/>
            <w:vAlign w:val="center"/>
            <w:hideMark/>
          </w:tcPr>
          <w:p w14:paraId="06CCF862" w14:textId="77777777" w:rsidR="00000000" w:rsidRDefault="009B6C69">
            <w:pPr>
              <w:spacing w:after="100"/>
              <w:rPr>
                <w:rFonts w:eastAsia="Times New Roman"/>
                <w:sz w:val="20"/>
                <w:szCs w:val="20"/>
              </w:rPr>
            </w:pPr>
          </w:p>
        </w:tc>
        <w:tc>
          <w:tcPr>
            <w:tcW w:w="0" w:type="auto"/>
            <w:vAlign w:val="center"/>
            <w:hideMark/>
          </w:tcPr>
          <w:p w14:paraId="00617084" w14:textId="77777777" w:rsidR="00000000" w:rsidRDefault="009B6C69">
            <w:pPr>
              <w:spacing w:after="100"/>
              <w:rPr>
                <w:rFonts w:eastAsia="Times New Roman"/>
                <w:sz w:val="20"/>
                <w:szCs w:val="20"/>
              </w:rPr>
            </w:pPr>
          </w:p>
        </w:tc>
        <w:tc>
          <w:tcPr>
            <w:tcW w:w="0" w:type="auto"/>
            <w:vAlign w:val="center"/>
            <w:hideMark/>
          </w:tcPr>
          <w:p w14:paraId="3526322C" w14:textId="77777777" w:rsidR="00000000" w:rsidRDefault="009B6C69">
            <w:pPr>
              <w:spacing w:after="100"/>
              <w:rPr>
                <w:rFonts w:eastAsia="Times New Roman"/>
                <w:sz w:val="20"/>
                <w:szCs w:val="20"/>
              </w:rPr>
            </w:pPr>
          </w:p>
        </w:tc>
        <w:tc>
          <w:tcPr>
            <w:tcW w:w="0" w:type="auto"/>
            <w:vAlign w:val="center"/>
            <w:hideMark/>
          </w:tcPr>
          <w:p w14:paraId="155FA0FF" w14:textId="77777777" w:rsidR="00000000" w:rsidRDefault="009B6C69">
            <w:pPr>
              <w:spacing w:after="100"/>
              <w:rPr>
                <w:rFonts w:eastAsia="Times New Roman"/>
                <w:sz w:val="20"/>
                <w:szCs w:val="20"/>
              </w:rPr>
            </w:pPr>
          </w:p>
        </w:tc>
        <w:tc>
          <w:tcPr>
            <w:tcW w:w="50" w:type="pct"/>
            <w:vAlign w:val="center"/>
            <w:hideMark/>
          </w:tcPr>
          <w:p w14:paraId="10B024CA" w14:textId="77777777" w:rsidR="00000000" w:rsidRDefault="009B6C69">
            <w:pPr>
              <w:spacing w:after="100"/>
              <w:rPr>
                <w:rFonts w:eastAsia="Times New Roman"/>
                <w:sz w:val="20"/>
                <w:szCs w:val="20"/>
              </w:rPr>
            </w:pPr>
          </w:p>
        </w:tc>
        <w:tc>
          <w:tcPr>
            <w:tcW w:w="549" w:type="pct"/>
            <w:vAlign w:val="center"/>
            <w:hideMark/>
          </w:tcPr>
          <w:p w14:paraId="50801E2B" w14:textId="77777777" w:rsidR="00000000" w:rsidRDefault="009B6C69">
            <w:pPr>
              <w:spacing w:after="100"/>
              <w:rPr>
                <w:rFonts w:eastAsia="Times New Roman"/>
                <w:sz w:val="20"/>
                <w:szCs w:val="20"/>
              </w:rPr>
            </w:pPr>
          </w:p>
        </w:tc>
        <w:tc>
          <w:tcPr>
            <w:tcW w:w="5" w:type="pct"/>
            <w:vAlign w:val="center"/>
            <w:hideMark/>
          </w:tcPr>
          <w:p w14:paraId="5E1227B8" w14:textId="77777777" w:rsidR="00000000" w:rsidRDefault="009B6C69">
            <w:pPr>
              <w:spacing w:after="100"/>
              <w:rPr>
                <w:rFonts w:eastAsia="Times New Roman"/>
                <w:sz w:val="20"/>
                <w:szCs w:val="20"/>
              </w:rPr>
            </w:pPr>
          </w:p>
        </w:tc>
        <w:tc>
          <w:tcPr>
            <w:tcW w:w="5" w:type="pct"/>
            <w:vAlign w:val="center"/>
            <w:hideMark/>
          </w:tcPr>
          <w:p w14:paraId="798A9E59" w14:textId="77777777" w:rsidR="00000000" w:rsidRDefault="009B6C69">
            <w:pPr>
              <w:spacing w:after="100"/>
              <w:rPr>
                <w:rFonts w:eastAsia="Times New Roman"/>
                <w:sz w:val="20"/>
                <w:szCs w:val="20"/>
              </w:rPr>
            </w:pPr>
          </w:p>
        </w:tc>
        <w:tc>
          <w:tcPr>
            <w:tcW w:w="27" w:type="pct"/>
            <w:vAlign w:val="center"/>
            <w:hideMark/>
          </w:tcPr>
          <w:p w14:paraId="55E9BABC" w14:textId="77777777" w:rsidR="00000000" w:rsidRDefault="009B6C69">
            <w:pPr>
              <w:spacing w:after="100"/>
              <w:rPr>
                <w:rFonts w:eastAsia="Times New Roman"/>
                <w:sz w:val="20"/>
                <w:szCs w:val="20"/>
              </w:rPr>
            </w:pPr>
          </w:p>
        </w:tc>
        <w:tc>
          <w:tcPr>
            <w:tcW w:w="5" w:type="pct"/>
            <w:vAlign w:val="center"/>
            <w:hideMark/>
          </w:tcPr>
          <w:p w14:paraId="02ADA8A0" w14:textId="77777777" w:rsidR="00000000" w:rsidRDefault="009B6C69">
            <w:pPr>
              <w:spacing w:after="100"/>
              <w:rPr>
                <w:rFonts w:eastAsia="Times New Roman"/>
                <w:sz w:val="20"/>
                <w:szCs w:val="20"/>
              </w:rPr>
            </w:pPr>
          </w:p>
        </w:tc>
        <w:tc>
          <w:tcPr>
            <w:tcW w:w="50" w:type="pct"/>
            <w:vAlign w:val="center"/>
            <w:hideMark/>
          </w:tcPr>
          <w:p w14:paraId="5B2AABEF" w14:textId="77777777" w:rsidR="00000000" w:rsidRDefault="009B6C69">
            <w:pPr>
              <w:spacing w:after="100"/>
              <w:rPr>
                <w:rFonts w:eastAsia="Times New Roman"/>
                <w:sz w:val="20"/>
                <w:szCs w:val="20"/>
              </w:rPr>
            </w:pPr>
          </w:p>
        </w:tc>
        <w:tc>
          <w:tcPr>
            <w:tcW w:w="549" w:type="pct"/>
            <w:vAlign w:val="center"/>
            <w:hideMark/>
          </w:tcPr>
          <w:p w14:paraId="0F12D74E" w14:textId="77777777" w:rsidR="00000000" w:rsidRDefault="009B6C69">
            <w:pPr>
              <w:spacing w:after="100"/>
              <w:rPr>
                <w:rFonts w:eastAsia="Times New Roman"/>
                <w:sz w:val="20"/>
                <w:szCs w:val="20"/>
              </w:rPr>
            </w:pPr>
          </w:p>
        </w:tc>
        <w:tc>
          <w:tcPr>
            <w:tcW w:w="5" w:type="pct"/>
            <w:vAlign w:val="center"/>
            <w:hideMark/>
          </w:tcPr>
          <w:p w14:paraId="60DA8FE5" w14:textId="77777777" w:rsidR="00000000" w:rsidRDefault="009B6C69">
            <w:pPr>
              <w:spacing w:after="100"/>
              <w:rPr>
                <w:rFonts w:eastAsia="Times New Roman"/>
                <w:sz w:val="20"/>
                <w:szCs w:val="20"/>
              </w:rPr>
            </w:pPr>
          </w:p>
        </w:tc>
        <w:tc>
          <w:tcPr>
            <w:tcW w:w="5" w:type="pct"/>
            <w:vAlign w:val="center"/>
            <w:hideMark/>
          </w:tcPr>
          <w:p w14:paraId="3BCF25C0" w14:textId="77777777" w:rsidR="00000000" w:rsidRDefault="009B6C69">
            <w:pPr>
              <w:spacing w:after="100"/>
              <w:rPr>
                <w:rFonts w:eastAsia="Times New Roman"/>
                <w:sz w:val="20"/>
                <w:szCs w:val="20"/>
              </w:rPr>
            </w:pPr>
          </w:p>
        </w:tc>
        <w:tc>
          <w:tcPr>
            <w:tcW w:w="27" w:type="pct"/>
            <w:vAlign w:val="center"/>
            <w:hideMark/>
          </w:tcPr>
          <w:p w14:paraId="14E7FD43" w14:textId="77777777" w:rsidR="00000000" w:rsidRDefault="009B6C69">
            <w:pPr>
              <w:spacing w:after="100"/>
              <w:rPr>
                <w:rFonts w:eastAsia="Times New Roman"/>
                <w:sz w:val="20"/>
                <w:szCs w:val="20"/>
              </w:rPr>
            </w:pPr>
          </w:p>
        </w:tc>
        <w:tc>
          <w:tcPr>
            <w:tcW w:w="5" w:type="pct"/>
            <w:vAlign w:val="center"/>
            <w:hideMark/>
          </w:tcPr>
          <w:p w14:paraId="22EBA3E5" w14:textId="77777777" w:rsidR="00000000" w:rsidRDefault="009B6C69">
            <w:pPr>
              <w:spacing w:after="100"/>
              <w:rPr>
                <w:rFonts w:eastAsia="Times New Roman"/>
                <w:sz w:val="20"/>
                <w:szCs w:val="20"/>
              </w:rPr>
            </w:pPr>
          </w:p>
        </w:tc>
        <w:tc>
          <w:tcPr>
            <w:tcW w:w="50" w:type="pct"/>
            <w:vAlign w:val="center"/>
            <w:hideMark/>
          </w:tcPr>
          <w:p w14:paraId="44FB56A4" w14:textId="77777777" w:rsidR="00000000" w:rsidRDefault="009B6C69">
            <w:pPr>
              <w:spacing w:after="100"/>
              <w:rPr>
                <w:rFonts w:eastAsia="Times New Roman"/>
                <w:sz w:val="20"/>
                <w:szCs w:val="20"/>
              </w:rPr>
            </w:pPr>
          </w:p>
        </w:tc>
        <w:tc>
          <w:tcPr>
            <w:tcW w:w="549" w:type="pct"/>
            <w:vAlign w:val="center"/>
            <w:hideMark/>
          </w:tcPr>
          <w:p w14:paraId="7937B23C" w14:textId="77777777" w:rsidR="00000000" w:rsidRDefault="009B6C69">
            <w:pPr>
              <w:spacing w:after="100"/>
              <w:rPr>
                <w:rFonts w:eastAsia="Times New Roman"/>
                <w:sz w:val="20"/>
                <w:szCs w:val="20"/>
              </w:rPr>
            </w:pPr>
          </w:p>
        </w:tc>
        <w:tc>
          <w:tcPr>
            <w:tcW w:w="5" w:type="pct"/>
            <w:vAlign w:val="center"/>
            <w:hideMark/>
          </w:tcPr>
          <w:p w14:paraId="68BD8DC6" w14:textId="77777777" w:rsidR="00000000" w:rsidRDefault="009B6C69">
            <w:pPr>
              <w:spacing w:after="100"/>
              <w:rPr>
                <w:rFonts w:eastAsia="Times New Roman"/>
                <w:sz w:val="20"/>
                <w:szCs w:val="20"/>
              </w:rPr>
            </w:pPr>
          </w:p>
        </w:tc>
      </w:tr>
      <w:tr w:rsidR="00000000" w14:paraId="31EB7B4E" w14:textId="77777777">
        <w:trPr>
          <w:divId w:val="1711222437"/>
        </w:trPr>
        <w:tc>
          <w:tcPr>
            <w:tcW w:w="0" w:type="auto"/>
            <w:gridSpan w:val="3"/>
            <w:tcMar>
              <w:top w:w="0" w:type="dxa"/>
              <w:left w:w="20" w:type="dxa"/>
              <w:bottom w:w="0" w:type="dxa"/>
              <w:right w:w="20" w:type="dxa"/>
            </w:tcMar>
            <w:vAlign w:val="center"/>
            <w:hideMark/>
          </w:tcPr>
          <w:p w14:paraId="2B838F04" w14:textId="77777777" w:rsidR="00000000" w:rsidRDefault="009B6C69">
            <w:pPr>
              <w:spacing w:after="100"/>
              <w:rPr>
                <w:rFonts w:eastAsia="Times New Roman"/>
                <w:sz w:val="20"/>
                <w:szCs w:val="20"/>
              </w:rPr>
            </w:pPr>
          </w:p>
        </w:tc>
        <w:tc>
          <w:tcPr>
            <w:tcW w:w="0" w:type="auto"/>
            <w:vAlign w:val="center"/>
            <w:hideMark/>
          </w:tcPr>
          <w:p w14:paraId="71124685" w14:textId="77777777" w:rsidR="00000000" w:rsidRDefault="009B6C69">
            <w:pPr>
              <w:spacing w:after="100"/>
              <w:rPr>
                <w:rFonts w:eastAsia="Times New Roman"/>
                <w:sz w:val="20"/>
                <w:szCs w:val="20"/>
              </w:rPr>
            </w:pPr>
          </w:p>
        </w:tc>
        <w:tc>
          <w:tcPr>
            <w:tcW w:w="0" w:type="auto"/>
            <w:vAlign w:val="center"/>
            <w:hideMark/>
          </w:tcPr>
          <w:p w14:paraId="652853C0" w14:textId="77777777" w:rsidR="00000000" w:rsidRDefault="009B6C69">
            <w:pPr>
              <w:spacing w:after="100"/>
              <w:rPr>
                <w:rFonts w:eastAsia="Times New Roman"/>
                <w:sz w:val="20"/>
                <w:szCs w:val="20"/>
              </w:rPr>
            </w:pPr>
          </w:p>
        </w:tc>
        <w:tc>
          <w:tcPr>
            <w:tcW w:w="0" w:type="auto"/>
            <w:vAlign w:val="center"/>
            <w:hideMark/>
          </w:tcPr>
          <w:p w14:paraId="5721DB45" w14:textId="77777777" w:rsidR="00000000" w:rsidRDefault="009B6C69">
            <w:pPr>
              <w:spacing w:after="100"/>
              <w:rPr>
                <w:rFonts w:eastAsia="Times New Roman"/>
                <w:sz w:val="20"/>
                <w:szCs w:val="20"/>
              </w:rPr>
            </w:pPr>
          </w:p>
        </w:tc>
        <w:tc>
          <w:tcPr>
            <w:tcW w:w="0" w:type="auto"/>
            <w:vAlign w:val="center"/>
            <w:hideMark/>
          </w:tcPr>
          <w:p w14:paraId="48E5BCD5" w14:textId="77777777" w:rsidR="00000000" w:rsidRDefault="009B6C69">
            <w:pPr>
              <w:spacing w:after="100"/>
              <w:rPr>
                <w:rFonts w:eastAsia="Times New Roman"/>
                <w:sz w:val="20"/>
                <w:szCs w:val="20"/>
              </w:rPr>
            </w:pPr>
          </w:p>
        </w:tc>
        <w:tc>
          <w:tcPr>
            <w:tcW w:w="0" w:type="auto"/>
            <w:tcMar>
              <w:top w:w="30" w:type="dxa"/>
              <w:left w:w="20" w:type="dxa"/>
              <w:bottom w:w="30" w:type="dxa"/>
              <w:right w:w="20" w:type="dxa"/>
            </w:tcMar>
            <w:vAlign w:val="bottom"/>
            <w:hideMark/>
          </w:tcPr>
          <w:p w14:paraId="308A1E42"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tcMar>
              <w:top w:w="0" w:type="dxa"/>
              <w:left w:w="20" w:type="dxa"/>
              <w:bottom w:w="0" w:type="dxa"/>
              <w:right w:w="20" w:type="dxa"/>
            </w:tcMar>
            <w:vAlign w:val="center"/>
            <w:hideMark/>
          </w:tcPr>
          <w:p w14:paraId="3DB78C83" w14:textId="77777777" w:rsidR="00000000" w:rsidRDefault="009B6C69">
            <w:pPr>
              <w:spacing w:after="100"/>
              <w:jc w:val="center"/>
              <w:rPr>
                <w:rFonts w:eastAsia="Times New Roman"/>
              </w:rPr>
            </w:pPr>
          </w:p>
        </w:tc>
        <w:tc>
          <w:tcPr>
            <w:tcW w:w="0" w:type="auto"/>
            <w:tcMar>
              <w:top w:w="30" w:type="dxa"/>
              <w:left w:w="20" w:type="dxa"/>
              <w:bottom w:w="30" w:type="dxa"/>
              <w:right w:w="20" w:type="dxa"/>
            </w:tcMar>
            <w:vAlign w:val="bottom"/>
            <w:hideMark/>
          </w:tcPr>
          <w:p w14:paraId="459662D1"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tcMar>
              <w:top w:w="0" w:type="dxa"/>
              <w:left w:w="20" w:type="dxa"/>
              <w:bottom w:w="0" w:type="dxa"/>
              <w:right w:w="20" w:type="dxa"/>
            </w:tcMar>
            <w:vAlign w:val="center"/>
            <w:hideMark/>
          </w:tcPr>
          <w:p w14:paraId="3559D4FA"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24C479F" w14:textId="77777777" w:rsidR="00000000" w:rsidRDefault="009B6C69">
            <w:pPr>
              <w:spacing w:after="100"/>
              <w:jc w:val="center"/>
              <w:rPr>
                <w:rFonts w:eastAsia="Times New Roman"/>
              </w:rPr>
            </w:pPr>
            <w:r>
              <w:rPr>
                <w:rFonts w:eastAsia="Times New Roman"/>
                <w:b/>
                <w:bCs/>
                <w:color w:val="000000"/>
                <w:sz w:val="18"/>
                <w:szCs w:val="18"/>
              </w:rPr>
              <w:t>2020</w:t>
            </w:r>
          </w:p>
        </w:tc>
        <w:tc>
          <w:tcPr>
            <w:tcW w:w="0" w:type="auto"/>
            <w:vAlign w:val="center"/>
            <w:hideMark/>
          </w:tcPr>
          <w:p w14:paraId="53647F91" w14:textId="77777777" w:rsidR="00000000" w:rsidRDefault="009B6C69">
            <w:pPr>
              <w:spacing w:after="100"/>
              <w:rPr>
                <w:rFonts w:eastAsia="Times New Roman"/>
                <w:sz w:val="20"/>
                <w:szCs w:val="20"/>
              </w:rPr>
            </w:pPr>
          </w:p>
        </w:tc>
        <w:tc>
          <w:tcPr>
            <w:tcW w:w="0" w:type="auto"/>
            <w:vAlign w:val="center"/>
            <w:hideMark/>
          </w:tcPr>
          <w:p w14:paraId="517ED197" w14:textId="77777777" w:rsidR="00000000" w:rsidRDefault="009B6C69">
            <w:pPr>
              <w:spacing w:after="100"/>
              <w:rPr>
                <w:rFonts w:eastAsia="Times New Roman"/>
                <w:sz w:val="20"/>
                <w:szCs w:val="20"/>
              </w:rPr>
            </w:pPr>
          </w:p>
        </w:tc>
        <w:tc>
          <w:tcPr>
            <w:tcW w:w="0" w:type="auto"/>
            <w:vAlign w:val="center"/>
            <w:hideMark/>
          </w:tcPr>
          <w:p w14:paraId="093B67A0" w14:textId="77777777" w:rsidR="00000000" w:rsidRDefault="009B6C69">
            <w:pPr>
              <w:spacing w:after="100"/>
              <w:rPr>
                <w:rFonts w:eastAsia="Times New Roman"/>
                <w:sz w:val="20"/>
                <w:szCs w:val="20"/>
              </w:rPr>
            </w:pPr>
          </w:p>
        </w:tc>
        <w:tc>
          <w:tcPr>
            <w:tcW w:w="0" w:type="auto"/>
            <w:vAlign w:val="center"/>
            <w:hideMark/>
          </w:tcPr>
          <w:p w14:paraId="47030977" w14:textId="77777777" w:rsidR="00000000" w:rsidRDefault="009B6C69">
            <w:pPr>
              <w:spacing w:after="100"/>
              <w:rPr>
                <w:rFonts w:eastAsia="Times New Roman"/>
                <w:sz w:val="20"/>
                <w:szCs w:val="20"/>
              </w:rPr>
            </w:pPr>
          </w:p>
        </w:tc>
        <w:tc>
          <w:tcPr>
            <w:tcW w:w="0" w:type="auto"/>
            <w:vAlign w:val="center"/>
            <w:hideMark/>
          </w:tcPr>
          <w:p w14:paraId="5A8EF7BD" w14:textId="77777777" w:rsidR="00000000" w:rsidRDefault="009B6C69">
            <w:pPr>
              <w:spacing w:after="100"/>
              <w:rPr>
                <w:rFonts w:eastAsia="Times New Roman"/>
                <w:sz w:val="20"/>
                <w:szCs w:val="20"/>
              </w:rPr>
            </w:pPr>
          </w:p>
        </w:tc>
        <w:tc>
          <w:tcPr>
            <w:tcW w:w="0" w:type="auto"/>
            <w:vAlign w:val="center"/>
            <w:hideMark/>
          </w:tcPr>
          <w:p w14:paraId="39C301E0" w14:textId="77777777" w:rsidR="00000000" w:rsidRDefault="009B6C69">
            <w:pPr>
              <w:spacing w:after="100"/>
              <w:rPr>
                <w:rFonts w:eastAsia="Times New Roman"/>
                <w:sz w:val="20"/>
                <w:szCs w:val="20"/>
              </w:rPr>
            </w:pPr>
          </w:p>
        </w:tc>
        <w:tc>
          <w:tcPr>
            <w:tcW w:w="0" w:type="auto"/>
            <w:vAlign w:val="center"/>
            <w:hideMark/>
          </w:tcPr>
          <w:p w14:paraId="092BBDA7" w14:textId="77777777" w:rsidR="00000000" w:rsidRDefault="009B6C69">
            <w:pPr>
              <w:spacing w:after="100"/>
              <w:rPr>
                <w:rFonts w:eastAsia="Times New Roman"/>
                <w:sz w:val="20"/>
                <w:szCs w:val="20"/>
              </w:rPr>
            </w:pPr>
          </w:p>
        </w:tc>
        <w:tc>
          <w:tcPr>
            <w:tcW w:w="0" w:type="auto"/>
            <w:vAlign w:val="center"/>
            <w:hideMark/>
          </w:tcPr>
          <w:p w14:paraId="6E1769E3" w14:textId="77777777" w:rsidR="00000000" w:rsidRDefault="009B6C69">
            <w:pPr>
              <w:spacing w:after="100"/>
              <w:rPr>
                <w:rFonts w:eastAsia="Times New Roman"/>
                <w:sz w:val="20"/>
                <w:szCs w:val="20"/>
              </w:rPr>
            </w:pPr>
          </w:p>
        </w:tc>
        <w:tc>
          <w:tcPr>
            <w:tcW w:w="0" w:type="auto"/>
            <w:vAlign w:val="center"/>
            <w:hideMark/>
          </w:tcPr>
          <w:p w14:paraId="1346087A" w14:textId="77777777" w:rsidR="00000000" w:rsidRDefault="009B6C69">
            <w:pPr>
              <w:spacing w:after="100"/>
              <w:rPr>
                <w:rFonts w:eastAsia="Times New Roman"/>
                <w:sz w:val="20"/>
                <w:szCs w:val="20"/>
              </w:rPr>
            </w:pPr>
          </w:p>
        </w:tc>
        <w:tc>
          <w:tcPr>
            <w:tcW w:w="0" w:type="auto"/>
            <w:vAlign w:val="center"/>
            <w:hideMark/>
          </w:tcPr>
          <w:p w14:paraId="00BFF017" w14:textId="77777777" w:rsidR="00000000" w:rsidRDefault="009B6C69">
            <w:pPr>
              <w:spacing w:after="100"/>
              <w:rPr>
                <w:rFonts w:eastAsia="Times New Roman"/>
                <w:sz w:val="20"/>
                <w:szCs w:val="20"/>
              </w:rPr>
            </w:pPr>
          </w:p>
        </w:tc>
        <w:tc>
          <w:tcPr>
            <w:tcW w:w="0" w:type="auto"/>
            <w:vAlign w:val="center"/>
            <w:hideMark/>
          </w:tcPr>
          <w:p w14:paraId="5E6A4592" w14:textId="77777777" w:rsidR="00000000" w:rsidRDefault="009B6C69">
            <w:pPr>
              <w:spacing w:after="100"/>
              <w:rPr>
                <w:rFonts w:eastAsia="Times New Roman"/>
                <w:sz w:val="20"/>
                <w:szCs w:val="20"/>
              </w:rPr>
            </w:pPr>
          </w:p>
        </w:tc>
        <w:tc>
          <w:tcPr>
            <w:tcW w:w="0" w:type="auto"/>
            <w:vAlign w:val="center"/>
            <w:hideMark/>
          </w:tcPr>
          <w:p w14:paraId="2DFBDA1E" w14:textId="77777777" w:rsidR="00000000" w:rsidRDefault="009B6C69">
            <w:pPr>
              <w:spacing w:after="100"/>
              <w:rPr>
                <w:rFonts w:eastAsia="Times New Roman"/>
                <w:sz w:val="20"/>
                <w:szCs w:val="20"/>
              </w:rPr>
            </w:pPr>
          </w:p>
        </w:tc>
      </w:tr>
      <w:tr w:rsidR="00000000" w14:paraId="1A573ABF" w14:textId="77777777">
        <w:trPr>
          <w:divId w:val="1711222437"/>
        </w:trPr>
        <w:tc>
          <w:tcPr>
            <w:tcW w:w="0" w:type="auto"/>
            <w:gridSpan w:val="3"/>
            <w:shd w:val="clear" w:color="auto" w:fill="CCEEFF"/>
            <w:tcMar>
              <w:top w:w="30" w:type="dxa"/>
              <w:left w:w="20" w:type="dxa"/>
              <w:bottom w:w="30" w:type="dxa"/>
              <w:right w:w="20" w:type="dxa"/>
            </w:tcMar>
            <w:vAlign w:val="bottom"/>
            <w:hideMark/>
          </w:tcPr>
          <w:p w14:paraId="31E620F9" w14:textId="77777777" w:rsidR="00000000" w:rsidRDefault="009B6C69">
            <w:pPr>
              <w:spacing w:after="100"/>
              <w:rPr>
                <w:rFonts w:eastAsia="Times New Roman"/>
              </w:rPr>
            </w:pPr>
            <w:r>
              <w:rPr>
                <w:rFonts w:eastAsia="Times New Roman"/>
                <w:color w:val="000000"/>
                <w:sz w:val="18"/>
                <w:szCs w:val="18"/>
              </w:rPr>
              <w:t>Handsets (1)</w:t>
            </w:r>
          </w:p>
        </w:tc>
        <w:tc>
          <w:tcPr>
            <w:tcW w:w="0" w:type="auto"/>
            <w:vAlign w:val="center"/>
            <w:hideMark/>
          </w:tcPr>
          <w:p w14:paraId="648BCECA" w14:textId="77777777" w:rsidR="00000000" w:rsidRDefault="009B6C69">
            <w:pPr>
              <w:spacing w:after="100"/>
              <w:rPr>
                <w:rFonts w:eastAsia="Times New Roman"/>
              </w:rPr>
            </w:pPr>
          </w:p>
        </w:tc>
        <w:tc>
          <w:tcPr>
            <w:tcW w:w="0" w:type="auto"/>
            <w:vAlign w:val="center"/>
            <w:hideMark/>
          </w:tcPr>
          <w:p w14:paraId="62890F85" w14:textId="77777777" w:rsidR="00000000" w:rsidRDefault="009B6C69">
            <w:pPr>
              <w:spacing w:after="100"/>
              <w:rPr>
                <w:rFonts w:eastAsia="Times New Roman"/>
                <w:sz w:val="20"/>
                <w:szCs w:val="20"/>
              </w:rPr>
            </w:pPr>
          </w:p>
        </w:tc>
        <w:tc>
          <w:tcPr>
            <w:tcW w:w="0" w:type="auto"/>
            <w:vAlign w:val="center"/>
            <w:hideMark/>
          </w:tcPr>
          <w:p w14:paraId="3F254FFC" w14:textId="77777777" w:rsidR="00000000" w:rsidRDefault="009B6C69">
            <w:pPr>
              <w:spacing w:after="100"/>
              <w:rPr>
                <w:rFonts w:eastAsia="Times New Roman"/>
                <w:sz w:val="20"/>
                <w:szCs w:val="20"/>
              </w:rPr>
            </w:pPr>
          </w:p>
        </w:tc>
        <w:tc>
          <w:tcPr>
            <w:tcW w:w="0" w:type="auto"/>
            <w:vAlign w:val="center"/>
            <w:hideMark/>
          </w:tcPr>
          <w:p w14:paraId="157A5B41" w14:textId="77777777" w:rsidR="00000000" w:rsidRDefault="009B6C69">
            <w:pPr>
              <w:spacing w:after="100"/>
              <w:rPr>
                <w:rFonts w:eastAsia="Times New Roman"/>
                <w:sz w:val="20"/>
                <w:szCs w:val="20"/>
              </w:rPr>
            </w:pPr>
          </w:p>
        </w:tc>
        <w:tc>
          <w:tcPr>
            <w:tcW w:w="0" w:type="auto"/>
            <w:vAlign w:val="center"/>
            <w:hideMark/>
          </w:tcPr>
          <w:p w14:paraId="120B84E3" w14:textId="77777777" w:rsidR="00000000" w:rsidRDefault="009B6C69">
            <w:pPr>
              <w:spacing w:after="100"/>
              <w:rPr>
                <w:rFonts w:eastAsia="Times New Roman"/>
                <w:sz w:val="20"/>
                <w:szCs w:val="20"/>
              </w:rPr>
            </w:pPr>
          </w:p>
        </w:tc>
        <w:tc>
          <w:tcPr>
            <w:tcW w:w="0" w:type="auto"/>
            <w:vAlign w:val="center"/>
            <w:hideMark/>
          </w:tcPr>
          <w:p w14:paraId="5EF5BBC0" w14:textId="77777777" w:rsidR="00000000" w:rsidRDefault="009B6C69">
            <w:pPr>
              <w:spacing w:after="100"/>
              <w:rPr>
                <w:rFonts w:eastAsia="Times New Roman"/>
                <w:sz w:val="20"/>
                <w:szCs w:val="20"/>
              </w:rPr>
            </w:pPr>
          </w:p>
        </w:tc>
        <w:tc>
          <w:tcPr>
            <w:tcW w:w="0" w:type="auto"/>
            <w:vAlign w:val="center"/>
            <w:hideMark/>
          </w:tcPr>
          <w:p w14:paraId="143092F0" w14:textId="77777777" w:rsidR="00000000" w:rsidRDefault="009B6C69">
            <w:pPr>
              <w:spacing w:after="100"/>
              <w:rPr>
                <w:rFonts w:eastAsia="Times New Roman"/>
                <w:sz w:val="20"/>
                <w:szCs w:val="20"/>
              </w:rPr>
            </w:pPr>
          </w:p>
        </w:tc>
        <w:tc>
          <w:tcPr>
            <w:tcW w:w="0" w:type="auto"/>
            <w:vAlign w:val="center"/>
            <w:hideMark/>
          </w:tcPr>
          <w:p w14:paraId="2681C107"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D6FA17"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452850" w14:textId="77777777" w:rsidR="00000000" w:rsidRDefault="009B6C69">
            <w:pPr>
              <w:spacing w:after="100"/>
              <w:jc w:val="right"/>
              <w:rPr>
                <w:rFonts w:eastAsia="Times New Roman"/>
              </w:rPr>
            </w:pPr>
            <w:r>
              <w:rPr>
                <w:rFonts w:eastAsia="Times New Roman"/>
                <w:color w:val="000000"/>
                <w:sz w:val="18"/>
                <w:szCs w:val="18"/>
              </w:rPr>
              <w:t>25,027 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284460"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D4035F"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922DF3"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F9A654" w14:textId="77777777" w:rsidR="00000000" w:rsidRDefault="009B6C69">
            <w:pPr>
              <w:spacing w:after="100"/>
              <w:jc w:val="right"/>
              <w:rPr>
                <w:rFonts w:eastAsia="Times New Roman"/>
              </w:rPr>
            </w:pPr>
            <w:r>
              <w:rPr>
                <w:rFonts w:eastAsia="Times New Roman"/>
                <w:color w:val="000000"/>
                <w:sz w:val="18"/>
                <w:szCs w:val="18"/>
              </w:rPr>
              <w:t>16,830 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6EE9A9"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06F00E"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342613"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A56A57" w14:textId="77777777" w:rsidR="00000000" w:rsidRDefault="009B6C69">
            <w:pPr>
              <w:spacing w:after="100"/>
              <w:jc w:val="right"/>
              <w:rPr>
                <w:rFonts w:eastAsia="Times New Roman"/>
              </w:rPr>
            </w:pPr>
            <w:r>
              <w:rPr>
                <w:rFonts w:eastAsia="Times New Roman"/>
                <w:color w:val="000000"/>
                <w:sz w:val="18"/>
                <w:szCs w:val="18"/>
              </w:rPr>
              <w:t>10,461 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ED515D" w14:textId="77777777" w:rsidR="00000000" w:rsidRDefault="009B6C69">
            <w:pPr>
              <w:spacing w:after="100"/>
              <w:jc w:val="right"/>
              <w:rPr>
                <w:rFonts w:eastAsia="Times New Roman"/>
              </w:rPr>
            </w:pPr>
          </w:p>
        </w:tc>
      </w:tr>
      <w:tr w:rsidR="00000000" w14:paraId="0827FA64" w14:textId="77777777">
        <w:trPr>
          <w:divId w:val="1711222437"/>
        </w:trPr>
        <w:tc>
          <w:tcPr>
            <w:tcW w:w="0" w:type="auto"/>
            <w:gridSpan w:val="3"/>
            <w:shd w:val="clear" w:color="auto" w:fill="FFFFFF"/>
            <w:tcMar>
              <w:top w:w="30" w:type="dxa"/>
              <w:left w:w="20" w:type="dxa"/>
              <w:bottom w:w="30" w:type="dxa"/>
              <w:right w:w="20" w:type="dxa"/>
            </w:tcMar>
            <w:vAlign w:val="bottom"/>
            <w:hideMark/>
          </w:tcPr>
          <w:p w14:paraId="1F7582B0" w14:textId="77777777" w:rsidR="00000000" w:rsidRDefault="009B6C69">
            <w:pPr>
              <w:spacing w:after="100"/>
              <w:rPr>
                <w:rFonts w:eastAsia="Times New Roman"/>
              </w:rPr>
            </w:pPr>
            <w:r>
              <w:rPr>
                <w:rFonts w:eastAsia="Times New Roman"/>
                <w:color w:val="000000"/>
                <w:sz w:val="18"/>
                <w:szCs w:val="18"/>
              </w:rPr>
              <w:t>RFFE (2)</w:t>
            </w:r>
          </w:p>
        </w:tc>
        <w:tc>
          <w:tcPr>
            <w:tcW w:w="0" w:type="auto"/>
            <w:vAlign w:val="center"/>
            <w:hideMark/>
          </w:tcPr>
          <w:p w14:paraId="7A23507B" w14:textId="77777777" w:rsidR="00000000" w:rsidRDefault="009B6C69">
            <w:pPr>
              <w:spacing w:after="100"/>
              <w:rPr>
                <w:rFonts w:eastAsia="Times New Roman"/>
              </w:rPr>
            </w:pPr>
          </w:p>
        </w:tc>
        <w:tc>
          <w:tcPr>
            <w:tcW w:w="0" w:type="auto"/>
            <w:vAlign w:val="center"/>
            <w:hideMark/>
          </w:tcPr>
          <w:p w14:paraId="37D387E1" w14:textId="77777777" w:rsidR="00000000" w:rsidRDefault="009B6C69">
            <w:pPr>
              <w:spacing w:after="100"/>
              <w:rPr>
                <w:rFonts w:eastAsia="Times New Roman"/>
                <w:sz w:val="20"/>
                <w:szCs w:val="20"/>
              </w:rPr>
            </w:pPr>
          </w:p>
        </w:tc>
        <w:tc>
          <w:tcPr>
            <w:tcW w:w="0" w:type="auto"/>
            <w:vAlign w:val="center"/>
            <w:hideMark/>
          </w:tcPr>
          <w:p w14:paraId="49108CB1" w14:textId="77777777" w:rsidR="00000000" w:rsidRDefault="009B6C69">
            <w:pPr>
              <w:spacing w:after="100"/>
              <w:rPr>
                <w:rFonts w:eastAsia="Times New Roman"/>
                <w:sz w:val="20"/>
                <w:szCs w:val="20"/>
              </w:rPr>
            </w:pPr>
          </w:p>
        </w:tc>
        <w:tc>
          <w:tcPr>
            <w:tcW w:w="0" w:type="auto"/>
            <w:vAlign w:val="center"/>
            <w:hideMark/>
          </w:tcPr>
          <w:p w14:paraId="1AF246DB" w14:textId="77777777" w:rsidR="00000000" w:rsidRDefault="009B6C69">
            <w:pPr>
              <w:spacing w:after="100"/>
              <w:rPr>
                <w:rFonts w:eastAsia="Times New Roman"/>
                <w:sz w:val="20"/>
                <w:szCs w:val="20"/>
              </w:rPr>
            </w:pPr>
          </w:p>
        </w:tc>
        <w:tc>
          <w:tcPr>
            <w:tcW w:w="0" w:type="auto"/>
            <w:vAlign w:val="center"/>
            <w:hideMark/>
          </w:tcPr>
          <w:p w14:paraId="5B951041" w14:textId="77777777" w:rsidR="00000000" w:rsidRDefault="009B6C69">
            <w:pPr>
              <w:spacing w:after="100"/>
              <w:rPr>
                <w:rFonts w:eastAsia="Times New Roman"/>
                <w:sz w:val="20"/>
                <w:szCs w:val="20"/>
              </w:rPr>
            </w:pPr>
          </w:p>
        </w:tc>
        <w:tc>
          <w:tcPr>
            <w:tcW w:w="0" w:type="auto"/>
            <w:vAlign w:val="center"/>
            <w:hideMark/>
          </w:tcPr>
          <w:p w14:paraId="009D7F82" w14:textId="77777777" w:rsidR="00000000" w:rsidRDefault="009B6C69">
            <w:pPr>
              <w:spacing w:after="100"/>
              <w:rPr>
                <w:rFonts w:eastAsia="Times New Roman"/>
                <w:sz w:val="20"/>
                <w:szCs w:val="20"/>
              </w:rPr>
            </w:pPr>
          </w:p>
        </w:tc>
        <w:tc>
          <w:tcPr>
            <w:tcW w:w="0" w:type="auto"/>
            <w:vAlign w:val="center"/>
            <w:hideMark/>
          </w:tcPr>
          <w:p w14:paraId="3531554D" w14:textId="77777777" w:rsidR="00000000" w:rsidRDefault="009B6C69">
            <w:pPr>
              <w:spacing w:after="100"/>
              <w:rPr>
                <w:rFonts w:eastAsia="Times New Roman"/>
                <w:sz w:val="20"/>
                <w:szCs w:val="20"/>
              </w:rPr>
            </w:pPr>
          </w:p>
        </w:tc>
        <w:tc>
          <w:tcPr>
            <w:tcW w:w="0" w:type="auto"/>
            <w:vAlign w:val="center"/>
            <w:hideMark/>
          </w:tcPr>
          <w:p w14:paraId="40A231DB"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5F7D75" w14:textId="77777777" w:rsidR="00000000" w:rsidRDefault="009B6C69">
            <w:pPr>
              <w:spacing w:after="100"/>
              <w:jc w:val="right"/>
              <w:rPr>
                <w:rFonts w:eastAsia="Times New Roman"/>
              </w:rPr>
            </w:pPr>
            <w:r>
              <w:rPr>
                <w:rFonts w:eastAsia="Times New Roman"/>
                <w:color w:val="000000"/>
                <w:sz w:val="18"/>
                <w:szCs w:val="18"/>
              </w:rPr>
              <w:t>4,330 </w:t>
            </w:r>
          </w:p>
        </w:tc>
        <w:tc>
          <w:tcPr>
            <w:tcW w:w="0" w:type="auto"/>
            <w:shd w:val="clear" w:color="auto" w:fill="FFFFFF"/>
            <w:tcMar>
              <w:top w:w="30" w:type="dxa"/>
              <w:left w:w="0" w:type="dxa"/>
              <w:bottom w:w="30" w:type="dxa"/>
              <w:right w:w="20" w:type="dxa"/>
            </w:tcMar>
            <w:vAlign w:val="bottom"/>
            <w:hideMark/>
          </w:tcPr>
          <w:p w14:paraId="4F5CBA09"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59BE84"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EEA03A" w14:textId="77777777" w:rsidR="00000000" w:rsidRDefault="009B6C69">
            <w:pPr>
              <w:spacing w:after="100"/>
              <w:jc w:val="right"/>
              <w:rPr>
                <w:rFonts w:eastAsia="Times New Roman"/>
              </w:rPr>
            </w:pPr>
            <w:r>
              <w:rPr>
                <w:rFonts w:eastAsia="Times New Roman"/>
                <w:color w:val="000000"/>
                <w:sz w:val="18"/>
                <w:szCs w:val="18"/>
              </w:rPr>
              <w:t>4,158 </w:t>
            </w:r>
          </w:p>
        </w:tc>
        <w:tc>
          <w:tcPr>
            <w:tcW w:w="0" w:type="auto"/>
            <w:shd w:val="clear" w:color="auto" w:fill="FFFFFF"/>
            <w:tcMar>
              <w:top w:w="30" w:type="dxa"/>
              <w:left w:w="0" w:type="dxa"/>
              <w:bottom w:w="30" w:type="dxa"/>
              <w:right w:w="20" w:type="dxa"/>
            </w:tcMar>
            <w:vAlign w:val="bottom"/>
            <w:hideMark/>
          </w:tcPr>
          <w:p w14:paraId="2185957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4634E"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227616" w14:textId="77777777" w:rsidR="00000000" w:rsidRDefault="009B6C69">
            <w:pPr>
              <w:spacing w:after="100"/>
              <w:jc w:val="right"/>
              <w:rPr>
                <w:rFonts w:eastAsia="Times New Roman"/>
              </w:rPr>
            </w:pPr>
            <w:r>
              <w:rPr>
                <w:rFonts w:eastAsia="Times New Roman"/>
                <w:color w:val="000000"/>
                <w:sz w:val="18"/>
                <w:szCs w:val="18"/>
              </w:rPr>
              <w:t>2,362 </w:t>
            </w:r>
          </w:p>
        </w:tc>
        <w:tc>
          <w:tcPr>
            <w:tcW w:w="0" w:type="auto"/>
            <w:shd w:val="clear" w:color="auto" w:fill="FFFFFF"/>
            <w:tcMar>
              <w:top w:w="30" w:type="dxa"/>
              <w:left w:w="0" w:type="dxa"/>
              <w:bottom w:w="30" w:type="dxa"/>
              <w:right w:w="20" w:type="dxa"/>
            </w:tcMar>
            <w:vAlign w:val="bottom"/>
            <w:hideMark/>
          </w:tcPr>
          <w:p w14:paraId="0619002A" w14:textId="77777777" w:rsidR="00000000" w:rsidRDefault="009B6C69">
            <w:pPr>
              <w:spacing w:after="100"/>
              <w:jc w:val="right"/>
              <w:rPr>
                <w:rFonts w:eastAsia="Times New Roman"/>
              </w:rPr>
            </w:pPr>
          </w:p>
        </w:tc>
      </w:tr>
      <w:tr w:rsidR="00000000" w14:paraId="44A8BB49" w14:textId="77777777">
        <w:trPr>
          <w:divId w:val="1711222437"/>
        </w:trPr>
        <w:tc>
          <w:tcPr>
            <w:tcW w:w="0" w:type="auto"/>
            <w:gridSpan w:val="3"/>
            <w:shd w:val="clear" w:color="auto" w:fill="CCEEFF"/>
            <w:tcMar>
              <w:top w:w="30" w:type="dxa"/>
              <w:left w:w="20" w:type="dxa"/>
              <w:bottom w:w="30" w:type="dxa"/>
              <w:right w:w="20" w:type="dxa"/>
            </w:tcMar>
            <w:vAlign w:val="bottom"/>
            <w:hideMark/>
          </w:tcPr>
          <w:p w14:paraId="00BD8B79" w14:textId="77777777" w:rsidR="00000000" w:rsidRDefault="009B6C69">
            <w:pPr>
              <w:spacing w:after="100"/>
              <w:rPr>
                <w:rFonts w:eastAsia="Times New Roman"/>
              </w:rPr>
            </w:pPr>
            <w:r>
              <w:rPr>
                <w:rFonts w:eastAsia="Times New Roman"/>
                <w:color w:val="000000"/>
                <w:sz w:val="18"/>
                <w:szCs w:val="18"/>
              </w:rPr>
              <w:t>Automotive (3)</w:t>
            </w:r>
          </w:p>
        </w:tc>
        <w:tc>
          <w:tcPr>
            <w:tcW w:w="0" w:type="auto"/>
            <w:vAlign w:val="center"/>
            <w:hideMark/>
          </w:tcPr>
          <w:p w14:paraId="029C5CD4" w14:textId="77777777" w:rsidR="00000000" w:rsidRDefault="009B6C69">
            <w:pPr>
              <w:spacing w:after="100"/>
              <w:rPr>
                <w:rFonts w:eastAsia="Times New Roman"/>
              </w:rPr>
            </w:pPr>
          </w:p>
        </w:tc>
        <w:tc>
          <w:tcPr>
            <w:tcW w:w="0" w:type="auto"/>
            <w:vAlign w:val="center"/>
            <w:hideMark/>
          </w:tcPr>
          <w:p w14:paraId="43A1E983" w14:textId="77777777" w:rsidR="00000000" w:rsidRDefault="009B6C69">
            <w:pPr>
              <w:spacing w:after="100"/>
              <w:rPr>
                <w:rFonts w:eastAsia="Times New Roman"/>
                <w:sz w:val="20"/>
                <w:szCs w:val="20"/>
              </w:rPr>
            </w:pPr>
          </w:p>
        </w:tc>
        <w:tc>
          <w:tcPr>
            <w:tcW w:w="0" w:type="auto"/>
            <w:vAlign w:val="center"/>
            <w:hideMark/>
          </w:tcPr>
          <w:p w14:paraId="35882A48" w14:textId="77777777" w:rsidR="00000000" w:rsidRDefault="009B6C69">
            <w:pPr>
              <w:spacing w:after="100"/>
              <w:rPr>
                <w:rFonts w:eastAsia="Times New Roman"/>
                <w:sz w:val="20"/>
                <w:szCs w:val="20"/>
              </w:rPr>
            </w:pPr>
          </w:p>
        </w:tc>
        <w:tc>
          <w:tcPr>
            <w:tcW w:w="0" w:type="auto"/>
            <w:vAlign w:val="center"/>
            <w:hideMark/>
          </w:tcPr>
          <w:p w14:paraId="43CAD5A9" w14:textId="77777777" w:rsidR="00000000" w:rsidRDefault="009B6C69">
            <w:pPr>
              <w:spacing w:after="100"/>
              <w:rPr>
                <w:rFonts w:eastAsia="Times New Roman"/>
                <w:sz w:val="20"/>
                <w:szCs w:val="20"/>
              </w:rPr>
            </w:pPr>
          </w:p>
        </w:tc>
        <w:tc>
          <w:tcPr>
            <w:tcW w:w="0" w:type="auto"/>
            <w:vAlign w:val="center"/>
            <w:hideMark/>
          </w:tcPr>
          <w:p w14:paraId="57739580" w14:textId="77777777" w:rsidR="00000000" w:rsidRDefault="009B6C69">
            <w:pPr>
              <w:spacing w:after="100"/>
              <w:rPr>
                <w:rFonts w:eastAsia="Times New Roman"/>
                <w:sz w:val="20"/>
                <w:szCs w:val="20"/>
              </w:rPr>
            </w:pPr>
          </w:p>
        </w:tc>
        <w:tc>
          <w:tcPr>
            <w:tcW w:w="0" w:type="auto"/>
            <w:vAlign w:val="center"/>
            <w:hideMark/>
          </w:tcPr>
          <w:p w14:paraId="083B38EE" w14:textId="77777777" w:rsidR="00000000" w:rsidRDefault="009B6C69">
            <w:pPr>
              <w:spacing w:after="100"/>
              <w:rPr>
                <w:rFonts w:eastAsia="Times New Roman"/>
                <w:sz w:val="20"/>
                <w:szCs w:val="20"/>
              </w:rPr>
            </w:pPr>
          </w:p>
        </w:tc>
        <w:tc>
          <w:tcPr>
            <w:tcW w:w="0" w:type="auto"/>
            <w:vAlign w:val="center"/>
            <w:hideMark/>
          </w:tcPr>
          <w:p w14:paraId="6303A560" w14:textId="77777777" w:rsidR="00000000" w:rsidRDefault="009B6C69">
            <w:pPr>
              <w:spacing w:after="100"/>
              <w:rPr>
                <w:rFonts w:eastAsia="Times New Roman"/>
                <w:sz w:val="20"/>
                <w:szCs w:val="20"/>
              </w:rPr>
            </w:pPr>
          </w:p>
        </w:tc>
        <w:tc>
          <w:tcPr>
            <w:tcW w:w="0" w:type="auto"/>
            <w:vAlign w:val="center"/>
            <w:hideMark/>
          </w:tcPr>
          <w:p w14:paraId="1DEC4671"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572C7A" w14:textId="77777777" w:rsidR="00000000" w:rsidRDefault="009B6C69">
            <w:pPr>
              <w:spacing w:after="100"/>
              <w:jc w:val="right"/>
              <w:rPr>
                <w:rFonts w:eastAsia="Times New Roman"/>
              </w:rPr>
            </w:pPr>
            <w:r>
              <w:rPr>
                <w:rFonts w:eastAsia="Times New Roman"/>
                <w:color w:val="000000"/>
                <w:sz w:val="18"/>
                <w:szCs w:val="18"/>
              </w:rPr>
              <w:t>1,372 </w:t>
            </w:r>
          </w:p>
        </w:tc>
        <w:tc>
          <w:tcPr>
            <w:tcW w:w="0" w:type="auto"/>
            <w:shd w:val="clear" w:color="auto" w:fill="CCEEFF"/>
            <w:tcMar>
              <w:top w:w="30" w:type="dxa"/>
              <w:left w:w="0" w:type="dxa"/>
              <w:bottom w:w="30" w:type="dxa"/>
              <w:right w:w="20" w:type="dxa"/>
            </w:tcMar>
            <w:vAlign w:val="bottom"/>
            <w:hideMark/>
          </w:tcPr>
          <w:p w14:paraId="07520C7B"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B57B16"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3FE1DE" w14:textId="77777777" w:rsidR="00000000" w:rsidRDefault="009B6C69">
            <w:pPr>
              <w:spacing w:after="100"/>
              <w:jc w:val="right"/>
              <w:rPr>
                <w:rFonts w:eastAsia="Times New Roman"/>
              </w:rPr>
            </w:pPr>
            <w:r>
              <w:rPr>
                <w:rFonts w:eastAsia="Times New Roman"/>
                <w:color w:val="000000"/>
                <w:sz w:val="18"/>
                <w:szCs w:val="18"/>
              </w:rPr>
              <w:t>975 </w:t>
            </w:r>
          </w:p>
        </w:tc>
        <w:tc>
          <w:tcPr>
            <w:tcW w:w="0" w:type="auto"/>
            <w:shd w:val="clear" w:color="auto" w:fill="CCEEFF"/>
            <w:tcMar>
              <w:top w:w="30" w:type="dxa"/>
              <w:left w:w="0" w:type="dxa"/>
              <w:bottom w:w="30" w:type="dxa"/>
              <w:right w:w="20" w:type="dxa"/>
            </w:tcMar>
            <w:vAlign w:val="bottom"/>
            <w:hideMark/>
          </w:tcPr>
          <w:p w14:paraId="5FC8EA9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DDC1F5"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66B8F0" w14:textId="77777777" w:rsidR="00000000" w:rsidRDefault="009B6C69">
            <w:pPr>
              <w:spacing w:after="100"/>
              <w:jc w:val="right"/>
              <w:rPr>
                <w:rFonts w:eastAsia="Times New Roman"/>
              </w:rPr>
            </w:pPr>
            <w:r>
              <w:rPr>
                <w:rFonts w:eastAsia="Times New Roman"/>
                <w:color w:val="000000"/>
                <w:sz w:val="18"/>
                <w:szCs w:val="18"/>
              </w:rPr>
              <w:t>644 </w:t>
            </w:r>
          </w:p>
        </w:tc>
        <w:tc>
          <w:tcPr>
            <w:tcW w:w="0" w:type="auto"/>
            <w:shd w:val="clear" w:color="auto" w:fill="CCEEFF"/>
            <w:tcMar>
              <w:top w:w="30" w:type="dxa"/>
              <w:left w:w="0" w:type="dxa"/>
              <w:bottom w:w="30" w:type="dxa"/>
              <w:right w:w="20" w:type="dxa"/>
            </w:tcMar>
            <w:vAlign w:val="bottom"/>
            <w:hideMark/>
          </w:tcPr>
          <w:p w14:paraId="7ED175FF" w14:textId="77777777" w:rsidR="00000000" w:rsidRDefault="009B6C69">
            <w:pPr>
              <w:spacing w:after="100"/>
              <w:jc w:val="right"/>
              <w:rPr>
                <w:rFonts w:eastAsia="Times New Roman"/>
              </w:rPr>
            </w:pPr>
          </w:p>
        </w:tc>
      </w:tr>
      <w:tr w:rsidR="00000000" w14:paraId="41CBFC59" w14:textId="77777777">
        <w:trPr>
          <w:divId w:val="1711222437"/>
        </w:trPr>
        <w:tc>
          <w:tcPr>
            <w:tcW w:w="0" w:type="auto"/>
            <w:gridSpan w:val="3"/>
            <w:shd w:val="clear" w:color="auto" w:fill="FFFFFF"/>
            <w:tcMar>
              <w:top w:w="30" w:type="dxa"/>
              <w:left w:w="20" w:type="dxa"/>
              <w:bottom w:w="30" w:type="dxa"/>
              <w:right w:w="20" w:type="dxa"/>
            </w:tcMar>
            <w:vAlign w:val="bottom"/>
            <w:hideMark/>
          </w:tcPr>
          <w:p w14:paraId="1825BEE8" w14:textId="77777777" w:rsidR="00000000" w:rsidRDefault="009B6C69">
            <w:pPr>
              <w:spacing w:after="100"/>
              <w:rPr>
                <w:rFonts w:eastAsia="Times New Roman"/>
              </w:rPr>
            </w:pPr>
            <w:r>
              <w:rPr>
                <w:rFonts w:eastAsia="Times New Roman"/>
                <w:color w:val="000000"/>
                <w:sz w:val="18"/>
                <w:szCs w:val="18"/>
              </w:rPr>
              <w:t>IoT (internet of things) (4)</w:t>
            </w:r>
          </w:p>
        </w:tc>
        <w:tc>
          <w:tcPr>
            <w:tcW w:w="0" w:type="auto"/>
            <w:vAlign w:val="center"/>
            <w:hideMark/>
          </w:tcPr>
          <w:p w14:paraId="7B198685" w14:textId="77777777" w:rsidR="00000000" w:rsidRDefault="009B6C69">
            <w:pPr>
              <w:spacing w:after="100"/>
              <w:rPr>
                <w:rFonts w:eastAsia="Times New Roman"/>
              </w:rPr>
            </w:pPr>
          </w:p>
        </w:tc>
        <w:tc>
          <w:tcPr>
            <w:tcW w:w="0" w:type="auto"/>
            <w:vAlign w:val="center"/>
            <w:hideMark/>
          </w:tcPr>
          <w:p w14:paraId="1D4A9E05" w14:textId="77777777" w:rsidR="00000000" w:rsidRDefault="009B6C69">
            <w:pPr>
              <w:spacing w:after="100"/>
              <w:rPr>
                <w:rFonts w:eastAsia="Times New Roman"/>
                <w:sz w:val="20"/>
                <w:szCs w:val="20"/>
              </w:rPr>
            </w:pPr>
          </w:p>
        </w:tc>
        <w:tc>
          <w:tcPr>
            <w:tcW w:w="0" w:type="auto"/>
            <w:vAlign w:val="center"/>
            <w:hideMark/>
          </w:tcPr>
          <w:p w14:paraId="529CE97A" w14:textId="77777777" w:rsidR="00000000" w:rsidRDefault="009B6C69">
            <w:pPr>
              <w:spacing w:after="100"/>
              <w:rPr>
                <w:rFonts w:eastAsia="Times New Roman"/>
                <w:sz w:val="20"/>
                <w:szCs w:val="20"/>
              </w:rPr>
            </w:pPr>
          </w:p>
        </w:tc>
        <w:tc>
          <w:tcPr>
            <w:tcW w:w="0" w:type="auto"/>
            <w:vAlign w:val="center"/>
            <w:hideMark/>
          </w:tcPr>
          <w:p w14:paraId="68B5C7FB" w14:textId="77777777" w:rsidR="00000000" w:rsidRDefault="009B6C69">
            <w:pPr>
              <w:spacing w:after="100"/>
              <w:rPr>
                <w:rFonts w:eastAsia="Times New Roman"/>
                <w:sz w:val="20"/>
                <w:szCs w:val="20"/>
              </w:rPr>
            </w:pPr>
          </w:p>
        </w:tc>
        <w:tc>
          <w:tcPr>
            <w:tcW w:w="0" w:type="auto"/>
            <w:vAlign w:val="center"/>
            <w:hideMark/>
          </w:tcPr>
          <w:p w14:paraId="20C5E025" w14:textId="77777777" w:rsidR="00000000" w:rsidRDefault="009B6C69">
            <w:pPr>
              <w:spacing w:after="100"/>
              <w:rPr>
                <w:rFonts w:eastAsia="Times New Roman"/>
                <w:sz w:val="20"/>
                <w:szCs w:val="20"/>
              </w:rPr>
            </w:pPr>
          </w:p>
        </w:tc>
        <w:tc>
          <w:tcPr>
            <w:tcW w:w="0" w:type="auto"/>
            <w:vAlign w:val="center"/>
            <w:hideMark/>
          </w:tcPr>
          <w:p w14:paraId="6234BDDC" w14:textId="77777777" w:rsidR="00000000" w:rsidRDefault="009B6C69">
            <w:pPr>
              <w:spacing w:after="100"/>
              <w:rPr>
                <w:rFonts w:eastAsia="Times New Roman"/>
                <w:sz w:val="20"/>
                <w:szCs w:val="20"/>
              </w:rPr>
            </w:pPr>
          </w:p>
        </w:tc>
        <w:tc>
          <w:tcPr>
            <w:tcW w:w="0" w:type="auto"/>
            <w:vAlign w:val="center"/>
            <w:hideMark/>
          </w:tcPr>
          <w:p w14:paraId="1C6499A2" w14:textId="77777777" w:rsidR="00000000" w:rsidRDefault="009B6C69">
            <w:pPr>
              <w:spacing w:after="100"/>
              <w:rPr>
                <w:rFonts w:eastAsia="Times New Roman"/>
                <w:sz w:val="20"/>
                <w:szCs w:val="20"/>
              </w:rPr>
            </w:pPr>
          </w:p>
        </w:tc>
        <w:tc>
          <w:tcPr>
            <w:tcW w:w="0" w:type="auto"/>
            <w:vAlign w:val="center"/>
            <w:hideMark/>
          </w:tcPr>
          <w:p w14:paraId="5A66A73A"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2A51EF" w14:textId="77777777" w:rsidR="00000000" w:rsidRDefault="009B6C69">
            <w:pPr>
              <w:spacing w:after="100"/>
              <w:jc w:val="right"/>
              <w:rPr>
                <w:rFonts w:eastAsia="Times New Roman"/>
              </w:rPr>
            </w:pPr>
            <w:r>
              <w:rPr>
                <w:rFonts w:eastAsia="Times New Roman"/>
                <w:color w:val="000000"/>
                <w:sz w:val="18"/>
                <w:szCs w:val="18"/>
              </w:rPr>
              <w:t>6,948 </w:t>
            </w:r>
          </w:p>
        </w:tc>
        <w:tc>
          <w:tcPr>
            <w:tcW w:w="0" w:type="auto"/>
            <w:shd w:val="clear" w:color="auto" w:fill="FFFFFF"/>
            <w:tcMar>
              <w:top w:w="30" w:type="dxa"/>
              <w:left w:w="0" w:type="dxa"/>
              <w:bottom w:w="30" w:type="dxa"/>
              <w:right w:w="20" w:type="dxa"/>
            </w:tcMar>
            <w:vAlign w:val="bottom"/>
            <w:hideMark/>
          </w:tcPr>
          <w:p w14:paraId="05960CF4"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7B98EC"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A67CFC" w14:textId="77777777" w:rsidR="00000000" w:rsidRDefault="009B6C69">
            <w:pPr>
              <w:spacing w:after="100"/>
              <w:jc w:val="right"/>
              <w:rPr>
                <w:rFonts w:eastAsia="Times New Roman"/>
              </w:rPr>
            </w:pPr>
            <w:r>
              <w:rPr>
                <w:rFonts w:eastAsia="Times New Roman"/>
                <w:color w:val="000000"/>
                <w:sz w:val="18"/>
                <w:szCs w:val="18"/>
              </w:rPr>
              <w:t>5,056 </w:t>
            </w:r>
          </w:p>
        </w:tc>
        <w:tc>
          <w:tcPr>
            <w:tcW w:w="0" w:type="auto"/>
            <w:shd w:val="clear" w:color="auto" w:fill="FFFFFF"/>
            <w:tcMar>
              <w:top w:w="30" w:type="dxa"/>
              <w:left w:w="0" w:type="dxa"/>
              <w:bottom w:w="30" w:type="dxa"/>
              <w:right w:w="20" w:type="dxa"/>
            </w:tcMar>
            <w:vAlign w:val="bottom"/>
            <w:hideMark/>
          </w:tcPr>
          <w:p w14:paraId="5615B4ED"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CAB8B9"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1D55C5" w14:textId="77777777" w:rsidR="00000000" w:rsidRDefault="009B6C69">
            <w:pPr>
              <w:spacing w:after="100"/>
              <w:jc w:val="right"/>
              <w:rPr>
                <w:rFonts w:eastAsia="Times New Roman"/>
              </w:rPr>
            </w:pPr>
            <w:r>
              <w:rPr>
                <w:rFonts w:eastAsia="Times New Roman"/>
                <w:color w:val="000000"/>
                <w:sz w:val="18"/>
                <w:szCs w:val="18"/>
              </w:rPr>
              <w:t>3,026 </w:t>
            </w:r>
          </w:p>
        </w:tc>
        <w:tc>
          <w:tcPr>
            <w:tcW w:w="0" w:type="auto"/>
            <w:shd w:val="clear" w:color="auto" w:fill="FFFFFF"/>
            <w:tcMar>
              <w:top w:w="30" w:type="dxa"/>
              <w:left w:w="0" w:type="dxa"/>
              <w:bottom w:w="30" w:type="dxa"/>
              <w:right w:w="20" w:type="dxa"/>
            </w:tcMar>
            <w:vAlign w:val="bottom"/>
            <w:hideMark/>
          </w:tcPr>
          <w:p w14:paraId="2D7021C3" w14:textId="77777777" w:rsidR="00000000" w:rsidRDefault="009B6C69">
            <w:pPr>
              <w:spacing w:after="100"/>
              <w:jc w:val="right"/>
              <w:rPr>
                <w:rFonts w:eastAsia="Times New Roman"/>
              </w:rPr>
            </w:pPr>
          </w:p>
        </w:tc>
      </w:tr>
      <w:tr w:rsidR="00000000" w14:paraId="7067D554" w14:textId="77777777">
        <w:trPr>
          <w:divId w:val="1711222437"/>
        </w:trPr>
        <w:tc>
          <w:tcPr>
            <w:tcW w:w="0" w:type="auto"/>
            <w:gridSpan w:val="3"/>
            <w:shd w:val="clear" w:color="auto" w:fill="CCEEFF"/>
            <w:tcMar>
              <w:top w:w="30" w:type="dxa"/>
              <w:left w:w="380" w:type="dxa"/>
              <w:bottom w:w="30" w:type="dxa"/>
              <w:right w:w="20" w:type="dxa"/>
            </w:tcMar>
            <w:vAlign w:val="bottom"/>
            <w:hideMark/>
          </w:tcPr>
          <w:p w14:paraId="499CB940" w14:textId="77777777" w:rsidR="00000000" w:rsidRDefault="009B6C69">
            <w:pPr>
              <w:spacing w:after="100"/>
              <w:rPr>
                <w:rFonts w:eastAsia="Times New Roman"/>
              </w:rPr>
            </w:pPr>
            <w:r>
              <w:rPr>
                <w:rFonts w:eastAsia="Times New Roman"/>
                <w:color w:val="000000"/>
                <w:sz w:val="18"/>
                <w:szCs w:val="18"/>
              </w:rPr>
              <w:t>Total QCT revenues</w:t>
            </w:r>
          </w:p>
        </w:tc>
        <w:tc>
          <w:tcPr>
            <w:tcW w:w="0" w:type="auto"/>
            <w:vAlign w:val="center"/>
            <w:hideMark/>
          </w:tcPr>
          <w:p w14:paraId="1C7B9AB4" w14:textId="77777777" w:rsidR="00000000" w:rsidRDefault="009B6C69">
            <w:pPr>
              <w:spacing w:after="100"/>
              <w:rPr>
                <w:rFonts w:eastAsia="Times New Roman"/>
              </w:rPr>
            </w:pPr>
          </w:p>
        </w:tc>
        <w:tc>
          <w:tcPr>
            <w:tcW w:w="0" w:type="auto"/>
            <w:vAlign w:val="center"/>
            <w:hideMark/>
          </w:tcPr>
          <w:p w14:paraId="4CEAA5AF" w14:textId="77777777" w:rsidR="00000000" w:rsidRDefault="009B6C69">
            <w:pPr>
              <w:spacing w:after="100"/>
              <w:rPr>
                <w:rFonts w:eastAsia="Times New Roman"/>
                <w:sz w:val="20"/>
                <w:szCs w:val="20"/>
              </w:rPr>
            </w:pPr>
          </w:p>
        </w:tc>
        <w:tc>
          <w:tcPr>
            <w:tcW w:w="0" w:type="auto"/>
            <w:vAlign w:val="center"/>
            <w:hideMark/>
          </w:tcPr>
          <w:p w14:paraId="60E3108D" w14:textId="77777777" w:rsidR="00000000" w:rsidRDefault="009B6C69">
            <w:pPr>
              <w:spacing w:after="100"/>
              <w:rPr>
                <w:rFonts w:eastAsia="Times New Roman"/>
                <w:sz w:val="20"/>
                <w:szCs w:val="20"/>
              </w:rPr>
            </w:pPr>
          </w:p>
        </w:tc>
        <w:tc>
          <w:tcPr>
            <w:tcW w:w="0" w:type="auto"/>
            <w:vAlign w:val="center"/>
            <w:hideMark/>
          </w:tcPr>
          <w:p w14:paraId="01FED33C" w14:textId="77777777" w:rsidR="00000000" w:rsidRDefault="009B6C69">
            <w:pPr>
              <w:spacing w:after="100"/>
              <w:rPr>
                <w:rFonts w:eastAsia="Times New Roman"/>
                <w:sz w:val="20"/>
                <w:szCs w:val="20"/>
              </w:rPr>
            </w:pPr>
          </w:p>
        </w:tc>
        <w:tc>
          <w:tcPr>
            <w:tcW w:w="0" w:type="auto"/>
            <w:vAlign w:val="center"/>
            <w:hideMark/>
          </w:tcPr>
          <w:p w14:paraId="27FA4864" w14:textId="77777777" w:rsidR="00000000" w:rsidRDefault="009B6C69">
            <w:pPr>
              <w:spacing w:after="100"/>
              <w:rPr>
                <w:rFonts w:eastAsia="Times New Roman"/>
                <w:sz w:val="20"/>
                <w:szCs w:val="20"/>
              </w:rPr>
            </w:pPr>
          </w:p>
        </w:tc>
        <w:tc>
          <w:tcPr>
            <w:tcW w:w="0" w:type="auto"/>
            <w:vAlign w:val="center"/>
            <w:hideMark/>
          </w:tcPr>
          <w:p w14:paraId="47B7E285" w14:textId="77777777" w:rsidR="00000000" w:rsidRDefault="009B6C69">
            <w:pPr>
              <w:spacing w:after="100"/>
              <w:rPr>
                <w:rFonts w:eastAsia="Times New Roman"/>
                <w:sz w:val="20"/>
                <w:szCs w:val="20"/>
              </w:rPr>
            </w:pPr>
          </w:p>
        </w:tc>
        <w:tc>
          <w:tcPr>
            <w:tcW w:w="0" w:type="auto"/>
            <w:vAlign w:val="center"/>
            <w:hideMark/>
          </w:tcPr>
          <w:p w14:paraId="7479F004" w14:textId="77777777" w:rsidR="00000000" w:rsidRDefault="009B6C69">
            <w:pPr>
              <w:spacing w:after="100"/>
              <w:rPr>
                <w:rFonts w:eastAsia="Times New Roman"/>
                <w:sz w:val="20"/>
                <w:szCs w:val="20"/>
              </w:rPr>
            </w:pPr>
          </w:p>
        </w:tc>
        <w:tc>
          <w:tcPr>
            <w:tcW w:w="0" w:type="auto"/>
            <w:vAlign w:val="center"/>
            <w:hideMark/>
          </w:tcPr>
          <w:p w14:paraId="04F9B248" w14:textId="77777777" w:rsidR="00000000" w:rsidRDefault="009B6C69">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A392C20"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E5EBBC3" w14:textId="77777777" w:rsidR="00000000" w:rsidRDefault="009B6C69">
            <w:pPr>
              <w:spacing w:after="100"/>
              <w:jc w:val="right"/>
              <w:rPr>
                <w:rFonts w:eastAsia="Times New Roman"/>
              </w:rPr>
            </w:pPr>
            <w:r>
              <w:rPr>
                <w:rFonts w:eastAsia="Times New Roman"/>
                <w:color w:val="000000"/>
                <w:sz w:val="18"/>
                <w:szCs w:val="18"/>
              </w:rPr>
              <w:t>37,677 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35616A9"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01DBF"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7205BF"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C5356A9" w14:textId="77777777" w:rsidR="00000000" w:rsidRDefault="009B6C69">
            <w:pPr>
              <w:spacing w:after="100"/>
              <w:jc w:val="right"/>
              <w:rPr>
                <w:rFonts w:eastAsia="Times New Roman"/>
              </w:rPr>
            </w:pPr>
            <w:r>
              <w:rPr>
                <w:rFonts w:eastAsia="Times New Roman"/>
                <w:color w:val="000000"/>
                <w:sz w:val="18"/>
                <w:szCs w:val="18"/>
              </w:rPr>
              <w:t>27,019 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308F4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F55043"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F150064"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3BCE574" w14:textId="77777777" w:rsidR="00000000" w:rsidRDefault="009B6C69">
            <w:pPr>
              <w:spacing w:after="100"/>
              <w:jc w:val="right"/>
              <w:rPr>
                <w:rFonts w:eastAsia="Times New Roman"/>
              </w:rPr>
            </w:pPr>
            <w:r>
              <w:rPr>
                <w:rFonts w:eastAsia="Times New Roman"/>
                <w:color w:val="000000"/>
                <w:sz w:val="18"/>
                <w:szCs w:val="18"/>
              </w:rPr>
              <w:t>16,493 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0BB66E9" w14:textId="77777777" w:rsidR="00000000" w:rsidRDefault="009B6C69">
            <w:pPr>
              <w:spacing w:after="100"/>
              <w:jc w:val="right"/>
              <w:rPr>
                <w:rFonts w:eastAsia="Times New Roman"/>
              </w:rPr>
            </w:pPr>
          </w:p>
        </w:tc>
      </w:tr>
    </w:tbl>
    <w:p w14:paraId="5A6FEBCE" w14:textId="77777777" w:rsidR="00000000" w:rsidRDefault="009B6C69">
      <w:pPr>
        <w:divId w:val="79260307"/>
        <w:rPr>
          <w:rFonts w:eastAsia="Times New Roman"/>
        </w:rPr>
      </w:pPr>
      <w:r>
        <w:rPr>
          <w:rFonts w:eastAsia="Times New Roman"/>
          <w:color w:val="000000"/>
          <w:sz w:val="18"/>
          <w:szCs w:val="18"/>
        </w:rPr>
        <w:t>(1) Includes revenues from products sold for use in mobile handsets, excluding RFFE (radio frequency front-end) components.</w:t>
      </w:r>
    </w:p>
    <w:p w14:paraId="12B61415" w14:textId="77777777" w:rsidR="00000000" w:rsidRDefault="009B6C69">
      <w:pPr>
        <w:ind w:hanging="270"/>
        <w:divId w:val="638193887"/>
        <w:rPr>
          <w:rFonts w:eastAsia="Times New Roman"/>
        </w:rPr>
      </w:pPr>
      <w:r>
        <w:rPr>
          <w:rFonts w:eastAsia="Times New Roman"/>
          <w:color w:val="000000"/>
          <w:sz w:val="18"/>
          <w:szCs w:val="18"/>
        </w:rPr>
        <w:t>(2) Includes all revenues from sales of 4G, 5G sub-6 and 5G milli</w:t>
      </w:r>
      <w:r>
        <w:rPr>
          <w:rFonts w:eastAsia="Times New Roman"/>
          <w:color w:val="000000"/>
          <w:sz w:val="18"/>
          <w:szCs w:val="18"/>
        </w:rPr>
        <w:t>meter wave RFFE products (a substantial portion of which are sold for use in mobile handsets) and excludes radio frequency transceiver components.</w:t>
      </w:r>
    </w:p>
    <w:p w14:paraId="6E2D1FBA" w14:textId="77777777" w:rsidR="00000000" w:rsidRDefault="009B6C69">
      <w:pPr>
        <w:ind w:hanging="270"/>
        <w:divId w:val="1154688570"/>
        <w:rPr>
          <w:rFonts w:eastAsia="Times New Roman"/>
        </w:rPr>
      </w:pPr>
      <w:r>
        <w:rPr>
          <w:rFonts w:eastAsia="Times New Roman"/>
          <w:color w:val="000000"/>
          <w:sz w:val="18"/>
          <w:szCs w:val="18"/>
        </w:rPr>
        <w:t xml:space="preserve">(3) Includes revenues from products sold for use in automobiles, including connectivity, digital cockpit and </w:t>
      </w:r>
      <w:r>
        <w:rPr>
          <w:rFonts w:eastAsia="Times New Roman"/>
          <w:color w:val="000000"/>
          <w:sz w:val="18"/>
          <w:szCs w:val="18"/>
        </w:rPr>
        <w:t>advanced driver assistance and automated driving.</w:t>
      </w:r>
    </w:p>
    <w:p w14:paraId="542701F4" w14:textId="77777777" w:rsidR="00000000" w:rsidRDefault="009B6C69">
      <w:pPr>
        <w:ind w:hanging="270"/>
        <w:divId w:val="526455155"/>
        <w:rPr>
          <w:rFonts w:eastAsia="Times New Roman"/>
        </w:rPr>
      </w:pPr>
      <w:r>
        <w:rPr>
          <w:rFonts w:eastAsia="Times New Roman"/>
          <w:color w:val="000000"/>
          <w:sz w:val="18"/>
          <w:szCs w:val="18"/>
        </w:rPr>
        <w:t>(4) Primarily includes products sold for use in the following industries and applications: consumer (including computing, voice and music and XR), edge networking (including mobile broadband and wireless ac</w:t>
      </w:r>
      <w:r>
        <w:rPr>
          <w:rFonts w:eastAsia="Times New Roman"/>
          <w:color w:val="000000"/>
          <w:sz w:val="18"/>
          <w:szCs w:val="18"/>
        </w:rPr>
        <w:t>cess points) and industrial (including handhelds, retail, transportation and logistics and utilities).</w:t>
      </w:r>
    </w:p>
    <w:p w14:paraId="7782D051" w14:textId="77777777" w:rsidR="00000000" w:rsidRDefault="009B6C69">
      <w:pPr>
        <w:ind w:firstLine="360"/>
        <w:divId w:val="1906838099"/>
        <w:rPr>
          <w:rFonts w:eastAsia="Times New Roman"/>
        </w:rPr>
      </w:pPr>
      <w:r>
        <w:rPr>
          <w:rFonts w:eastAsia="Times New Roman"/>
          <w:color w:val="000000"/>
          <w:sz w:val="20"/>
          <w:szCs w:val="20"/>
        </w:rPr>
        <w:t>Revenue recognized from performance obligations satisfied (or partially satisfied) in previous periods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5022"/>
        <w:gridCol w:w="36"/>
        <w:gridCol w:w="110"/>
        <w:gridCol w:w="866"/>
        <w:gridCol w:w="36"/>
        <w:gridCol w:w="36"/>
        <w:gridCol w:w="36"/>
        <w:gridCol w:w="36"/>
        <w:gridCol w:w="110"/>
        <w:gridCol w:w="832"/>
        <w:gridCol w:w="36"/>
        <w:gridCol w:w="36"/>
        <w:gridCol w:w="36"/>
        <w:gridCol w:w="36"/>
        <w:gridCol w:w="110"/>
        <w:gridCol w:w="832"/>
        <w:gridCol w:w="36"/>
      </w:tblGrid>
      <w:tr w:rsidR="00000000" w14:paraId="02C1D687" w14:textId="77777777">
        <w:trPr>
          <w:divId w:val="1561139421"/>
        </w:trPr>
        <w:tc>
          <w:tcPr>
            <w:tcW w:w="50" w:type="pct"/>
            <w:vAlign w:val="center"/>
            <w:hideMark/>
          </w:tcPr>
          <w:p w14:paraId="707EBC18" w14:textId="77777777" w:rsidR="00000000" w:rsidRDefault="009B6C69">
            <w:pPr>
              <w:ind w:firstLine="360"/>
              <w:rPr>
                <w:rFonts w:eastAsia="Times New Roman"/>
              </w:rPr>
            </w:pPr>
          </w:p>
        </w:tc>
        <w:tc>
          <w:tcPr>
            <w:tcW w:w="3056" w:type="pct"/>
            <w:vAlign w:val="center"/>
            <w:hideMark/>
          </w:tcPr>
          <w:p w14:paraId="4902CA8C" w14:textId="77777777" w:rsidR="00000000" w:rsidRDefault="009B6C69">
            <w:pPr>
              <w:spacing w:after="100"/>
              <w:rPr>
                <w:rFonts w:eastAsia="Times New Roman"/>
                <w:sz w:val="20"/>
                <w:szCs w:val="20"/>
              </w:rPr>
            </w:pPr>
          </w:p>
        </w:tc>
        <w:tc>
          <w:tcPr>
            <w:tcW w:w="5" w:type="pct"/>
            <w:vAlign w:val="center"/>
            <w:hideMark/>
          </w:tcPr>
          <w:p w14:paraId="0B213102" w14:textId="77777777" w:rsidR="00000000" w:rsidRDefault="009B6C69">
            <w:pPr>
              <w:spacing w:after="100"/>
              <w:rPr>
                <w:rFonts w:eastAsia="Times New Roman"/>
                <w:sz w:val="20"/>
                <w:szCs w:val="20"/>
              </w:rPr>
            </w:pPr>
          </w:p>
        </w:tc>
        <w:tc>
          <w:tcPr>
            <w:tcW w:w="50" w:type="pct"/>
            <w:vAlign w:val="center"/>
            <w:hideMark/>
          </w:tcPr>
          <w:p w14:paraId="1361CC88" w14:textId="77777777" w:rsidR="00000000" w:rsidRDefault="009B6C69">
            <w:pPr>
              <w:spacing w:after="100"/>
              <w:rPr>
                <w:rFonts w:eastAsia="Times New Roman"/>
                <w:sz w:val="20"/>
                <w:szCs w:val="20"/>
              </w:rPr>
            </w:pPr>
          </w:p>
        </w:tc>
        <w:tc>
          <w:tcPr>
            <w:tcW w:w="549" w:type="pct"/>
            <w:vAlign w:val="center"/>
            <w:hideMark/>
          </w:tcPr>
          <w:p w14:paraId="29F036BA" w14:textId="77777777" w:rsidR="00000000" w:rsidRDefault="009B6C69">
            <w:pPr>
              <w:spacing w:after="100"/>
              <w:rPr>
                <w:rFonts w:eastAsia="Times New Roman"/>
                <w:sz w:val="20"/>
                <w:szCs w:val="20"/>
              </w:rPr>
            </w:pPr>
          </w:p>
        </w:tc>
        <w:tc>
          <w:tcPr>
            <w:tcW w:w="5" w:type="pct"/>
            <w:vAlign w:val="center"/>
            <w:hideMark/>
          </w:tcPr>
          <w:p w14:paraId="7F7055AF" w14:textId="77777777" w:rsidR="00000000" w:rsidRDefault="009B6C69">
            <w:pPr>
              <w:spacing w:after="100"/>
              <w:rPr>
                <w:rFonts w:eastAsia="Times New Roman"/>
                <w:sz w:val="20"/>
                <w:szCs w:val="20"/>
              </w:rPr>
            </w:pPr>
          </w:p>
        </w:tc>
        <w:tc>
          <w:tcPr>
            <w:tcW w:w="5" w:type="pct"/>
            <w:vAlign w:val="center"/>
            <w:hideMark/>
          </w:tcPr>
          <w:p w14:paraId="13940BCB" w14:textId="77777777" w:rsidR="00000000" w:rsidRDefault="009B6C69">
            <w:pPr>
              <w:spacing w:after="100"/>
              <w:rPr>
                <w:rFonts w:eastAsia="Times New Roman"/>
                <w:sz w:val="20"/>
                <w:szCs w:val="20"/>
              </w:rPr>
            </w:pPr>
          </w:p>
        </w:tc>
        <w:tc>
          <w:tcPr>
            <w:tcW w:w="27" w:type="pct"/>
            <w:vAlign w:val="center"/>
            <w:hideMark/>
          </w:tcPr>
          <w:p w14:paraId="31952FE8" w14:textId="77777777" w:rsidR="00000000" w:rsidRDefault="009B6C69">
            <w:pPr>
              <w:spacing w:after="100"/>
              <w:rPr>
                <w:rFonts w:eastAsia="Times New Roman"/>
                <w:sz w:val="20"/>
                <w:szCs w:val="20"/>
              </w:rPr>
            </w:pPr>
          </w:p>
        </w:tc>
        <w:tc>
          <w:tcPr>
            <w:tcW w:w="5" w:type="pct"/>
            <w:vAlign w:val="center"/>
            <w:hideMark/>
          </w:tcPr>
          <w:p w14:paraId="435BA3DC" w14:textId="77777777" w:rsidR="00000000" w:rsidRDefault="009B6C69">
            <w:pPr>
              <w:spacing w:after="100"/>
              <w:rPr>
                <w:rFonts w:eastAsia="Times New Roman"/>
                <w:sz w:val="20"/>
                <w:szCs w:val="20"/>
              </w:rPr>
            </w:pPr>
          </w:p>
        </w:tc>
        <w:tc>
          <w:tcPr>
            <w:tcW w:w="50" w:type="pct"/>
            <w:vAlign w:val="center"/>
            <w:hideMark/>
          </w:tcPr>
          <w:p w14:paraId="2DA9FAD3" w14:textId="77777777" w:rsidR="00000000" w:rsidRDefault="009B6C69">
            <w:pPr>
              <w:spacing w:after="100"/>
              <w:rPr>
                <w:rFonts w:eastAsia="Times New Roman"/>
                <w:sz w:val="20"/>
                <w:szCs w:val="20"/>
              </w:rPr>
            </w:pPr>
          </w:p>
        </w:tc>
        <w:tc>
          <w:tcPr>
            <w:tcW w:w="549" w:type="pct"/>
            <w:vAlign w:val="center"/>
            <w:hideMark/>
          </w:tcPr>
          <w:p w14:paraId="6D084A90" w14:textId="77777777" w:rsidR="00000000" w:rsidRDefault="009B6C69">
            <w:pPr>
              <w:spacing w:after="100"/>
              <w:rPr>
                <w:rFonts w:eastAsia="Times New Roman"/>
                <w:sz w:val="20"/>
                <w:szCs w:val="20"/>
              </w:rPr>
            </w:pPr>
          </w:p>
        </w:tc>
        <w:tc>
          <w:tcPr>
            <w:tcW w:w="5" w:type="pct"/>
            <w:vAlign w:val="center"/>
            <w:hideMark/>
          </w:tcPr>
          <w:p w14:paraId="72217550" w14:textId="77777777" w:rsidR="00000000" w:rsidRDefault="009B6C69">
            <w:pPr>
              <w:spacing w:after="100"/>
              <w:rPr>
                <w:rFonts w:eastAsia="Times New Roman"/>
                <w:sz w:val="20"/>
                <w:szCs w:val="20"/>
              </w:rPr>
            </w:pPr>
          </w:p>
        </w:tc>
        <w:tc>
          <w:tcPr>
            <w:tcW w:w="5" w:type="pct"/>
            <w:vAlign w:val="center"/>
            <w:hideMark/>
          </w:tcPr>
          <w:p w14:paraId="089E79C6" w14:textId="77777777" w:rsidR="00000000" w:rsidRDefault="009B6C69">
            <w:pPr>
              <w:spacing w:after="100"/>
              <w:rPr>
                <w:rFonts w:eastAsia="Times New Roman"/>
                <w:sz w:val="20"/>
                <w:szCs w:val="20"/>
              </w:rPr>
            </w:pPr>
          </w:p>
        </w:tc>
        <w:tc>
          <w:tcPr>
            <w:tcW w:w="27" w:type="pct"/>
            <w:vAlign w:val="center"/>
            <w:hideMark/>
          </w:tcPr>
          <w:p w14:paraId="42B25036" w14:textId="77777777" w:rsidR="00000000" w:rsidRDefault="009B6C69">
            <w:pPr>
              <w:spacing w:after="100"/>
              <w:rPr>
                <w:rFonts w:eastAsia="Times New Roman"/>
                <w:sz w:val="20"/>
                <w:szCs w:val="20"/>
              </w:rPr>
            </w:pPr>
          </w:p>
        </w:tc>
        <w:tc>
          <w:tcPr>
            <w:tcW w:w="5" w:type="pct"/>
            <w:vAlign w:val="center"/>
            <w:hideMark/>
          </w:tcPr>
          <w:p w14:paraId="4DBBF2B2" w14:textId="77777777" w:rsidR="00000000" w:rsidRDefault="009B6C69">
            <w:pPr>
              <w:spacing w:after="100"/>
              <w:rPr>
                <w:rFonts w:eastAsia="Times New Roman"/>
                <w:sz w:val="20"/>
                <w:szCs w:val="20"/>
              </w:rPr>
            </w:pPr>
          </w:p>
        </w:tc>
        <w:tc>
          <w:tcPr>
            <w:tcW w:w="50" w:type="pct"/>
            <w:vAlign w:val="center"/>
            <w:hideMark/>
          </w:tcPr>
          <w:p w14:paraId="3E5A70A7" w14:textId="77777777" w:rsidR="00000000" w:rsidRDefault="009B6C69">
            <w:pPr>
              <w:spacing w:after="100"/>
              <w:rPr>
                <w:rFonts w:eastAsia="Times New Roman"/>
                <w:sz w:val="20"/>
                <w:szCs w:val="20"/>
              </w:rPr>
            </w:pPr>
          </w:p>
        </w:tc>
        <w:tc>
          <w:tcPr>
            <w:tcW w:w="549" w:type="pct"/>
            <w:vAlign w:val="center"/>
            <w:hideMark/>
          </w:tcPr>
          <w:p w14:paraId="2EA09647" w14:textId="77777777" w:rsidR="00000000" w:rsidRDefault="009B6C69">
            <w:pPr>
              <w:spacing w:after="100"/>
              <w:rPr>
                <w:rFonts w:eastAsia="Times New Roman"/>
                <w:sz w:val="20"/>
                <w:szCs w:val="20"/>
              </w:rPr>
            </w:pPr>
          </w:p>
        </w:tc>
        <w:tc>
          <w:tcPr>
            <w:tcW w:w="5" w:type="pct"/>
            <w:vAlign w:val="center"/>
            <w:hideMark/>
          </w:tcPr>
          <w:p w14:paraId="61B1F2F0" w14:textId="77777777" w:rsidR="00000000" w:rsidRDefault="009B6C69">
            <w:pPr>
              <w:spacing w:after="100"/>
              <w:rPr>
                <w:rFonts w:eastAsia="Times New Roman"/>
                <w:sz w:val="20"/>
                <w:szCs w:val="20"/>
              </w:rPr>
            </w:pPr>
          </w:p>
        </w:tc>
      </w:tr>
      <w:tr w:rsidR="00000000" w14:paraId="7BAD44EE" w14:textId="77777777">
        <w:trPr>
          <w:divId w:val="1561139421"/>
        </w:trPr>
        <w:tc>
          <w:tcPr>
            <w:tcW w:w="0" w:type="auto"/>
            <w:gridSpan w:val="3"/>
            <w:tcMar>
              <w:top w:w="0" w:type="dxa"/>
              <w:left w:w="20" w:type="dxa"/>
              <w:bottom w:w="0" w:type="dxa"/>
              <w:right w:w="20" w:type="dxa"/>
            </w:tcMar>
            <w:vAlign w:val="center"/>
            <w:hideMark/>
          </w:tcPr>
          <w:p w14:paraId="614FBDC0"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B2F5E3F" w14:textId="77777777" w:rsidR="00000000" w:rsidRDefault="009B6C69">
            <w:pPr>
              <w:spacing w:after="100"/>
              <w:jc w:val="center"/>
              <w:rPr>
                <w:rFonts w:eastAsia="Times New Roman"/>
              </w:rPr>
            </w:pPr>
            <w:r>
              <w:rPr>
                <w:rFonts w:eastAsia="Times New Roman"/>
                <w:b/>
                <w:bCs/>
                <w:color w:val="000000"/>
                <w:sz w:val="18"/>
                <w:szCs w:val="18"/>
              </w:rPr>
              <w:t>2022 (1)</w:t>
            </w:r>
          </w:p>
        </w:tc>
        <w:tc>
          <w:tcPr>
            <w:tcW w:w="0" w:type="auto"/>
            <w:gridSpan w:val="3"/>
            <w:tcMar>
              <w:top w:w="0" w:type="dxa"/>
              <w:left w:w="20" w:type="dxa"/>
              <w:bottom w:w="0" w:type="dxa"/>
              <w:right w:w="20" w:type="dxa"/>
            </w:tcMar>
            <w:vAlign w:val="center"/>
            <w:hideMark/>
          </w:tcPr>
          <w:p w14:paraId="733F6C27"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3250921" w14:textId="77777777" w:rsidR="00000000" w:rsidRDefault="009B6C69">
            <w:pPr>
              <w:spacing w:after="100"/>
              <w:jc w:val="center"/>
              <w:rPr>
                <w:rFonts w:eastAsia="Times New Roman"/>
              </w:rPr>
            </w:pPr>
            <w:r>
              <w:rPr>
                <w:rFonts w:eastAsia="Times New Roman"/>
                <w:b/>
                <w:bCs/>
                <w:color w:val="000000"/>
                <w:sz w:val="18"/>
                <w:szCs w:val="18"/>
              </w:rPr>
              <w:t>2021 (2)</w:t>
            </w:r>
          </w:p>
        </w:tc>
        <w:tc>
          <w:tcPr>
            <w:tcW w:w="0" w:type="auto"/>
            <w:gridSpan w:val="3"/>
            <w:tcMar>
              <w:top w:w="0" w:type="dxa"/>
              <w:left w:w="20" w:type="dxa"/>
              <w:bottom w:w="0" w:type="dxa"/>
              <w:right w:w="20" w:type="dxa"/>
            </w:tcMar>
            <w:vAlign w:val="center"/>
            <w:hideMark/>
          </w:tcPr>
          <w:p w14:paraId="1EDC25A9"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E9D82BB" w14:textId="77777777" w:rsidR="00000000" w:rsidRDefault="009B6C69">
            <w:pPr>
              <w:spacing w:after="100"/>
              <w:jc w:val="center"/>
              <w:rPr>
                <w:rFonts w:eastAsia="Times New Roman"/>
              </w:rPr>
            </w:pPr>
            <w:r>
              <w:rPr>
                <w:rFonts w:eastAsia="Times New Roman"/>
                <w:b/>
                <w:bCs/>
                <w:color w:val="000000"/>
                <w:sz w:val="18"/>
                <w:szCs w:val="18"/>
              </w:rPr>
              <w:t>2020 (3)</w:t>
            </w:r>
          </w:p>
        </w:tc>
      </w:tr>
      <w:tr w:rsidR="00000000" w14:paraId="36BFC8A5" w14:textId="77777777">
        <w:trPr>
          <w:divId w:val="1561139421"/>
        </w:trPr>
        <w:tc>
          <w:tcPr>
            <w:tcW w:w="0" w:type="auto"/>
            <w:gridSpan w:val="3"/>
            <w:shd w:val="clear" w:color="auto" w:fill="CCEEFF"/>
            <w:tcMar>
              <w:top w:w="30" w:type="dxa"/>
              <w:left w:w="20" w:type="dxa"/>
              <w:bottom w:w="30" w:type="dxa"/>
              <w:right w:w="20" w:type="dxa"/>
            </w:tcMar>
            <w:vAlign w:val="bottom"/>
            <w:hideMark/>
          </w:tcPr>
          <w:p w14:paraId="413A482F" w14:textId="77777777" w:rsidR="00000000" w:rsidRDefault="009B6C69">
            <w:pPr>
              <w:spacing w:after="100"/>
              <w:divId w:val="306401611"/>
              <w:rPr>
                <w:rFonts w:eastAsia="Times New Roman"/>
              </w:rPr>
            </w:pPr>
            <w:r>
              <w:rPr>
                <w:rFonts w:eastAsia="Times New Roman"/>
                <w:color w:val="000000"/>
                <w:sz w:val="18"/>
                <w:szCs w:val="18"/>
              </w:rPr>
              <w:t>Revenues recognized from previously satisfied performance obligations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F0184D"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E12B05" w14:textId="77777777" w:rsidR="00000000" w:rsidRDefault="009B6C69">
            <w:pPr>
              <w:spacing w:after="100"/>
              <w:jc w:val="right"/>
              <w:rPr>
                <w:rFonts w:eastAsia="Times New Roman"/>
              </w:rPr>
            </w:pPr>
            <w:r>
              <w:rPr>
                <w:rFonts w:eastAsia="Times New Roman"/>
                <w:color w:val="000000"/>
                <w:sz w:val="18"/>
                <w:szCs w:val="18"/>
              </w:rPr>
              <w:t>788 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3C5222"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27AABC"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CDB39B"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701BD3" w14:textId="77777777" w:rsidR="00000000" w:rsidRDefault="009B6C69">
            <w:pPr>
              <w:spacing w:after="100"/>
              <w:jc w:val="right"/>
              <w:rPr>
                <w:rFonts w:eastAsia="Times New Roman"/>
              </w:rPr>
            </w:pPr>
            <w:r>
              <w:rPr>
                <w:rFonts w:eastAsia="Times New Roman"/>
                <w:color w:val="000000"/>
                <w:sz w:val="18"/>
                <w:szCs w:val="18"/>
              </w:rPr>
              <w:t>283 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E83150"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B8A4BB"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94452B"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2E550C" w14:textId="77777777" w:rsidR="00000000" w:rsidRDefault="009B6C69">
            <w:pPr>
              <w:spacing w:after="100"/>
              <w:jc w:val="right"/>
              <w:rPr>
                <w:rFonts w:eastAsia="Times New Roman"/>
              </w:rPr>
            </w:pPr>
            <w:r>
              <w:rPr>
                <w:rFonts w:eastAsia="Times New Roman"/>
                <w:color w:val="000000"/>
                <w:sz w:val="18"/>
                <w:szCs w:val="18"/>
              </w:rPr>
              <w:t>1,480 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817059" w14:textId="77777777" w:rsidR="00000000" w:rsidRDefault="009B6C69">
            <w:pPr>
              <w:spacing w:after="100"/>
              <w:jc w:val="right"/>
              <w:rPr>
                <w:rFonts w:eastAsia="Times New Roman"/>
              </w:rPr>
            </w:pPr>
          </w:p>
        </w:tc>
      </w:tr>
    </w:tbl>
    <w:p w14:paraId="76813243" w14:textId="77777777" w:rsidR="00000000" w:rsidRDefault="009B6C69">
      <w:pPr>
        <w:ind w:hanging="270"/>
        <w:divId w:val="1758863401"/>
        <w:rPr>
          <w:rFonts w:eastAsia="Times New Roman"/>
        </w:rPr>
      </w:pPr>
      <w:r>
        <w:rPr>
          <w:rFonts w:eastAsia="Times New Roman"/>
          <w:color w:val="000000"/>
          <w:sz w:val="18"/>
          <w:szCs w:val="18"/>
        </w:rPr>
        <w:t xml:space="preserve">(1) </w:t>
      </w:r>
      <w:r>
        <w:rPr>
          <w:rFonts w:eastAsia="Times New Roman"/>
          <w:color w:val="000000"/>
          <w:sz w:val="18"/>
          <w:szCs w:val="18"/>
        </w:rPr>
        <w:t>Primarily related to certain QCT sales-based royalty revenues related to system software, certain QCT customer incentives and, to a lesser extent, QTL royalty revenues recognized related to devices sold in prior periods (including adjustments to prior peri</w:t>
      </w:r>
      <w:r>
        <w:rPr>
          <w:rFonts w:eastAsia="Times New Roman"/>
          <w:color w:val="000000"/>
          <w:sz w:val="18"/>
          <w:szCs w:val="18"/>
        </w:rPr>
        <w:t>od royalty estimates, which includes the impact of the reporting by our licensees of actual royalties due).</w:t>
      </w:r>
    </w:p>
    <w:p w14:paraId="557229C0" w14:textId="77777777" w:rsidR="00000000" w:rsidRDefault="009B6C69">
      <w:pPr>
        <w:ind w:hanging="270"/>
        <w:divId w:val="1160848172"/>
        <w:rPr>
          <w:rFonts w:eastAsia="Times New Roman"/>
        </w:rPr>
      </w:pPr>
      <w:r>
        <w:rPr>
          <w:rFonts w:eastAsia="Times New Roman"/>
          <w:color w:val="000000"/>
          <w:sz w:val="18"/>
          <w:szCs w:val="18"/>
        </w:rPr>
        <w:t>(2) Primarily related to certain QCT customer incentives, QTL revenues recognized related to devices sold in prior periods (including adjustments to</w:t>
      </w:r>
      <w:r>
        <w:rPr>
          <w:rFonts w:eastAsia="Times New Roman"/>
          <w:color w:val="000000"/>
          <w:sz w:val="18"/>
          <w:szCs w:val="18"/>
        </w:rPr>
        <w:t xml:space="preserve"> prior period royalty estimates, which includes the impact of the reporting by our licensees of actual royalties due) and the release of a variable constraint against revenues not previously allocated to our segment results (Note 8). </w:t>
      </w:r>
    </w:p>
    <w:p w14:paraId="17B89CDE" w14:textId="77777777" w:rsidR="00000000" w:rsidRDefault="009B6C69">
      <w:pPr>
        <w:ind w:hanging="270"/>
        <w:divId w:val="1888755874"/>
        <w:rPr>
          <w:rFonts w:eastAsia="Times New Roman"/>
        </w:rPr>
      </w:pPr>
      <w:r>
        <w:rPr>
          <w:rFonts w:eastAsia="Times New Roman"/>
          <w:color w:val="000000"/>
          <w:sz w:val="18"/>
          <w:szCs w:val="18"/>
        </w:rPr>
        <w:t>(3) Primarily related</w:t>
      </w:r>
      <w:r>
        <w:rPr>
          <w:rFonts w:eastAsia="Times New Roman"/>
          <w:color w:val="000000"/>
          <w:sz w:val="18"/>
          <w:szCs w:val="18"/>
        </w:rPr>
        <w:t xml:space="preserve"> to licensing revenues recognized in the fourth quarter of fiscal 2020 (a portion of which was attributable to fiscal 2020) resulting from the settlement with Huawei and, to a lesser extent, QTL royalties recognized related to devices sold in prior periods</w:t>
      </w:r>
      <w:r>
        <w:rPr>
          <w:rFonts w:eastAsia="Times New Roman"/>
          <w:color w:val="000000"/>
          <w:sz w:val="18"/>
          <w:szCs w:val="18"/>
        </w:rPr>
        <w:t xml:space="preserve"> (including adjustments to prior period royalty estimates, which includes the impact of the reporting by our licensees of actual royalties due) and certain QCT customer incentives. </w:t>
      </w:r>
    </w:p>
    <w:p w14:paraId="2066BCA1" w14:textId="77777777" w:rsidR="00000000" w:rsidRDefault="009B6C69">
      <w:pPr>
        <w:jc w:val="center"/>
        <w:divId w:val="131218465"/>
        <w:rPr>
          <w:rFonts w:eastAsia="Times New Roman"/>
        </w:rPr>
      </w:pPr>
      <w:r>
        <w:rPr>
          <w:rFonts w:eastAsia="Times New Roman"/>
          <w:color w:val="000000"/>
          <w:sz w:val="20"/>
          <w:szCs w:val="20"/>
        </w:rPr>
        <w:t>F-17</w:t>
      </w:r>
    </w:p>
    <w:p w14:paraId="205F2702" w14:textId="77777777" w:rsidR="00000000" w:rsidRDefault="009B6C69">
      <w:pPr>
        <w:rPr>
          <w:rFonts w:eastAsia="Times New Roman"/>
        </w:rPr>
      </w:pPr>
      <w:r>
        <w:rPr>
          <w:rFonts w:eastAsia="Times New Roman"/>
        </w:rPr>
        <w:pict w14:anchorId="105D0370">
          <v:rect id="_x0000_i1097" style="width:0;height:1.5pt" o:hralign="center" o:hrstd="t" o:hr="t" fillcolor="#a0a0a0" stroked="f"/>
        </w:pict>
      </w:r>
    </w:p>
    <w:p w14:paraId="7D684C3E" w14:textId="77777777" w:rsidR="00000000" w:rsidRDefault="009B6C69">
      <w:pPr>
        <w:jc w:val="center"/>
        <w:divId w:val="1215235822"/>
        <w:rPr>
          <w:rFonts w:eastAsia="Times New Roman"/>
        </w:rPr>
      </w:pPr>
    </w:p>
    <w:p w14:paraId="2541E288" w14:textId="77777777" w:rsidR="00000000" w:rsidRDefault="009B6C69">
      <w:pPr>
        <w:jc w:val="center"/>
        <w:divId w:val="1215235822"/>
        <w:rPr>
          <w:rFonts w:eastAsia="Times New Roman"/>
        </w:rPr>
      </w:pPr>
      <w:r>
        <w:rPr>
          <w:rFonts w:eastAsia="Times New Roman"/>
          <w:b/>
          <w:bCs/>
          <w:color w:val="000000"/>
          <w:sz w:val="20"/>
          <w:szCs w:val="20"/>
        </w:rPr>
        <w:t>QUALCOMM Incorporated</w:t>
      </w:r>
    </w:p>
    <w:p w14:paraId="6B9C468F" w14:textId="77777777" w:rsidR="00000000" w:rsidRDefault="009B6C69">
      <w:pPr>
        <w:jc w:val="center"/>
        <w:divId w:val="1215235822"/>
        <w:rPr>
          <w:rFonts w:eastAsia="Times New Roman"/>
        </w:rPr>
      </w:pPr>
      <w:r>
        <w:rPr>
          <w:rFonts w:eastAsia="Times New Roman"/>
          <w:b/>
          <w:bCs/>
          <w:color w:val="000000"/>
          <w:sz w:val="20"/>
          <w:szCs w:val="20"/>
        </w:rPr>
        <w:t>NOTES TO</w:t>
      </w:r>
      <w:r>
        <w:rPr>
          <w:rFonts w:eastAsia="Times New Roman"/>
          <w:b/>
          <w:bCs/>
          <w:color w:val="000000"/>
          <w:sz w:val="20"/>
          <w:szCs w:val="20"/>
        </w:rPr>
        <w:t xml:space="preserve"> CONSOLIDATED FINANCIAL STATEMENTS</w:t>
      </w:r>
    </w:p>
    <w:p w14:paraId="654BBCE8" w14:textId="77777777" w:rsidR="00000000" w:rsidRDefault="009B6C69">
      <w:pPr>
        <w:ind w:firstLine="360"/>
        <w:divId w:val="1758096718"/>
        <w:rPr>
          <w:rFonts w:eastAsia="Times New Roman"/>
        </w:rPr>
      </w:pPr>
      <w:r>
        <w:rPr>
          <w:rFonts w:eastAsia="Times New Roman"/>
          <w:color w:val="000000"/>
          <w:sz w:val="20"/>
          <w:szCs w:val="20"/>
        </w:rPr>
        <w:t xml:space="preserve">Unearned revenues (which are considered contract liabilities) consist primarily of license fees for intellectual property with continuing performance obligations. In fiscal 2022 and fiscal 2021, we recognized revenues of </w:t>
      </w:r>
      <w:r>
        <w:rPr>
          <w:rFonts w:eastAsia="Times New Roman"/>
          <w:color w:val="000000"/>
          <w:sz w:val="20"/>
          <w:szCs w:val="20"/>
        </w:rPr>
        <w:t>$609 million and $557 million, respectively, that were recorded as unearned revenues at September 26, 2021 and September 27, 2020, respectively.</w:t>
      </w:r>
    </w:p>
    <w:p w14:paraId="259AEBEC" w14:textId="77777777" w:rsidR="00000000" w:rsidRDefault="009B6C69">
      <w:pPr>
        <w:ind w:firstLine="360"/>
        <w:divId w:val="1681855375"/>
        <w:rPr>
          <w:rFonts w:eastAsia="Times New Roman"/>
        </w:rPr>
      </w:pPr>
      <w:r>
        <w:rPr>
          <w:rFonts w:eastAsia="Times New Roman"/>
          <w:color w:val="000000"/>
          <w:sz w:val="20"/>
          <w:szCs w:val="20"/>
        </w:rPr>
        <w:t xml:space="preserve">Remaining performance obligations, substantially all of which are included in unearned revenues, represent the </w:t>
      </w:r>
      <w:r>
        <w:rPr>
          <w:rFonts w:eastAsia="Times New Roman"/>
          <w:color w:val="000000"/>
          <w:sz w:val="20"/>
          <w:szCs w:val="20"/>
        </w:rPr>
        <w:t>aggregate amount of the transaction price of certain customer contracts yet to be recognized as revenues as of the end of the reporting period and exclude revenues related to (a) contracts that have an original expected duration of one year or less and (b)</w:t>
      </w:r>
      <w:r>
        <w:rPr>
          <w:rFonts w:eastAsia="Times New Roman"/>
          <w:color w:val="000000"/>
          <w:sz w:val="20"/>
          <w:szCs w:val="20"/>
        </w:rPr>
        <w:t xml:space="preserve"> sales-based royalties (i.e., future royalty revenues) pursuant to our license agreements. Our remaining performance obligations are primarily comprised of certain customer contracts for which QTL received license fees upfront and certain customer contract</w:t>
      </w:r>
      <w:r>
        <w:rPr>
          <w:rFonts w:eastAsia="Times New Roman"/>
          <w:color w:val="000000"/>
          <w:sz w:val="20"/>
          <w:szCs w:val="20"/>
        </w:rPr>
        <w:t>s for which QCT received upfront fees for licensing system software. At September 25, 2022, we had $690 million of remaining performance obligations, of which $451 million, $173 million, $57 million, $5 million and $1 million is expected to be recognized a</w:t>
      </w:r>
      <w:r>
        <w:rPr>
          <w:rFonts w:eastAsia="Times New Roman"/>
          <w:color w:val="000000"/>
          <w:sz w:val="20"/>
          <w:szCs w:val="20"/>
        </w:rPr>
        <w:t>s revenues for each of the subsequent five years from fiscal 2023 through 2027, respectively, and $3 million expected thereafter.</w:t>
      </w:r>
    </w:p>
    <w:p w14:paraId="435975D4" w14:textId="77777777" w:rsidR="00000000" w:rsidRDefault="009B6C69">
      <w:pPr>
        <w:ind w:firstLine="360"/>
        <w:divId w:val="1751078486"/>
        <w:rPr>
          <w:rFonts w:eastAsia="Times New Roman"/>
        </w:rPr>
      </w:pPr>
      <w:r>
        <w:rPr>
          <w:rFonts w:eastAsia="Times New Roman"/>
          <w:b/>
          <w:bCs/>
          <w:i/>
          <w:iCs/>
          <w:color w:val="000000"/>
          <w:sz w:val="20"/>
          <w:szCs w:val="20"/>
        </w:rPr>
        <w:t>Share-based Compensation Expense.</w:t>
      </w:r>
      <w:r>
        <w:rPr>
          <w:rFonts w:eastAsia="Times New Roman"/>
          <w:color w:val="000000"/>
          <w:sz w:val="20"/>
          <w:szCs w:val="20"/>
        </w:rPr>
        <w:t xml:space="preserve"> </w:t>
      </w:r>
      <w:r>
        <w:rPr>
          <w:rFonts w:eastAsia="Times New Roman"/>
          <w:color w:val="000000"/>
          <w:sz w:val="20"/>
          <w:szCs w:val="20"/>
        </w:rPr>
        <w:t>Total share-based compensation expense, related to all of our share-based awards, was comprised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4362"/>
        <w:gridCol w:w="39"/>
        <w:gridCol w:w="36"/>
        <w:gridCol w:w="36"/>
        <w:gridCol w:w="36"/>
        <w:gridCol w:w="36"/>
        <w:gridCol w:w="400"/>
        <w:gridCol w:w="46"/>
        <w:gridCol w:w="400"/>
        <w:gridCol w:w="46"/>
        <w:gridCol w:w="110"/>
        <w:gridCol w:w="747"/>
        <w:gridCol w:w="36"/>
        <w:gridCol w:w="36"/>
        <w:gridCol w:w="36"/>
        <w:gridCol w:w="36"/>
        <w:gridCol w:w="110"/>
        <w:gridCol w:w="701"/>
        <w:gridCol w:w="36"/>
        <w:gridCol w:w="36"/>
        <w:gridCol w:w="36"/>
        <w:gridCol w:w="36"/>
        <w:gridCol w:w="111"/>
        <w:gridCol w:w="701"/>
        <w:gridCol w:w="36"/>
      </w:tblGrid>
      <w:tr w:rsidR="00000000" w14:paraId="7609049B" w14:textId="77777777">
        <w:trPr>
          <w:divId w:val="1418089993"/>
        </w:trPr>
        <w:tc>
          <w:tcPr>
            <w:tcW w:w="50" w:type="pct"/>
            <w:vAlign w:val="center"/>
            <w:hideMark/>
          </w:tcPr>
          <w:p w14:paraId="5A0A2F97" w14:textId="77777777" w:rsidR="00000000" w:rsidRDefault="009B6C69">
            <w:pPr>
              <w:ind w:firstLine="360"/>
              <w:rPr>
                <w:rFonts w:eastAsia="Times New Roman"/>
              </w:rPr>
            </w:pPr>
          </w:p>
        </w:tc>
        <w:tc>
          <w:tcPr>
            <w:tcW w:w="3056" w:type="pct"/>
            <w:vAlign w:val="center"/>
            <w:hideMark/>
          </w:tcPr>
          <w:p w14:paraId="53D08B12" w14:textId="77777777" w:rsidR="00000000" w:rsidRDefault="009B6C69">
            <w:pPr>
              <w:spacing w:after="100"/>
              <w:rPr>
                <w:rFonts w:eastAsia="Times New Roman"/>
                <w:sz w:val="20"/>
                <w:szCs w:val="20"/>
              </w:rPr>
            </w:pPr>
          </w:p>
        </w:tc>
        <w:tc>
          <w:tcPr>
            <w:tcW w:w="5" w:type="pct"/>
            <w:vAlign w:val="center"/>
            <w:hideMark/>
          </w:tcPr>
          <w:p w14:paraId="02741BDE" w14:textId="77777777" w:rsidR="00000000" w:rsidRDefault="009B6C69">
            <w:pPr>
              <w:spacing w:after="100"/>
              <w:rPr>
                <w:rFonts w:eastAsia="Times New Roman"/>
                <w:sz w:val="20"/>
                <w:szCs w:val="20"/>
              </w:rPr>
            </w:pPr>
          </w:p>
        </w:tc>
        <w:tc>
          <w:tcPr>
            <w:tcW w:w="0" w:type="auto"/>
            <w:vAlign w:val="center"/>
            <w:hideMark/>
          </w:tcPr>
          <w:p w14:paraId="3B5DBD76" w14:textId="77777777" w:rsidR="00000000" w:rsidRDefault="009B6C69">
            <w:pPr>
              <w:spacing w:after="100"/>
              <w:rPr>
                <w:rFonts w:eastAsia="Times New Roman"/>
                <w:sz w:val="20"/>
                <w:szCs w:val="20"/>
              </w:rPr>
            </w:pPr>
          </w:p>
        </w:tc>
        <w:tc>
          <w:tcPr>
            <w:tcW w:w="0" w:type="auto"/>
            <w:vAlign w:val="center"/>
            <w:hideMark/>
          </w:tcPr>
          <w:p w14:paraId="163A18FC" w14:textId="77777777" w:rsidR="00000000" w:rsidRDefault="009B6C69">
            <w:pPr>
              <w:spacing w:after="100"/>
              <w:rPr>
                <w:rFonts w:eastAsia="Times New Roman"/>
                <w:sz w:val="20"/>
                <w:szCs w:val="20"/>
              </w:rPr>
            </w:pPr>
          </w:p>
        </w:tc>
        <w:tc>
          <w:tcPr>
            <w:tcW w:w="0" w:type="auto"/>
            <w:vAlign w:val="center"/>
            <w:hideMark/>
          </w:tcPr>
          <w:p w14:paraId="4DDD401B" w14:textId="77777777" w:rsidR="00000000" w:rsidRDefault="009B6C69">
            <w:pPr>
              <w:spacing w:after="100"/>
              <w:rPr>
                <w:rFonts w:eastAsia="Times New Roman"/>
                <w:sz w:val="20"/>
                <w:szCs w:val="20"/>
              </w:rPr>
            </w:pPr>
          </w:p>
        </w:tc>
        <w:tc>
          <w:tcPr>
            <w:tcW w:w="0" w:type="auto"/>
            <w:vAlign w:val="center"/>
            <w:hideMark/>
          </w:tcPr>
          <w:p w14:paraId="3BF12D5E" w14:textId="77777777" w:rsidR="00000000" w:rsidRDefault="009B6C69">
            <w:pPr>
              <w:spacing w:after="100"/>
              <w:rPr>
                <w:rFonts w:eastAsia="Times New Roman"/>
                <w:sz w:val="20"/>
                <w:szCs w:val="20"/>
              </w:rPr>
            </w:pPr>
          </w:p>
        </w:tc>
        <w:tc>
          <w:tcPr>
            <w:tcW w:w="0" w:type="auto"/>
            <w:vAlign w:val="center"/>
            <w:hideMark/>
          </w:tcPr>
          <w:p w14:paraId="2E6635A8" w14:textId="77777777" w:rsidR="00000000" w:rsidRDefault="009B6C69">
            <w:pPr>
              <w:spacing w:after="100"/>
              <w:rPr>
                <w:rFonts w:eastAsia="Times New Roman"/>
                <w:sz w:val="20"/>
                <w:szCs w:val="20"/>
              </w:rPr>
            </w:pPr>
          </w:p>
        </w:tc>
        <w:tc>
          <w:tcPr>
            <w:tcW w:w="0" w:type="auto"/>
            <w:vAlign w:val="center"/>
            <w:hideMark/>
          </w:tcPr>
          <w:p w14:paraId="222544F3" w14:textId="77777777" w:rsidR="00000000" w:rsidRDefault="009B6C69">
            <w:pPr>
              <w:spacing w:after="100"/>
              <w:rPr>
                <w:rFonts w:eastAsia="Times New Roman"/>
                <w:sz w:val="20"/>
                <w:szCs w:val="20"/>
              </w:rPr>
            </w:pPr>
          </w:p>
        </w:tc>
        <w:tc>
          <w:tcPr>
            <w:tcW w:w="0" w:type="auto"/>
            <w:vAlign w:val="center"/>
            <w:hideMark/>
          </w:tcPr>
          <w:p w14:paraId="0AD2ECBB" w14:textId="77777777" w:rsidR="00000000" w:rsidRDefault="009B6C69">
            <w:pPr>
              <w:spacing w:after="100"/>
              <w:rPr>
                <w:rFonts w:eastAsia="Times New Roman"/>
                <w:sz w:val="20"/>
                <w:szCs w:val="20"/>
              </w:rPr>
            </w:pPr>
          </w:p>
        </w:tc>
        <w:tc>
          <w:tcPr>
            <w:tcW w:w="0" w:type="auto"/>
            <w:vAlign w:val="center"/>
            <w:hideMark/>
          </w:tcPr>
          <w:p w14:paraId="58D07C3A" w14:textId="77777777" w:rsidR="00000000" w:rsidRDefault="009B6C69">
            <w:pPr>
              <w:spacing w:after="100"/>
              <w:rPr>
                <w:rFonts w:eastAsia="Times New Roman"/>
                <w:sz w:val="20"/>
                <w:szCs w:val="20"/>
              </w:rPr>
            </w:pPr>
          </w:p>
        </w:tc>
        <w:tc>
          <w:tcPr>
            <w:tcW w:w="50" w:type="pct"/>
            <w:vAlign w:val="center"/>
            <w:hideMark/>
          </w:tcPr>
          <w:p w14:paraId="513AA30C" w14:textId="77777777" w:rsidR="00000000" w:rsidRDefault="009B6C69">
            <w:pPr>
              <w:spacing w:after="100"/>
              <w:rPr>
                <w:rFonts w:eastAsia="Times New Roman"/>
                <w:sz w:val="20"/>
                <w:szCs w:val="20"/>
              </w:rPr>
            </w:pPr>
          </w:p>
        </w:tc>
        <w:tc>
          <w:tcPr>
            <w:tcW w:w="549" w:type="pct"/>
            <w:vAlign w:val="center"/>
            <w:hideMark/>
          </w:tcPr>
          <w:p w14:paraId="518DE55D" w14:textId="77777777" w:rsidR="00000000" w:rsidRDefault="009B6C69">
            <w:pPr>
              <w:spacing w:after="100"/>
              <w:rPr>
                <w:rFonts w:eastAsia="Times New Roman"/>
                <w:sz w:val="20"/>
                <w:szCs w:val="20"/>
              </w:rPr>
            </w:pPr>
          </w:p>
        </w:tc>
        <w:tc>
          <w:tcPr>
            <w:tcW w:w="5" w:type="pct"/>
            <w:vAlign w:val="center"/>
            <w:hideMark/>
          </w:tcPr>
          <w:p w14:paraId="4BA5111A" w14:textId="77777777" w:rsidR="00000000" w:rsidRDefault="009B6C69">
            <w:pPr>
              <w:spacing w:after="100"/>
              <w:rPr>
                <w:rFonts w:eastAsia="Times New Roman"/>
                <w:sz w:val="20"/>
                <w:szCs w:val="20"/>
              </w:rPr>
            </w:pPr>
          </w:p>
        </w:tc>
        <w:tc>
          <w:tcPr>
            <w:tcW w:w="5" w:type="pct"/>
            <w:vAlign w:val="center"/>
            <w:hideMark/>
          </w:tcPr>
          <w:p w14:paraId="168DF700" w14:textId="77777777" w:rsidR="00000000" w:rsidRDefault="009B6C69">
            <w:pPr>
              <w:spacing w:after="100"/>
              <w:rPr>
                <w:rFonts w:eastAsia="Times New Roman"/>
                <w:sz w:val="20"/>
                <w:szCs w:val="20"/>
              </w:rPr>
            </w:pPr>
          </w:p>
        </w:tc>
        <w:tc>
          <w:tcPr>
            <w:tcW w:w="27" w:type="pct"/>
            <w:vAlign w:val="center"/>
            <w:hideMark/>
          </w:tcPr>
          <w:p w14:paraId="5F498BB2" w14:textId="77777777" w:rsidR="00000000" w:rsidRDefault="009B6C69">
            <w:pPr>
              <w:spacing w:after="100"/>
              <w:rPr>
                <w:rFonts w:eastAsia="Times New Roman"/>
                <w:sz w:val="20"/>
                <w:szCs w:val="20"/>
              </w:rPr>
            </w:pPr>
          </w:p>
        </w:tc>
        <w:tc>
          <w:tcPr>
            <w:tcW w:w="5" w:type="pct"/>
            <w:vAlign w:val="center"/>
            <w:hideMark/>
          </w:tcPr>
          <w:p w14:paraId="23811D8F" w14:textId="77777777" w:rsidR="00000000" w:rsidRDefault="009B6C69">
            <w:pPr>
              <w:spacing w:after="100"/>
              <w:rPr>
                <w:rFonts w:eastAsia="Times New Roman"/>
                <w:sz w:val="20"/>
                <w:szCs w:val="20"/>
              </w:rPr>
            </w:pPr>
          </w:p>
        </w:tc>
        <w:tc>
          <w:tcPr>
            <w:tcW w:w="50" w:type="pct"/>
            <w:vAlign w:val="center"/>
            <w:hideMark/>
          </w:tcPr>
          <w:p w14:paraId="2B57AE06" w14:textId="77777777" w:rsidR="00000000" w:rsidRDefault="009B6C69">
            <w:pPr>
              <w:spacing w:after="100"/>
              <w:rPr>
                <w:rFonts w:eastAsia="Times New Roman"/>
                <w:sz w:val="20"/>
                <w:szCs w:val="20"/>
              </w:rPr>
            </w:pPr>
          </w:p>
        </w:tc>
        <w:tc>
          <w:tcPr>
            <w:tcW w:w="549" w:type="pct"/>
            <w:vAlign w:val="center"/>
            <w:hideMark/>
          </w:tcPr>
          <w:p w14:paraId="5DBBE30F" w14:textId="77777777" w:rsidR="00000000" w:rsidRDefault="009B6C69">
            <w:pPr>
              <w:spacing w:after="100"/>
              <w:rPr>
                <w:rFonts w:eastAsia="Times New Roman"/>
                <w:sz w:val="20"/>
                <w:szCs w:val="20"/>
              </w:rPr>
            </w:pPr>
          </w:p>
        </w:tc>
        <w:tc>
          <w:tcPr>
            <w:tcW w:w="5" w:type="pct"/>
            <w:vAlign w:val="center"/>
            <w:hideMark/>
          </w:tcPr>
          <w:p w14:paraId="0C02B036" w14:textId="77777777" w:rsidR="00000000" w:rsidRDefault="009B6C69">
            <w:pPr>
              <w:spacing w:after="100"/>
              <w:rPr>
                <w:rFonts w:eastAsia="Times New Roman"/>
                <w:sz w:val="20"/>
                <w:szCs w:val="20"/>
              </w:rPr>
            </w:pPr>
          </w:p>
        </w:tc>
        <w:tc>
          <w:tcPr>
            <w:tcW w:w="5" w:type="pct"/>
            <w:vAlign w:val="center"/>
            <w:hideMark/>
          </w:tcPr>
          <w:p w14:paraId="5E2EC176" w14:textId="77777777" w:rsidR="00000000" w:rsidRDefault="009B6C69">
            <w:pPr>
              <w:spacing w:after="100"/>
              <w:rPr>
                <w:rFonts w:eastAsia="Times New Roman"/>
                <w:sz w:val="20"/>
                <w:szCs w:val="20"/>
              </w:rPr>
            </w:pPr>
          </w:p>
        </w:tc>
        <w:tc>
          <w:tcPr>
            <w:tcW w:w="27" w:type="pct"/>
            <w:vAlign w:val="center"/>
            <w:hideMark/>
          </w:tcPr>
          <w:p w14:paraId="42C0AE66" w14:textId="77777777" w:rsidR="00000000" w:rsidRDefault="009B6C69">
            <w:pPr>
              <w:spacing w:after="100"/>
              <w:rPr>
                <w:rFonts w:eastAsia="Times New Roman"/>
                <w:sz w:val="20"/>
                <w:szCs w:val="20"/>
              </w:rPr>
            </w:pPr>
          </w:p>
        </w:tc>
        <w:tc>
          <w:tcPr>
            <w:tcW w:w="5" w:type="pct"/>
            <w:vAlign w:val="center"/>
            <w:hideMark/>
          </w:tcPr>
          <w:p w14:paraId="74EF536C" w14:textId="77777777" w:rsidR="00000000" w:rsidRDefault="009B6C69">
            <w:pPr>
              <w:spacing w:after="100"/>
              <w:rPr>
                <w:rFonts w:eastAsia="Times New Roman"/>
                <w:sz w:val="20"/>
                <w:szCs w:val="20"/>
              </w:rPr>
            </w:pPr>
          </w:p>
        </w:tc>
        <w:tc>
          <w:tcPr>
            <w:tcW w:w="50" w:type="pct"/>
            <w:vAlign w:val="center"/>
            <w:hideMark/>
          </w:tcPr>
          <w:p w14:paraId="1C60444E" w14:textId="77777777" w:rsidR="00000000" w:rsidRDefault="009B6C69">
            <w:pPr>
              <w:spacing w:after="100"/>
              <w:rPr>
                <w:rFonts w:eastAsia="Times New Roman"/>
                <w:sz w:val="20"/>
                <w:szCs w:val="20"/>
              </w:rPr>
            </w:pPr>
          </w:p>
        </w:tc>
        <w:tc>
          <w:tcPr>
            <w:tcW w:w="549" w:type="pct"/>
            <w:vAlign w:val="center"/>
            <w:hideMark/>
          </w:tcPr>
          <w:p w14:paraId="342937BB" w14:textId="77777777" w:rsidR="00000000" w:rsidRDefault="009B6C69">
            <w:pPr>
              <w:spacing w:after="100"/>
              <w:rPr>
                <w:rFonts w:eastAsia="Times New Roman"/>
                <w:sz w:val="20"/>
                <w:szCs w:val="20"/>
              </w:rPr>
            </w:pPr>
          </w:p>
        </w:tc>
        <w:tc>
          <w:tcPr>
            <w:tcW w:w="5" w:type="pct"/>
            <w:vAlign w:val="center"/>
            <w:hideMark/>
          </w:tcPr>
          <w:p w14:paraId="2C4BE125" w14:textId="77777777" w:rsidR="00000000" w:rsidRDefault="009B6C69">
            <w:pPr>
              <w:spacing w:after="100"/>
              <w:rPr>
                <w:rFonts w:eastAsia="Times New Roman"/>
                <w:sz w:val="20"/>
                <w:szCs w:val="20"/>
              </w:rPr>
            </w:pPr>
          </w:p>
        </w:tc>
      </w:tr>
      <w:tr w:rsidR="00000000" w14:paraId="21B8598F" w14:textId="77777777">
        <w:trPr>
          <w:divId w:val="1418089993"/>
        </w:trPr>
        <w:tc>
          <w:tcPr>
            <w:tcW w:w="0" w:type="auto"/>
            <w:gridSpan w:val="3"/>
            <w:tcMar>
              <w:top w:w="0" w:type="dxa"/>
              <w:left w:w="20" w:type="dxa"/>
              <w:bottom w:w="0" w:type="dxa"/>
              <w:right w:w="20" w:type="dxa"/>
            </w:tcMar>
            <w:vAlign w:val="center"/>
            <w:hideMark/>
          </w:tcPr>
          <w:p w14:paraId="5302A90A" w14:textId="77777777" w:rsidR="00000000" w:rsidRDefault="009B6C69">
            <w:pPr>
              <w:spacing w:after="100"/>
              <w:rPr>
                <w:rFonts w:eastAsia="Times New Roman"/>
                <w:sz w:val="20"/>
                <w:szCs w:val="20"/>
              </w:rPr>
            </w:pPr>
          </w:p>
        </w:tc>
        <w:tc>
          <w:tcPr>
            <w:tcW w:w="0" w:type="auto"/>
            <w:vAlign w:val="center"/>
            <w:hideMark/>
          </w:tcPr>
          <w:p w14:paraId="281BD2DB" w14:textId="77777777" w:rsidR="00000000" w:rsidRDefault="009B6C69">
            <w:pPr>
              <w:spacing w:after="100"/>
              <w:rPr>
                <w:rFonts w:eastAsia="Times New Roman"/>
                <w:sz w:val="20"/>
                <w:szCs w:val="20"/>
              </w:rPr>
            </w:pPr>
          </w:p>
        </w:tc>
        <w:tc>
          <w:tcPr>
            <w:tcW w:w="0" w:type="auto"/>
            <w:vAlign w:val="center"/>
            <w:hideMark/>
          </w:tcPr>
          <w:p w14:paraId="4E74D674" w14:textId="77777777" w:rsidR="00000000" w:rsidRDefault="009B6C69">
            <w:pPr>
              <w:spacing w:after="100"/>
              <w:rPr>
                <w:rFonts w:eastAsia="Times New Roman"/>
                <w:sz w:val="20"/>
                <w:szCs w:val="20"/>
              </w:rPr>
            </w:pPr>
          </w:p>
        </w:tc>
        <w:tc>
          <w:tcPr>
            <w:tcW w:w="0" w:type="auto"/>
            <w:vAlign w:val="center"/>
            <w:hideMark/>
          </w:tcPr>
          <w:p w14:paraId="7353F123" w14:textId="77777777" w:rsidR="00000000" w:rsidRDefault="009B6C69">
            <w:pPr>
              <w:spacing w:after="100"/>
              <w:rPr>
                <w:rFonts w:eastAsia="Times New Roman"/>
                <w:sz w:val="20"/>
                <w:szCs w:val="20"/>
              </w:rPr>
            </w:pPr>
          </w:p>
        </w:tc>
        <w:tc>
          <w:tcPr>
            <w:tcW w:w="0" w:type="auto"/>
            <w:vAlign w:val="center"/>
            <w:hideMark/>
          </w:tcPr>
          <w:p w14:paraId="7656B31D" w14:textId="77777777" w:rsidR="00000000" w:rsidRDefault="009B6C69">
            <w:pPr>
              <w:spacing w:after="100"/>
              <w:rPr>
                <w:rFonts w:eastAsia="Times New Roman"/>
                <w:sz w:val="20"/>
                <w:szCs w:val="20"/>
              </w:rPr>
            </w:pPr>
          </w:p>
        </w:tc>
        <w:tc>
          <w:tcPr>
            <w:tcW w:w="0" w:type="auto"/>
            <w:tcMar>
              <w:top w:w="30" w:type="dxa"/>
              <w:left w:w="20" w:type="dxa"/>
              <w:bottom w:w="30" w:type="dxa"/>
              <w:right w:w="20" w:type="dxa"/>
            </w:tcMar>
            <w:vAlign w:val="bottom"/>
            <w:hideMark/>
          </w:tcPr>
          <w:p w14:paraId="772252D9"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tcMar>
              <w:top w:w="0" w:type="dxa"/>
              <w:left w:w="20" w:type="dxa"/>
              <w:bottom w:w="0" w:type="dxa"/>
              <w:right w:w="20" w:type="dxa"/>
            </w:tcMar>
            <w:vAlign w:val="center"/>
            <w:hideMark/>
          </w:tcPr>
          <w:p w14:paraId="7AD13DA6" w14:textId="77777777" w:rsidR="00000000" w:rsidRDefault="009B6C69">
            <w:pPr>
              <w:spacing w:after="100"/>
              <w:jc w:val="center"/>
              <w:rPr>
                <w:rFonts w:eastAsia="Times New Roman"/>
              </w:rPr>
            </w:pPr>
          </w:p>
        </w:tc>
        <w:tc>
          <w:tcPr>
            <w:tcW w:w="0" w:type="auto"/>
            <w:tcMar>
              <w:top w:w="30" w:type="dxa"/>
              <w:left w:w="20" w:type="dxa"/>
              <w:bottom w:w="30" w:type="dxa"/>
              <w:right w:w="20" w:type="dxa"/>
            </w:tcMar>
            <w:vAlign w:val="bottom"/>
            <w:hideMark/>
          </w:tcPr>
          <w:p w14:paraId="4836FC05"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tcMar>
              <w:top w:w="0" w:type="dxa"/>
              <w:left w:w="20" w:type="dxa"/>
              <w:bottom w:w="0" w:type="dxa"/>
              <w:right w:w="20" w:type="dxa"/>
            </w:tcMar>
            <w:vAlign w:val="center"/>
            <w:hideMark/>
          </w:tcPr>
          <w:p w14:paraId="006F2942"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38E697F" w14:textId="77777777" w:rsidR="00000000" w:rsidRDefault="009B6C69">
            <w:pPr>
              <w:spacing w:after="100"/>
              <w:jc w:val="center"/>
              <w:rPr>
                <w:rFonts w:eastAsia="Times New Roman"/>
              </w:rPr>
            </w:pPr>
            <w:r>
              <w:rPr>
                <w:rFonts w:eastAsia="Times New Roman"/>
                <w:b/>
                <w:bCs/>
                <w:color w:val="000000"/>
                <w:sz w:val="18"/>
                <w:szCs w:val="18"/>
              </w:rPr>
              <w:t>2020</w:t>
            </w:r>
          </w:p>
        </w:tc>
        <w:tc>
          <w:tcPr>
            <w:tcW w:w="0" w:type="auto"/>
            <w:vAlign w:val="center"/>
            <w:hideMark/>
          </w:tcPr>
          <w:p w14:paraId="49720088" w14:textId="77777777" w:rsidR="00000000" w:rsidRDefault="009B6C69">
            <w:pPr>
              <w:spacing w:after="100"/>
              <w:rPr>
                <w:rFonts w:eastAsia="Times New Roman"/>
                <w:sz w:val="20"/>
                <w:szCs w:val="20"/>
              </w:rPr>
            </w:pPr>
          </w:p>
        </w:tc>
        <w:tc>
          <w:tcPr>
            <w:tcW w:w="0" w:type="auto"/>
            <w:vAlign w:val="center"/>
            <w:hideMark/>
          </w:tcPr>
          <w:p w14:paraId="358B4D14" w14:textId="77777777" w:rsidR="00000000" w:rsidRDefault="009B6C69">
            <w:pPr>
              <w:spacing w:after="100"/>
              <w:rPr>
                <w:rFonts w:eastAsia="Times New Roman"/>
                <w:sz w:val="20"/>
                <w:szCs w:val="20"/>
              </w:rPr>
            </w:pPr>
          </w:p>
        </w:tc>
        <w:tc>
          <w:tcPr>
            <w:tcW w:w="0" w:type="auto"/>
            <w:vAlign w:val="center"/>
            <w:hideMark/>
          </w:tcPr>
          <w:p w14:paraId="3C18D2C8" w14:textId="77777777" w:rsidR="00000000" w:rsidRDefault="009B6C69">
            <w:pPr>
              <w:spacing w:after="100"/>
              <w:rPr>
                <w:rFonts w:eastAsia="Times New Roman"/>
                <w:sz w:val="20"/>
                <w:szCs w:val="20"/>
              </w:rPr>
            </w:pPr>
          </w:p>
        </w:tc>
        <w:tc>
          <w:tcPr>
            <w:tcW w:w="0" w:type="auto"/>
            <w:vAlign w:val="center"/>
            <w:hideMark/>
          </w:tcPr>
          <w:p w14:paraId="1F5B0652" w14:textId="77777777" w:rsidR="00000000" w:rsidRDefault="009B6C69">
            <w:pPr>
              <w:spacing w:after="100"/>
              <w:rPr>
                <w:rFonts w:eastAsia="Times New Roman"/>
                <w:sz w:val="20"/>
                <w:szCs w:val="20"/>
              </w:rPr>
            </w:pPr>
          </w:p>
        </w:tc>
        <w:tc>
          <w:tcPr>
            <w:tcW w:w="0" w:type="auto"/>
            <w:vAlign w:val="center"/>
            <w:hideMark/>
          </w:tcPr>
          <w:p w14:paraId="020E2C18" w14:textId="77777777" w:rsidR="00000000" w:rsidRDefault="009B6C69">
            <w:pPr>
              <w:spacing w:after="100"/>
              <w:rPr>
                <w:rFonts w:eastAsia="Times New Roman"/>
                <w:sz w:val="20"/>
                <w:szCs w:val="20"/>
              </w:rPr>
            </w:pPr>
          </w:p>
        </w:tc>
        <w:tc>
          <w:tcPr>
            <w:tcW w:w="0" w:type="auto"/>
            <w:vAlign w:val="center"/>
            <w:hideMark/>
          </w:tcPr>
          <w:p w14:paraId="74BE3FF3" w14:textId="77777777" w:rsidR="00000000" w:rsidRDefault="009B6C69">
            <w:pPr>
              <w:spacing w:after="100"/>
              <w:rPr>
                <w:rFonts w:eastAsia="Times New Roman"/>
                <w:sz w:val="20"/>
                <w:szCs w:val="20"/>
              </w:rPr>
            </w:pPr>
          </w:p>
        </w:tc>
        <w:tc>
          <w:tcPr>
            <w:tcW w:w="0" w:type="auto"/>
            <w:vAlign w:val="center"/>
            <w:hideMark/>
          </w:tcPr>
          <w:p w14:paraId="41A84610" w14:textId="77777777" w:rsidR="00000000" w:rsidRDefault="009B6C69">
            <w:pPr>
              <w:spacing w:after="100"/>
              <w:rPr>
                <w:rFonts w:eastAsia="Times New Roman"/>
                <w:sz w:val="20"/>
                <w:szCs w:val="20"/>
              </w:rPr>
            </w:pPr>
          </w:p>
        </w:tc>
        <w:tc>
          <w:tcPr>
            <w:tcW w:w="0" w:type="auto"/>
            <w:vAlign w:val="center"/>
            <w:hideMark/>
          </w:tcPr>
          <w:p w14:paraId="6F94BD3C" w14:textId="77777777" w:rsidR="00000000" w:rsidRDefault="009B6C69">
            <w:pPr>
              <w:spacing w:after="100"/>
              <w:rPr>
                <w:rFonts w:eastAsia="Times New Roman"/>
                <w:sz w:val="20"/>
                <w:szCs w:val="20"/>
              </w:rPr>
            </w:pPr>
          </w:p>
        </w:tc>
        <w:tc>
          <w:tcPr>
            <w:tcW w:w="0" w:type="auto"/>
            <w:vAlign w:val="center"/>
            <w:hideMark/>
          </w:tcPr>
          <w:p w14:paraId="382C9671" w14:textId="77777777" w:rsidR="00000000" w:rsidRDefault="009B6C69">
            <w:pPr>
              <w:spacing w:after="100"/>
              <w:rPr>
                <w:rFonts w:eastAsia="Times New Roman"/>
                <w:sz w:val="20"/>
                <w:szCs w:val="20"/>
              </w:rPr>
            </w:pPr>
          </w:p>
        </w:tc>
        <w:tc>
          <w:tcPr>
            <w:tcW w:w="0" w:type="auto"/>
            <w:vAlign w:val="center"/>
            <w:hideMark/>
          </w:tcPr>
          <w:p w14:paraId="21943968" w14:textId="77777777" w:rsidR="00000000" w:rsidRDefault="009B6C69">
            <w:pPr>
              <w:spacing w:after="100"/>
              <w:rPr>
                <w:rFonts w:eastAsia="Times New Roman"/>
                <w:sz w:val="20"/>
                <w:szCs w:val="20"/>
              </w:rPr>
            </w:pPr>
          </w:p>
        </w:tc>
        <w:tc>
          <w:tcPr>
            <w:tcW w:w="0" w:type="auto"/>
            <w:vAlign w:val="center"/>
            <w:hideMark/>
          </w:tcPr>
          <w:p w14:paraId="4E6B01C7" w14:textId="77777777" w:rsidR="00000000" w:rsidRDefault="009B6C69">
            <w:pPr>
              <w:spacing w:after="100"/>
              <w:rPr>
                <w:rFonts w:eastAsia="Times New Roman"/>
                <w:sz w:val="20"/>
                <w:szCs w:val="20"/>
              </w:rPr>
            </w:pPr>
          </w:p>
        </w:tc>
        <w:tc>
          <w:tcPr>
            <w:tcW w:w="0" w:type="auto"/>
            <w:vAlign w:val="center"/>
            <w:hideMark/>
          </w:tcPr>
          <w:p w14:paraId="7A301591" w14:textId="77777777" w:rsidR="00000000" w:rsidRDefault="009B6C69">
            <w:pPr>
              <w:spacing w:after="100"/>
              <w:rPr>
                <w:rFonts w:eastAsia="Times New Roman"/>
                <w:sz w:val="20"/>
                <w:szCs w:val="20"/>
              </w:rPr>
            </w:pPr>
          </w:p>
        </w:tc>
      </w:tr>
      <w:tr w:rsidR="00000000" w14:paraId="74837FD3" w14:textId="77777777">
        <w:trPr>
          <w:divId w:val="1418089993"/>
        </w:trPr>
        <w:tc>
          <w:tcPr>
            <w:tcW w:w="0" w:type="auto"/>
            <w:gridSpan w:val="3"/>
            <w:vAlign w:val="center"/>
            <w:hideMark/>
          </w:tcPr>
          <w:p w14:paraId="38507C6C" w14:textId="77777777" w:rsidR="00000000" w:rsidRDefault="009B6C69">
            <w:pPr>
              <w:spacing w:after="100"/>
              <w:jc w:val="center"/>
              <w:rPr>
                <w:rFonts w:eastAsia="Times New Roman"/>
              </w:rPr>
            </w:pPr>
          </w:p>
        </w:tc>
        <w:tc>
          <w:tcPr>
            <w:tcW w:w="0" w:type="auto"/>
            <w:vAlign w:val="center"/>
            <w:hideMark/>
          </w:tcPr>
          <w:p w14:paraId="02C1FAED" w14:textId="77777777" w:rsidR="00000000" w:rsidRDefault="009B6C69">
            <w:pPr>
              <w:spacing w:after="100"/>
              <w:rPr>
                <w:rFonts w:eastAsia="Times New Roman"/>
                <w:sz w:val="20"/>
                <w:szCs w:val="20"/>
              </w:rPr>
            </w:pPr>
          </w:p>
        </w:tc>
        <w:tc>
          <w:tcPr>
            <w:tcW w:w="0" w:type="auto"/>
            <w:vAlign w:val="center"/>
            <w:hideMark/>
          </w:tcPr>
          <w:p w14:paraId="66C418B5" w14:textId="77777777" w:rsidR="00000000" w:rsidRDefault="009B6C69">
            <w:pPr>
              <w:spacing w:after="100"/>
              <w:rPr>
                <w:rFonts w:eastAsia="Times New Roman"/>
                <w:sz w:val="20"/>
                <w:szCs w:val="20"/>
              </w:rPr>
            </w:pPr>
          </w:p>
        </w:tc>
        <w:tc>
          <w:tcPr>
            <w:tcW w:w="0" w:type="auto"/>
            <w:vAlign w:val="center"/>
            <w:hideMark/>
          </w:tcPr>
          <w:p w14:paraId="0BF4C3F5" w14:textId="77777777" w:rsidR="00000000" w:rsidRDefault="009B6C69">
            <w:pPr>
              <w:spacing w:after="100"/>
              <w:rPr>
                <w:rFonts w:eastAsia="Times New Roman"/>
                <w:sz w:val="20"/>
                <w:szCs w:val="20"/>
              </w:rPr>
            </w:pPr>
          </w:p>
        </w:tc>
        <w:tc>
          <w:tcPr>
            <w:tcW w:w="0" w:type="auto"/>
            <w:vAlign w:val="center"/>
            <w:hideMark/>
          </w:tcPr>
          <w:p w14:paraId="480E3D35" w14:textId="77777777" w:rsidR="00000000" w:rsidRDefault="009B6C69">
            <w:pPr>
              <w:spacing w:after="100"/>
              <w:rPr>
                <w:rFonts w:eastAsia="Times New Roman"/>
                <w:sz w:val="20"/>
                <w:szCs w:val="20"/>
              </w:rPr>
            </w:pPr>
          </w:p>
        </w:tc>
        <w:tc>
          <w:tcPr>
            <w:tcW w:w="0" w:type="auto"/>
            <w:vAlign w:val="center"/>
            <w:hideMark/>
          </w:tcPr>
          <w:p w14:paraId="654F04BA" w14:textId="77777777" w:rsidR="00000000" w:rsidRDefault="009B6C69">
            <w:pPr>
              <w:spacing w:after="100"/>
              <w:rPr>
                <w:rFonts w:eastAsia="Times New Roman"/>
                <w:sz w:val="20"/>
                <w:szCs w:val="20"/>
              </w:rPr>
            </w:pPr>
          </w:p>
        </w:tc>
        <w:tc>
          <w:tcPr>
            <w:tcW w:w="0" w:type="auto"/>
            <w:vAlign w:val="center"/>
            <w:hideMark/>
          </w:tcPr>
          <w:p w14:paraId="237531AF" w14:textId="77777777" w:rsidR="00000000" w:rsidRDefault="009B6C69">
            <w:pPr>
              <w:spacing w:after="100"/>
              <w:rPr>
                <w:rFonts w:eastAsia="Times New Roman"/>
                <w:sz w:val="20"/>
                <w:szCs w:val="20"/>
              </w:rPr>
            </w:pPr>
          </w:p>
        </w:tc>
        <w:tc>
          <w:tcPr>
            <w:tcW w:w="0" w:type="auto"/>
            <w:vAlign w:val="center"/>
            <w:hideMark/>
          </w:tcPr>
          <w:p w14:paraId="61FFBF71" w14:textId="77777777" w:rsidR="00000000" w:rsidRDefault="009B6C69">
            <w:pPr>
              <w:spacing w:after="100"/>
              <w:rPr>
                <w:rFonts w:eastAsia="Times New Roman"/>
                <w:sz w:val="20"/>
                <w:szCs w:val="20"/>
              </w:rPr>
            </w:pPr>
          </w:p>
        </w:tc>
        <w:tc>
          <w:tcPr>
            <w:tcW w:w="0" w:type="auto"/>
            <w:vAlign w:val="center"/>
            <w:hideMark/>
          </w:tcPr>
          <w:p w14:paraId="2B604D16" w14:textId="77777777" w:rsidR="00000000" w:rsidRDefault="009B6C69">
            <w:pPr>
              <w:spacing w:after="100"/>
              <w:rPr>
                <w:rFonts w:eastAsia="Times New Roman"/>
                <w:sz w:val="20"/>
                <w:szCs w:val="20"/>
              </w:rPr>
            </w:pPr>
          </w:p>
        </w:tc>
        <w:tc>
          <w:tcPr>
            <w:tcW w:w="0" w:type="auto"/>
            <w:gridSpan w:val="3"/>
            <w:vAlign w:val="center"/>
            <w:hideMark/>
          </w:tcPr>
          <w:p w14:paraId="287A0236" w14:textId="77777777" w:rsidR="00000000" w:rsidRDefault="009B6C69">
            <w:pPr>
              <w:spacing w:after="100"/>
              <w:rPr>
                <w:rFonts w:eastAsia="Times New Roman"/>
                <w:sz w:val="20"/>
                <w:szCs w:val="20"/>
              </w:rPr>
            </w:pPr>
          </w:p>
        </w:tc>
        <w:tc>
          <w:tcPr>
            <w:tcW w:w="0" w:type="auto"/>
            <w:gridSpan w:val="3"/>
            <w:vAlign w:val="center"/>
            <w:hideMark/>
          </w:tcPr>
          <w:p w14:paraId="6BB39473" w14:textId="77777777" w:rsidR="00000000" w:rsidRDefault="009B6C69">
            <w:pPr>
              <w:spacing w:after="100"/>
              <w:rPr>
                <w:rFonts w:eastAsia="Times New Roman"/>
                <w:sz w:val="20"/>
                <w:szCs w:val="20"/>
              </w:rPr>
            </w:pPr>
          </w:p>
        </w:tc>
        <w:tc>
          <w:tcPr>
            <w:tcW w:w="0" w:type="auto"/>
            <w:gridSpan w:val="3"/>
            <w:vAlign w:val="center"/>
            <w:hideMark/>
          </w:tcPr>
          <w:p w14:paraId="635300E1" w14:textId="77777777" w:rsidR="00000000" w:rsidRDefault="009B6C69">
            <w:pPr>
              <w:spacing w:after="100"/>
              <w:rPr>
                <w:rFonts w:eastAsia="Times New Roman"/>
                <w:sz w:val="20"/>
                <w:szCs w:val="20"/>
              </w:rPr>
            </w:pPr>
          </w:p>
        </w:tc>
        <w:tc>
          <w:tcPr>
            <w:tcW w:w="0" w:type="auto"/>
            <w:gridSpan w:val="3"/>
            <w:vAlign w:val="center"/>
            <w:hideMark/>
          </w:tcPr>
          <w:p w14:paraId="02559062" w14:textId="77777777" w:rsidR="00000000" w:rsidRDefault="009B6C69">
            <w:pPr>
              <w:spacing w:after="100"/>
              <w:rPr>
                <w:rFonts w:eastAsia="Times New Roman"/>
                <w:sz w:val="20"/>
                <w:szCs w:val="20"/>
              </w:rPr>
            </w:pPr>
          </w:p>
        </w:tc>
        <w:tc>
          <w:tcPr>
            <w:tcW w:w="0" w:type="auto"/>
            <w:gridSpan w:val="3"/>
            <w:vAlign w:val="center"/>
            <w:hideMark/>
          </w:tcPr>
          <w:p w14:paraId="2790AE82" w14:textId="77777777" w:rsidR="00000000" w:rsidRDefault="009B6C69">
            <w:pPr>
              <w:spacing w:after="100"/>
              <w:rPr>
                <w:rFonts w:eastAsia="Times New Roman"/>
                <w:sz w:val="20"/>
                <w:szCs w:val="20"/>
              </w:rPr>
            </w:pPr>
          </w:p>
        </w:tc>
      </w:tr>
      <w:tr w:rsidR="00000000" w14:paraId="134B144B" w14:textId="77777777">
        <w:trPr>
          <w:divId w:val="1418089993"/>
        </w:trPr>
        <w:tc>
          <w:tcPr>
            <w:tcW w:w="0" w:type="auto"/>
            <w:gridSpan w:val="3"/>
            <w:vAlign w:val="center"/>
            <w:hideMark/>
          </w:tcPr>
          <w:p w14:paraId="73CBC73F" w14:textId="77777777" w:rsidR="00000000" w:rsidRDefault="009B6C69">
            <w:pPr>
              <w:spacing w:after="100"/>
              <w:rPr>
                <w:rFonts w:eastAsia="Times New Roman"/>
                <w:sz w:val="20"/>
                <w:szCs w:val="20"/>
              </w:rPr>
            </w:pPr>
          </w:p>
        </w:tc>
        <w:tc>
          <w:tcPr>
            <w:tcW w:w="0" w:type="auto"/>
            <w:vAlign w:val="center"/>
            <w:hideMark/>
          </w:tcPr>
          <w:p w14:paraId="6BA7B6FE" w14:textId="77777777" w:rsidR="00000000" w:rsidRDefault="009B6C69">
            <w:pPr>
              <w:spacing w:after="100"/>
              <w:rPr>
                <w:rFonts w:eastAsia="Times New Roman"/>
                <w:sz w:val="20"/>
                <w:szCs w:val="20"/>
              </w:rPr>
            </w:pPr>
          </w:p>
        </w:tc>
        <w:tc>
          <w:tcPr>
            <w:tcW w:w="0" w:type="auto"/>
            <w:vAlign w:val="center"/>
            <w:hideMark/>
          </w:tcPr>
          <w:p w14:paraId="1C2418E6" w14:textId="77777777" w:rsidR="00000000" w:rsidRDefault="009B6C69">
            <w:pPr>
              <w:spacing w:after="100"/>
              <w:rPr>
                <w:rFonts w:eastAsia="Times New Roman"/>
                <w:sz w:val="20"/>
                <w:szCs w:val="20"/>
              </w:rPr>
            </w:pPr>
          </w:p>
        </w:tc>
        <w:tc>
          <w:tcPr>
            <w:tcW w:w="0" w:type="auto"/>
            <w:vAlign w:val="center"/>
            <w:hideMark/>
          </w:tcPr>
          <w:p w14:paraId="2FDBF550" w14:textId="77777777" w:rsidR="00000000" w:rsidRDefault="009B6C69">
            <w:pPr>
              <w:spacing w:after="100"/>
              <w:rPr>
                <w:rFonts w:eastAsia="Times New Roman"/>
                <w:sz w:val="20"/>
                <w:szCs w:val="20"/>
              </w:rPr>
            </w:pPr>
          </w:p>
        </w:tc>
        <w:tc>
          <w:tcPr>
            <w:tcW w:w="0" w:type="auto"/>
            <w:vAlign w:val="center"/>
            <w:hideMark/>
          </w:tcPr>
          <w:p w14:paraId="245EDC06" w14:textId="77777777" w:rsidR="00000000" w:rsidRDefault="009B6C69">
            <w:pPr>
              <w:spacing w:after="100"/>
              <w:rPr>
                <w:rFonts w:eastAsia="Times New Roman"/>
                <w:sz w:val="20"/>
                <w:szCs w:val="20"/>
              </w:rPr>
            </w:pPr>
          </w:p>
        </w:tc>
        <w:tc>
          <w:tcPr>
            <w:tcW w:w="0" w:type="auto"/>
            <w:vAlign w:val="center"/>
            <w:hideMark/>
          </w:tcPr>
          <w:p w14:paraId="662BA37A" w14:textId="77777777" w:rsidR="00000000" w:rsidRDefault="009B6C69">
            <w:pPr>
              <w:spacing w:after="100"/>
              <w:rPr>
                <w:rFonts w:eastAsia="Times New Roman"/>
                <w:sz w:val="20"/>
                <w:szCs w:val="20"/>
              </w:rPr>
            </w:pPr>
          </w:p>
        </w:tc>
        <w:tc>
          <w:tcPr>
            <w:tcW w:w="0" w:type="auto"/>
            <w:vAlign w:val="center"/>
            <w:hideMark/>
          </w:tcPr>
          <w:p w14:paraId="332B5C3C" w14:textId="77777777" w:rsidR="00000000" w:rsidRDefault="009B6C69">
            <w:pPr>
              <w:spacing w:after="100"/>
              <w:rPr>
                <w:rFonts w:eastAsia="Times New Roman"/>
                <w:sz w:val="20"/>
                <w:szCs w:val="20"/>
              </w:rPr>
            </w:pPr>
          </w:p>
        </w:tc>
        <w:tc>
          <w:tcPr>
            <w:tcW w:w="0" w:type="auto"/>
            <w:vAlign w:val="center"/>
            <w:hideMark/>
          </w:tcPr>
          <w:p w14:paraId="217E2644" w14:textId="77777777" w:rsidR="00000000" w:rsidRDefault="009B6C69">
            <w:pPr>
              <w:spacing w:after="100"/>
              <w:rPr>
                <w:rFonts w:eastAsia="Times New Roman"/>
                <w:sz w:val="20"/>
                <w:szCs w:val="20"/>
              </w:rPr>
            </w:pPr>
          </w:p>
        </w:tc>
        <w:tc>
          <w:tcPr>
            <w:tcW w:w="0" w:type="auto"/>
            <w:vAlign w:val="center"/>
            <w:hideMark/>
          </w:tcPr>
          <w:p w14:paraId="7F8EC894" w14:textId="77777777" w:rsidR="00000000" w:rsidRDefault="009B6C69">
            <w:pPr>
              <w:spacing w:after="100"/>
              <w:rPr>
                <w:rFonts w:eastAsia="Times New Roman"/>
                <w:sz w:val="20"/>
                <w:szCs w:val="20"/>
              </w:rPr>
            </w:pPr>
          </w:p>
        </w:tc>
        <w:tc>
          <w:tcPr>
            <w:tcW w:w="0" w:type="auto"/>
            <w:gridSpan w:val="3"/>
            <w:vAlign w:val="center"/>
            <w:hideMark/>
          </w:tcPr>
          <w:p w14:paraId="23B1D9B7" w14:textId="77777777" w:rsidR="00000000" w:rsidRDefault="009B6C69">
            <w:pPr>
              <w:spacing w:after="100"/>
              <w:rPr>
                <w:rFonts w:eastAsia="Times New Roman"/>
                <w:sz w:val="20"/>
                <w:szCs w:val="20"/>
              </w:rPr>
            </w:pPr>
          </w:p>
        </w:tc>
        <w:tc>
          <w:tcPr>
            <w:tcW w:w="0" w:type="auto"/>
            <w:gridSpan w:val="3"/>
            <w:vAlign w:val="center"/>
            <w:hideMark/>
          </w:tcPr>
          <w:p w14:paraId="78FA165F" w14:textId="77777777" w:rsidR="00000000" w:rsidRDefault="009B6C69">
            <w:pPr>
              <w:spacing w:after="100"/>
              <w:rPr>
                <w:rFonts w:eastAsia="Times New Roman"/>
                <w:sz w:val="20"/>
                <w:szCs w:val="20"/>
              </w:rPr>
            </w:pPr>
          </w:p>
        </w:tc>
        <w:tc>
          <w:tcPr>
            <w:tcW w:w="0" w:type="auto"/>
            <w:gridSpan w:val="3"/>
            <w:vAlign w:val="center"/>
            <w:hideMark/>
          </w:tcPr>
          <w:p w14:paraId="2D3932FF" w14:textId="77777777" w:rsidR="00000000" w:rsidRDefault="009B6C69">
            <w:pPr>
              <w:spacing w:after="100"/>
              <w:rPr>
                <w:rFonts w:eastAsia="Times New Roman"/>
                <w:sz w:val="20"/>
                <w:szCs w:val="20"/>
              </w:rPr>
            </w:pPr>
          </w:p>
        </w:tc>
        <w:tc>
          <w:tcPr>
            <w:tcW w:w="0" w:type="auto"/>
            <w:gridSpan w:val="3"/>
            <w:vAlign w:val="center"/>
            <w:hideMark/>
          </w:tcPr>
          <w:p w14:paraId="06663D7A" w14:textId="77777777" w:rsidR="00000000" w:rsidRDefault="009B6C69">
            <w:pPr>
              <w:spacing w:after="100"/>
              <w:rPr>
                <w:rFonts w:eastAsia="Times New Roman"/>
                <w:sz w:val="20"/>
                <w:szCs w:val="20"/>
              </w:rPr>
            </w:pPr>
          </w:p>
        </w:tc>
        <w:tc>
          <w:tcPr>
            <w:tcW w:w="0" w:type="auto"/>
            <w:gridSpan w:val="3"/>
            <w:vAlign w:val="center"/>
            <w:hideMark/>
          </w:tcPr>
          <w:p w14:paraId="1B5126D2" w14:textId="77777777" w:rsidR="00000000" w:rsidRDefault="009B6C69">
            <w:pPr>
              <w:spacing w:after="100"/>
              <w:rPr>
                <w:rFonts w:eastAsia="Times New Roman"/>
                <w:sz w:val="20"/>
                <w:szCs w:val="20"/>
              </w:rPr>
            </w:pPr>
          </w:p>
        </w:tc>
      </w:tr>
      <w:tr w:rsidR="00000000" w14:paraId="5CE063B5" w14:textId="77777777">
        <w:trPr>
          <w:divId w:val="1418089993"/>
        </w:trPr>
        <w:tc>
          <w:tcPr>
            <w:tcW w:w="0" w:type="auto"/>
            <w:gridSpan w:val="3"/>
            <w:shd w:val="clear" w:color="auto" w:fill="CCEEFF"/>
            <w:tcMar>
              <w:top w:w="30" w:type="dxa"/>
              <w:left w:w="20" w:type="dxa"/>
              <w:bottom w:w="30" w:type="dxa"/>
              <w:right w:w="20" w:type="dxa"/>
            </w:tcMar>
            <w:vAlign w:val="bottom"/>
            <w:hideMark/>
          </w:tcPr>
          <w:p w14:paraId="42563818" w14:textId="77777777" w:rsidR="00000000" w:rsidRDefault="009B6C69">
            <w:pPr>
              <w:spacing w:after="100"/>
              <w:rPr>
                <w:rFonts w:eastAsia="Times New Roman"/>
              </w:rPr>
            </w:pPr>
            <w:r>
              <w:rPr>
                <w:rFonts w:eastAsia="Times New Roman"/>
                <w:color w:val="000000"/>
                <w:sz w:val="18"/>
                <w:szCs w:val="18"/>
              </w:rPr>
              <w:t>Cost of revenues</w:t>
            </w:r>
          </w:p>
        </w:tc>
        <w:tc>
          <w:tcPr>
            <w:tcW w:w="0" w:type="auto"/>
            <w:vAlign w:val="center"/>
            <w:hideMark/>
          </w:tcPr>
          <w:p w14:paraId="00B2C910" w14:textId="77777777" w:rsidR="00000000" w:rsidRDefault="009B6C69">
            <w:pPr>
              <w:spacing w:after="100"/>
              <w:rPr>
                <w:rFonts w:eastAsia="Times New Roman"/>
              </w:rPr>
            </w:pPr>
          </w:p>
        </w:tc>
        <w:tc>
          <w:tcPr>
            <w:tcW w:w="0" w:type="auto"/>
            <w:vAlign w:val="center"/>
            <w:hideMark/>
          </w:tcPr>
          <w:p w14:paraId="65D82435" w14:textId="77777777" w:rsidR="00000000" w:rsidRDefault="009B6C69">
            <w:pPr>
              <w:spacing w:after="100"/>
              <w:rPr>
                <w:rFonts w:eastAsia="Times New Roman"/>
                <w:sz w:val="20"/>
                <w:szCs w:val="20"/>
              </w:rPr>
            </w:pPr>
          </w:p>
        </w:tc>
        <w:tc>
          <w:tcPr>
            <w:tcW w:w="0" w:type="auto"/>
            <w:vAlign w:val="center"/>
            <w:hideMark/>
          </w:tcPr>
          <w:p w14:paraId="2FF1E457" w14:textId="77777777" w:rsidR="00000000" w:rsidRDefault="009B6C69">
            <w:pPr>
              <w:spacing w:after="100"/>
              <w:rPr>
                <w:rFonts w:eastAsia="Times New Roman"/>
                <w:sz w:val="20"/>
                <w:szCs w:val="20"/>
              </w:rPr>
            </w:pPr>
          </w:p>
        </w:tc>
        <w:tc>
          <w:tcPr>
            <w:tcW w:w="0" w:type="auto"/>
            <w:vAlign w:val="center"/>
            <w:hideMark/>
          </w:tcPr>
          <w:p w14:paraId="6DD1AFCD" w14:textId="77777777" w:rsidR="00000000" w:rsidRDefault="009B6C69">
            <w:pPr>
              <w:spacing w:after="100"/>
              <w:rPr>
                <w:rFonts w:eastAsia="Times New Roman"/>
                <w:sz w:val="20"/>
                <w:szCs w:val="20"/>
              </w:rPr>
            </w:pPr>
          </w:p>
        </w:tc>
        <w:tc>
          <w:tcPr>
            <w:tcW w:w="0" w:type="auto"/>
            <w:vAlign w:val="center"/>
            <w:hideMark/>
          </w:tcPr>
          <w:p w14:paraId="20522F48" w14:textId="77777777" w:rsidR="00000000" w:rsidRDefault="009B6C69">
            <w:pPr>
              <w:spacing w:after="100"/>
              <w:rPr>
                <w:rFonts w:eastAsia="Times New Roman"/>
                <w:sz w:val="20"/>
                <w:szCs w:val="20"/>
              </w:rPr>
            </w:pPr>
          </w:p>
        </w:tc>
        <w:tc>
          <w:tcPr>
            <w:tcW w:w="0" w:type="auto"/>
            <w:vAlign w:val="center"/>
            <w:hideMark/>
          </w:tcPr>
          <w:p w14:paraId="0BEC8E8A" w14:textId="77777777" w:rsidR="00000000" w:rsidRDefault="009B6C69">
            <w:pPr>
              <w:spacing w:after="100"/>
              <w:rPr>
                <w:rFonts w:eastAsia="Times New Roman"/>
                <w:sz w:val="20"/>
                <w:szCs w:val="20"/>
              </w:rPr>
            </w:pPr>
          </w:p>
        </w:tc>
        <w:tc>
          <w:tcPr>
            <w:tcW w:w="0" w:type="auto"/>
            <w:vAlign w:val="center"/>
            <w:hideMark/>
          </w:tcPr>
          <w:p w14:paraId="0D24EC26" w14:textId="77777777" w:rsidR="00000000" w:rsidRDefault="009B6C69">
            <w:pPr>
              <w:spacing w:after="100"/>
              <w:rPr>
                <w:rFonts w:eastAsia="Times New Roman"/>
                <w:sz w:val="20"/>
                <w:szCs w:val="20"/>
              </w:rPr>
            </w:pPr>
          </w:p>
        </w:tc>
        <w:tc>
          <w:tcPr>
            <w:tcW w:w="0" w:type="auto"/>
            <w:vAlign w:val="center"/>
            <w:hideMark/>
          </w:tcPr>
          <w:p w14:paraId="5C842121"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F7D916"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50029F" w14:textId="77777777" w:rsidR="00000000" w:rsidRDefault="009B6C69">
            <w:pPr>
              <w:spacing w:after="100"/>
              <w:jc w:val="right"/>
              <w:rPr>
                <w:rFonts w:eastAsia="Times New Roman"/>
              </w:rPr>
            </w:pPr>
            <w:r>
              <w:rPr>
                <w:rFonts w:eastAsia="Times New Roman"/>
                <w:color w:val="000000"/>
                <w:sz w:val="18"/>
                <w:szCs w:val="18"/>
              </w:rPr>
              <w:t>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81819A"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55C3BE"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431ED9"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0347F8" w14:textId="77777777" w:rsidR="00000000" w:rsidRDefault="009B6C69">
            <w:pPr>
              <w:spacing w:after="100"/>
              <w:jc w:val="right"/>
              <w:rPr>
                <w:rFonts w:eastAsia="Times New Roman"/>
              </w:rPr>
            </w:pPr>
            <w:r>
              <w:rPr>
                <w:rFonts w:eastAsia="Times New Roman"/>
                <w:color w:val="000000"/>
                <w:sz w:val="18"/>
                <w:szCs w:val="18"/>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ECC67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86A71C"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C5BBE1"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C5975B" w14:textId="77777777" w:rsidR="00000000" w:rsidRDefault="009B6C69">
            <w:pPr>
              <w:spacing w:after="100"/>
              <w:jc w:val="right"/>
              <w:rPr>
                <w:rFonts w:eastAsia="Times New Roman"/>
              </w:rPr>
            </w:pPr>
            <w:r>
              <w:rPr>
                <w:rFonts w:eastAsia="Times New Roman"/>
                <w:color w:val="000000"/>
                <w:sz w:val="18"/>
                <w:szCs w:val="18"/>
              </w:rPr>
              <w:t>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4C5834" w14:textId="77777777" w:rsidR="00000000" w:rsidRDefault="009B6C69">
            <w:pPr>
              <w:spacing w:after="100"/>
              <w:jc w:val="right"/>
              <w:rPr>
                <w:rFonts w:eastAsia="Times New Roman"/>
              </w:rPr>
            </w:pPr>
          </w:p>
        </w:tc>
      </w:tr>
      <w:tr w:rsidR="00000000" w14:paraId="63E45C97" w14:textId="77777777">
        <w:trPr>
          <w:divId w:val="1418089993"/>
        </w:trPr>
        <w:tc>
          <w:tcPr>
            <w:tcW w:w="0" w:type="auto"/>
            <w:gridSpan w:val="3"/>
            <w:shd w:val="clear" w:color="auto" w:fill="FFFFFF"/>
            <w:tcMar>
              <w:top w:w="30" w:type="dxa"/>
              <w:left w:w="20" w:type="dxa"/>
              <w:bottom w:w="30" w:type="dxa"/>
              <w:right w:w="20" w:type="dxa"/>
            </w:tcMar>
            <w:vAlign w:val="bottom"/>
            <w:hideMark/>
          </w:tcPr>
          <w:p w14:paraId="275E0606" w14:textId="77777777" w:rsidR="00000000" w:rsidRDefault="009B6C69">
            <w:pPr>
              <w:spacing w:after="100"/>
              <w:rPr>
                <w:rFonts w:eastAsia="Times New Roman"/>
              </w:rPr>
            </w:pPr>
            <w:r>
              <w:rPr>
                <w:rFonts w:eastAsia="Times New Roman"/>
                <w:color w:val="000000"/>
                <w:sz w:val="18"/>
                <w:szCs w:val="18"/>
              </w:rPr>
              <w:t>Research and development</w:t>
            </w:r>
          </w:p>
        </w:tc>
        <w:tc>
          <w:tcPr>
            <w:tcW w:w="0" w:type="auto"/>
            <w:vAlign w:val="center"/>
            <w:hideMark/>
          </w:tcPr>
          <w:p w14:paraId="5D19E3E7" w14:textId="77777777" w:rsidR="00000000" w:rsidRDefault="009B6C69">
            <w:pPr>
              <w:spacing w:after="100"/>
              <w:rPr>
                <w:rFonts w:eastAsia="Times New Roman"/>
              </w:rPr>
            </w:pPr>
          </w:p>
        </w:tc>
        <w:tc>
          <w:tcPr>
            <w:tcW w:w="0" w:type="auto"/>
            <w:vAlign w:val="center"/>
            <w:hideMark/>
          </w:tcPr>
          <w:p w14:paraId="4548F8F2" w14:textId="77777777" w:rsidR="00000000" w:rsidRDefault="009B6C69">
            <w:pPr>
              <w:spacing w:after="100"/>
              <w:rPr>
                <w:rFonts w:eastAsia="Times New Roman"/>
                <w:sz w:val="20"/>
                <w:szCs w:val="20"/>
              </w:rPr>
            </w:pPr>
          </w:p>
        </w:tc>
        <w:tc>
          <w:tcPr>
            <w:tcW w:w="0" w:type="auto"/>
            <w:vAlign w:val="center"/>
            <w:hideMark/>
          </w:tcPr>
          <w:p w14:paraId="1B834890" w14:textId="77777777" w:rsidR="00000000" w:rsidRDefault="009B6C69">
            <w:pPr>
              <w:spacing w:after="100"/>
              <w:rPr>
                <w:rFonts w:eastAsia="Times New Roman"/>
                <w:sz w:val="20"/>
                <w:szCs w:val="20"/>
              </w:rPr>
            </w:pPr>
          </w:p>
        </w:tc>
        <w:tc>
          <w:tcPr>
            <w:tcW w:w="0" w:type="auto"/>
            <w:vAlign w:val="center"/>
            <w:hideMark/>
          </w:tcPr>
          <w:p w14:paraId="16837E54" w14:textId="77777777" w:rsidR="00000000" w:rsidRDefault="009B6C69">
            <w:pPr>
              <w:spacing w:after="100"/>
              <w:rPr>
                <w:rFonts w:eastAsia="Times New Roman"/>
                <w:sz w:val="20"/>
                <w:szCs w:val="20"/>
              </w:rPr>
            </w:pPr>
          </w:p>
        </w:tc>
        <w:tc>
          <w:tcPr>
            <w:tcW w:w="0" w:type="auto"/>
            <w:vAlign w:val="center"/>
            <w:hideMark/>
          </w:tcPr>
          <w:p w14:paraId="4D9210F7" w14:textId="77777777" w:rsidR="00000000" w:rsidRDefault="009B6C69">
            <w:pPr>
              <w:spacing w:after="100"/>
              <w:rPr>
                <w:rFonts w:eastAsia="Times New Roman"/>
                <w:sz w:val="20"/>
                <w:szCs w:val="20"/>
              </w:rPr>
            </w:pPr>
          </w:p>
        </w:tc>
        <w:tc>
          <w:tcPr>
            <w:tcW w:w="0" w:type="auto"/>
            <w:vAlign w:val="center"/>
            <w:hideMark/>
          </w:tcPr>
          <w:p w14:paraId="77A1B343" w14:textId="77777777" w:rsidR="00000000" w:rsidRDefault="009B6C69">
            <w:pPr>
              <w:spacing w:after="100"/>
              <w:rPr>
                <w:rFonts w:eastAsia="Times New Roman"/>
                <w:sz w:val="20"/>
                <w:szCs w:val="20"/>
              </w:rPr>
            </w:pPr>
          </w:p>
        </w:tc>
        <w:tc>
          <w:tcPr>
            <w:tcW w:w="0" w:type="auto"/>
            <w:vAlign w:val="center"/>
            <w:hideMark/>
          </w:tcPr>
          <w:p w14:paraId="116701E3" w14:textId="77777777" w:rsidR="00000000" w:rsidRDefault="009B6C69">
            <w:pPr>
              <w:spacing w:after="100"/>
              <w:rPr>
                <w:rFonts w:eastAsia="Times New Roman"/>
                <w:sz w:val="20"/>
                <w:szCs w:val="20"/>
              </w:rPr>
            </w:pPr>
          </w:p>
        </w:tc>
        <w:tc>
          <w:tcPr>
            <w:tcW w:w="0" w:type="auto"/>
            <w:vAlign w:val="center"/>
            <w:hideMark/>
          </w:tcPr>
          <w:p w14:paraId="37C00E59"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F33E9A" w14:textId="77777777" w:rsidR="00000000" w:rsidRDefault="009B6C69">
            <w:pPr>
              <w:spacing w:after="100"/>
              <w:jc w:val="right"/>
              <w:rPr>
                <w:rFonts w:eastAsia="Times New Roman"/>
              </w:rPr>
            </w:pPr>
            <w:r>
              <w:rPr>
                <w:rFonts w:eastAsia="Times New Roman"/>
                <w:color w:val="000000"/>
                <w:sz w:val="18"/>
                <w:szCs w:val="18"/>
              </w:rPr>
              <w:t>1,537 </w:t>
            </w:r>
          </w:p>
        </w:tc>
        <w:tc>
          <w:tcPr>
            <w:tcW w:w="0" w:type="auto"/>
            <w:shd w:val="clear" w:color="auto" w:fill="FFFFFF"/>
            <w:tcMar>
              <w:top w:w="30" w:type="dxa"/>
              <w:left w:w="0" w:type="dxa"/>
              <w:bottom w:w="30" w:type="dxa"/>
              <w:right w:w="20" w:type="dxa"/>
            </w:tcMar>
            <w:vAlign w:val="bottom"/>
            <w:hideMark/>
          </w:tcPr>
          <w:p w14:paraId="57B584B8"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B15A76"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E855FB" w14:textId="77777777" w:rsidR="00000000" w:rsidRDefault="009B6C69">
            <w:pPr>
              <w:spacing w:after="100"/>
              <w:jc w:val="right"/>
              <w:rPr>
                <w:rFonts w:eastAsia="Times New Roman"/>
              </w:rPr>
            </w:pPr>
            <w:r>
              <w:rPr>
                <w:rFonts w:eastAsia="Times New Roman"/>
                <w:color w:val="000000"/>
                <w:sz w:val="18"/>
                <w:szCs w:val="18"/>
              </w:rPr>
              <w:t>1,234 </w:t>
            </w:r>
          </w:p>
        </w:tc>
        <w:tc>
          <w:tcPr>
            <w:tcW w:w="0" w:type="auto"/>
            <w:shd w:val="clear" w:color="auto" w:fill="FFFFFF"/>
            <w:tcMar>
              <w:top w:w="30" w:type="dxa"/>
              <w:left w:w="0" w:type="dxa"/>
              <w:bottom w:w="30" w:type="dxa"/>
              <w:right w:w="20" w:type="dxa"/>
            </w:tcMar>
            <w:vAlign w:val="bottom"/>
            <w:hideMark/>
          </w:tcPr>
          <w:p w14:paraId="1337545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ABD630"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44D2F0" w14:textId="77777777" w:rsidR="00000000" w:rsidRDefault="009B6C69">
            <w:pPr>
              <w:spacing w:after="100"/>
              <w:jc w:val="right"/>
              <w:rPr>
                <w:rFonts w:eastAsia="Times New Roman"/>
              </w:rPr>
            </w:pPr>
            <w:r>
              <w:rPr>
                <w:rFonts w:eastAsia="Times New Roman"/>
                <w:color w:val="000000"/>
                <w:sz w:val="18"/>
                <w:szCs w:val="18"/>
              </w:rPr>
              <w:t>872 </w:t>
            </w:r>
          </w:p>
        </w:tc>
        <w:tc>
          <w:tcPr>
            <w:tcW w:w="0" w:type="auto"/>
            <w:shd w:val="clear" w:color="auto" w:fill="FFFFFF"/>
            <w:tcMar>
              <w:top w:w="30" w:type="dxa"/>
              <w:left w:w="0" w:type="dxa"/>
              <w:bottom w:w="30" w:type="dxa"/>
              <w:right w:w="20" w:type="dxa"/>
            </w:tcMar>
            <w:vAlign w:val="bottom"/>
            <w:hideMark/>
          </w:tcPr>
          <w:p w14:paraId="265D49C9" w14:textId="77777777" w:rsidR="00000000" w:rsidRDefault="009B6C69">
            <w:pPr>
              <w:spacing w:after="100"/>
              <w:jc w:val="right"/>
              <w:rPr>
                <w:rFonts w:eastAsia="Times New Roman"/>
              </w:rPr>
            </w:pPr>
          </w:p>
        </w:tc>
      </w:tr>
      <w:tr w:rsidR="00000000" w14:paraId="2B654E89" w14:textId="77777777">
        <w:trPr>
          <w:divId w:val="1418089993"/>
        </w:trPr>
        <w:tc>
          <w:tcPr>
            <w:tcW w:w="0" w:type="auto"/>
            <w:gridSpan w:val="3"/>
            <w:shd w:val="clear" w:color="auto" w:fill="CCEEFF"/>
            <w:tcMar>
              <w:top w:w="30" w:type="dxa"/>
              <w:left w:w="20" w:type="dxa"/>
              <w:bottom w:w="30" w:type="dxa"/>
              <w:right w:w="20" w:type="dxa"/>
            </w:tcMar>
            <w:vAlign w:val="bottom"/>
            <w:hideMark/>
          </w:tcPr>
          <w:p w14:paraId="4AC0EC04" w14:textId="77777777" w:rsidR="00000000" w:rsidRDefault="009B6C69">
            <w:pPr>
              <w:spacing w:after="100"/>
              <w:rPr>
                <w:rFonts w:eastAsia="Times New Roman"/>
              </w:rPr>
            </w:pPr>
            <w:r>
              <w:rPr>
                <w:rFonts w:eastAsia="Times New Roman"/>
                <w:color w:val="000000"/>
                <w:sz w:val="18"/>
                <w:szCs w:val="18"/>
              </w:rPr>
              <w:t>Selling, general and administrative</w:t>
            </w:r>
          </w:p>
        </w:tc>
        <w:tc>
          <w:tcPr>
            <w:tcW w:w="0" w:type="auto"/>
            <w:vAlign w:val="center"/>
            <w:hideMark/>
          </w:tcPr>
          <w:p w14:paraId="662B2327" w14:textId="77777777" w:rsidR="00000000" w:rsidRDefault="009B6C69">
            <w:pPr>
              <w:spacing w:after="100"/>
              <w:rPr>
                <w:rFonts w:eastAsia="Times New Roman"/>
              </w:rPr>
            </w:pPr>
          </w:p>
        </w:tc>
        <w:tc>
          <w:tcPr>
            <w:tcW w:w="0" w:type="auto"/>
            <w:vAlign w:val="center"/>
            <w:hideMark/>
          </w:tcPr>
          <w:p w14:paraId="1FF076DF" w14:textId="77777777" w:rsidR="00000000" w:rsidRDefault="009B6C69">
            <w:pPr>
              <w:spacing w:after="100"/>
              <w:rPr>
                <w:rFonts w:eastAsia="Times New Roman"/>
                <w:sz w:val="20"/>
                <w:szCs w:val="20"/>
              </w:rPr>
            </w:pPr>
          </w:p>
        </w:tc>
        <w:tc>
          <w:tcPr>
            <w:tcW w:w="0" w:type="auto"/>
            <w:vAlign w:val="center"/>
            <w:hideMark/>
          </w:tcPr>
          <w:p w14:paraId="670D0B79" w14:textId="77777777" w:rsidR="00000000" w:rsidRDefault="009B6C69">
            <w:pPr>
              <w:spacing w:after="100"/>
              <w:rPr>
                <w:rFonts w:eastAsia="Times New Roman"/>
                <w:sz w:val="20"/>
                <w:szCs w:val="20"/>
              </w:rPr>
            </w:pPr>
          </w:p>
        </w:tc>
        <w:tc>
          <w:tcPr>
            <w:tcW w:w="0" w:type="auto"/>
            <w:vAlign w:val="center"/>
            <w:hideMark/>
          </w:tcPr>
          <w:p w14:paraId="7A7DFF37" w14:textId="77777777" w:rsidR="00000000" w:rsidRDefault="009B6C69">
            <w:pPr>
              <w:spacing w:after="100"/>
              <w:rPr>
                <w:rFonts w:eastAsia="Times New Roman"/>
                <w:sz w:val="20"/>
                <w:szCs w:val="20"/>
              </w:rPr>
            </w:pPr>
          </w:p>
        </w:tc>
        <w:tc>
          <w:tcPr>
            <w:tcW w:w="0" w:type="auto"/>
            <w:vAlign w:val="center"/>
            <w:hideMark/>
          </w:tcPr>
          <w:p w14:paraId="4EB4CE27" w14:textId="77777777" w:rsidR="00000000" w:rsidRDefault="009B6C69">
            <w:pPr>
              <w:spacing w:after="100"/>
              <w:rPr>
                <w:rFonts w:eastAsia="Times New Roman"/>
                <w:sz w:val="20"/>
                <w:szCs w:val="20"/>
              </w:rPr>
            </w:pPr>
          </w:p>
        </w:tc>
        <w:tc>
          <w:tcPr>
            <w:tcW w:w="0" w:type="auto"/>
            <w:vAlign w:val="center"/>
            <w:hideMark/>
          </w:tcPr>
          <w:p w14:paraId="09557AAC" w14:textId="77777777" w:rsidR="00000000" w:rsidRDefault="009B6C69">
            <w:pPr>
              <w:spacing w:after="100"/>
              <w:rPr>
                <w:rFonts w:eastAsia="Times New Roman"/>
                <w:sz w:val="20"/>
                <w:szCs w:val="20"/>
              </w:rPr>
            </w:pPr>
          </w:p>
        </w:tc>
        <w:tc>
          <w:tcPr>
            <w:tcW w:w="0" w:type="auto"/>
            <w:vAlign w:val="center"/>
            <w:hideMark/>
          </w:tcPr>
          <w:p w14:paraId="2F4FDD6B" w14:textId="77777777" w:rsidR="00000000" w:rsidRDefault="009B6C69">
            <w:pPr>
              <w:spacing w:after="100"/>
              <w:rPr>
                <w:rFonts w:eastAsia="Times New Roman"/>
                <w:sz w:val="20"/>
                <w:szCs w:val="20"/>
              </w:rPr>
            </w:pPr>
          </w:p>
        </w:tc>
        <w:tc>
          <w:tcPr>
            <w:tcW w:w="0" w:type="auto"/>
            <w:vAlign w:val="center"/>
            <w:hideMark/>
          </w:tcPr>
          <w:p w14:paraId="25EE2FE8"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B0AF8C" w14:textId="77777777" w:rsidR="00000000" w:rsidRDefault="009B6C69">
            <w:pPr>
              <w:spacing w:after="100"/>
              <w:jc w:val="right"/>
              <w:rPr>
                <w:rFonts w:eastAsia="Times New Roman"/>
              </w:rPr>
            </w:pPr>
            <w:r>
              <w:rPr>
                <w:rFonts w:eastAsia="Times New Roman"/>
                <w:color w:val="000000"/>
                <w:sz w:val="18"/>
                <w:szCs w:val="18"/>
              </w:rPr>
              <w:t>463 </w:t>
            </w:r>
          </w:p>
        </w:tc>
        <w:tc>
          <w:tcPr>
            <w:tcW w:w="0" w:type="auto"/>
            <w:shd w:val="clear" w:color="auto" w:fill="CCEEFF"/>
            <w:tcMar>
              <w:top w:w="30" w:type="dxa"/>
              <w:left w:w="0" w:type="dxa"/>
              <w:bottom w:w="30" w:type="dxa"/>
              <w:right w:w="20" w:type="dxa"/>
            </w:tcMar>
            <w:vAlign w:val="bottom"/>
            <w:hideMark/>
          </w:tcPr>
          <w:p w14:paraId="3E4B66A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ADD182"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4B54F3" w14:textId="77777777" w:rsidR="00000000" w:rsidRDefault="009B6C69">
            <w:pPr>
              <w:spacing w:after="100"/>
              <w:jc w:val="right"/>
              <w:rPr>
                <w:rFonts w:eastAsia="Times New Roman"/>
              </w:rPr>
            </w:pPr>
            <w:r>
              <w:rPr>
                <w:rFonts w:eastAsia="Times New Roman"/>
                <w:color w:val="000000"/>
                <w:sz w:val="18"/>
                <w:szCs w:val="18"/>
              </w:rPr>
              <w:t>389 </w:t>
            </w:r>
          </w:p>
        </w:tc>
        <w:tc>
          <w:tcPr>
            <w:tcW w:w="0" w:type="auto"/>
            <w:shd w:val="clear" w:color="auto" w:fill="CCEEFF"/>
            <w:tcMar>
              <w:top w:w="30" w:type="dxa"/>
              <w:left w:w="0" w:type="dxa"/>
              <w:bottom w:w="30" w:type="dxa"/>
              <w:right w:w="20" w:type="dxa"/>
            </w:tcMar>
            <w:vAlign w:val="bottom"/>
            <w:hideMark/>
          </w:tcPr>
          <w:p w14:paraId="2506B75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B4158B"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AB2AEB" w14:textId="77777777" w:rsidR="00000000" w:rsidRDefault="009B6C69">
            <w:pPr>
              <w:spacing w:after="100"/>
              <w:jc w:val="right"/>
              <w:rPr>
                <w:rFonts w:eastAsia="Times New Roman"/>
              </w:rPr>
            </w:pPr>
            <w:r>
              <w:rPr>
                <w:rFonts w:eastAsia="Times New Roman"/>
                <w:color w:val="000000"/>
                <w:sz w:val="18"/>
                <w:szCs w:val="18"/>
              </w:rPr>
              <w:t>306 </w:t>
            </w:r>
          </w:p>
        </w:tc>
        <w:tc>
          <w:tcPr>
            <w:tcW w:w="0" w:type="auto"/>
            <w:shd w:val="clear" w:color="auto" w:fill="CCEEFF"/>
            <w:tcMar>
              <w:top w:w="30" w:type="dxa"/>
              <w:left w:w="0" w:type="dxa"/>
              <w:bottom w:w="30" w:type="dxa"/>
              <w:right w:w="20" w:type="dxa"/>
            </w:tcMar>
            <w:vAlign w:val="bottom"/>
            <w:hideMark/>
          </w:tcPr>
          <w:p w14:paraId="519A66C4" w14:textId="77777777" w:rsidR="00000000" w:rsidRDefault="009B6C69">
            <w:pPr>
              <w:spacing w:after="100"/>
              <w:jc w:val="right"/>
              <w:rPr>
                <w:rFonts w:eastAsia="Times New Roman"/>
              </w:rPr>
            </w:pPr>
          </w:p>
        </w:tc>
      </w:tr>
      <w:tr w:rsidR="00000000" w14:paraId="71C2B731" w14:textId="77777777">
        <w:trPr>
          <w:divId w:val="1418089993"/>
        </w:trPr>
        <w:tc>
          <w:tcPr>
            <w:tcW w:w="0" w:type="auto"/>
            <w:gridSpan w:val="3"/>
            <w:shd w:val="clear" w:color="auto" w:fill="FFFFFF"/>
            <w:tcMar>
              <w:top w:w="30" w:type="dxa"/>
              <w:left w:w="155" w:type="dxa"/>
              <w:bottom w:w="30" w:type="dxa"/>
              <w:right w:w="20" w:type="dxa"/>
            </w:tcMar>
            <w:vAlign w:val="bottom"/>
            <w:hideMark/>
          </w:tcPr>
          <w:p w14:paraId="6882B5BC" w14:textId="77777777" w:rsidR="00000000" w:rsidRDefault="009B6C69">
            <w:pPr>
              <w:spacing w:after="100"/>
              <w:rPr>
                <w:rFonts w:eastAsia="Times New Roman"/>
              </w:rPr>
            </w:pPr>
            <w:r>
              <w:rPr>
                <w:rFonts w:eastAsia="Times New Roman"/>
                <w:color w:val="000000"/>
                <w:sz w:val="18"/>
                <w:szCs w:val="18"/>
              </w:rPr>
              <w:t>Share-based compensation expense before income taxes</w:t>
            </w:r>
          </w:p>
        </w:tc>
        <w:tc>
          <w:tcPr>
            <w:tcW w:w="0" w:type="auto"/>
            <w:vAlign w:val="center"/>
            <w:hideMark/>
          </w:tcPr>
          <w:p w14:paraId="7982D093" w14:textId="77777777" w:rsidR="00000000" w:rsidRDefault="009B6C69">
            <w:pPr>
              <w:spacing w:after="100"/>
              <w:rPr>
                <w:rFonts w:eastAsia="Times New Roman"/>
              </w:rPr>
            </w:pPr>
          </w:p>
        </w:tc>
        <w:tc>
          <w:tcPr>
            <w:tcW w:w="0" w:type="auto"/>
            <w:vAlign w:val="center"/>
            <w:hideMark/>
          </w:tcPr>
          <w:p w14:paraId="2A888B18" w14:textId="77777777" w:rsidR="00000000" w:rsidRDefault="009B6C69">
            <w:pPr>
              <w:spacing w:after="100"/>
              <w:rPr>
                <w:rFonts w:eastAsia="Times New Roman"/>
                <w:sz w:val="20"/>
                <w:szCs w:val="20"/>
              </w:rPr>
            </w:pPr>
          </w:p>
        </w:tc>
        <w:tc>
          <w:tcPr>
            <w:tcW w:w="0" w:type="auto"/>
            <w:vAlign w:val="center"/>
            <w:hideMark/>
          </w:tcPr>
          <w:p w14:paraId="534CDC94" w14:textId="77777777" w:rsidR="00000000" w:rsidRDefault="009B6C69">
            <w:pPr>
              <w:spacing w:after="100"/>
              <w:rPr>
                <w:rFonts w:eastAsia="Times New Roman"/>
                <w:sz w:val="20"/>
                <w:szCs w:val="20"/>
              </w:rPr>
            </w:pPr>
          </w:p>
        </w:tc>
        <w:tc>
          <w:tcPr>
            <w:tcW w:w="0" w:type="auto"/>
            <w:vAlign w:val="center"/>
            <w:hideMark/>
          </w:tcPr>
          <w:p w14:paraId="46B6F0D5" w14:textId="77777777" w:rsidR="00000000" w:rsidRDefault="009B6C69">
            <w:pPr>
              <w:spacing w:after="100"/>
              <w:rPr>
                <w:rFonts w:eastAsia="Times New Roman"/>
                <w:sz w:val="20"/>
                <w:szCs w:val="20"/>
              </w:rPr>
            </w:pPr>
          </w:p>
        </w:tc>
        <w:tc>
          <w:tcPr>
            <w:tcW w:w="0" w:type="auto"/>
            <w:vAlign w:val="center"/>
            <w:hideMark/>
          </w:tcPr>
          <w:p w14:paraId="7341F7C3" w14:textId="77777777" w:rsidR="00000000" w:rsidRDefault="009B6C69">
            <w:pPr>
              <w:spacing w:after="100"/>
              <w:rPr>
                <w:rFonts w:eastAsia="Times New Roman"/>
                <w:sz w:val="20"/>
                <w:szCs w:val="20"/>
              </w:rPr>
            </w:pPr>
          </w:p>
        </w:tc>
        <w:tc>
          <w:tcPr>
            <w:tcW w:w="0" w:type="auto"/>
            <w:vAlign w:val="center"/>
            <w:hideMark/>
          </w:tcPr>
          <w:p w14:paraId="44CAF29E" w14:textId="77777777" w:rsidR="00000000" w:rsidRDefault="009B6C69">
            <w:pPr>
              <w:spacing w:after="100"/>
              <w:rPr>
                <w:rFonts w:eastAsia="Times New Roman"/>
                <w:sz w:val="20"/>
                <w:szCs w:val="20"/>
              </w:rPr>
            </w:pPr>
          </w:p>
        </w:tc>
        <w:tc>
          <w:tcPr>
            <w:tcW w:w="0" w:type="auto"/>
            <w:vAlign w:val="center"/>
            <w:hideMark/>
          </w:tcPr>
          <w:p w14:paraId="38CA7E20" w14:textId="77777777" w:rsidR="00000000" w:rsidRDefault="009B6C69">
            <w:pPr>
              <w:spacing w:after="100"/>
              <w:rPr>
                <w:rFonts w:eastAsia="Times New Roman"/>
                <w:sz w:val="20"/>
                <w:szCs w:val="20"/>
              </w:rPr>
            </w:pPr>
          </w:p>
        </w:tc>
        <w:tc>
          <w:tcPr>
            <w:tcW w:w="0" w:type="auto"/>
            <w:vAlign w:val="center"/>
            <w:hideMark/>
          </w:tcPr>
          <w:p w14:paraId="4B556C96" w14:textId="77777777" w:rsidR="00000000" w:rsidRDefault="009B6C69">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33A3F7" w14:textId="77777777" w:rsidR="00000000" w:rsidRDefault="009B6C69">
            <w:pPr>
              <w:spacing w:after="100"/>
              <w:jc w:val="right"/>
              <w:rPr>
                <w:rFonts w:eastAsia="Times New Roman"/>
              </w:rPr>
            </w:pPr>
            <w:r>
              <w:rPr>
                <w:rFonts w:eastAsia="Times New Roman"/>
                <w:color w:val="000000"/>
                <w:sz w:val="18"/>
                <w:szCs w:val="18"/>
              </w:rPr>
              <w:t>2,061 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25FCAC"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5AFFF7"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1A8A63" w14:textId="77777777" w:rsidR="00000000" w:rsidRDefault="009B6C69">
            <w:pPr>
              <w:spacing w:after="100"/>
              <w:jc w:val="right"/>
              <w:rPr>
                <w:rFonts w:eastAsia="Times New Roman"/>
              </w:rPr>
            </w:pPr>
            <w:r>
              <w:rPr>
                <w:rFonts w:eastAsia="Times New Roman"/>
                <w:color w:val="000000"/>
                <w:sz w:val="18"/>
                <w:szCs w:val="18"/>
              </w:rPr>
              <w:t>1,670 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3BD8C5"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F7F17B"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F7D572" w14:textId="77777777" w:rsidR="00000000" w:rsidRDefault="009B6C69">
            <w:pPr>
              <w:spacing w:after="100"/>
              <w:jc w:val="right"/>
              <w:rPr>
                <w:rFonts w:eastAsia="Times New Roman"/>
              </w:rPr>
            </w:pPr>
            <w:r>
              <w:rPr>
                <w:rFonts w:eastAsia="Times New Roman"/>
                <w:color w:val="000000"/>
                <w:sz w:val="18"/>
                <w:szCs w:val="18"/>
              </w:rPr>
              <w:t>1,212 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C4677C" w14:textId="77777777" w:rsidR="00000000" w:rsidRDefault="009B6C69">
            <w:pPr>
              <w:spacing w:after="100"/>
              <w:jc w:val="right"/>
              <w:rPr>
                <w:rFonts w:eastAsia="Times New Roman"/>
              </w:rPr>
            </w:pPr>
          </w:p>
        </w:tc>
      </w:tr>
      <w:tr w:rsidR="00000000" w14:paraId="5B65FBEA" w14:textId="77777777">
        <w:trPr>
          <w:divId w:val="1418089993"/>
        </w:trPr>
        <w:tc>
          <w:tcPr>
            <w:tcW w:w="0" w:type="auto"/>
            <w:gridSpan w:val="3"/>
            <w:shd w:val="clear" w:color="auto" w:fill="CCEEFF"/>
            <w:tcMar>
              <w:top w:w="30" w:type="dxa"/>
              <w:left w:w="20" w:type="dxa"/>
              <w:bottom w:w="30" w:type="dxa"/>
              <w:right w:w="20" w:type="dxa"/>
            </w:tcMar>
            <w:vAlign w:val="bottom"/>
            <w:hideMark/>
          </w:tcPr>
          <w:p w14:paraId="55FAC703" w14:textId="77777777" w:rsidR="00000000" w:rsidRDefault="009B6C69">
            <w:pPr>
              <w:spacing w:after="100"/>
              <w:rPr>
                <w:rFonts w:eastAsia="Times New Roman"/>
              </w:rPr>
            </w:pPr>
            <w:r>
              <w:rPr>
                <w:rFonts w:eastAsia="Times New Roman"/>
                <w:color w:val="000000"/>
                <w:sz w:val="18"/>
                <w:szCs w:val="18"/>
              </w:rPr>
              <w:t>Related income tax benefit</w:t>
            </w:r>
          </w:p>
        </w:tc>
        <w:tc>
          <w:tcPr>
            <w:tcW w:w="0" w:type="auto"/>
            <w:vAlign w:val="center"/>
            <w:hideMark/>
          </w:tcPr>
          <w:p w14:paraId="10B1B3CE" w14:textId="77777777" w:rsidR="00000000" w:rsidRDefault="009B6C69">
            <w:pPr>
              <w:spacing w:after="100"/>
              <w:rPr>
                <w:rFonts w:eastAsia="Times New Roman"/>
              </w:rPr>
            </w:pPr>
          </w:p>
        </w:tc>
        <w:tc>
          <w:tcPr>
            <w:tcW w:w="0" w:type="auto"/>
            <w:vAlign w:val="center"/>
            <w:hideMark/>
          </w:tcPr>
          <w:p w14:paraId="0C4BA707" w14:textId="77777777" w:rsidR="00000000" w:rsidRDefault="009B6C69">
            <w:pPr>
              <w:spacing w:after="100"/>
              <w:rPr>
                <w:rFonts w:eastAsia="Times New Roman"/>
                <w:sz w:val="20"/>
                <w:szCs w:val="20"/>
              </w:rPr>
            </w:pPr>
          </w:p>
        </w:tc>
        <w:tc>
          <w:tcPr>
            <w:tcW w:w="0" w:type="auto"/>
            <w:vAlign w:val="center"/>
            <w:hideMark/>
          </w:tcPr>
          <w:p w14:paraId="4D536C11" w14:textId="77777777" w:rsidR="00000000" w:rsidRDefault="009B6C69">
            <w:pPr>
              <w:spacing w:after="100"/>
              <w:rPr>
                <w:rFonts w:eastAsia="Times New Roman"/>
                <w:sz w:val="20"/>
                <w:szCs w:val="20"/>
              </w:rPr>
            </w:pPr>
          </w:p>
        </w:tc>
        <w:tc>
          <w:tcPr>
            <w:tcW w:w="0" w:type="auto"/>
            <w:vAlign w:val="center"/>
            <w:hideMark/>
          </w:tcPr>
          <w:p w14:paraId="1465AEAE" w14:textId="77777777" w:rsidR="00000000" w:rsidRDefault="009B6C69">
            <w:pPr>
              <w:spacing w:after="100"/>
              <w:rPr>
                <w:rFonts w:eastAsia="Times New Roman"/>
                <w:sz w:val="20"/>
                <w:szCs w:val="20"/>
              </w:rPr>
            </w:pPr>
          </w:p>
        </w:tc>
        <w:tc>
          <w:tcPr>
            <w:tcW w:w="0" w:type="auto"/>
            <w:vAlign w:val="center"/>
            <w:hideMark/>
          </w:tcPr>
          <w:p w14:paraId="1BEB0F45" w14:textId="77777777" w:rsidR="00000000" w:rsidRDefault="009B6C69">
            <w:pPr>
              <w:spacing w:after="100"/>
              <w:rPr>
                <w:rFonts w:eastAsia="Times New Roman"/>
                <w:sz w:val="20"/>
                <w:szCs w:val="20"/>
              </w:rPr>
            </w:pPr>
          </w:p>
        </w:tc>
        <w:tc>
          <w:tcPr>
            <w:tcW w:w="0" w:type="auto"/>
            <w:vAlign w:val="center"/>
            <w:hideMark/>
          </w:tcPr>
          <w:p w14:paraId="23B59D8A" w14:textId="77777777" w:rsidR="00000000" w:rsidRDefault="009B6C69">
            <w:pPr>
              <w:spacing w:after="100"/>
              <w:rPr>
                <w:rFonts w:eastAsia="Times New Roman"/>
                <w:sz w:val="20"/>
                <w:szCs w:val="20"/>
              </w:rPr>
            </w:pPr>
          </w:p>
        </w:tc>
        <w:tc>
          <w:tcPr>
            <w:tcW w:w="0" w:type="auto"/>
            <w:vAlign w:val="center"/>
            <w:hideMark/>
          </w:tcPr>
          <w:p w14:paraId="096977F3" w14:textId="77777777" w:rsidR="00000000" w:rsidRDefault="009B6C69">
            <w:pPr>
              <w:spacing w:after="100"/>
              <w:rPr>
                <w:rFonts w:eastAsia="Times New Roman"/>
                <w:sz w:val="20"/>
                <w:szCs w:val="20"/>
              </w:rPr>
            </w:pPr>
          </w:p>
        </w:tc>
        <w:tc>
          <w:tcPr>
            <w:tcW w:w="0" w:type="auto"/>
            <w:vAlign w:val="center"/>
            <w:hideMark/>
          </w:tcPr>
          <w:p w14:paraId="2E2B5D53"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A80DE5" w14:textId="77777777" w:rsidR="00000000" w:rsidRDefault="009B6C69">
            <w:pPr>
              <w:spacing w:after="100"/>
              <w:jc w:val="right"/>
              <w:rPr>
                <w:rFonts w:eastAsia="Times New Roman"/>
              </w:rPr>
            </w:pPr>
            <w:r>
              <w:rPr>
                <w:rFonts w:eastAsia="Times New Roman"/>
                <w:color w:val="000000"/>
                <w:sz w:val="18"/>
                <w:szCs w:val="18"/>
              </w:rPr>
              <w:t>(489)</w:t>
            </w:r>
          </w:p>
        </w:tc>
        <w:tc>
          <w:tcPr>
            <w:tcW w:w="0" w:type="auto"/>
            <w:shd w:val="clear" w:color="auto" w:fill="CCEEFF"/>
            <w:tcMar>
              <w:top w:w="30" w:type="dxa"/>
              <w:left w:w="0" w:type="dxa"/>
              <w:bottom w:w="30" w:type="dxa"/>
              <w:right w:w="20" w:type="dxa"/>
            </w:tcMar>
            <w:vAlign w:val="bottom"/>
            <w:hideMark/>
          </w:tcPr>
          <w:p w14:paraId="5A29F4B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9EDBBE"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60BCC5" w14:textId="77777777" w:rsidR="00000000" w:rsidRDefault="009B6C69">
            <w:pPr>
              <w:spacing w:after="100"/>
              <w:jc w:val="right"/>
              <w:rPr>
                <w:rFonts w:eastAsia="Times New Roman"/>
              </w:rPr>
            </w:pPr>
            <w:r>
              <w:rPr>
                <w:rFonts w:eastAsia="Times New Roman"/>
                <w:color w:val="000000"/>
                <w:sz w:val="18"/>
                <w:szCs w:val="18"/>
              </w:rPr>
              <w:t>(435)</w:t>
            </w:r>
          </w:p>
        </w:tc>
        <w:tc>
          <w:tcPr>
            <w:tcW w:w="0" w:type="auto"/>
            <w:shd w:val="clear" w:color="auto" w:fill="CCEEFF"/>
            <w:tcMar>
              <w:top w:w="30" w:type="dxa"/>
              <w:left w:w="0" w:type="dxa"/>
              <w:bottom w:w="30" w:type="dxa"/>
              <w:right w:w="20" w:type="dxa"/>
            </w:tcMar>
            <w:vAlign w:val="bottom"/>
            <w:hideMark/>
          </w:tcPr>
          <w:p w14:paraId="0536CCFA"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624C84"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1E388C" w14:textId="77777777" w:rsidR="00000000" w:rsidRDefault="009B6C69">
            <w:pPr>
              <w:spacing w:after="100"/>
              <w:jc w:val="right"/>
              <w:rPr>
                <w:rFonts w:eastAsia="Times New Roman"/>
              </w:rPr>
            </w:pPr>
            <w:r>
              <w:rPr>
                <w:rFonts w:eastAsia="Times New Roman"/>
                <w:color w:val="000000"/>
                <w:sz w:val="18"/>
                <w:szCs w:val="18"/>
              </w:rPr>
              <w:t>(238)</w:t>
            </w:r>
          </w:p>
        </w:tc>
        <w:tc>
          <w:tcPr>
            <w:tcW w:w="0" w:type="auto"/>
            <w:shd w:val="clear" w:color="auto" w:fill="CCEEFF"/>
            <w:tcMar>
              <w:top w:w="30" w:type="dxa"/>
              <w:left w:w="0" w:type="dxa"/>
              <w:bottom w:w="30" w:type="dxa"/>
              <w:right w:w="20" w:type="dxa"/>
            </w:tcMar>
            <w:vAlign w:val="bottom"/>
            <w:hideMark/>
          </w:tcPr>
          <w:p w14:paraId="126C2F79" w14:textId="77777777" w:rsidR="00000000" w:rsidRDefault="009B6C69">
            <w:pPr>
              <w:spacing w:after="100"/>
              <w:jc w:val="right"/>
              <w:rPr>
                <w:rFonts w:eastAsia="Times New Roman"/>
              </w:rPr>
            </w:pPr>
          </w:p>
        </w:tc>
      </w:tr>
      <w:tr w:rsidR="00000000" w14:paraId="4BE60EA5" w14:textId="77777777">
        <w:trPr>
          <w:divId w:val="1418089993"/>
        </w:trPr>
        <w:tc>
          <w:tcPr>
            <w:tcW w:w="0" w:type="auto"/>
            <w:gridSpan w:val="3"/>
            <w:shd w:val="clear" w:color="auto" w:fill="FFFFFF"/>
            <w:tcMar>
              <w:top w:w="0" w:type="dxa"/>
              <w:left w:w="20" w:type="dxa"/>
              <w:bottom w:w="0" w:type="dxa"/>
              <w:right w:w="20" w:type="dxa"/>
            </w:tcMar>
            <w:vAlign w:val="center"/>
            <w:hideMark/>
          </w:tcPr>
          <w:p w14:paraId="727E1A5E" w14:textId="77777777" w:rsidR="00000000" w:rsidRDefault="009B6C69">
            <w:pPr>
              <w:spacing w:after="100"/>
              <w:jc w:val="right"/>
              <w:rPr>
                <w:rFonts w:eastAsia="Times New Roman"/>
                <w:sz w:val="20"/>
                <w:szCs w:val="20"/>
              </w:rPr>
            </w:pPr>
          </w:p>
        </w:tc>
        <w:tc>
          <w:tcPr>
            <w:tcW w:w="0" w:type="auto"/>
            <w:vAlign w:val="center"/>
            <w:hideMark/>
          </w:tcPr>
          <w:p w14:paraId="6AC68A99" w14:textId="77777777" w:rsidR="00000000" w:rsidRDefault="009B6C69">
            <w:pPr>
              <w:spacing w:after="100"/>
              <w:rPr>
                <w:rFonts w:eastAsia="Times New Roman"/>
                <w:sz w:val="20"/>
                <w:szCs w:val="20"/>
              </w:rPr>
            </w:pPr>
          </w:p>
        </w:tc>
        <w:tc>
          <w:tcPr>
            <w:tcW w:w="0" w:type="auto"/>
            <w:vAlign w:val="center"/>
            <w:hideMark/>
          </w:tcPr>
          <w:p w14:paraId="5DBFF290" w14:textId="77777777" w:rsidR="00000000" w:rsidRDefault="009B6C69">
            <w:pPr>
              <w:spacing w:after="100"/>
              <w:rPr>
                <w:rFonts w:eastAsia="Times New Roman"/>
                <w:sz w:val="20"/>
                <w:szCs w:val="20"/>
              </w:rPr>
            </w:pPr>
          </w:p>
        </w:tc>
        <w:tc>
          <w:tcPr>
            <w:tcW w:w="0" w:type="auto"/>
            <w:vAlign w:val="center"/>
            <w:hideMark/>
          </w:tcPr>
          <w:p w14:paraId="27C95635" w14:textId="77777777" w:rsidR="00000000" w:rsidRDefault="009B6C69">
            <w:pPr>
              <w:spacing w:after="100"/>
              <w:rPr>
                <w:rFonts w:eastAsia="Times New Roman"/>
                <w:sz w:val="20"/>
                <w:szCs w:val="20"/>
              </w:rPr>
            </w:pPr>
          </w:p>
        </w:tc>
        <w:tc>
          <w:tcPr>
            <w:tcW w:w="0" w:type="auto"/>
            <w:vAlign w:val="center"/>
            <w:hideMark/>
          </w:tcPr>
          <w:p w14:paraId="71FCE533" w14:textId="77777777" w:rsidR="00000000" w:rsidRDefault="009B6C69">
            <w:pPr>
              <w:spacing w:after="100"/>
              <w:rPr>
                <w:rFonts w:eastAsia="Times New Roman"/>
                <w:sz w:val="20"/>
                <w:szCs w:val="20"/>
              </w:rPr>
            </w:pPr>
          </w:p>
        </w:tc>
        <w:tc>
          <w:tcPr>
            <w:tcW w:w="0" w:type="auto"/>
            <w:vAlign w:val="center"/>
            <w:hideMark/>
          </w:tcPr>
          <w:p w14:paraId="0DF1CD57" w14:textId="77777777" w:rsidR="00000000" w:rsidRDefault="009B6C69">
            <w:pPr>
              <w:spacing w:after="100"/>
              <w:rPr>
                <w:rFonts w:eastAsia="Times New Roman"/>
                <w:sz w:val="20"/>
                <w:szCs w:val="20"/>
              </w:rPr>
            </w:pPr>
          </w:p>
        </w:tc>
        <w:tc>
          <w:tcPr>
            <w:tcW w:w="0" w:type="auto"/>
            <w:vAlign w:val="center"/>
            <w:hideMark/>
          </w:tcPr>
          <w:p w14:paraId="105F472B" w14:textId="77777777" w:rsidR="00000000" w:rsidRDefault="009B6C69">
            <w:pPr>
              <w:spacing w:after="100"/>
              <w:rPr>
                <w:rFonts w:eastAsia="Times New Roman"/>
                <w:sz w:val="20"/>
                <w:szCs w:val="20"/>
              </w:rPr>
            </w:pPr>
          </w:p>
        </w:tc>
        <w:tc>
          <w:tcPr>
            <w:tcW w:w="0" w:type="auto"/>
            <w:vAlign w:val="center"/>
            <w:hideMark/>
          </w:tcPr>
          <w:p w14:paraId="3239F7D1" w14:textId="77777777" w:rsidR="00000000" w:rsidRDefault="009B6C69">
            <w:pPr>
              <w:spacing w:after="100"/>
              <w:rPr>
                <w:rFonts w:eastAsia="Times New Roman"/>
                <w:sz w:val="20"/>
                <w:szCs w:val="20"/>
              </w:rPr>
            </w:pPr>
          </w:p>
        </w:tc>
        <w:tc>
          <w:tcPr>
            <w:tcW w:w="0" w:type="auto"/>
            <w:vAlign w:val="center"/>
            <w:hideMark/>
          </w:tcPr>
          <w:p w14:paraId="74E4D36E" w14:textId="77777777" w:rsidR="00000000" w:rsidRDefault="009B6C69">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990203F"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931B8F8" w14:textId="77777777" w:rsidR="00000000" w:rsidRDefault="009B6C69">
            <w:pPr>
              <w:spacing w:after="100"/>
              <w:jc w:val="right"/>
              <w:rPr>
                <w:rFonts w:eastAsia="Times New Roman"/>
              </w:rPr>
            </w:pPr>
            <w:r>
              <w:rPr>
                <w:rFonts w:eastAsia="Times New Roman"/>
                <w:color w:val="000000"/>
                <w:sz w:val="18"/>
                <w:szCs w:val="18"/>
              </w:rPr>
              <w:t>1,572 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92091E"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7483AA"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4EBDA56"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723FD51" w14:textId="77777777" w:rsidR="00000000" w:rsidRDefault="009B6C69">
            <w:pPr>
              <w:spacing w:after="100"/>
              <w:jc w:val="right"/>
              <w:rPr>
                <w:rFonts w:eastAsia="Times New Roman"/>
              </w:rPr>
            </w:pPr>
            <w:r>
              <w:rPr>
                <w:rFonts w:eastAsia="Times New Roman"/>
                <w:color w:val="000000"/>
                <w:sz w:val="18"/>
                <w:szCs w:val="18"/>
              </w:rPr>
              <w:t>1,235 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AB9F1B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7B5C97"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9BD589"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A5BC9F4" w14:textId="77777777" w:rsidR="00000000" w:rsidRDefault="009B6C69">
            <w:pPr>
              <w:spacing w:after="100"/>
              <w:jc w:val="right"/>
              <w:rPr>
                <w:rFonts w:eastAsia="Times New Roman"/>
              </w:rPr>
            </w:pPr>
            <w:r>
              <w:rPr>
                <w:rFonts w:eastAsia="Times New Roman"/>
                <w:color w:val="000000"/>
                <w:sz w:val="18"/>
                <w:szCs w:val="18"/>
              </w:rPr>
              <w:t>974 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E5F5FAC" w14:textId="77777777" w:rsidR="00000000" w:rsidRDefault="009B6C69">
            <w:pPr>
              <w:spacing w:after="100"/>
              <w:jc w:val="right"/>
              <w:rPr>
                <w:rFonts w:eastAsia="Times New Roman"/>
              </w:rPr>
            </w:pPr>
          </w:p>
        </w:tc>
      </w:tr>
    </w:tbl>
    <w:p w14:paraId="53CC9C84" w14:textId="77777777" w:rsidR="00000000" w:rsidRDefault="009B6C69">
      <w:pPr>
        <w:ind w:firstLine="360"/>
        <w:divId w:val="1254776099"/>
        <w:rPr>
          <w:rFonts w:eastAsia="Times New Roman"/>
        </w:rPr>
      </w:pPr>
      <w:r>
        <w:rPr>
          <w:rFonts w:eastAsia="Times New Roman"/>
          <w:b/>
          <w:bCs/>
          <w:i/>
          <w:iCs/>
          <w:color w:val="000000"/>
          <w:sz w:val="20"/>
          <w:szCs w:val="20"/>
        </w:rPr>
        <w:t>Other Income, Cost</w:t>
      </w:r>
      <w:r>
        <w:rPr>
          <w:rFonts w:eastAsia="Times New Roman"/>
          <w:b/>
          <w:bCs/>
          <w:i/>
          <w:iCs/>
          <w:color w:val="000000"/>
          <w:sz w:val="20"/>
          <w:szCs w:val="20"/>
        </w:rPr>
        <w:t>s and Expenses.</w:t>
      </w:r>
      <w:r>
        <w:rPr>
          <w:rFonts w:eastAsia="Times New Roman"/>
          <w:color w:val="000000"/>
          <w:sz w:val="20"/>
          <w:szCs w:val="20"/>
        </w:rPr>
        <w:t xml:space="preserve"> In the third quarter of fiscal 2022, the General Court of the European Union issued a ruling annulling a decision made by the EC in fiscal 2018 (Note 7). As a result of the court’s decision, we recorded a $1.1 billion benefit to other incom</w:t>
      </w:r>
      <w:r>
        <w:rPr>
          <w:rFonts w:eastAsia="Times New Roman"/>
          <w:color w:val="000000"/>
          <w:sz w:val="20"/>
          <w:szCs w:val="20"/>
        </w:rPr>
        <w:t>e in fiscal 2022. Other expenses in fiscal 2020 consisted of $28 million in gains related to a favorable legal settlement.</w:t>
      </w:r>
    </w:p>
    <w:tbl>
      <w:tblPr>
        <w:tblW w:w="4985" w:type="pct"/>
        <w:tblCellMar>
          <w:top w:w="15" w:type="dxa"/>
          <w:left w:w="15" w:type="dxa"/>
          <w:bottom w:w="15" w:type="dxa"/>
          <w:right w:w="15" w:type="dxa"/>
        </w:tblCellMar>
        <w:tblLook w:val="04A0" w:firstRow="1" w:lastRow="0" w:firstColumn="1" w:lastColumn="0" w:noHBand="0" w:noVBand="1"/>
      </w:tblPr>
      <w:tblGrid>
        <w:gridCol w:w="38"/>
        <w:gridCol w:w="4862"/>
        <w:gridCol w:w="37"/>
        <w:gridCol w:w="36"/>
        <w:gridCol w:w="36"/>
        <w:gridCol w:w="36"/>
        <w:gridCol w:w="36"/>
        <w:gridCol w:w="36"/>
        <w:gridCol w:w="36"/>
        <w:gridCol w:w="36"/>
        <w:gridCol w:w="110"/>
        <w:gridCol w:w="838"/>
        <w:gridCol w:w="36"/>
        <w:gridCol w:w="36"/>
        <w:gridCol w:w="36"/>
        <w:gridCol w:w="36"/>
        <w:gridCol w:w="110"/>
        <w:gridCol w:w="800"/>
        <w:gridCol w:w="36"/>
        <w:gridCol w:w="36"/>
        <w:gridCol w:w="36"/>
        <w:gridCol w:w="36"/>
        <w:gridCol w:w="110"/>
        <w:gridCol w:w="800"/>
        <w:gridCol w:w="36"/>
      </w:tblGrid>
      <w:tr w:rsidR="00000000" w14:paraId="5E4735F2" w14:textId="77777777">
        <w:trPr>
          <w:divId w:val="1641962129"/>
        </w:trPr>
        <w:tc>
          <w:tcPr>
            <w:tcW w:w="50" w:type="pct"/>
            <w:vAlign w:val="center"/>
            <w:hideMark/>
          </w:tcPr>
          <w:p w14:paraId="6B9D6637" w14:textId="77777777" w:rsidR="00000000" w:rsidRDefault="009B6C69">
            <w:pPr>
              <w:ind w:firstLine="360"/>
              <w:rPr>
                <w:rFonts w:eastAsia="Times New Roman"/>
              </w:rPr>
            </w:pPr>
          </w:p>
        </w:tc>
        <w:tc>
          <w:tcPr>
            <w:tcW w:w="3056" w:type="pct"/>
            <w:vAlign w:val="center"/>
            <w:hideMark/>
          </w:tcPr>
          <w:p w14:paraId="10674C43" w14:textId="77777777" w:rsidR="00000000" w:rsidRDefault="009B6C69">
            <w:pPr>
              <w:spacing w:after="100"/>
              <w:rPr>
                <w:rFonts w:eastAsia="Times New Roman"/>
                <w:sz w:val="20"/>
                <w:szCs w:val="20"/>
              </w:rPr>
            </w:pPr>
          </w:p>
        </w:tc>
        <w:tc>
          <w:tcPr>
            <w:tcW w:w="5" w:type="pct"/>
            <w:vAlign w:val="center"/>
            <w:hideMark/>
          </w:tcPr>
          <w:p w14:paraId="65E5589D" w14:textId="77777777" w:rsidR="00000000" w:rsidRDefault="009B6C69">
            <w:pPr>
              <w:spacing w:after="100"/>
              <w:rPr>
                <w:rFonts w:eastAsia="Times New Roman"/>
                <w:sz w:val="20"/>
                <w:szCs w:val="20"/>
              </w:rPr>
            </w:pPr>
          </w:p>
        </w:tc>
        <w:tc>
          <w:tcPr>
            <w:tcW w:w="0" w:type="auto"/>
            <w:vAlign w:val="center"/>
            <w:hideMark/>
          </w:tcPr>
          <w:p w14:paraId="2A857AAB" w14:textId="77777777" w:rsidR="00000000" w:rsidRDefault="009B6C69">
            <w:pPr>
              <w:spacing w:after="100"/>
              <w:rPr>
                <w:rFonts w:eastAsia="Times New Roman"/>
                <w:sz w:val="20"/>
                <w:szCs w:val="20"/>
              </w:rPr>
            </w:pPr>
          </w:p>
        </w:tc>
        <w:tc>
          <w:tcPr>
            <w:tcW w:w="0" w:type="auto"/>
            <w:vAlign w:val="center"/>
            <w:hideMark/>
          </w:tcPr>
          <w:p w14:paraId="5DBFC0B8" w14:textId="77777777" w:rsidR="00000000" w:rsidRDefault="009B6C69">
            <w:pPr>
              <w:spacing w:after="100"/>
              <w:rPr>
                <w:rFonts w:eastAsia="Times New Roman"/>
                <w:sz w:val="20"/>
                <w:szCs w:val="20"/>
              </w:rPr>
            </w:pPr>
          </w:p>
        </w:tc>
        <w:tc>
          <w:tcPr>
            <w:tcW w:w="0" w:type="auto"/>
            <w:vAlign w:val="center"/>
            <w:hideMark/>
          </w:tcPr>
          <w:p w14:paraId="20514171" w14:textId="77777777" w:rsidR="00000000" w:rsidRDefault="009B6C69">
            <w:pPr>
              <w:spacing w:after="100"/>
              <w:rPr>
                <w:rFonts w:eastAsia="Times New Roman"/>
                <w:sz w:val="20"/>
                <w:szCs w:val="20"/>
              </w:rPr>
            </w:pPr>
          </w:p>
        </w:tc>
        <w:tc>
          <w:tcPr>
            <w:tcW w:w="0" w:type="auto"/>
            <w:vAlign w:val="center"/>
            <w:hideMark/>
          </w:tcPr>
          <w:p w14:paraId="6848436C" w14:textId="77777777" w:rsidR="00000000" w:rsidRDefault="009B6C69">
            <w:pPr>
              <w:spacing w:after="100"/>
              <w:rPr>
                <w:rFonts w:eastAsia="Times New Roman"/>
                <w:sz w:val="20"/>
                <w:szCs w:val="20"/>
              </w:rPr>
            </w:pPr>
          </w:p>
        </w:tc>
        <w:tc>
          <w:tcPr>
            <w:tcW w:w="0" w:type="auto"/>
            <w:vAlign w:val="center"/>
            <w:hideMark/>
          </w:tcPr>
          <w:p w14:paraId="374F68FE" w14:textId="77777777" w:rsidR="00000000" w:rsidRDefault="009B6C69">
            <w:pPr>
              <w:spacing w:after="100"/>
              <w:rPr>
                <w:rFonts w:eastAsia="Times New Roman"/>
                <w:sz w:val="20"/>
                <w:szCs w:val="20"/>
              </w:rPr>
            </w:pPr>
          </w:p>
        </w:tc>
        <w:tc>
          <w:tcPr>
            <w:tcW w:w="0" w:type="auto"/>
            <w:vAlign w:val="center"/>
            <w:hideMark/>
          </w:tcPr>
          <w:p w14:paraId="7C7B9B2E" w14:textId="77777777" w:rsidR="00000000" w:rsidRDefault="009B6C69">
            <w:pPr>
              <w:spacing w:after="100"/>
              <w:rPr>
                <w:rFonts w:eastAsia="Times New Roman"/>
                <w:sz w:val="20"/>
                <w:szCs w:val="20"/>
              </w:rPr>
            </w:pPr>
          </w:p>
        </w:tc>
        <w:tc>
          <w:tcPr>
            <w:tcW w:w="0" w:type="auto"/>
            <w:vAlign w:val="center"/>
            <w:hideMark/>
          </w:tcPr>
          <w:p w14:paraId="2CFD3BC8" w14:textId="77777777" w:rsidR="00000000" w:rsidRDefault="009B6C69">
            <w:pPr>
              <w:spacing w:after="100"/>
              <w:rPr>
                <w:rFonts w:eastAsia="Times New Roman"/>
                <w:sz w:val="20"/>
                <w:szCs w:val="20"/>
              </w:rPr>
            </w:pPr>
          </w:p>
        </w:tc>
        <w:tc>
          <w:tcPr>
            <w:tcW w:w="50" w:type="pct"/>
            <w:vAlign w:val="center"/>
            <w:hideMark/>
          </w:tcPr>
          <w:p w14:paraId="09EB3C1B" w14:textId="77777777" w:rsidR="00000000" w:rsidRDefault="009B6C69">
            <w:pPr>
              <w:spacing w:after="100"/>
              <w:rPr>
                <w:rFonts w:eastAsia="Times New Roman"/>
                <w:sz w:val="20"/>
                <w:szCs w:val="20"/>
              </w:rPr>
            </w:pPr>
          </w:p>
        </w:tc>
        <w:tc>
          <w:tcPr>
            <w:tcW w:w="549" w:type="pct"/>
            <w:vAlign w:val="center"/>
            <w:hideMark/>
          </w:tcPr>
          <w:p w14:paraId="206D801F" w14:textId="77777777" w:rsidR="00000000" w:rsidRDefault="009B6C69">
            <w:pPr>
              <w:spacing w:after="100"/>
              <w:rPr>
                <w:rFonts w:eastAsia="Times New Roman"/>
                <w:sz w:val="20"/>
                <w:szCs w:val="20"/>
              </w:rPr>
            </w:pPr>
          </w:p>
        </w:tc>
        <w:tc>
          <w:tcPr>
            <w:tcW w:w="5" w:type="pct"/>
            <w:vAlign w:val="center"/>
            <w:hideMark/>
          </w:tcPr>
          <w:p w14:paraId="23D8F477" w14:textId="77777777" w:rsidR="00000000" w:rsidRDefault="009B6C69">
            <w:pPr>
              <w:spacing w:after="100"/>
              <w:rPr>
                <w:rFonts w:eastAsia="Times New Roman"/>
                <w:sz w:val="20"/>
                <w:szCs w:val="20"/>
              </w:rPr>
            </w:pPr>
          </w:p>
        </w:tc>
        <w:tc>
          <w:tcPr>
            <w:tcW w:w="5" w:type="pct"/>
            <w:vAlign w:val="center"/>
            <w:hideMark/>
          </w:tcPr>
          <w:p w14:paraId="55272C7B" w14:textId="77777777" w:rsidR="00000000" w:rsidRDefault="009B6C69">
            <w:pPr>
              <w:spacing w:after="100"/>
              <w:rPr>
                <w:rFonts w:eastAsia="Times New Roman"/>
                <w:sz w:val="20"/>
                <w:szCs w:val="20"/>
              </w:rPr>
            </w:pPr>
          </w:p>
        </w:tc>
        <w:tc>
          <w:tcPr>
            <w:tcW w:w="27" w:type="pct"/>
            <w:vAlign w:val="center"/>
            <w:hideMark/>
          </w:tcPr>
          <w:p w14:paraId="5AE24DD0" w14:textId="77777777" w:rsidR="00000000" w:rsidRDefault="009B6C69">
            <w:pPr>
              <w:spacing w:after="100"/>
              <w:rPr>
                <w:rFonts w:eastAsia="Times New Roman"/>
                <w:sz w:val="20"/>
                <w:szCs w:val="20"/>
              </w:rPr>
            </w:pPr>
          </w:p>
        </w:tc>
        <w:tc>
          <w:tcPr>
            <w:tcW w:w="5" w:type="pct"/>
            <w:vAlign w:val="center"/>
            <w:hideMark/>
          </w:tcPr>
          <w:p w14:paraId="36D00A51" w14:textId="77777777" w:rsidR="00000000" w:rsidRDefault="009B6C69">
            <w:pPr>
              <w:spacing w:after="100"/>
              <w:rPr>
                <w:rFonts w:eastAsia="Times New Roman"/>
                <w:sz w:val="20"/>
                <w:szCs w:val="20"/>
              </w:rPr>
            </w:pPr>
          </w:p>
        </w:tc>
        <w:tc>
          <w:tcPr>
            <w:tcW w:w="50" w:type="pct"/>
            <w:vAlign w:val="center"/>
            <w:hideMark/>
          </w:tcPr>
          <w:p w14:paraId="66289286" w14:textId="77777777" w:rsidR="00000000" w:rsidRDefault="009B6C69">
            <w:pPr>
              <w:spacing w:after="100"/>
              <w:rPr>
                <w:rFonts w:eastAsia="Times New Roman"/>
                <w:sz w:val="20"/>
                <w:szCs w:val="20"/>
              </w:rPr>
            </w:pPr>
          </w:p>
        </w:tc>
        <w:tc>
          <w:tcPr>
            <w:tcW w:w="549" w:type="pct"/>
            <w:vAlign w:val="center"/>
            <w:hideMark/>
          </w:tcPr>
          <w:p w14:paraId="3D8A1B5C" w14:textId="77777777" w:rsidR="00000000" w:rsidRDefault="009B6C69">
            <w:pPr>
              <w:spacing w:after="100"/>
              <w:rPr>
                <w:rFonts w:eastAsia="Times New Roman"/>
                <w:sz w:val="20"/>
                <w:szCs w:val="20"/>
              </w:rPr>
            </w:pPr>
          </w:p>
        </w:tc>
        <w:tc>
          <w:tcPr>
            <w:tcW w:w="5" w:type="pct"/>
            <w:vAlign w:val="center"/>
            <w:hideMark/>
          </w:tcPr>
          <w:p w14:paraId="76487BD9" w14:textId="77777777" w:rsidR="00000000" w:rsidRDefault="009B6C69">
            <w:pPr>
              <w:spacing w:after="100"/>
              <w:rPr>
                <w:rFonts w:eastAsia="Times New Roman"/>
                <w:sz w:val="20"/>
                <w:szCs w:val="20"/>
              </w:rPr>
            </w:pPr>
          </w:p>
        </w:tc>
        <w:tc>
          <w:tcPr>
            <w:tcW w:w="5" w:type="pct"/>
            <w:vAlign w:val="center"/>
            <w:hideMark/>
          </w:tcPr>
          <w:p w14:paraId="55C43575" w14:textId="77777777" w:rsidR="00000000" w:rsidRDefault="009B6C69">
            <w:pPr>
              <w:spacing w:after="100"/>
              <w:rPr>
                <w:rFonts w:eastAsia="Times New Roman"/>
                <w:sz w:val="20"/>
                <w:szCs w:val="20"/>
              </w:rPr>
            </w:pPr>
          </w:p>
        </w:tc>
        <w:tc>
          <w:tcPr>
            <w:tcW w:w="27" w:type="pct"/>
            <w:vAlign w:val="center"/>
            <w:hideMark/>
          </w:tcPr>
          <w:p w14:paraId="6343ACA2" w14:textId="77777777" w:rsidR="00000000" w:rsidRDefault="009B6C69">
            <w:pPr>
              <w:spacing w:after="100"/>
              <w:rPr>
                <w:rFonts w:eastAsia="Times New Roman"/>
                <w:sz w:val="20"/>
                <w:szCs w:val="20"/>
              </w:rPr>
            </w:pPr>
          </w:p>
        </w:tc>
        <w:tc>
          <w:tcPr>
            <w:tcW w:w="5" w:type="pct"/>
            <w:vAlign w:val="center"/>
            <w:hideMark/>
          </w:tcPr>
          <w:p w14:paraId="3642A89B" w14:textId="77777777" w:rsidR="00000000" w:rsidRDefault="009B6C69">
            <w:pPr>
              <w:spacing w:after="100"/>
              <w:rPr>
                <w:rFonts w:eastAsia="Times New Roman"/>
                <w:sz w:val="20"/>
                <w:szCs w:val="20"/>
              </w:rPr>
            </w:pPr>
          </w:p>
        </w:tc>
        <w:tc>
          <w:tcPr>
            <w:tcW w:w="50" w:type="pct"/>
            <w:vAlign w:val="center"/>
            <w:hideMark/>
          </w:tcPr>
          <w:p w14:paraId="364B0F69" w14:textId="77777777" w:rsidR="00000000" w:rsidRDefault="009B6C69">
            <w:pPr>
              <w:spacing w:after="100"/>
              <w:rPr>
                <w:rFonts w:eastAsia="Times New Roman"/>
                <w:sz w:val="20"/>
                <w:szCs w:val="20"/>
              </w:rPr>
            </w:pPr>
          </w:p>
        </w:tc>
        <w:tc>
          <w:tcPr>
            <w:tcW w:w="549" w:type="pct"/>
            <w:vAlign w:val="center"/>
            <w:hideMark/>
          </w:tcPr>
          <w:p w14:paraId="789B0575" w14:textId="77777777" w:rsidR="00000000" w:rsidRDefault="009B6C69">
            <w:pPr>
              <w:spacing w:after="100"/>
              <w:rPr>
                <w:rFonts w:eastAsia="Times New Roman"/>
                <w:sz w:val="20"/>
                <w:szCs w:val="20"/>
              </w:rPr>
            </w:pPr>
          </w:p>
        </w:tc>
        <w:tc>
          <w:tcPr>
            <w:tcW w:w="5" w:type="pct"/>
            <w:vAlign w:val="center"/>
            <w:hideMark/>
          </w:tcPr>
          <w:p w14:paraId="6E2D634B" w14:textId="77777777" w:rsidR="00000000" w:rsidRDefault="009B6C69">
            <w:pPr>
              <w:spacing w:after="100"/>
              <w:rPr>
                <w:rFonts w:eastAsia="Times New Roman"/>
                <w:sz w:val="20"/>
                <w:szCs w:val="20"/>
              </w:rPr>
            </w:pPr>
          </w:p>
        </w:tc>
      </w:tr>
      <w:tr w:rsidR="00000000" w14:paraId="2DD50A65" w14:textId="77777777">
        <w:trPr>
          <w:divId w:val="1641962129"/>
        </w:trPr>
        <w:tc>
          <w:tcPr>
            <w:tcW w:w="0" w:type="auto"/>
            <w:gridSpan w:val="3"/>
            <w:tcMar>
              <w:top w:w="30" w:type="dxa"/>
              <w:left w:w="20" w:type="dxa"/>
              <w:bottom w:w="30" w:type="dxa"/>
              <w:right w:w="20" w:type="dxa"/>
            </w:tcMar>
            <w:vAlign w:val="bottom"/>
            <w:hideMark/>
          </w:tcPr>
          <w:p w14:paraId="6CED6EEF" w14:textId="77777777" w:rsidR="00000000" w:rsidRDefault="009B6C69">
            <w:pPr>
              <w:spacing w:after="100"/>
              <w:divId w:val="439645062"/>
              <w:rPr>
                <w:rFonts w:eastAsia="Times New Roman"/>
              </w:rPr>
            </w:pPr>
            <w:r>
              <w:rPr>
                <w:rFonts w:eastAsia="Times New Roman"/>
                <w:b/>
                <w:bCs/>
                <w:i/>
                <w:iCs/>
                <w:color w:val="000000"/>
                <w:sz w:val="20"/>
                <w:szCs w:val="20"/>
              </w:rPr>
              <w:t>Investment and Other (Expense) Income, Net (in millions)</w:t>
            </w:r>
          </w:p>
        </w:tc>
        <w:tc>
          <w:tcPr>
            <w:tcW w:w="0" w:type="auto"/>
            <w:vAlign w:val="center"/>
            <w:hideMark/>
          </w:tcPr>
          <w:p w14:paraId="6BC5C7D9" w14:textId="77777777" w:rsidR="00000000" w:rsidRDefault="009B6C69">
            <w:pPr>
              <w:spacing w:after="100"/>
              <w:rPr>
                <w:rFonts w:eastAsia="Times New Roman"/>
              </w:rPr>
            </w:pPr>
          </w:p>
        </w:tc>
        <w:tc>
          <w:tcPr>
            <w:tcW w:w="0" w:type="auto"/>
            <w:vAlign w:val="center"/>
            <w:hideMark/>
          </w:tcPr>
          <w:p w14:paraId="1D90C7F2" w14:textId="77777777" w:rsidR="00000000" w:rsidRDefault="009B6C69">
            <w:pPr>
              <w:spacing w:after="100"/>
              <w:rPr>
                <w:rFonts w:eastAsia="Times New Roman"/>
                <w:sz w:val="20"/>
                <w:szCs w:val="20"/>
              </w:rPr>
            </w:pPr>
          </w:p>
        </w:tc>
        <w:tc>
          <w:tcPr>
            <w:tcW w:w="0" w:type="auto"/>
            <w:vAlign w:val="center"/>
            <w:hideMark/>
          </w:tcPr>
          <w:p w14:paraId="565348FC" w14:textId="77777777" w:rsidR="00000000" w:rsidRDefault="009B6C69">
            <w:pPr>
              <w:spacing w:after="100"/>
              <w:rPr>
                <w:rFonts w:eastAsia="Times New Roman"/>
                <w:sz w:val="20"/>
                <w:szCs w:val="20"/>
              </w:rPr>
            </w:pPr>
          </w:p>
        </w:tc>
        <w:tc>
          <w:tcPr>
            <w:tcW w:w="0" w:type="auto"/>
            <w:vAlign w:val="center"/>
            <w:hideMark/>
          </w:tcPr>
          <w:p w14:paraId="5423BC9E" w14:textId="77777777" w:rsidR="00000000" w:rsidRDefault="009B6C69">
            <w:pPr>
              <w:spacing w:after="100"/>
              <w:rPr>
                <w:rFonts w:eastAsia="Times New Roman"/>
                <w:sz w:val="20"/>
                <w:szCs w:val="20"/>
              </w:rPr>
            </w:pPr>
          </w:p>
        </w:tc>
        <w:tc>
          <w:tcPr>
            <w:tcW w:w="0" w:type="auto"/>
            <w:vAlign w:val="center"/>
            <w:hideMark/>
          </w:tcPr>
          <w:p w14:paraId="7A07E7C4" w14:textId="77777777" w:rsidR="00000000" w:rsidRDefault="009B6C69">
            <w:pPr>
              <w:spacing w:after="100"/>
              <w:rPr>
                <w:rFonts w:eastAsia="Times New Roman"/>
                <w:sz w:val="20"/>
                <w:szCs w:val="20"/>
              </w:rPr>
            </w:pPr>
          </w:p>
        </w:tc>
        <w:tc>
          <w:tcPr>
            <w:tcW w:w="0" w:type="auto"/>
            <w:vAlign w:val="center"/>
            <w:hideMark/>
          </w:tcPr>
          <w:p w14:paraId="1C533966" w14:textId="77777777" w:rsidR="00000000" w:rsidRDefault="009B6C69">
            <w:pPr>
              <w:spacing w:after="100"/>
              <w:rPr>
                <w:rFonts w:eastAsia="Times New Roman"/>
                <w:sz w:val="20"/>
                <w:szCs w:val="20"/>
              </w:rPr>
            </w:pPr>
          </w:p>
        </w:tc>
        <w:tc>
          <w:tcPr>
            <w:tcW w:w="0" w:type="auto"/>
            <w:vAlign w:val="center"/>
            <w:hideMark/>
          </w:tcPr>
          <w:p w14:paraId="3FCDC6CF"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50DB59"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FBD19B"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A4ECD8"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1EE387"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0B6958" w14:textId="77777777" w:rsidR="00000000" w:rsidRDefault="009B6C69">
            <w:pPr>
              <w:spacing w:after="100"/>
              <w:rPr>
                <w:rFonts w:eastAsia="Times New Roman"/>
                <w:sz w:val="20"/>
                <w:szCs w:val="20"/>
              </w:rPr>
            </w:pPr>
          </w:p>
        </w:tc>
      </w:tr>
      <w:tr w:rsidR="00000000" w14:paraId="35E7A8F0" w14:textId="77777777">
        <w:trPr>
          <w:divId w:val="1641962129"/>
        </w:trPr>
        <w:tc>
          <w:tcPr>
            <w:tcW w:w="0" w:type="auto"/>
            <w:gridSpan w:val="3"/>
            <w:vAlign w:val="center"/>
            <w:hideMark/>
          </w:tcPr>
          <w:p w14:paraId="60FC8BB9" w14:textId="77777777" w:rsidR="00000000" w:rsidRDefault="009B6C69">
            <w:pPr>
              <w:spacing w:after="100"/>
              <w:rPr>
                <w:rFonts w:eastAsia="Times New Roman"/>
                <w:sz w:val="20"/>
                <w:szCs w:val="20"/>
              </w:rPr>
            </w:pPr>
          </w:p>
        </w:tc>
        <w:tc>
          <w:tcPr>
            <w:tcW w:w="0" w:type="auto"/>
            <w:vAlign w:val="center"/>
            <w:hideMark/>
          </w:tcPr>
          <w:p w14:paraId="5389250A" w14:textId="77777777" w:rsidR="00000000" w:rsidRDefault="009B6C69">
            <w:pPr>
              <w:spacing w:after="100"/>
              <w:rPr>
                <w:rFonts w:eastAsia="Times New Roman"/>
                <w:sz w:val="20"/>
                <w:szCs w:val="20"/>
              </w:rPr>
            </w:pPr>
          </w:p>
        </w:tc>
        <w:tc>
          <w:tcPr>
            <w:tcW w:w="0" w:type="auto"/>
            <w:vAlign w:val="center"/>
            <w:hideMark/>
          </w:tcPr>
          <w:p w14:paraId="4F5ED749" w14:textId="77777777" w:rsidR="00000000" w:rsidRDefault="009B6C69">
            <w:pPr>
              <w:spacing w:after="100"/>
              <w:rPr>
                <w:rFonts w:eastAsia="Times New Roman"/>
                <w:sz w:val="20"/>
                <w:szCs w:val="20"/>
              </w:rPr>
            </w:pPr>
          </w:p>
        </w:tc>
        <w:tc>
          <w:tcPr>
            <w:tcW w:w="0" w:type="auto"/>
            <w:vAlign w:val="center"/>
            <w:hideMark/>
          </w:tcPr>
          <w:p w14:paraId="0475DF85" w14:textId="77777777" w:rsidR="00000000" w:rsidRDefault="009B6C69">
            <w:pPr>
              <w:spacing w:after="100"/>
              <w:rPr>
                <w:rFonts w:eastAsia="Times New Roman"/>
                <w:sz w:val="20"/>
                <w:szCs w:val="20"/>
              </w:rPr>
            </w:pPr>
          </w:p>
        </w:tc>
        <w:tc>
          <w:tcPr>
            <w:tcW w:w="0" w:type="auto"/>
            <w:vAlign w:val="center"/>
            <w:hideMark/>
          </w:tcPr>
          <w:p w14:paraId="390C962F" w14:textId="77777777" w:rsidR="00000000" w:rsidRDefault="009B6C69">
            <w:pPr>
              <w:spacing w:after="100"/>
              <w:rPr>
                <w:rFonts w:eastAsia="Times New Roman"/>
                <w:sz w:val="20"/>
                <w:szCs w:val="20"/>
              </w:rPr>
            </w:pPr>
          </w:p>
        </w:tc>
        <w:tc>
          <w:tcPr>
            <w:tcW w:w="0" w:type="auto"/>
            <w:vAlign w:val="center"/>
            <w:hideMark/>
          </w:tcPr>
          <w:p w14:paraId="32EA4AA3" w14:textId="77777777" w:rsidR="00000000" w:rsidRDefault="009B6C69">
            <w:pPr>
              <w:spacing w:after="100"/>
              <w:rPr>
                <w:rFonts w:eastAsia="Times New Roman"/>
                <w:sz w:val="20"/>
                <w:szCs w:val="20"/>
              </w:rPr>
            </w:pPr>
          </w:p>
        </w:tc>
        <w:tc>
          <w:tcPr>
            <w:tcW w:w="0" w:type="auto"/>
            <w:vAlign w:val="center"/>
            <w:hideMark/>
          </w:tcPr>
          <w:p w14:paraId="613E2694" w14:textId="77777777" w:rsidR="00000000" w:rsidRDefault="009B6C69">
            <w:pPr>
              <w:spacing w:after="100"/>
              <w:rPr>
                <w:rFonts w:eastAsia="Times New Roman"/>
                <w:sz w:val="20"/>
                <w:szCs w:val="20"/>
              </w:rPr>
            </w:pPr>
          </w:p>
        </w:tc>
        <w:tc>
          <w:tcPr>
            <w:tcW w:w="0" w:type="auto"/>
            <w:vAlign w:val="center"/>
            <w:hideMark/>
          </w:tcPr>
          <w:p w14:paraId="285AF407" w14:textId="77777777" w:rsidR="00000000" w:rsidRDefault="009B6C69">
            <w:pPr>
              <w:spacing w:after="100"/>
              <w:rPr>
                <w:rFonts w:eastAsia="Times New Roman"/>
                <w:sz w:val="20"/>
                <w:szCs w:val="20"/>
              </w:rPr>
            </w:pPr>
          </w:p>
        </w:tc>
        <w:tc>
          <w:tcPr>
            <w:tcW w:w="0" w:type="auto"/>
            <w:gridSpan w:val="3"/>
            <w:vAlign w:val="center"/>
            <w:hideMark/>
          </w:tcPr>
          <w:p w14:paraId="44507879" w14:textId="77777777" w:rsidR="00000000" w:rsidRDefault="009B6C69">
            <w:pPr>
              <w:spacing w:after="100"/>
              <w:rPr>
                <w:rFonts w:eastAsia="Times New Roman"/>
                <w:sz w:val="20"/>
                <w:szCs w:val="20"/>
              </w:rPr>
            </w:pPr>
          </w:p>
        </w:tc>
        <w:tc>
          <w:tcPr>
            <w:tcW w:w="0" w:type="auto"/>
            <w:vAlign w:val="center"/>
            <w:hideMark/>
          </w:tcPr>
          <w:p w14:paraId="5E2AA22E" w14:textId="77777777" w:rsidR="00000000" w:rsidRDefault="009B6C69">
            <w:pPr>
              <w:spacing w:after="100"/>
              <w:rPr>
                <w:rFonts w:eastAsia="Times New Roman"/>
                <w:sz w:val="20"/>
                <w:szCs w:val="20"/>
              </w:rPr>
            </w:pPr>
          </w:p>
        </w:tc>
        <w:tc>
          <w:tcPr>
            <w:tcW w:w="0" w:type="auto"/>
            <w:vAlign w:val="center"/>
            <w:hideMark/>
          </w:tcPr>
          <w:p w14:paraId="249CB1F4" w14:textId="77777777" w:rsidR="00000000" w:rsidRDefault="009B6C69">
            <w:pPr>
              <w:spacing w:after="100"/>
              <w:rPr>
                <w:rFonts w:eastAsia="Times New Roman"/>
                <w:sz w:val="20"/>
                <w:szCs w:val="20"/>
              </w:rPr>
            </w:pPr>
          </w:p>
        </w:tc>
        <w:tc>
          <w:tcPr>
            <w:tcW w:w="0" w:type="auto"/>
            <w:vAlign w:val="center"/>
            <w:hideMark/>
          </w:tcPr>
          <w:p w14:paraId="2A639F0E" w14:textId="77777777" w:rsidR="00000000" w:rsidRDefault="009B6C69">
            <w:pPr>
              <w:spacing w:after="100"/>
              <w:rPr>
                <w:rFonts w:eastAsia="Times New Roman"/>
                <w:sz w:val="20"/>
                <w:szCs w:val="20"/>
              </w:rPr>
            </w:pPr>
          </w:p>
        </w:tc>
        <w:tc>
          <w:tcPr>
            <w:tcW w:w="0" w:type="auto"/>
            <w:vAlign w:val="center"/>
            <w:hideMark/>
          </w:tcPr>
          <w:p w14:paraId="4AD9A584" w14:textId="77777777" w:rsidR="00000000" w:rsidRDefault="009B6C69">
            <w:pPr>
              <w:spacing w:after="100"/>
              <w:rPr>
                <w:rFonts w:eastAsia="Times New Roman"/>
                <w:sz w:val="20"/>
                <w:szCs w:val="20"/>
              </w:rPr>
            </w:pPr>
          </w:p>
        </w:tc>
        <w:tc>
          <w:tcPr>
            <w:tcW w:w="0" w:type="auto"/>
            <w:vAlign w:val="center"/>
            <w:hideMark/>
          </w:tcPr>
          <w:p w14:paraId="1AAF9318" w14:textId="77777777" w:rsidR="00000000" w:rsidRDefault="009B6C69">
            <w:pPr>
              <w:spacing w:after="100"/>
              <w:rPr>
                <w:rFonts w:eastAsia="Times New Roman"/>
                <w:sz w:val="20"/>
                <w:szCs w:val="20"/>
              </w:rPr>
            </w:pPr>
          </w:p>
        </w:tc>
        <w:tc>
          <w:tcPr>
            <w:tcW w:w="0" w:type="auto"/>
            <w:vAlign w:val="center"/>
            <w:hideMark/>
          </w:tcPr>
          <w:p w14:paraId="5CAAC6E6" w14:textId="77777777" w:rsidR="00000000" w:rsidRDefault="009B6C69">
            <w:pPr>
              <w:spacing w:after="100"/>
              <w:rPr>
                <w:rFonts w:eastAsia="Times New Roman"/>
                <w:sz w:val="20"/>
                <w:szCs w:val="20"/>
              </w:rPr>
            </w:pPr>
          </w:p>
        </w:tc>
        <w:tc>
          <w:tcPr>
            <w:tcW w:w="0" w:type="auto"/>
            <w:vAlign w:val="center"/>
            <w:hideMark/>
          </w:tcPr>
          <w:p w14:paraId="1E9D54D3" w14:textId="77777777" w:rsidR="00000000" w:rsidRDefault="009B6C69">
            <w:pPr>
              <w:spacing w:after="100"/>
              <w:rPr>
                <w:rFonts w:eastAsia="Times New Roman"/>
                <w:sz w:val="20"/>
                <w:szCs w:val="20"/>
              </w:rPr>
            </w:pPr>
          </w:p>
        </w:tc>
        <w:tc>
          <w:tcPr>
            <w:tcW w:w="0" w:type="auto"/>
            <w:vAlign w:val="center"/>
            <w:hideMark/>
          </w:tcPr>
          <w:p w14:paraId="14CBF261" w14:textId="77777777" w:rsidR="00000000" w:rsidRDefault="009B6C69">
            <w:pPr>
              <w:spacing w:after="100"/>
              <w:rPr>
                <w:rFonts w:eastAsia="Times New Roman"/>
                <w:sz w:val="20"/>
                <w:szCs w:val="20"/>
              </w:rPr>
            </w:pPr>
          </w:p>
        </w:tc>
        <w:tc>
          <w:tcPr>
            <w:tcW w:w="0" w:type="auto"/>
            <w:vAlign w:val="center"/>
            <w:hideMark/>
          </w:tcPr>
          <w:p w14:paraId="6F1E30E7" w14:textId="77777777" w:rsidR="00000000" w:rsidRDefault="009B6C69">
            <w:pPr>
              <w:spacing w:after="100"/>
              <w:rPr>
                <w:rFonts w:eastAsia="Times New Roman"/>
                <w:sz w:val="20"/>
                <w:szCs w:val="20"/>
              </w:rPr>
            </w:pPr>
          </w:p>
        </w:tc>
        <w:tc>
          <w:tcPr>
            <w:tcW w:w="0" w:type="auto"/>
            <w:vAlign w:val="center"/>
            <w:hideMark/>
          </w:tcPr>
          <w:p w14:paraId="7446FA90" w14:textId="77777777" w:rsidR="00000000" w:rsidRDefault="009B6C69">
            <w:pPr>
              <w:spacing w:after="100"/>
              <w:rPr>
                <w:rFonts w:eastAsia="Times New Roman"/>
                <w:sz w:val="20"/>
                <w:szCs w:val="20"/>
              </w:rPr>
            </w:pPr>
          </w:p>
        </w:tc>
        <w:tc>
          <w:tcPr>
            <w:tcW w:w="0" w:type="auto"/>
            <w:vAlign w:val="center"/>
            <w:hideMark/>
          </w:tcPr>
          <w:p w14:paraId="62074ED6" w14:textId="77777777" w:rsidR="00000000" w:rsidRDefault="009B6C69">
            <w:pPr>
              <w:spacing w:after="100"/>
              <w:rPr>
                <w:rFonts w:eastAsia="Times New Roman"/>
                <w:sz w:val="20"/>
                <w:szCs w:val="20"/>
              </w:rPr>
            </w:pPr>
          </w:p>
        </w:tc>
        <w:tc>
          <w:tcPr>
            <w:tcW w:w="0" w:type="auto"/>
            <w:vAlign w:val="center"/>
            <w:hideMark/>
          </w:tcPr>
          <w:p w14:paraId="4D685091" w14:textId="77777777" w:rsidR="00000000" w:rsidRDefault="009B6C69">
            <w:pPr>
              <w:spacing w:after="100"/>
              <w:rPr>
                <w:rFonts w:eastAsia="Times New Roman"/>
                <w:sz w:val="20"/>
                <w:szCs w:val="20"/>
              </w:rPr>
            </w:pPr>
          </w:p>
        </w:tc>
      </w:tr>
      <w:tr w:rsidR="00000000" w14:paraId="2C93B79C" w14:textId="77777777">
        <w:trPr>
          <w:divId w:val="1641962129"/>
        </w:trPr>
        <w:tc>
          <w:tcPr>
            <w:tcW w:w="0" w:type="auto"/>
            <w:gridSpan w:val="3"/>
            <w:shd w:val="clear" w:color="auto" w:fill="FFFFFF"/>
            <w:tcMar>
              <w:top w:w="0" w:type="dxa"/>
              <w:left w:w="20" w:type="dxa"/>
              <w:bottom w:w="0" w:type="dxa"/>
              <w:right w:w="20" w:type="dxa"/>
            </w:tcMar>
            <w:vAlign w:val="center"/>
            <w:hideMark/>
          </w:tcPr>
          <w:p w14:paraId="1348C5FF" w14:textId="77777777" w:rsidR="00000000" w:rsidRDefault="009B6C69">
            <w:pPr>
              <w:spacing w:after="100"/>
              <w:rPr>
                <w:rFonts w:eastAsia="Times New Roman"/>
                <w:sz w:val="20"/>
                <w:szCs w:val="20"/>
              </w:rPr>
            </w:pPr>
          </w:p>
        </w:tc>
        <w:tc>
          <w:tcPr>
            <w:tcW w:w="0" w:type="auto"/>
            <w:vAlign w:val="center"/>
            <w:hideMark/>
          </w:tcPr>
          <w:p w14:paraId="69E09410" w14:textId="77777777" w:rsidR="00000000" w:rsidRDefault="009B6C69">
            <w:pPr>
              <w:spacing w:after="100"/>
              <w:rPr>
                <w:rFonts w:eastAsia="Times New Roman"/>
                <w:sz w:val="20"/>
                <w:szCs w:val="20"/>
              </w:rPr>
            </w:pPr>
          </w:p>
        </w:tc>
        <w:tc>
          <w:tcPr>
            <w:tcW w:w="0" w:type="auto"/>
            <w:vAlign w:val="center"/>
            <w:hideMark/>
          </w:tcPr>
          <w:p w14:paraId="679D0E24" w14:textId="77777777" w:rsidR="00000000" w:rsidRDefault="009B6C69">
            <w:pPr>
              <w:spacing w:after="100"/>
              <w:rPr>
                <w:rFonts w:eastAsia="Times New Roman"/>
                <w:sz w:val="20"/>
                <w:szCs w:val="20"/>
              </w:rPr>
            </w:pPr>
          </w:p>
        </w:tc>
        <w:tc>
          <w:tcPr>
            <w:tcW w:w="0" w:type="auto"/>
            <w:vAlign w:val="center"/>
            <w:hideMark/>
          </w:tcPr>
          <w:p w14:paraId="0F345D3D" w14:textId="77777777" w:rsidR="00000000" w:rsidRDefault="009B6C69">
            <w:pPr>
              <w:spacing w:after="100"/>
              <w:rPr>
                <w:rFonts w:eastAsia="Times New Roman"/>
                <w:sz w:val="20"/>
                <w:szCs w:val="20"/>
              </w:rPr>
            </w:pPr>
          </w:p>
        </w:tc>
        <w:tc>
          <w:tcPr>
            <w:tcW w:w="0" w:type="auto"/>
            <w:vAlign w:val="center"/>
            <w:hideMark/>
          </w:tcPr>
          <w:p w14:paraId="66E99EB0" w14:textId="77777777" w:rsidR="00000000" w:rsidRDefault="009B6C69">
            <w:pPr>
              <w:spacing w:after="100"/>
              <w:rPr>
                <w:rFonts w:eastAsia="Times New Roman"/>
                <w:sz w:val="20"/>
                <w:szCs w:val="20"/>
              </w:rPr>
            </w:pPr>
          </w:p>
        </w:tc>
        <w:tc>
          <w:tcPr>
            <w:tcW w:w="0" w:type="auto"/>
            <w:vAlign w:val="center"/>
            <w:hideMark/>
          </w:tcPr>
          <w:p w14:paraId="2B79A240" w14:textId="77777777" w:rsidR="00000000" w:rsidRDefault="009B6C69">
            <w:pPr>
              <w:spacing w:after="100"/>
              <w:rPr>
                <w:rFonts w:eastAsia="Times New Roman"/>
                <w:sz w:val="20"/>
                <w:szCs w:val="20"/>
              </w:rPr>
            </w:pPr>
          </w:p>
        </w:tc>
        <w:tc>
          <w:tcPr>
            <w:tcW w:w="0" w:type="auto"/>
            <w:vAlign w:val="center"/>
            <w:hideMark/>
          </w:tcPr>
          <w:p w14:paraId="745242B2" w14:textId="77777777" w:rsidR="00000000" w:rsidRDefault="009B6C69">
            <w:pPr>
              <w:spacing w:after="100"/>
              <w:rPr>
                <w:rFonts w:eastAsia="Times New Roman"/>
                <w:sz w:val="20"/>
                <w:szCs w:val="20"/>
              </w:rPr>
            </w:pPr>
          </w:p>
        </w:tc>
        <w:tc>
          <w:tcPr>
            <w:tcW w:w="0" w:type="auto"/>
            <w:vAlign w:val="center"/>
            <w:hideMark/>
          </w:tcPr>
          <w:p w14:paraId="12D59184" w14:textId="77777777" w:rsidR="00000000" w:rsidRDefault="009B6C69">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63C2954"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gridSpan w:val="3"/>
            <w:shd w:val="clear" w:color="auto" w:fill="FFFFFF"/>
            <w:tcMar>
              <w:top w:w="0" w:type="dxa"/>
              <w:left w:w="20" w:type="dxa"/>
              <w:bottom w:w="0" w:type="dxa"/>
              <w:right w:w="20" w:type="dxa"/>
            </w:tcMar>
            <w:vAlign w:val="center"/>
            <w:hideMark/>
          </w:tcPr>
          <w:p w14:paraId="6D0A5414"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04877EE"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gridSpan w:val="3"/>
            <w:shd w:val="clear" w:color="auto" w:fill="FFFFFF"/>
            <w:tcMar>
              <w:top w:w="0" w:type="dxa"/>
              <w:left w:w="20" w:type="dxa"/>
              <w:bottom w:w="0" w:type="dxa"/>
              <w:right w:w="20" w:type="dxa"/>
            </w:tcMar>
            <w:vAlign w:val="center"/>
            <w:hideMark/>
          </w:tcPr>
          <w:p w14:paraId="372DB842"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0028ACC" w14:textId="77777777" w:rsidR="00000000" w:rsidRDefault="009B6C69">
            <w:pPr>
              <w:spacing w:after="100"/>
              <w:jc w:val="center"/>
              <w:rPr>
                <w:rFonts w:eastAsia="Times New Roman"/>
              </w:rPr>
            </w:pPr>
            <w:r>
              <w:rPr>
                <w:rFonts w:eastAsia="Times New Roman"/>
                <w:b/>
                <w:bCs/>
                <w:color w:val="000000"/>
                <w:sz w:val="18"/>
                <w:szCs w:val="18"/>
              </w:rPr>
              <w:t>2020</w:t>
            </w:r>
          </w:p>
        </w:tc>
      </w:tr>
      <w:tr w:rsidR="00000000" w14:paraId="60ECC5AC" w14:textId="77777777">
        <w:trPr>
          <w:divId w:val="1641962129"/>
        </w:trPr>
        <w:tc>
          <w:tcPr>
            <w:tcW w:w="0" w:type="auto"/>
            <w:gridSpan w:val="3"/>
            <w:shd w:val="clear" w:color="auto" w:fill="CCEEFF"/>
            <w:tcMar>
              <w:top w:w="30" w:type="dxa"/>
              <w:left w:w="20" w:type="dxa"/>
              <w:bottom w:w="30" w:type="dxa"/>
              <w:right w:w="20" w:type="dxa"/>
            </w:tcMar>
            <w:vAlign w:val="bottom"/>
            <w:hideMark/>
          </w:tcPr>
          <w:p w14:paraId="39F7AD1F" w14:textId="77777777" w:rsidR="00000000" w:rsidRDefault="009B6C69">
            <w:pPr>
              <w:spacing w:after="100"/>
              <w:rPr>
                <w:rFonts w:eastAsia="Times New Roman"/>
              </w:rPr>
            </w:pPr>
            <w:r>
              <w:rPr>
                <w:rFonts w:eastAsia="Times New Roman"/>
                <w:color w:val="000000"/>
                <w:sz w:val="18"/>
                <w:szCs w:val="18"/>
              </w:rPr>
              <w:t>Interest and dividend income</w:t>
            </w:r>
          </w:p>
        </w:tc>
        <w:tc>
          <w:tcPr>
            <w:tcW w:w="0" w:type="auto"/>
            <w:vAlign w:val="center"/>
            <w:hideMark/>
          </w:tcPr>
          <w:p w14:paraId="6DB942BE" w14:textId="77777777" w:rsidR="00000000" w:rsidRDefault="009B6C69">
            <w:pPr>
              <w:spacing w:after="100"/>
              <w:rPr>
                <w:rFonts w:eastAsia="Times New Roman"/>
              </w:rPr>
            </w:pPr>
          </w:p>
        </w:tc>
        <w:tc>
          <w:tcPr>
            <w:tcW w:w="0" w:type="auto"/>
            <w:vAlign w:val="center"/>
            <w:hideMark/>
          </w:tcPr>
          <w:p w14:paraId="774273F9" w14:textId="77777777" w:rsidR="00000000" w:rsidRDefault="009B6C69">
            <w:pPr>
              <w:spacing w:after="100"/>
              <w:rPr>
                <w:rFonts w:eastAsia="Times New Roman"/>
                <w:sz w:val="20"/>
                <w:szCs w:val="20"/>
              </w:rPr>
            </w:pPr>
          </w:p>
        </w:tc>
        <w:tc>
          <w:tcPr>
            <w:tcW w:w="0" w:type="auto"/>
            <w:vAlign w:val="center"/>
            <w:hideMark/>
          </w:tcPr>
          <w:p w14:paraId="4B680886" w14:textId="77777777" w:rsidR="00000000" w:rsidRDefault="009B6C69">
            <w:pPr>
              <w:spacing w:after="100"/>
              <w:rPr>
                <w:rFonts w:eastAsia="Times New Roman"/>
                <w:sz w:val="20"/>
                <w:szCs w:val="20"/>
              </w:rPr>
            </w:pPr>
          </w:p>
        </w:tc>
        <w:tc>
          <w:tcPr>
            <w:tcW w:w="0" w:type="auto"/>
            <w:vAlign w:val="center"/>
            <w:hideMark/>
          </w:tcPr>
          <w:p w14:paraId="711BDA43" w14:textId="77777777" w:rsidR="00000000" w:rsidRDefault="009B6C69">
            <w:pPr>
              <w:spacing w:after="100"/>
              <w:rPr>
                <w:rFonts w:eastAsia="Times New Roman"/>
                <w:sz w:val="20"/>
                <w:szCs w:val="20"/>
              </w:rPr>
            </w:pPr>
          </w:p>
        </w:tc>
        <w:tc>
          <w:tcPr>
            <w:tcW w:w="0" w:type="auto"/>
            <w:vAlign w:val="center"/>
            <w:hideMark/>
          </w:tcPr>
          <w:p w14:paraId="54913785" w14:textId="77777777" w:rsidR="00000000" w:rsidRDefault="009B6C69">
            <w:pPr>
              <w:spacing w:after="100"/>
              <w:rPr>
                <w:rFonts w:eastAsia="Times New Roman"/>
                <w:sz w:val="20"/>
                <w:szCs w:val="20"/>
              </w:rPr>
            </w:pPr>
          </w:p>
        </w:tc>
        <w:tc>
          <w:tcPr>
            <w:tcW w:w="0" w:type="auto"/>
            <w:vAlign w:val="center"/>
            <w:hideMark/>
          </w:tcPr>
          <w:p w14:paraId="620BDAD5" w14:textId="77777777" w:rsidR="00000000" w:rsidRDefault="009B6C69">
            <w:pPr>
              <w:spacing w:after="100"/>
              <w:rPr>
                <w:rFonts w:eastAsia="Times New Roman"/>
                <w:sz w:val="20"/>
                <w:szCs w:val="20"/>
              </w:rPr>
            </w:pPr>
          </w:p>
        </w:tc>
        <w:tc>
          <w:tcPr>
            <w:tcW w:w="0" w:type="auto"/>
            <w:vAlign w:val="center"/>
            <w:hideMark/>
          </w:tcPr>
          <w:p w14:paraId="7BD6FE55"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E804BC"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0A4B88" w14:textId="77777777" w:rsidR="00000000" w:rsidRDefault="009B6C69">
            <w:pPr>
              <w:spacing w:after="100"/>
              <w:jc w:val="right"/>
              <w:rPr>
                <w:rFonts w:eastAsia="Times New Roman"/>
              </w:rPr>
            </w:pPr>
            <w:r>
              <w:rPr>
                <w:rFonts w:eastAsia="Times New Roman"/>
                <w:color w:val="000000"/>
                <w:sz w:val="18"/>
                <w:szCs w:val="18"/>
              </w:rPr>
              <w:t>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0072D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42185D"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AD9077"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8BCF30" w14:textId="77777777" w:rsidR="00000000" w:rsidRDefault="009B6C69">
            <w:pPr>
              <w:spacing w:after="100"/>
              <w:jc w:val="right"/>
              <w:rPr>
                <w:rFonts w:eastAsia="Times New Roman"/>
              </w:rPr>
            </w:pPr>
            <w:r>
              <w:rPr>
                <w:rFonts w:eastAsia="Times New Roman"/>
                <w:color w:val="000000"/>
                <w:sz w:val="18"/>
                <w:szCs w:val="18"/>
              </w:rPr>
              <w:t>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9859DB"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BBCBF2"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8BF541"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4C9F7F" w14:textId="77777777" w:rsidR="00000000" w:rsidRDefault="009B6C69">
            <w:pPr>
              <w:spacing w:after="100"/>
              <w:jc w:val="right"/>
              <w:rPr>
                <w:rFonts w:eastAsia="Times New Roman"/>
              </w:rPr>
            </w:pPr>
            <w:r>
              <w:rPr>
                <w:rFonts w:eastAsia="Times New Roman"/>
                <w:color w:val="000000"/>
                <w:sz w:val="18"/>
                <w:szCs w:val="18"/>
              </w:rPr>
              <w:t>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8F9FA8" w14:textId="77777777" w:rsidR="00000000" w:rsidRDefault="009B6C69">
            <w:pPr>
              <w:spacing w:after="100"/>
              <w:jc w:val="right"/>
              <w:rPr>
                <w:rFonts w:eastAsia="Times New Roman"/>
              </w:rPr>
            </w:pPr>
          </w:p>
        </w:tc>
      </w:tr>
      <w:tr w:rsidR="00000000" w14:paraId="5B1FD749" w14:textId="77777777">
        <w:trPr>
          <w:divId w:val="1641962129"/>
        </w:trPr>
        <w:tc>
          <w:tcPr>
            <w:tcW w:w="0" w:type="auto"/>
            <w:gridSpan w:val="3"/>
            <w:vAlign w:val="center"/>
            <w:hideMark/>
          </w:tcPr>
          <w:p w14:paraId="766848EC" w14:textId="77777777" w:rsidR="00000000" w:rsidRDefault="009B6C69">
            <w:pPr>
              <w:spacing w:after="100"/>
              <w:jc w:val="right"/>
              <w:rPr>
                <w:rFonts w:eastAsia="Times New Roman"/>
                <w:sz w:val="20"/>
                <w:szCs w:val="20"/>
              </w:rPr>
            </w:pPr>
          </w:p>
        </w:tc>
        <w:tc>
          <w:tcPr>
            <w:tcW w:w="0" w:type="auto"/>
            <w:vAlign w:val="center"/>
            <w:hideMark/>
          </w:tcPr>
          <w:p w14:paraId="19C28617" w14:textId="77777777" w:rsidR="00000000" w:rsidRDefault="009B6C69">
            <w:pPr>
              <w:spacing w:after="100"/>
              <w:rPr>
                <w:rFonts w:eastAsia="Times New Roman"/>
                <w:sz w:val="20"/>
                <w:szCs w:val="20"/>
              </w:rPr>
            </w:pPr>
          </w:p>
        </w:tc>
        <w:tc>
          <w:tcPr>
            <w:tcW w:w="0" w:type="auto"/>
            <w:vAlign w:val="center"/>
            <w:hideMark/>
          </w:tcPr>
          <w:p w14:paraId="569ED9AD" w14:textId="77777777" w:rsidR="00000000" w:rsidRDefault="009B6C69">
            <w:pPr>
              <w:spacing w:after="100"/>
              <w:rPr>
                <w:rFonts w:eastAsia="Times New Roman"/>
                <w:sz w:val="20"/>
                <w:szCs w:val="20"/>
              </w:rPr>
            </w:pPr>
          </w:p>
        </w:tc>
        <w:tc>
          <w:tcPr>
            <w:tcW w:w="0" w:type="auto"/>
            <w:vAlign w:val="center"/>
            <w:hideMark/>
          </w:tcPr>
          <w:p w14:paraId="271199F7" w14:textId="77777777" w:rsidR="00000000" w:rsidRDefault="009B6C69">
            <w:pPr>
              <w:spacing w:after="100"/>
              <w:rPr>
                <w:rFonts w:eastAsia="Times New Roman"/>
                <w:sz w:val="20"/>
                <w:szCs w:val="20"/>
              </w:rPr>
            </w:pPr>
          </w:p>
        </w:tc>
        <w:tc>
          <w:tcPr>
            <w:tcW w:w="0" w:type="auto"/>
            <w:vAlign w:val="center"/>
            <w:hideMark/>
          </w:tcPr>
          <w:p w14:paraId="694C6395" w14:textId="77777777" w:rsidR="00000000" w:rsidRDefault="009B6C69">
            <w:pPr>
              <w:spacing w:after="100"/>
              <w:rPr>
                <w:rFonts w:eastAsia="Times New Roman"/>
                <w:sz w:val="20"/>
                <w:szCs w:val="20"/>
              </w:rPr>
            </w:pPr>
          </w:p>
        </w:tc>
        <w:tc>
          <w:tcPr>
            <w:tcW w:w="0" w:type="auto"/>
            <w:vAlign w:val="center"/>
            <w:hideMark/>
          </w:tcPr>
          <w:p w14:paraId="32953694" w14:textId="77777777" w:rsidR="00000000" w:rsidRDefault="009B6C69">
            <w:pPr>
              <w:spacing w:after="100"/>
              <w:rPr>
                <w:rFonts w:eastAsia="Times New Roman"/>
                <w:sz w:val="20"/>
                <w:szCs w:val="20"/>
              </w:rPr>
            </w:pPr>
          </w:p>
        </w:tc>
        <w:tc>
          <w:tcPr>
            <w:tcW w:w="0" w:type="auto"/>
            <w:vAlign w:val="center"/>
            <w:hideMark/>
          </w:tcPr>
          <w:p w14:paraId="215B9160" w14:textId="77777777" w:rsidR="00000000" w:rsidRDefault="009B6C69">
            <w:pPr>
              <w:spacing w:after="100"/>
              <w:rPr>
                <w:rFonts w:eastAsia="Times New Roman"/>
                <w:sz w:val="20"/>
                <w:szCs w:val="20"/>
              </w:rPr>
            </w:pPr>
          </w:p>
        </w:tc>
        <w:tc>
          <w:tcPr>
            <w:tcW w:w="0" w:type="auto"/>
            <w:vAlign w:val="center"/>
            <w:hideMark/>
          </w:tcPr>
          <w:p w14:paraId="50E4DFE6" w14:textId="77777777" w:rsidR="00000000" w:rsidRDefault="009B6C69">
            <w:pPr>
              <w:spacing w:after="100"/>
              <w:rPr>
                <w:rFonts w:eastAsia="Times New Roman"/>
                <w:sz w:val="20"/>
                <w:szCs w:val="20"/>
              </w:rPr>
            </w:pPr>
          </w:p>
        </w:tc>
        <w:tc>
          <w:tcPr>
            <w:tcW w:w="0" w:type="auto"/>
            <w:gridSpan w:val="3"/>
            <w:vAlign w:val="center"/>
            <w:hideMark/>
          </w:tcPr>
          <w:p w14:paraId="776E5417" w14:textId="77777777" w:rsidR="00000000" w:rsidRDefault="009B6C69">
            <w:pPr>
              <w:spacing w:after="100"/>
              <w:rPr>
                <w:rFonts w:eastAsia="Times New Roman"/>
                <w:sz w:val="20"/>
                <w:szCs w:val="20"/>
              </w:rPr>
            </w:pPr>
          </w:p>
        </w:tc>
        <w:tc>
          <w:tcPr>
            <w:tcW w:w="0" w:type="auto"/>
            <w:gridSpan w:val="3"/>
            <w:vAlign w:val="center"/>
            <w:hideMark/>
          </w:tcPr>
          <w:p w14:paraId="5E9CF8E1" w14:textId="77777777" w:rsidR="00000000" w:rsidRDefault="009B6C69">
            <w:pPr>
              <w:spacing w:after="100"/>
              <w:rPr>
                <w:rFonts w:eastAsia="Times New Roman"/>
                <w:sz w:val="20"/>
                <w:szCs w:val="20"/>
              </w:rPr>
            </w:pPr>
          </w:p>
        </w:tc>
        <w:tc>
          <w:tcPr>
            <w:tcW w:w="0" w:type="auto"/>
            <w:gridSpan w:val="3"/>
            <w:vAlign w:val="center"/>
            <w:hideMark/>
          </w:tcPr>
          <w:p w14:paraId="4704B9C3" w14:textId="77777777" w:rsidR="00000000" w:rsidRDefault="009B6C69">
            <w:pPr>
              <w:spacing w:after="100"/>
              <w:rPr>
                <w:rFonts w:eastAsia="Times New Roman"/>
                <w:sz w:val="20"/>
                <w:szCs w:val="20"/>
              </w:rPr>
            </w:pPr>
          </w:p>
        </w:tc>
        <w:tc>
          <w:tcPr>
            <w:tcW w:w="0" w:type="auto"/>
            <w:gridSpan w:val="3"/>
            <w:vAlign w:val="center"/>
            <w:hideMark/>
          </w:tcPr>
          <w:p w14:paraId="1B574881" w14:textId="77777777" w:rsidR="00000000" w:rsidRDefault="009B6C69">
            <w:pPr>
              <w:spacing w:after="100"/>
              <w:rPr>
                <w:rFonts w:eastAsia="Times New Roman"/>
                <w:sz w:val="20"/>
                <w:szCs w:val="20"/>
              </w:rPr>
            </w:pPr>
          </w:p>
        </w:tc>
        <w:tc>
          <w:tcPr>
            <w:tcW w:w="0" w:type="auto"/>
            <w:gridSpan w:val="3"/>
            <w:vAlign w:val="center"/>
            <w:hideMark/>
          </w:tcPr>
          <w:p w14:paraId="7E854E75" w14:textId="77777777" w:rsidR="00000000" w:rsidRDefault="009B6C69">
            <w:pPr>
              <w:spacing w:after="100"/>
              <w:rPr>
                <w:rFonts w:eastAsia="Times New Roman"/>
                <w:sz w:val="20"/>
                <w:szCs w:val="20"/>
              </w:rPr>
            </w:pPr>
          </w:p>
        </w:tc>
      </w:tr>
      <w:tr w:rsidR="00000000" w14:paraId="786F4FF0" w14:textId="77777777">
        <w:trPr>
          <w:divId w:val="1641962129"/>
        </w:trPr>
        <w:tc>
          <w:tcPr>
            <w:tcW w:w="0" w:type="auto"/>
            <w:gridSpan w:val="3"/>
            <w:shd w:val="clear" w:color="auto" w:fill="FFFFFF"/>
            <w:tcMar>
              <w:top w:w="30" w:type="dxa"/>
              <w:left w:w="20" w:type="dxa"/>
              <w:bottom w:w="30" w:type="dxa"/>
              <w:right w:w="20" w:type="dxa"/>
            </w:tcMar>
            <w:vAlign w:val="bottom"/>
            <w:hideMark/>
          </w:tcPr>
          <w:p w14:paraId="6F93043A" w14:textId="77777777" w:rsidR="00000000" w:rsidRDefault="009B6C69">
            <w:pPr>
              <w:spacing w:after="100"/>
              <w:rPr>
                <w:rFonts w:eastAsia="Times New Roman"/>
              </w:rPr>
            </w:pPr>
            <w:r>
              <w:rPr>
                <w:rFonts w:eastAsia="Times New Roman"/>
                <w:color w:val="000000"/>
                <w:sz w:val="18"/>
                <w:szCs w:val="18"/>
              </w:rPr>
              <w:t>Net (losses) gains on marketable securities</w:t>
            </w:r>
          </w:p>
        </w:tc>
        <w:tc>
          <w:tcPr>
            <w:tcW w:w="0" w:type="auto"/>
            <w:vAlign w:val="center"/>
            <w:hideMark/>
          </w:tcPr>
          <w:p w14:paraId="761616CF" w14:textId="77777777" w:rsidR="00000000" w:rsidRDefault="009B6C69">
            <w:pPr>
              <w:spacing w:after="100"/>
              <w:rPr>
                <w:rFonts w:eastAsia="Times New Roman"/>
              </w:rPr>
            </w:pPr>
          </w:p>
        </w:tc>
        <w:tc>
          <w:tcPr>
            <w:tcW w:w="0" w:type="auto"/>
            <w:vAlign w:val="center"/>
            <w:hideMark/>
          </w:tcPr>
          <w:p w14:paraId="4875F936" w14:textId="77777777" w:rsidR="00000000" w:rsidRDefault="009B6C69">
            <w:pPr>
              <w:spacing w:after="100"/>
              <w:rPr>
                <w:rFonts w:eastAsia="Times New Roman"/>
                <w:sz w:val="20"/>
                <w:szCs w:val="20"/>
              </w:rPr>
            </w:pPr>
          </w:p>
        </w:tc>
        <w:tc>
          <w:tcPr>
            <w:tcW w:w="0" w:type="auto"/>
            <w:vAlign w:val="center"/>
            <w:hideMark/>
          </w:tcPr>
          <w:p w14:paraId="70E669C0" w14:textId="77777777" w:rsidR="00000000" w:rsidRDefault="009B6C69">
            <w:pPr>
              <w:spacing w:after="100"/>
              <w:rPr>
                <w:rFonts w:eastAsia="Times New Roman"/>
                <w:sz w:val="20"/>
                <w:szCs w:val="20"/>
              </w:rPr>
            </w:pPr>
          </w:p>
        </w:tc>
        <w:tc>
          <w:tcPr>
            <w:tcW w:w="0" w:type="auto"/>
            <w:vAlign w:val="center"/>
            <w:hideMark/>
          </w:tcPr>
          <w:p w14:paraId="5273E27C" w14:textId="77777777" w:rsidR="00000000" w:rsidRDefault="009B6C69">
            <w:pPr>
              <w:spacing w:after="100"/>
              <w:rPr>
                <w:rFonts w:eastAsia="Times New Roman"/>
                <w:sz w:val="20"/>
                <w:szCs w:val="20"/>
              </w:rPr>
            </w:pPr>
          </w:p>
        </w:tc>
        <w:tc>
          <w:tcPr>
            <w:tcW w:w="0" w:type="auto"/>
            <w:vAlign w:val="center"/>
            <w:hideMark/>
          </w:tcPr>
          <w:p w14:paraId="42C49314" w14:textId="77777777" w:rsidR="00000000" w:rsidRDefault="009B6C69">
            <w:pPr>
              <w:spacing w:after="100"/>
              <w:rPr>
                <w:rFonts w:eastAsia="Times New Roman"/>
                <w:sz w:val="20"/>
                <w:szCs w:val="20"/>
              </w:rPr>
            </w:pPr>
          </w:p>
        </w:tc>
        <w:tc>
          <w:tcPr>
            <w:tcW w:w="0" w:type="auto"/>
            <w:vAlign w:val="center"/>
            <w:hideMark/>
          </w:tcPr>
          <w:p w14:paraId="0A4B2C8D" w14:textId="77777777" w:rsidR="00000000" w:rsidRDefault="009B6C69">
            <w:pPr>
              <w:spacing w:after="100"/>
              <w:rPr>
                <w:rFonts w:eastAsia="Times New Roman"/>
                <w:sz w:val="20"/>
                <w:szCs w:val="20"/>
              </w:rPr>
            </w:pPr>
          </w:p>
        </w:tc>
        <w:tc>
          <w:tcPr>
            <w:tcW w:w="0" w:type="auto"/>
            <w:vAlign w:val="center"/>
            <w:hideMark/>
          </w:tcPr>
          <w:p w14:paraId="00F8DF3D"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98DB9C" w14:textId="77777777" w:rsidR="00000000" w:rsidRDefault="009B6C69">
            <w:pPr>
              <w:spacing w:after="100"/>
              <w:jc w:val="right"/>
              <w:rPr>
                <w:rFonts w:eastAsia="Times New Roman"/>
              </w:rPr>
            </w:pPr>
            <w:r>
              <w:rPr>
                <w:rFonts w:eastAsia="Times New Roman"/>
                <w:color w:val="000000"/>
                <w:sz w:val="18"/>
                <w:szCs w:val="18"/>
              </w:rPr>
              <w:t>(363)</w:t>
            </w:r>
          </w:p>
        </w:tc>
        <w:tc>
          <w:tcPr>
            <w:tcW w:w="0" w:type="auto"/>
            <w:shd w:val="clear" w:color="auto" w:fill="FFFFFF"/>
            <w:tcMar>
              <w:top w:w="30" w:type="dxa"/>
              <w:left w:w="0" w:type="dxa"/>
              <w:bottom w:w="30" w:type="dxa"/>
              <w:right w:w="20" w:type="dxa"/>
            </w:tcMar>
            <w:vAlign w:val="bottom"/>
            <w:hideMark/>
          </w:tcPr>
          <w:p w14:paraId="112DCF3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72F9E6"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E9B7A2" w14:textId="77777777" w:rsidR="00000000" w:rsidRDefault="009B6C69">
            <w:pPr>
              <w:spacing w:after="100"/>
              <w:jc w:val="right"/>
              <w:rPr>
                <w:rFonts w:eastAsia="Times New Roman"/>
              </w:rPr>
            </w:pPr>
            <w:r>
              <w:rPr>
                <w:rFonts w:eastAsia="Times New Roman"/>
                <w:color w:val="000000"/>
                <w:sz w:val="18"/>
                <w:szCs w:val="18"/>
              </w:rPr>
              <w:t>427 </w:t>
            </w:r>
          </w:p>
        </w:tc>
        <w:tc>
          <w:tcPr>
            <w:tcW w:w="0" w:type="auto"/>
            <w:shd w:val="clear" w:color="auto" w:fill="FFFFFF"/>
            <w:tcMar>
              <w:top w:w="30" w:type="dxa"/>
              <w:left w:w="0" w:type="dxa"/>
              <w:bottom w:w="30" w:type="dxa"/>
              <w:right w:w="20" w:type="dxa"/>
            </w:tcMar>
            <w:vAlign w:val="bottom"/>
            <w:hideMark/>
          </w:tcPr>
          <w:p w14:paraId="0F369BD8"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0566B7"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424BA2" w14:textId="77777777" w:rsidR="00000000" w:rsidRDefault="009B6C69">
            <w:pPr>
              <w:spacing w:after="100"/>
              <w:jc w:val="right"/>
              <w:rPr>
                <w:rFonts w:eastAsia="Times New Roman"/>
              </w:rPr>
            </w:pPr>
            <w:r>
              <w:rPr>
                <w:rFonts w:eastAsia="Times New Roman"/>
                <w:color w:val="000000"/>
                <w:sz w:val="18"/>
                <w:szCs w:val="18"/>
              </w:rPr>
              <w:t>198 </w:t>
            </w:r>
          </w:p>
        </w:tc>
        <w:tc>
          <w:tcPr>
            <w:tcW w:w="0" w:type="auto"/>
            <w:shd w:val="clear" w:color="auto" w:fill="FFFFFF"/>
            <w:tcMar>
              <w:top w:w="30" w:type="dxa"/>
              <w:left w:w="0" w:type="dxa"/>
              <w:bottom w:w="30" w:type="dxa"/>
              <w:right w:w="20" w:type="dxa"/>
            </w:tcMar>
            <w:vAlign w:val="bottom"/>
            <w:hideMark/>
          </w:tcPr>
          <w:p w14:paraId="715C2E76" w14:textId="77777777" w:rsidR="00000000" w:rsidRDefault="009B6C69">
            <w:pPr>
              <w:spacing w:after="100"/>
              <w:jc w:val="right"/>
              <w:rPr>
                <w:rFonts w:eastAsia="Times New Roman"/>
              </w:rPr>
            </w:pPr>
          </w:p>
        </w:tc>
      </w:tr>
      <w:tr w:rsidR="00000000" w14:paraId="65B5FC27" w14:textId="77777777">
        <w:trPr>
          <w:divId w:val="1641962129"/>
        </w:trPr>
        <w:tc>
          <w:tcPr>
            <w:tcW w:w="0" w:type="auto"/>
            <w:gridSpan w:val="3"/>
            <w:shd w:val="clear" w:color="auto" w:fill="CCEEFF"/>
            <w:tcMar>
              <w:top w:w="30" w:type="dxa"/>
              <w:left w:w="20" w:type="dxa"/>
              <w:bottom w:w="30" w:type="dxa"/>
              <w:right w:w="20" w:type="dxa"/>
            </w:tcMar>
            <w:vAlign w:val="bottom"/>
            <w:hideMark/>
          </w:tcPr>
          <w:p w14:paraId="615A99C1" w14:textId="77777777" w:rsidR="00000000" w:rsidRDefault="009B6C69">
            <w:pPr>
              <w:spacing w:after="100"/>
              <w:rPr>
                <w:rFonts w:eastAsia="Times New Roman"/>
              </w:rPr>
            </w:pPr>
            <w:r>
              <w:rPr>
                <w:rFonts w:eastAsia="Times New Roman"/>
                <w:color w:val="000000"/>
                <w:sz w:val="18"/>
                <w:szCs w:val="18"/>
              </w:rPr>
              <w:t>Net gains on other investments</w:t>
            </w:r>
          </w:p>
        </w:tc>
        <w:tc>
          <w:tcPr>
            <w:tcW w:w="0" w:type="auto"/>
            <w:vAlign w:val="center"/>
            <w:hideMark/>
          </w:tcPr>
          <w:p w14:paraId="6BC96CC8" w14:textId="77777777" w:rsidR="00000000" w:rsidRDefault="009B6C69">
            <w:pPr>
              <w:spacing w:after="100"/>
              <w:rPr>
                <w:rFonts w:eastAsia="Times New Roman"/>
              </w:rPr>
            </w:pPr>
          </w:p>
        </w:tc>
        <w:tc>
          <w:tcPr>
            <w:tcW w:w="0" w:type="auto"/>
            <w:vAlign w:val="center"/>
            <w:hideMark/>
          </w:tcPr>
          <w:p w14:paraId="295F3589" w14:textId="77777777" w:rsidR="00000000" w:rsidRDefault="009B6C69">
            <w:pPr>
              <w:spacing w:after="100"/>
              <w:rPr>
                <w:rFonts w:eastAsia="Times New Roman"/>
                <w:sz w:val="20"/>
                <w:szCs w:val="20"/>
              </w:rPr>
            </w:pPr>
          </w:p>
        </w:tc>
        <w:tc>
          <w:tcPr>
            <w:tcW w:w="0" w:type="auto"/>
            <w:vAlign w:val="center"/>
            <w:hideMark/>
          </w:tcPr>
          <w:p w14:paraId="44958C6E" w14:textId="77777777" w:rsidR="00000000" w:rsidRDefault="009B6C69">
            <w:pPr>
              <w:spacing w:after="100"/>
              <w:rPr>
                <w:rFonts w:eastAsia="Times New Roman"/>
                <w:sz w:val="20"/>
                <w:szCs w:val="20"/>
              </w:rPr>
            </w:pPr>
          </w:p>
        </w:tc>
        <w:tc>
          <w:tcPr>
            <w:tcW w:w="0" w:type="auto"/>
            <w:vAlign w:val="center"/>
            <w:hideMark/>
          </w:tcPr>
          <w:p w14:paraId="383932A0" w14:textId="77777777" w:rsidR="00000000" w:rsidRDefault="009B6C69">
            <w:pPr>
              <w:spacing w:after="100"/>
              <w:rPr>
                <w:rFonts w:eastAsia="Times New Roman"/>
                <w:sz w:val="20"/>
                <w:szCs w:val="20"/>
              </w:rPr>
            </w:pPr>
          </w:p>
        </w:tc>
        <w:tc>
          <w:tcPr>
            <w:tcW w:w="0" w:type="auto"/>
            <w:vAlign w:val="center"/>
            <w:hideMark/>
          </w:tcPr>
          <w:p w14:paraId="0557F5BA" w14:textId="77777777" w:rsidR="00000000" w:rsidRDefault="009B6C69">
            <w:pPr>
              <w:spacing w:after="100"/>
              <w:rPr>
                <w:rFonts w:eastAsia="Times New Roman"/>
                <w:sz w:val="20"/>
                <w:szCs w:val="20"/>
              </w:rPr>
            </w:pPr>
          </w:p>
        </w:tc>
        <w:tc>
          <w:tcPr>
            <w:tcW w:w="0" w:type="auto"/>
            <w:vAlign w:val="center"/>
            <w:hideMark/>
          </w:tcPr>
          <w:p w14:paraId="1A7A8CA1" w14:textId="77777777" w:rsidR="00000000" w:rsidRDefault="009B6C69">
            <w:pPr>
              <w:spacing w:after="100"/>
              <w:rPr>
                <w:rFonts w:eastAsia="Times New Roman"/>
                <w:sz w:val="20"/>
                <w:szCs w:val="20"/>
              </w:rPr>
            </w:pPr>
          </w:p>
        </w:tc>
        <w:tc>
          <w:tcPr>
            <w:tcW w:w="0" w:type="auto"/>
            <w:vAlign w:val="center"/>
            <w:hideMark/>
          </w:tcPr>
          <w:p w14:paraId="6A71CED5"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18B31F" w14:textId="77777777" w:rsidR="00000000" w:rsidRDefault="009B6C69">
            <w:pPr>
              <w:spacing w:after="100"/>
              <w:jc w:val="right"/>
              <w:rPr>
                <w:rFonts w:eastAsia="Times New Roman"/>
              </w:rPr>
            </w:pPr>
            <w:r>
              <w:rPr>
                <w:rFonts w:eastAsia="Times New Roman"/>
                <w:color w:val="000000"/>
                <w:sz w:val="18"/>
                <w:szCs w:val="18"/>
              </w:rPr>
              <w:t>113 </w:t>
            </w:r>
          </w:p>
        </w:tc>
        <w:tc>
          <w:tcPr>
            <w:tcW w:w="0" w:type="auto"/>
            <w:shd w:val="clear" w:color="auto" w:fill="CCEEFF"/>
            <w:tcMar>
              <w:top w:w="30" w:type="dxa"/>
              <w:left w:w="0" w:type="dxa"/>
              <w:bottom w:w="30" w:type="dxa"/>
              <w:right w:w="20" w:type="dxa"/>
            </w:tcMar>
            <w:vAlign w:val="bottom"/>
            <w:hideMark/>
          </w:tcPr>
          <w:p w14:paraId="6D9C7BC2"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44B6F7"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2BF461" w14:textId="77777777" w:rsidR="00000000" w:rsidRDefault="009B6C69">
            <w:pPr>
              <w:spacing w:after="100"/>
              <w:jc w:val="right"/>
              <w:rPr>
                <w:rFonts w:eastAsia="Times New Roman"/>
              </w:rPr>
            </w:pPr>
            <w:r>
              <w:rPr>
                <w:rFonts w:eastAsia="Times New Roman"/>
                <w:color w:val="000000"/>
                <w:sz w:val="18"/>
                <w:szCs w:val="18"/>
              </w:rPr>
              <w:t>470 </w:t>
            </w:r>
          </w:p>
        </w:tc>
        <w:tc>
          <w:tcPr>
            <w:tcW w:w="0" w:type="auto"/>
            <w:shd w:val="clear" w:color="auto" w:fill="CCEEFF"/>
            <w:tcMar>
              <w:top w:w="30" w:type="dxa"/>
              <w:left w:w="0" w:type="dxa"/>
              <w:bottom w:w="30" w:type="dxa"/>
              <w:right w:w="20" w:type="dxa"/>
            </w:tcMar>
            <w:vAlign w:val="bottom"/>
            <w:hideMark/>
          </w:tcPr>
          <w:p w14:paraId="3B4AEE20"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9E2701"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4B21FD" w14:textId="77777777" w:rsidR="00000000" w:rsidRDefault="009B6C69">
            <w:pPr>
              <w:spacing w:after="100"/>
              <w:jc w:val="right"/>
              <w:rPr>
                <w:rFonts w:eastAsia="Times New Roman"/>
              </w:rPr>
            </w:pPr>
            <w:r>
              <w:rPr>
                <w:rFonts w:eastAsia="Times New Roman"/>
                <w:color w:val="000000"/>
                <w:sz w:val="18"/>
                <w:szCs w:val="18"/>
              </w:rPr>
              <w:t>108 </w:t>
            </w:r>
          </w:p>
        </w:tc>
        <w:tc>
          <w:tcPr>
            <w:tcW w:w="0" w:type="auto"/>
            <w:shd w:val="clear" w:color="auto" w:fill="CCEEFF"/>
            <w:tcMar>
              <w:top w:w="30" w:type="dxa"/>
              <w:left w:w="0" w:type="dxa"/>
              <w:bottom w:w="30" w:type="dxa"/>
              <w:right w:w="20" w:type="dxa"/>
            </w:tcMar>
            <w:vAlign w:val="bottom"/>
            <w:hideMark/>
          </w:tcPr>
          <w:p w14:paraId="1763AB79" w14:textId="77777777" w:rsidR="00000000" w:rsidRDefault="009B6C69">
            <w:pPr>
              <w:spacing w:after="100"/>
              <w:jc w:val="right"/>
              <w:rPr>
                <w:rFonts w:eastAsia="Times New Roman"/>
              </w:rPr>
            </w:pPr>
          </w:p>
        </w:tc>
      </w:tr>
      <w:tr w:rsidR="00000000" w14:paraId="5E80660D" w14:textId="77777777">
        <w:trPr>
          <w:divId w:val="1641962129"/>
        </w:trPr>
        <w:tc>
          <w:tcPr>
            <w:tcW w:w="0" w:type="auto"/>
            <w:gridSpan w:val="3"/>
            <w:shd w:val="clear" w:color="auto" w:fill="FFFFFF"/>
            <w:tcMar>
              <w:top w:w="30" w:type="dxa"/>
              <w:left w:w="20" w:type="dxa"/>
              <w:bottom w:w="30" w:type="dxa"/>
              <w:right w:w="20" w:type="dxa"/>
            </w:tcMar>
            <w:vAlign w:val="bottom"/>
            <w:hideMark/>
          </w:tcPr>
          <w:p w14:paraId="119741AE" w14:textId="77777777" w:rsidR="00000000" w:rsidRDefault="009B6C69">
            <w:pPr>
              <w:spacing w:after="100"/>
              <w:rPr>
                <w:rFonts w:eastAsia="Times New Roman"/>
              </w:rPr>
            </w:pPr>
            <w:r>
              <w:rPr>
                <w:rFonts w:eastAsia="Times New Roman"/>
                <w:color w:val="000000"/>
                <w:sz w:val="18"/>
                <w:szCs w:val="18"/>
              </w:rPr>
              <w:t>Net (losses) gains on deferred compensation plan assets</w:t>
            </w:r>
          </w:p>
        </w:tc>
        <w:tc>
          <w:tcPr>
            <w:tcW w:w="0" w:type="auto"/>
            <w:vAlign w:val="center"/>
            <w:hideMark/>
          </w:tcPr>
          <w:p w14:paraId="72BF7E0F" w14:textId="77777777" w:rsidR="00000000" w:rsidRDefault="009B6C69">
            <w:pPr>
              <w:spacing w:after="100"/>
              <w:rPr>
                <w:rFonts w:eastAsia="Times New Roman"/>
              </w:rPr>
            </w:pPr>
          </w:p>
        </w:tc>
        <w:tc>
          <w:tcPr>
            <w:tcW w:w="0" w:type="auto"/>
            <w:vAlign w:val="center"/>
            <w:hideMark/>
          </w:tcPr>
          <w:p w14:paraId="3753FB16" w14:textId="77777777" w:rsidR="00000000" w:rsidRDefault="009B6C69">
            <w:pPr>
              <w:spacing w:after="100"/>
              <w:rPr>
                <w:rFonts w:eastAsia="Times New Roman"/>
                <w:sz w:val="20"/>
                <w:szCs w:val="20"/>
              </w:rPr>
            </w:pPr>
          </w:p>
        </w:tc>
        <w:tc>
          <w:tcPr>
            <w:tcW w:w="0" w:type="auto"/>
            <w:vAlign w:val="center"/>
            <w:hideMark/>
          </w:tcPr>
          <w:p w14:paraId="2BD45BBA" w14:textId="77777777" w:rsidR="00000000" w:rsidRDefault="009B6C69">
            <w:pPr>
              <w:spacing w:after="100"/>
              <w:rPr>
                <w:rFonts w:eastAsia="Times New Roman"/>
                <w:sz w:val="20"/>
                <w:szCs w:val="20"/>
              </w:rPr>
            </w:pPr>
          </w:p>
        </w:tc>
        <w:tc>
          <w:tcPr>
            <w:tcW w:w="0" w:type="auto"/>
            <w:vAlign w:val="center"/>
            <w:hideMark/>
          </w:tcPr>
          <w:p w14:paraId="0CCFB528" w14:textId="77777777" w:rsidR="00000000" w:rsidRDefault="009B6C69">
            <w:pPr>
              <w:spacing w:after="100"/>
              <w:rPr>
                <w:rFonts w:eastAsia="Times New Roman"/>
                <w:sz w:val="20"/>
                <w:szCs w:val="20"/>
              </w:rPr>
            </w:pPr>
          </w:p>
        </w:tc>
        <w:tc>
          <w:tcPr>
            <w:tcW w:w="0" w:type="auto"/>
            <w:vAlign w:val="center"/>
            <w:hideMark/>
          </w:tcPr>
          <w:p w14:paraId="1765770E" w14:textId="77777777" w:rsidR="00000000" w:rsidRDefault="009B6C69">
            <w:pPr>
              <w:spacing w:after="100"/>
              <w:rPr>
                <w:rFonts w:eastAsia="Times New Roman"/>
                <w:sz w:val="20"/>
                <w:szCs w:val="20"/>
              </w:rPr>
            </w:pPr>
          </w:p>
        </w:tc>
        <w:tc>
          <w:tcPr>
            <w:tcW w:w="0" w:type="auto"/>
            <w:vAlign w:val="center"/>
            <w:hideMark/>
          </w:tcPr>
          <w:p w14:paraId="2A951E6B" w14:textId="77777777" w:rsidR="00000000" w:rsidRDefault="009B6C69">
            <w:pPr>
              <w:spacing w:after="100"/>
              <w:rPr>
                <w:rFonts w:eastAsia="Times New Roman"/>
                <w:sz w:val="20"/>
                <w:szCs w:val="20"/>
              </w:rPr>
            </w:pPr>
          </w:p>
        </w:tc>
        <w:tc>
          <w:tcPr>
            <w:tcW w:w="0" w:type="auto"/>
            <w:vAlign w:val="center"/>
            <w:hideMark/>
          </w:tcPr>
          <w:p w14:paraId="35BCA98A"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C0F597" w14:textId="77777777" w:rsidR="00000000" w:rsidRDefault="009B6C69">
            <w:pPr>
              <w:spacing w:after="100"/>
              <w:jc w:val="right"/>
              <w:rPr>
                <w:rFonts w:eastAsia="Times New Roman"/>
              </w:rPr>
            </w:pPr>
            <w:r>
              <w:rPr>
                <w:rFonts w:eastAsia="Times New Roman"/>
                <w:color w:val="000000"/>
                <w:sz w:val="18"/>
                <w:szCs w:val="18"/>
              </w:rPr>
              <w:t>(141)</w:t>
            </w:r>
          </w:p>
        </w:tc>
        <w:tc>
          <w:tcPr>
            <w:tcW w:w="0" w:type="auto"/>
            <w:shd w:val="clear" w:color="auto" w:fill="FFFFFF"/>
            <w:tcMar>
              <w:top w:w="30" w:type="dxa"/>
              <w:left w:w="0" w:type="dxa"/>
              <w:bottom w:w="30" w:type="dxa"/>
              <w:right w:w="20" w:type="dxa"/>
            </w:tcMar>
            <w:vAlign w:val="bottom"/>
            <w:hideMark/>
          </w:tcPr>
          <w:p w14:paraId="029A6F43"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AB02CD"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976BC9" w14:textId="77777777" w:rsidR="00000000" w:rsidRDefault="009B6C69">
            <w:pPr>
              <w:spacing w:after="100"/>
              <w:jc w:val="right"/>
              <w:rPr>
                <w:rFonts w:eastAsia="Times New Roman"/>
              </w:rPr>
            </w:pPr>
            <w:r>
              <w:rPr>
                <w:rFonts w:eastAsia="Times New Roman"/>
                <w:color w:val="000000"/>
                <w:sz w:val="18"/>
                <w:szCs w:val="18"/>
              </w:rPr>
              <w:t>130 </w:t>
            </w:r>
          </w:p>
        </w:tc>
        <w:tc>
          <w:tcPr>
            <w:tcW w:w="0" w:type="auto"/>
            <w:shd w:val="clear" w:color="auto" w:fill="FFFFFF"/>
            <w:tcMar>
              <w:top w:w="30" w:type="dxa"/>
              <w:left w:w="0" w:type="dxa"/>
              <w:bottom w:w="30" w:type="dxa"/>
              <w:right w:w="20" w:type="dxa"/>
            </w:tcMar>
            <w:vAlign w:val="bottom"/>
            <w:hideMark/>
          </w:tcPr>
          <w:p w14:paraId="3C0ECB6C"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9EBA10"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54CAC2" w14:textId="77777777" w:rsidR="00000000" w:rsidRDefault="009B6C69">
            <w:pPr>
              <w:spacing w:after="100"/>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14:paraId="31F3513D" w14:textId="77777777" w:rsidR="00000000" w:rsidRDefault="009B6C69">
            <w:pPr>
              <w:spacing w:after="100"/>
              <w:jc w:val="right"/>
              <w:rPr>
                <w:rFonts w:eastAsia="Times New Roman"/>
              </w:rPr>
            </w:pPr>
          </w:p>
        </w:tc>
      </w:tr>
      <w:tr w:rsidR="00000000" w14:paraId="32020A9D" w14:textId="77777777">
        <w:trPr>
          <w:divId w:val="1641962129"/>
        </w:trPr>
        <w:tc>
          <w:tcPr>
            <w:tcW w:w="0" w:type="auto"/>
            <w:gridSpan w:val="3"/>
            <w:shd w:val="clear" w:color="auto" w:fill="CCEEFF"/>
            <w:tcMar>
              <w:top w:w="30" w:type="dxa"/>
              <w:left w:w="20" w:type="dxa"/>
              <w:bottom w:w="30" w:type="dxa"/>
              <w:right w:w="20" w:type="dxa"/>
            </w:tcMar>
            <w:vAlign w:val="bottom"/>
            <w:hideMark/>
          </w:tcPr>
          <w:p w14:paraId="7ED7F934" w14:textId="77777777" w:rsidR="00000000" w:rsidRDefault="009B6C69">
            <w:pPr>
              <w:spacing w:after="100"/>
              <w:rPr>
                <w:rFonts w:eastAsia="Times New Roman"/>
              </w:rPr>
            </w:pPr>
            <w:r>
              <w:rPr>
                <w:rFonts w:eastAsia="Times New Roman"/>
                <w:color w:val="000000"/>
                <w:sz w:val="18"/>
                <w:szCs w:val="18"/>
              </w:rPr>
              <w:t>Impairment losses on other investments</w:t>
            </w:r>
          </w:p>
        </w:tc>
        <w:tc>
          <w:tcPr>
            <w:tcW w:w="0" w:type="auto"/>
            <w:vAlign w:val="center"/>
            <w:hideMark/>
          </w:tcPr>
          <w:p w14:paraId="3E804317" w14:textId="77777777" w:rsidR="00000000" w:rsidRDefault="009B6C69">
            <w:pPr>
              <w:spacing w:after="100"/>
              <w:rPr>
                <w:rFonts w:eastAsia="Times New Roman"/>
              </w:rPr>
            </w:pPr>
          </w:p>
        </w:tc>
        <w:tc>
          <w:tcPr>
            <w:tcW w:w="0" w:type="auto"/>
            <w:vAlign w:val="center"/>
            <w:hideMark/>
          </w:tcPr>
          <w:p w14:paraId="599AA54B" w14:textId="77777777" w:rsidR="00000000" w:rsidRDefault="009B6C69">
            <w:pPr>
              <w:spacing w:after="100"/>
              <w:rPr>
                <w:rFonts w:eastAsia="Times New Roman"/>
                <w:sz w:val="20"/>
                <w:szCs w:val="20"/>
              </w:rPr>
            </w:pPr>
          </w:p>
        </w:tc>
        <w:tc>
          <w:tcPr>
            <w:tcW w:w="0" w:type="auto"/>
            <w:vAlign w:val="center"/>
            <w:hideMark/>
          </w:tcPr>
          <w:p w14:paraId="1CC40338" w14:textId="77777777" w:rsidR="00000000" w:rsidRDefault="009B6C69">
            <w:pPr>
              <w:spacing w:after="100"/>
              <w:rPr>
                <w:rFonts w:eastAsia="Times New Roman"/>
                <w:sz w:val="20"/>
                <w:szCs w:val="20"/>
              </w:rPr>
            </w:pPr>
          </w:p>
        </w:tc>
        <w:tc>
          <w:tcPr>
            <w:tcW w:w="0" w:type="auto"/>
            <w:vAlign w:val="center"/>
            <w:hideMark/>
          </w:tcPr>
          <w:p w14:paraId="26BC2E12" w14:textId="77777777" w:rsidR="00000000" w:rsidRDefault="009B6C69">
            <w:pPr>
              <w:spacing w:after="100"/>
              <w:rPr>
                <w:rFonts w:eastAsia="Times New Roman"/>
                <w:sz w:val="20"/>
                <w:szCs w:val="20"/>
              </w:rPr>
            </w:pPr>
          </w:p>
        </w:tc>
        <w:tc>
          <w:tcPr>
            <w:tcW w:w="0" w:type="auto"/>
            <w:vAlign w:val="center"/>
            <w:hideMark/>
          </w:tcPr>
          <w:p w14:paraId="1C404142" w14:textId="77777777" w:rsidR="00000000" w:rsidRDefault="009B6C69">
            <w:pPr>
              <w:spacing w:after="100"/>
              <w:rPr>
                <w:rFonts w:eastAsia="Times New Roman"/>
                <w:sz w:val="20"/>
                <w:szCs w:val="20"/>
              </w:rPr>
            </w:pPr>
          </w:p>
        </w:tc>
        <w:tc>
          <w:tcPr>
            <w:tcW w:w="0" w:type="auto"/>
            <w:vAlign w:val="center"/>
            <w:hideMark/>
          </w:tcPr>
          <w:p w14:paraId="681436D9" w14:textId="77777777" w:rsidR="00000000" w:rsidRDefault="009B6C69">
            <w:pPr>
              <w:spacing w:after="100"/>
              <w:rPr>
                <w:rFonts w:eastAsia="Times New Roman"/>
                <w:sz w:val="20"/>
                <w:szCs w:val="20"/>
              </w:rPr>
            </w:pPr>
          </w:p>
        </w:tc>
        <w:tc>
          <w:tcPr>
            <w:tcW w:w="0" w:type="auto"/>
            <w:vAlign w:val="center"/>
            <w:hideMark/>
          </w:tcPr>
          <w:p w14:paraId="6A8913AC"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C49C74" w14:textId="77777777" w:rsidR="00000000" w:rsidRDefault="009B6C69">
            <w:pPr>
              <w:spacing w:after="100"/>
              <w:jc w:val="right"/>
              <w:rPr>
                <w:rFonts w:eastAsia="Times New Roman"/>
              </w:rPr>
            </w:pPr>
            <w:r>
              <w:rPr>
                <w:rFonts w:eastAsia="Times New Roman"/>
                <w:color w:val="000000"/>
                <w:sz w:val="18"/>
                <w:szCs w:val="18"/>
              </w:rPr>
              <w:t>(47)</w:t>
            </w:r>
          </w:p>
        </w:tc>
        <w:tc>
          <w:tcPr>
            <w:tcW w:w="0" w:type="auto"/>
            <w:shd w:val="clear" w:color="auto" w:fill="CCEEFF"/>
            <w:tcMar>
              <w:top w:w="30" w:type="dxa"/>
              <w:left w:w="0" w:type="dxa"/>
              <w:bottom w:w="30" w:type="dxa"/>
              <w:right w:w="20" w:type="dxa"/>
            </w:tcMar>
            <w:vAlign w:val="bottom"/>
            <w:hideMark/>
          </w:tcPr>
          <w:p w14:paraId="3CB2E85B"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88B936"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361167" w14:textId="77777777" w:rsidR="00000000" w:rsidRDefault="009B6C69">
            <w:pPr>
              <w:spacing w:after="100"/>
              <w:jc w:val="right"/>
              <w:rPr>
                <w:rFonts w:eastAsia="Times New Roman"/>
              </w:rPr>
            </w:pPr>
            <w:r>
              <w:rPr>
                <w:rFonts w:eastAsia="Times New Roman"/>
                <w:color w:val="000000"/>
                <w:sz w:val="18"/>
                <w:szCs w:val="18"/>
              </w:rPr>
              <w:t>(33)</w:t>
            </w:r>
          </w:p>
        </w:tc>
        <w:tc>
          <w:tcPr>
            <w:tcW w:w="0" w:type="auto"/>
            <w:shd w:val="clear" w:color="auto" w:fill="CCEEFF"/>
            <w:tcMar>
              <w:top w:w="30" w:type="dxa"/>
              <w:left w:w="0" w:type="dxa"/>
              <w:bottom w:w="30" w:type="dxa"/>
              <w:right w:w="20" w:type="dxa"/>
            </w:tcMar>
            <w:vAlign w:val="bottom"/>
            <w:hideMark/>
          </w:tcPr>
          <w:p w14:paraId="53466C8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BDE476"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F25AE8" w14:textId="77777777" w:rsidR="00000000" w:rsidRDefault="009B6C69">
            <w:pPr>
              <w:spacing w:after="100"/>
              <w:jc w:val="right"/>
              <w:rPr>
                <w:rFonts w:eastAsia="Times New Roman"/>
              </w:rPr>
            </w:pPr>
            <w:r>
              <w:rPr>
                <w:rFonts w:eastAsia="Times New Roman"/>
                <w:color w:val="000000"/>
                <w:sz w:val="18"/>
                <w:szCs w:val="18"/>
              </w:rPr>
              <w:t>(405)</w:t>
            </w:r>
          </w:p>
        </w:tc>
        <w:tc>
          <w:tcPr>
            <w:tcW w:w="0" w:type="auto"/>
            <w:shd w:val="clear" w:color="auto" w:fill="CCEEFF"/>
            <w:tcMar>
              <w:top w:w="30" w:type="dxa"/>
              <w:left w:w="0" w:type="dxa"/>
              <w:bottom w:w="30" w:type="dxa"/>
              <w:right w:w="20" w:type="dxa"/>
            </w:tcMar>
            <w:vAlign w:val="bottom"/>
            <w:hideMark/>
          </w:tcPr>
          <w:p w14:paraId="66966087" w14:textId="77777777" w:rsidR="00000000" w:rsidRDefault="009B6C69">
            <w:pPr>
              <w:spacing w:after="100"/>
              <w:jc w:val="right"/>
              <w:rPr>
                <w:rFonts w:eastAsia="Times New Roman"/>
              </w:rPr>
            </w:pPr>
          </w:p>
        </w:tc>
      </w:tr>
      <w:tr w:rsidR="00000000" w14:paraId="1E4E6CEC" w14:textId="77777777">
        <w:trPr>
          <w:divId w:val="1641962129"/>
        </w:trPr>
        <w:tc>
          <w:tcPr>
            <w:tcW w:w="0" w:type="auto"/>
            <w:gridSpan w:val="3"/>
            <w:vAlign w:val="center"/>
            <w:hideMark/>
          </w:tcPr>
          <w:p w14:paraId="135DEE46" w14:textId="77777777" w:rsidR="00000000" w:rsidRDefault="009B6C69">
            <w:pPr>
              <w:spacing w:after="100"/>
              <w:jc w:val="right"/>
              <w:rPr>
                <w:rFonts w:eastAsia="Times New Roman"/>
                <w:sz w:val="20"/>
                <w:szCs w:val="20"/>
              </w:rPr>
            </w:pPr>
          </w:p>
        </w:tc>
        <w:tc>
          <w:tcPr>
            <w:tcW w:w="0" w:type="auto"/>
            <w:vAlign w:val="center"/>
            <w:hideMark/>
          </w:tcPr>
          <w:p w14:paraId="158AA09D" w14:textId="77777777" w:rsidR="00000000" w:rsidRDefault="009B6C69">
            <w:pPr>
              <w:spacing w:after="100"/>
              <w:rPr>
                <w:rFonts w:eastAsia="Times New Roman"/>
                <w:sz w:val="20"/>
                <w:szCs w:val="20"/>
              </w:rPr>
            </w:pPr>
          </w:p>
        </w:tc>
        <w:tc>
          <w:tcPr>
            <w:tcW w:w="0" w:type="auto"/>
            <w:vAlign w:val="center"/>
            <w:hideMark/>
          </w:tcPr>
          <w:p w14:paraId="02406ED2" w14:textId="77777777" w:rsidR="00000000" w:rsidRDefault="009B6C69">
            <w:pPr>
              <w:spacing w:after="100"/>
              <w:rPr>
                <w:rFonts w:eastAsia="Times New Roman"/>
                <w:sz w:val="20"/>
                <w:szCs w:val="20"/>
              </w:rPr>
            </w:pPr>
          </w:p>
        </w:tc>
        <w:tc>
          <w:tcPr>
            <w:tcW w:w="0" w:type="auto"/>
            <w:vAlign w:val="center"/>
            <w:hideMark/>
          </w:tcPr>
          <w:p w14:paraId="7CE82236" w14:textId="77777777" w:rsidR="00000000" w:rsidRDefault="009B6C69">
            <w:pPr>
              <w:spacing w:after="100"/>
              <w:rPr>
                <w:rFonts w:eastAsia="Times New Roman"/>
                <w:sz w:val="20"/>
                <w:szCs w:val="20"/>
              </w:rPr>
            </w:pPr>
          </w:p>
        </w:tc>
        <w:tc>
          <w:tcPr>
            <w:tcW w:w="0" w:type="auto"/>
            <w:vAlign w:val="center"/>
            <w:hideMark/>
          </w:tcPr>
          <w:p w14:paraId="70756D19" w14:textId="77777777" w:rsidR="00000000" w:rsidRDefault="009B6C69">
            <w:pPr>
              <w:spacing w:after="100"/>
              <w:rPr>
                <w:rFonts w:eastAsia="Times New Roman"/>
                <w:sz w:val="20"/>
                <w:szCs w:val="20"/>
              </w:rPr>
            </w:pPr>
          </w:p>
        </w:tc>
        <w:tc>
          <w:tcPr>
            <w:tcW w:w="0" w:type="auto"/>
            <w:vAlign w:val="center"/>
            <w:hideMark/>
          </w:tcPr>
          <w:p w14:paraId="63E7562F" w14:textId="77777777" w:rsidR="00000000" w:rsidRDefault="009B6C69">
            <w:pPr>
              <w:spacing w:after="100"/>
              <w:rPr>
                <w:rFonts w:eastAsia="Times New Roman"/>
                <w:sz w:val="20"/>
                <w:szCs w:val="20"/>
              </w:rPr>
            </w:pPr>
          </w:p>
        </w:tc>
        <w:tc>
          <w:tcPr>
            <w:tcW w:w="0" w:type="auto"/>
            <w:vAlign w:val="center"/>
            <w:hideMark/>
          </w:tcPr>
          <w:p w14:paraId="3CE23DE3" w14:textId="77777777" w:rsidR="00000000" w:rsidRDefault="009B6C69">
            <w:pPr>
              <w:spacing w:after="100"/>
              <w:rPr>
                <w:rFonts w:eastAsia="Times New Roman"/>
                <w:sz w:val="20"/>
                <w:szCs w:val="20"/>
              </w:rPr>
            </w:pPr>
          </w:p>
        </w:tc>
        <w:tc>
          <w:tcPr>
            <w:tcW w:w="0" w:type="auto"/>
            <w:vAlign w:val="center"/>
            <w:hideMark/>
          </w:tcPr>
          <w:p w14:paraId="4E6D0E1F" w14:textId="77777777" w:rsidR="00000000" w:rsidRDefault="009B6C69">
            <w:pPr>
              <w:spacing w:after="100"/>
              <w:rPr>
                <w:rFonts w:eastAsia="Times New Roman"/>
                <w:sz w:val="20"/>
                <w:szCs w:val="20"/>
              </w:rPr>
            </w:pPr>
          </w:p>
        </w:tc>
        <w:tc>
          <w:tcPr>
            <w:tcW w:w="0" w:type="auto"/>
            <w:gridSpan w:val="3"/>
            <w:vAlign w:val="center"/>
            <w:hideMark/>
          </w:tcPr>
          <w:p w14:paraId="48C3A13D" w14:textId="77777777" w:rsidR="00000000" w:rsidRDefault="009B6C69">
            <w:pPr>
              <w:spacing w:after="100"/>
              <w:rPr>
                <w:rFonts w:eastAsia="Times New Roman"/>
                <w:sz w:val="20"/>
                <w:szCs w:val="20"/>
              </w:rPr>
            </w:pPr>
          </w:p>
        </w:tc>
        <w:tc>
          <w:tcPr>
            <w:tcW w:w="0" w:type="auto"/>
            <w:gridSpan w:val="3"/>
            <w:vAlign w:val="center"/>
            <w:hideMark/>
          </w:tcPr>
          <w:p w14:paraId="140D832B" w14:textId="77777777" w:rsidR="00000000" w:rsidRDefault="009B6C69">
            <w:pPr>
              <w:spacing w:after="100"/>
              <w:rPr>
                <w:rFonts w:eastAsia="Times New Roman"/>
                <w:sz w:val="20"/>
                <w:szCs w:val="20"/>
              </w:rPr>
            </w:pPr>
          </w:p>
        </w:tc>
        <w:tc>
          <w:tcPr>
            <w:tcW w:w="0" w:type="auto"/>
            <w:gridSpan w:val="3"/>
            <w:vAlign w:val="center"/>
            <w:hideMark/>
          </w:tcPr>
          <w:p w14:paraId="656DD293" w14:textId="77777777" w:rsidR="00000000" w:rsidRDefault="009B6C69">
            <w:pPr>
              <w:spacing w:after="100"/>
              <w:rPr>
                <w:rFonts w:eastAsia="Times New Roman"/>
                <w:sz w:val="20"/>
                <w:szCs w:val="20"/>
              </w:rPr>
            </w:pPr>
          </w:p>
        </w:tc>
        <w:tc>
          <w:tcPr>
            <w:tcW w:w="0" w:type="auto"/>
            <w:gridSpan w:val="3"/>
            <w:vAlign w:val="center"/>
            <w:hideMark/>
          </w:tcPr>
          <w:p w14:paraId="413435F5" w14:textId="77777777" w:rsidR="00000000" w:rsidRDefault="009B6C69">
            <w:pPr>
              <w:spacing w:after="100"/>
              <w:rPr>
                <w:rFonts w:eastAsia="Times New Roman"/>
                <w:sz w:val="20"/>
                <w:szCs w:val="20"/>
              </w:rPr>
            </w:pPr>
          </w:p>
        </w:tc>
        <w:tc>
          <w:tcPr>
            <w:tcW w:w="0" w:type="auto"/>
            <w:gridSpan w:val="3"/>
            <w:vAlign w:val="center"/>
            <w:hideMark/>
          </w:tcPr>
          <w:p w14:paraId="0B06C8B5" w14:textId="77777777" w:rsidR="00000000" w:rsidRDefault="009B6C69">
            <w:pPr>
              <w:spacing w:after="100"/>
              <w:rPr>
                <w:rFonts w:eastAsia="Times New Roman"/>
                <w:sz w:val="20"/>
                <w:szCs w:val="20"/>
              </w:rPr>
            </w:pPr>
          </w:p>
        </w:tc>
      </w:tr>
      <w:tr w:rsidR="00000000" w14:paraId="571BBD52" w14:textId="77777777">
        <w:trPr>
          <w:divId w:val="1641962129"/>
        </w:trPr>
        <w:tc>
          <w:tcPr>
            <w:tcW w:w="0" w:type="auto"/>
            <w:gridSpan w:val="3"/>
            <w:shd w:val="clear" w:color="auto" w:fill="FFFFFF"/>
            <w:tcMar>
              <w:top w:w="30" w:type="dxa"/>
              <w:left w:w="20" w:type="dxa"/>
              <w:bottom w:w="30" w:type="dxa"/>
              <w:right w:w="20" w:type="dxa"/>
            </w:tcMar>
            <w:vAlign w:val="bottom"/>
            <w:hideMark/>
          </w:tcPr>
          <w:p w14:paraId="41B550CF" w14:textId="77777777" w:rsidR="00000000" w:rsidRDefault="009B6C69">
            <w:pPr>
              <w:spacing w:after="100"/>
              <w:rPr>
                <w:rFonts w:eastAsia="Times New Roman"/>
              </w:rPr>
            </w:pPr>
            <w:r>
              <w:rPr>
                <w:rFonts w:eastAsia="Times New Roman"/>
                <w:color w:val="000000"/>
                <w:sz w:val="18"/>
                <w:szCs w:val="18"/>
              </w:rPr>
              <w:t>Net (losses) gains on derivative instruments</w:t>
            </w:r>
          </w:p>
        </w:tc>
        <w:tc>
          <w:tcPr>
            <w:tcW w:w="0" w:type="auto"/>
            <w:vAlign w:val="center"/>
            <w:hideMark/>
          </w:tcPr>
          <w:p w14:paraId="63E9DC14" w14:textId="77777777" w:rsidR="00000000" w:rsidRDefault="009B6C69">
            <w:pPr>
              <w:spacing w:after="100"/>
              <w:rPr>
                <w:rFonts w:eastAsia="Times New Roman"/>
              </w:rPr>
            </w:pPr>
          </w:p>
        </w:tc>
        <w:tc>
          <w:tcPr>
            <w:tcW w:w="0" w:type="auto"/>
            <w:vAlign w:val="center"/>
            <w:hideMark/>
          </w:tcPr>
          <w:p w14:paraId="1DACE507" w14:textId="77777777" w:rsidR="00000000" w:rsidRDefault="009B6C69">
            <w:pPr>
              <w:spacing w:after="100"/>
              <w:rPr>
                <w:rFonts w:eastAsia="Times New Roman"/>
                <w:sz w:val="20"/>
                <w:szCs w:val="20"/>
              </w:rPr>
            </w:pPr>
          </w:p>
        </w:tc>
        <w:tc>
          <w:tcPr>
            <w:tcW w:w="0" w:type="auto"/>
            <w:vAlign w:val="center"/>
            <w:hideMark/>
          </w:tcPr>
          <w:p w14:paraId="0CDAF764" w14:textId="77777777" w:rsidR="00000000" w:rsidRDefault="009B6C69">
            <w:pPr>
              <w:spacing w:after="100"/>
              <w:rPr>
                <w:rFonts w:eastAsia="Times New Roman"/>
                <w:sz w:val="20"/>
                <w:szCs w:val="20"/>
              </w:rPr>
            </w:pPr>
          </w:p>
        </w:tc>
        <w:tc>
          <w:tcPr>
            <w:tcW w:w="0" w:type="auto"/>
            <w:vAlign w:val="center"/>
            <w:hideMark/>
          </w:tcPr>
          <w:p w14:paraId="4751737F" w14:textId="77777777" w:rsidR="00000000" w:rsidRDefault="009B6C69">
            <w:pPr>
              <w:spacing w:after="100"/>
              <w:rPr>
                <w:rFonts w:eastAsia="Times New Roman"/>
                <w:sz w:val="20"/>
                <w:szCs w:val="20"/>
              </w:rPr>
            </w:pPr>
          </w:p>
        </w:tc>
        <w:tc>
          <w:tcPr>
            <w:tcW w:w="0" w:type="auto"/>
            <w:vAlign w:val="center"/>
            <w:hideMark/>
          </w:tcPr>
          <w:p w14:paraId="1AC8A382" w14:textId="77777777" w:rsidR="00000000" w:rsidRDefault="009B6C69">
            <w:pPr>
              <w:spacing w:after="100"/>
              <w:rPr>
                <w:rFonts w:eastAsia="Times New Roman"/>
                <w:sz w:val="20"/>
                <w:szCs w:val="20"/>
              </w:rPr>
            </w:pPr>
          </w:p>
        </w:tc>
        <w:tc>
          <w:tcPr>
            <w:tcW w:w="0" w:type="auto"/>
            <w:vAlign w:val="center"/>
            <w:hideMark/>
          </w:tcPr>
          <w:p w14:paraId="1E3579EF" w14:textId="77777777" w:rsidR="00000000" w:rsidRDefault="009B6C69">
            <w:pPr>
              <w:spacing w:after="100"/>
              <w:rPr>
                <w:rFonts w:eastAsia="Times New Roman"/>
                <w:sz w:val="20"/>
                <w:szCs w:val="20"/>
              </w:rPr>
            </w:pPr>
          </w:p>
        </w:tc>
        <w:tc>
          <w:tcPr>
            <w:tcW w:w="0" w:type="auto"/>
            <w:vAlign w:val="center"/>
            <w:hideMark/>
          </w:tcPr>
          <w:p w14:paraId="04939926"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66F9AF" w14:textId="77777777" w:rsidR="00000000" w:rsidRDefault="009B6C69">
            <w:pPr>
              <w:spacing w:after="100"/>
              <w:jc w:val="right"/>
              <w:rPr>
                <w:rFonts w:eastAsia="Times New Roman"/>
              </w:rPr>
            </w:pPr>
            <w:r>
              <w:rPr>
                <w:rFonts w:eastAsia="Times New Roman"/>
                <w:color w:val="000000"/>
                <w:sz w:val="18"/>
                <w:szCs w:val="18"/>
              </w:rPr>
              <w:t>(37)</w:t>
            </w:r>
          </w:p>
        </w:tc>
        <w:tc>
          <w:tcPr>
            <w:tcW w:w="0" w:type="auto"/>
            <w:shd w:val="clear" w:color="auto" w:fill="FFFFFF"/>
            <w:tcMar>
              <w:top w:w="30" w:type="dxa"/>
              <w:left w:w="0" w:type="dxa"/>
              <w:bottom w:w="30" w:type="dxa"/>
              <w:right w:w="20" w:type="dxa"/>
            </w:tcMar>
            <w:vAlign w:val="bottom"/>
            <w:hideMark/>
          </w:tcPr>
          <w:p w14:paraId="62856EDC"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FAE848"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ADDD63" w14:textId="77777777" w:rsidR="00000000" w:rsidRDefault="009B6C69">
            <w:pPr>
              <w:spacing w:after="100"/>
              <w:jc w:val="right"/>
              <w:rPr>
                <w:rFonts w:eastAsia="Times New Roman"/>
              </w:rPr>
            </w:pPr>
            <w:r>
              <w:rPr>
                <w:rFonts w:eastAsia="Times New Roman"/>
                <w:color w:val="000000"/>
                <w:sz w:val="18"/>
                <w:szCs w:val="18"/>
              </w:rPr>
              <w:t>(14)</w:t>
            </w:r>
          </w:p>
        </w:tc>
        <w:tc>
          <w:tcPr>
            <w:tcW w:w="0" w:type="auto"/>
            <w:shd w:val="clear" w:color="auto" w:fill="FFFFFF"/>
            <w:tcMar>
              <w:top w:w="30" w:type="dxa"/>
              <w:left w:w="0" w:type="dxa"/>
              <w:bottom w:w="30" w:type="dxa"/>
              <w:right w:w="20" w:type="dxa"/>
            </w:tcMar>
            <w:vAlign w:val="bottom"/>
            <w:hideMark/>
          </w:tcPr>
          <w:p w14:paraId="1812E088"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3C7269"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FDF80A" w14:textId="77777777" w:rsidR="00000000" w:rsidRDefault="009B6C69">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14:paraId="2E2185EE" w14:textId="77777777" w:rsidR="00000000" w:rsidRDefault="009B6C69">
            <w:pPr>
              <w:spacing w:after="100"/>
              <w:jc w:val="right"/>
              <w:rPr>
                <w:rFonts w:eastAsia="Times New Roman"/>
              </w:rPr>
            </w:pPr>
          </w:p>
        </w:tc>
      </w:tr>
      <w:tr w:rsidR="00000000" w14:paraId="2CCE0AFA" w14:textId="77777777">
        <w:trPr>
          <w:divId w:val="1641962129"/>
        </w:trPr>
        <w:tc>
          <w:tcPr>
            <w:tcW w:w="0" w:type="auto"/>
            <w:gridSpan w:val="3"/>
            <w:shd w:val="clear" w:color="auto" w:fill="CCEEFF"/>
            <w:tcMar>
              <w:top w:w="30" w:type="dxa"/>
              <w:left w:w="20" w:type="dxa"/>
              <w:bottom w:w="30" w:type="dxa"/>
              <w:right w:w="20" w:type="dxa"/>
            </w:tcMar>
            <w:vAlign w:val="bottom"/>
            <w:hideMark/>
          </w:tcPr>
          <w:p w14:paraId="5E3AE607" w14:textId="77777777" w:rsidR="00000000" w:rsidRDefault="009B6C69">
            <w:pPr>
              <w:spacing w:after="100"/>
              <w:rPr>
                <w:rFonts w:eastAsia="Times New Roman"/>
              </w:rPr>
            </w:pPr>
            <w:r>
              <w:rPr>
                <w:rFonts w:eastAsia="Times New Roman"/>
                <w:color w:val="000000"/>
                <w:sz w:val="18"/>
                <w:szCs w:val="18"/>
              </w:rPr>
              <w:t>Equity in net (losses) earnings of investees</w:t>
            </w:r>
          </w:p>
        </w:tc>
        <w:tc>
          <w:tcPr>
            <w:tcW w:w="0" w:type="auto"/>
            <w:vAlign w:val="center"/>
            <w:hideMark/>
          </w:tcPr>
          <w:p w14:paraId="14978252" w14:textId="77777777" w:rsidR="00000000" w:rsidRDefault="009B6C69">
            <w:pPr>
              <w:spacing w:after="100"/>
              <w:rPr>
                <w:rFonts w:eastAsia="Times New Roman"/>
              </w:rPr>
            </w:pPr>
          </w:p>
        </w:tc>
        <w:tc>
          <w:tcPr>
            <w:tcW w:w="0" w:type="auto"/>
            <w:vAlign w:val="center"/>
            <w:hideMark/>
          </w:tcPr>
          <w:p w14:paraId="136F4D39" w14:textId="77777777" w:rsidR="00000000" w:rsidRDefault="009B6C69">
            <w:pPr>
              <w:spacing w:after="100"/>
              <w:rPr>
                <w:rFonts w:eastAsia="Times New Roman"/>
                <w:sz w:val="20"/>
                <w:szCs w:val="20"/>
              </w:rPr>
            </w:pPr>
          </w:p>
        </w:tc>
        <w:tc>
          <w:tcPr>
            <w:tcW w:w="0" w:type="auto"/>
            <w:vAlign w:val="center"/>
            <w:hideMark/>
          </w:tcPr>
          <w:p w14:paraId="2FF2377C" w14:textId="77777777" w:rsidR="00000000" w:rsidRDefault="009B6C69">
            <w:pPr>
              <w:spacing w:after="100"/>
              <w:rPr>
                <w:rFonts w:eastAsia="Times New Roman"/>
                <w:sz w:val="20"/>
                <w:szCs w:val="20"/>
              </w:rPr>
            </w:pPr>
          </w:p>
        </w:tc>
        <w:tc>
          <w:tcPr>
            <w:tcW w:w="0" w:type="auto"/>
            <w:vAlign w:val="center"/>
            <w:hideMark/>
          </w:tcPr>
          <w:p w14:paraId="7A47573A" w14:textId="77777777" w:rsidR="00000000" w:rsidRDefault="009B6C69">
            <w:pPr>
              <w:spacing w:after="100"/>
              <w:rPr>
                <w:rFonts w:eastAsia="Times New Roman"/>
                <w:sz w:val="20"/>
                <w:szCs w:val="20"/>
              </w:rPr>
            </w:pPr>
          </w:p>
        </w:tc>
        <w:tc>
          <w:tcPr>
            <w:tcW w:w="0" w:type="auto"/>
            <w:vAlign w:val="center"/>
            <w:hideMark/>
          </w:tcPr>
          <w:p w14:paraId="1DEA3B57" w14:textId="77777777" w:rsidR="00000000" w:rsidRDefault="009B6C69">
            <w:pPr>
              <w:spacing w:after="100"/>
              <w:rPr>
                <w:rFonts w:eastAsia="Times New Roman"/>
                <w:sz w:val="20"/>
                <w:szCs w:val="20"/>
              </w:rPr>
            </w:pPr>
          </w:p>
        </w:tc>
        <w:tc>
          <w:tcPr>
            <w:tcW w:w="0" w:type="auto"/>
            <w:vAlign w:val="center"/>
            <w:hideMark/>
          </w:tcPr>
          <w:p w14:paraId="3DF34868" w14:textId="77777777" w:rsidR="00000000" w:rsidRDefault="009B6C69">
            <w:pPr>
              <w:spacing w:after="100"/>
              <w:rPr>
                <w:rFonts w:eastAsia="Times New Roman"/>
                <w:sz w:val="20"/>
                <w:szCs w:val="20"/>
              </w:rPr>
            </w:pPr>
          </w:p>
        </w:tc>
        <w:tc>
          <w:tcPr>
            <w:tcW w:w="0" w:type="auto"/>
            <w:vAlign w:val="center"/>
            <w:hideMark/>
          </w:tcPr>
          <w:p w14:paraId="392D826B"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F10509" w14:textId="77777777" w:rsidR="00000000" w:rsidRDefault="009B6C69">
            <w:pPr>
              <w:spacing w:after="100"/>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bottom"/>
            <w:hideMark/>
          </w:tcPr>
          <w:p w14:paraId="365AECA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35C052"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1FFB14" w14:textId="77777777" w:rsidR="00000000" w:rsidRDefault="009B6C69">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14:paraId="2BF020A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229B23"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A66514" w14:textId="77777777" w:rsidR="00000000" w:rsidRDefault="009B6C69">
            <w:pPr>
              <w:spacing w:after="100"/>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bottom"/>
            <w:hideMark/>
          </w:tcPr>
          <w:p w14:paraId="5280A886" w14:textId="77777777" w:rsidR="00000000" w:rsidRDefault="009B6C69">
            <w:pPr>
              <w:spacing w:after="100"/>
              <w:jc w:val="right"/>
              <w:rPr>
                <w:rFonts w:eastAsia="Times New Roman"/>
              </w:rPr>
            </w:pPr>
          </w:p>
        </w:tc>
      </w:tr>
      <w:tr w:rsidR="00000000" w14:paraId="3DDC594C" w14:textId="77777777">
        <w:trPr>
          <w:divId w:val="1641962129"/>
        </w:trPr>
        <w:tc>
          <w:tcPr>
            <w:tcW w:w="0" w:type="auto"/>
            <w:gridSpan w:val="3"/>
            <w:shd w:val="clear" w:color="auto" w:fill="FFFFFF"/>
            <w:tcMar>
              <w:top w:w="30" w:type="dxa"/>
              <w:left w:w="20" w:type="dxa"/>
              <w:bottom w:w="30" w:type="dxa"/>
              <w:right w:w="20" w:type="dxa"/>
            </w:tcMar>
            <w:vAlign w:val="bottom"/>
            <w:hideMark/>
          </w:tcPr>
          <w:p w14:paraId="7787DAAE" w14:textId="77777777" w:rsidR="00000000" w:rsidRDefault="009B6C69">
            <w:pPr>
              <w:spacing w:after="100"/>
              <w:rPr>
                <w:rFonts w:eastAsia="Times New Roman"/>
              </w:rPr>
            </w:pPr>
            <w:r>
              <w:rPr>
                <w:rFonts w:eastAsia="Times New Roman"/>
                <w:color w:val="000000"/>
                <w:sz w:val="18"/>
                <w:szCs w:val="18"/>
              </w:rPr>
              <w:t>Net gains (losses) on foreign currency transactions</w:t>
            </w:r>
          </w:p>
        </w:tc>
        <w:tc>
          <w:tcPr>
            <w:tcW w:w="0" w:type="auto"/>
            <w:vAlign w:val="center"/>
            <w:hideMark/>
          </w:tcPr>
          <w:p w14:paraId="31DD3874" w14:textId="77777777" w:rsidR="00000000" w:rsidRDefault="009B6C69">
            <w:pPr>
              <w:spacing w:after="100"/>
              <w:rPr>
                <w:rFonts w:eastAsia="Times New Roman"/>
              </w:rPr>
            </w:pPr>
          </w:p>
        </w:tc>
        <w:tc>
          <w:tcPr>
            <w:tcW w:w="0" w:type="auto"/>
            <w:vAlign w:val="center"/>
            <w:hideMark/>
          </w:tcPr>
          <w:p w14:paraId="0ECB7BB5" w14:textId="77777777" w:rsidR="00000000" w:rsidRDefault="009B6C69">
            <w:pPr>
              <w:spacing w:after="100"/>
              <w:rPr>
                <w:rFonts w:eastAsia="Times New Roman"/>
                <w:sz w:val="20"/>
                <w:szCs w:val="20"/>
              </w:rPr>
            </w:pPr>
          </w:p>
        </w:tc>
        <w:tc>
          <w:tcPr>
            <w:tcW w:w="0" w:type="auto"/>
            <w:vAlign w:val="center"/>
            <w:hideMark/>
          </w:tcPr>
          <w:p w14:paraId="2F557FC2" w14:textId="77777777" w:rsidR="00000000" w:rsidRDefault="009B6C69">
            <w:pPr>
              <w:spacing w:after="100"/>
              <w:rPr>
                <w:rFonts w:eastAsia="Times New Roman"/>
                <w:sz w:val="20"/>
                <w:szCs w:val="20"/>
              </w:rPr>
            </w:pPr>
          </w:p>
        </w:tc>
        <w:tc>
          <w:tcPr>
            <w:tcW w:w="0" w:type="auto"/>
            <w:vAlign w:val="center"/>
            <w:hideMark/>
          </w:tcPr>
          <w:p w14:paraId="7E13075F" w14:textId="77777777" w:rsidR="00000000" w:rsidRDefault="009B6C69">
            <w:pPr>
              <w:spacing w:after="100"/>
              <w:rPr>
                <w:rFonts w:eastAsia="Times New Roman"/>
                <w:sz w:val="20"/>
                <w:szCs w:val="20"/>
              </w:rPr>
            </w:pPr>
          </w:p>
        </w:tc>
        <w:tc>
          <w:tcPr>
            <w:tcW w:w="0" w:type="auto"/>
            <w:vAlign w:val="center"/>
            <w:hideMark/>
          </w:tcPr>
          <w:p w14:paraId="3B0EB5CF" w14:textId="77777777" w:rsidR="00000000" w:rsidRDefault="009B6C69">
            <w:pPr>
              <w:spacing w:after="100"/>
              <w:rPr>
                <w:rFonts w:eastAsia="Times New Roman"/>
                <w:sz w:val="20"/>
                <w:szCs w:val="20"/>
              </w:rPr>
            </w:pPr>
          </w:p>
        </w:tc>
        <w:tc>
          <w:tcPr>
            <w:tcW w:w="0" w:type="auto"/>
            <w:vAlign w:val="center"/>
            <w:hideMark/>
          </w:tcPr>
          <w:p w14:paraId="3E618810" w14:textId="77777777" w:rsidR="00000000" w:rsidRDefault="009B6C69">
            <w:pPr>
              <w:spacing w:after="100"/>
              <w:rPr>
                <w:rFonts w:eastAsia="Times New Roman"/>
                <w:sz w:val="20"/>
                <w:szCs w:val="20"/>
              </w:rPr>
            </w:pPr>
          </w:p>
        </w:tc>
        <w:tc>
          <w:tcPr>
            <w:tcW w:w="0" w:type="auto"/>
            <w:vAlign w:val="center"/>
            <w:hideMark/>
          </w:tcPr>
          <w:p w14:paraId="3EAD9AB0"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1439B7" w14:textId="77777777" w:rsidR="00000000" w:rsidRDefault="009B6C69">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14:paraId="13F6EAEA"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9EC6CA"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3CD434" w14:textId="77777777" w:rsidR="00000000" w:rsidRDefault="009B6C69">
            <w:pPr>
              <w:spacing w:after="100"/>
              <w:jc w:val="right"/>
              <w:rPr>
                <w:rFonts w:eastAsia="Times New Roman"/>
              </w:rPr>
            </w:pPr>
            <w:r>
              <w:rPr>
                <w:rFonts w:eastAsia="Times New Roman"/>
                <w:color w:val="000000"/>
                <w:sz w:val="18"/>
                <w:szCs w:val="18"/>
              </w:rPr>
              <w:t>(32)</w:t>
            </w:r>
          </w:p>
        </w:tc>
        <w:tc>
          <w:tcPr>
            <w:tcW w:w="0" w:type="auto"/>
            <w:shd w:val="clear" w:color="auto" w:fill="FFFFFF"/>
            <w:tcMar>
              <w:top w:w="30" w:type="dxa"/>
              <w:left w:w="0" w:type="dxa"/>
              <w:bottom w:w="30" w:type="dxa"/>
              <w:right w:w="20" w:type="dxa"/>
            </w:tcMar>
            <w:vAlign w:val="bottom"/>
            <w:hideMark/>
          </w:tcPr>
          <w:p w14:paraId="58A597CC"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BD53D6"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4613B4" w14:textId="77777777" w:rsidR="00000000" w:rsidRDefault="009B6C69">
            <w:pPr>
              <w:spacing w:after="100"/>
              <w:jc w:val="right"/>
              <w:rPr>
                <w:rFonts w:eastAsia="Times New Roman"/>
              </w:rPr>
            </w:pPr>
            <w:r>
              <w:rPr>
                <w:rFonts w:eastAsia="Times New Roman"/>
                <w:color w:val="000000"/>
                <w:sz w:val="18"/>
                <w:szCs w:val="18"/>
              </w:rPr>
              <w:t>(25)</w:t>
            </w:r>
          </w:p>
        </w:tc>
        <w:tc>
          <w:tcPr>
            <w:tcW w:w="0" w:type="auto"/>
            <w:shd w:val="clear" w:color="auto" w:fill="FFFFFF"/>
            <w:tcMar>
              <w:top w:w="30" w:type="dxa"/>
              <w:left w:w="0" w:type="dxa"/>
              <w:bottom w:w="30" w:type="dxa"/>
              <w:right w:w="20" w:type="dxa"/>
            </w:tcMar>
            <w:vAlign w:val="bottom"/>
            <w:hideMark/>
          </w:tcPr>
          <w:p w14:paraId="286ECDDD" w14:textId="77777777" w:rsidR="00000000" w:rsidRDefault="009B6C69">
            <w:pPr>
              <w:spacing w:after="100"/>
              <w:jc w:val="right"/>
              <w:rPr>
                <w:rFonts w:eastAsia="Times New Roman"/>
              </w:rPr>
            </w:pPr>
          </w:p>
        </w:tc>
      </w:tr>
      <w:tr w:rsidR="00000000" w14:paraId="6541EABE" w14:textId="77777777">
        <w:trPr>
          <w:divId w:val="1641962129"/>
        </w:trPr>
        <w:tc>
          <w:tcPr>
            <w:tcW w:w="0" w:type="auto"/>
            <w:gridSpan w:val="3"/>
            <w:shd w:val="clear" w:color="auto" w:fill="CCEEFF"/>
            <w:tcMar>
              <w:top w:w="0" w:type="dxa"/>
              <w:left w:w="20" w:type="dxa"/>
              <w:bottom w:w="0" w:type="dxa"/>
              <w:right w:w="20" w:type="dxa"/>
            </w:tcMar>
            <w:vAlign w:val="center"/>
            <w:hideMark/>
          </w:tcPr>
          <w:p w14:paraId="495A936C" w14:textId="77777777" w:rsidR="00000000" w:rsidRDefault="009B6C69">
            <w:pPr>
              <w:spacing w:after="100"/>
              <w:jc w:val="right"/>
              <w:rPr>
                <w:rFonts w:eastAsia="Times New Roman"/>
                <w:sz w:val="20"/>
                <w:szCs w:val="20"/>
              </w:rPr>
            </w:pPr>
          </w:p>
        </w:tc>
        <w:tc>
          <w:tcPr>
            <w:tcW w:w="0" w:type="auto"/>
            <w:vAlign w:val="center"/>
            <w:hideMark/>
          </w:tcPr>
          <w:p w14:paraId="32D675C5" w14:textId="77777777" w:rsidR="00000000" w:rsidRDefault="009B6C69">
            <w:pPr>
              <w:spacing w:after="100"/>
              <w:rPr>
                <w:rFonts w:eastAsia="Times New Roman"/>
                <w:sz w:val="20"/>
                <w:szCs w:val="20"/>
              </w:rPr>
            </w:pPr>
          </w:p>
        </w:tc>
        <w:tc>
          <w:tcPr>
            <w:tcW w:w="0" w:type="auto"/>
            <w:vAlign w:val="center"/>
            <w:hideMark/>
          </w:tcPr>
          <w:p w14:paraId="6870D0BE" w14:textId="77777777" w:rsidR="00000000" w:rsidRDefault="009B6C69">
            <w:pPr>
              <w:spacing w:after="100"/>
              <w:rPr>
                <w:rFonts w:eastAsia="Times New Roman"/>
                <w:sz w:val="20"/>
                <w:szCs w:val="20"/>
              </w:rPr>
            </w:pPr>
          </w:p>
        </w:tc>
        <w:tc>
          <w:tcPr>
            <w:tcW w:w="0" w:type="auto"/>
            <w:vAlign w:val="center"/>
            <w:hideMark/>
          </w:tcPr>
          <w:p w14:paraId="4B05027B" w14:textId="77777777" w:rsidR="00000000" w:rsidRDefault="009B6C69">
            <w:pPr>
              <w:spacing w:after="100"/>
              <w:rPr>
                <w:rFonts w:eastAsia="Times New Roman"/>
                <w:sz w:val="20"/>
                <w:szCs w:val="20"/>
              </w:rPr>
            </w:pPr>
          </w:p>
        </w:tc>
        <w:tc>
          <w:tcPr>
            <w:tcW w:w="0" w:type="auto"/>
            <w:vAlign w:val="center"/>
            <w:hideMark/>
          </w:tcPr>
          <w:p w14:paraId="1A3D1362" w14:textId="77777777" w:rsidR="00000000" w:rsidRDefault="009B6C69">
            <w:pPr>
              <w:spacing w:after="100"/>
              <w:rPr>
                <w:rFonts w:eastAsia="Times New Roman"/>
                <w:sz w:val="20"/>
                <w:szCs w:val="20"/>
              </w:rPr>
            </w:pPr>
          </w:p>
        </w:tc>
        <w:tc>
          <w:tcPr>
            <w:tcW w:w="0" w:type="auto"/>
            <w:vAlign w:val="center"/>
            <w:hideMark/>
          </w:tcPr>
          <w:p w14:paraId="341D6341" w14:textId="77777777" w:rsidR="00000000" w:rsidRDefault="009B6C69">
            <w:pPr>
              <w:spacing w:after="100"/>
              <w:rPr>
                <w:rFonts w:eastAsia="Times New Roman"/>
                <w:sz w:val="20"/>
                <w:szCs w:val="20"/>
              </w:rPr>
            </w:pPr>
          </w:p>
        </w:tc>
        <w:tc>
          <w:tcPr>
            <w:tcW w:w="0" w:type="auto"/>
            <w:vAlign w:val="center"/>
            <w:hideMark/>
          </w:tcPr>
          <w:p w14:paraId="6675877B" w14:textId="77777777" w:rsidR="00000000" w:rsidRDefault="009B6C69">
            <w:pPr>
              <w:spacing w:after="100"/>
              <w:rPr>
                <w:rFonts w:eastAsia="Times New Roman"/>
                <w:sz w:val="20"/>
                <w:szCs w:val="20"/>
              </w:rPr>
            </w:pPr>
          </w:p>
        </w:tc>
        <w:tc>
          <w:tcPr>
            <w:tcW w:w="0" w:type="auto"/>
            <w:vAlign w:val="center"/>
            <w:hideMark/>
          </w:tcPr>
          <w:p w14:paraId="45DB75D7" w14:textId="77777777" w:rsidR="00000000" w:rsidRDefault="009B6C69">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F449220"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4A68102" w14:textId="77777777" w:rsidR="00000000" w:rsidRDefault="009B6C69">
            <w:pPr>
              <w:spacing w:after="100"/>
              <w:jc w:val="right"/>
              <w:rPr>
                <w:rFonts w:eastAsia="Times New Roman"/>
              </w:rPr>
            </w:pPr>
            <w:r>
              <w:rPr>
                <w:rFonts w:eastAsia="Times New Roman"/>
                <w:color w:val="000000"/>
                <w:sz w:val="18"/>
                <w:szCs w:val="18"/>
              </w:rPr>
              <w:t>(372)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B00A1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7FB81A"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C66335"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1D8D713" w14:textId="77777777" w:rsidR="00000000" w:rsidRDefault="009B6C69">
            <w:pPr>
              <w:spacing w:after="100"/>
              <w:jc w:val="right"/>
              <w:rPr>
                <w:rFonts w:eastAsia="Times New Roman"/>
              </w:rPr>
            </w:pPr>
            <w:r>
              <w:rPr>
                <w:rFonts w:eastAsia="Times New Roman"/>
                <w:color w:val="000000"/>
                <w:sz w:val="18"/>
                <w:szCs w:val="18"/>
              </w:rPr>
              <w:t>1,044 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BFC04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3F5AF9"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91E8BC"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9A4BD0" w14:textId="77777777" w:rsidR="00000000" w:rsidRDefault="009B6C69">
            <w:pPr>
              <w:spacing w:after="100"/>
              <w:jc w:val="right"/>
              <w:rPr>
                <w:rFonts w:eastAsia="Times New Roman"/>
              </w:rPr>
            </w:pPr>
            <w:r>
              <w:rPr>
                <w:rFonts w:eastAsia="Times New Roman"/>
                <w:color w:val="000000"/>
                <w:sz w:val="18"/>
                <w:szCs w:val="18"/>
              </w:rPr>
              <w:t>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C5B4A65" w14:textId="77777777" w:rsidR="00000000" w:rsidRDefault="009B6C69">
            <w:pPr>
              <w:spacing w:after="100"/>
              <w:jc w:val="right"/>
              <w:rPr>
                <w:rFonts w:eastAsia="Times New Roman"/>
              </w:rPr>
            </w:pPr>
          </w:p>
        </w:tc>
      </w:tr>
    </w:tbl>
    <w:p w14:paraId="2CD76400" w14:textId="77777777" w:rsidR="00000000" w:rsidRDefault="009B6C69">
      <w:pPr>
        <w:ind w:firstLine="360"/>
        <w:divId w:val="308635433"/>
        <w:rPr>
          <w:rFonts w:eastAsia="Times New Roman"/>
        </w:rPr>
      </w:pPr>
      <w:r>
        <w:rPr>
          <w:rFonts w:eastAsia="Times New Roman"/>
          <w:color w:val="000000"/>
          <w:sz w:val="20"/>
          <w:szCs w:val="20"/>
        </w:rPr>
        <w:t xml:space="preserve">In fiscal 2020, in part due to the impact of COVID-19, certain of our investments were impaired and written down to their estimated fair values (a significant portion of which related to the full impairment of our </w:t>
      </w:r>
      <w:r>
        <w:rPr>
          <w:rFonts w:eastAsia="Times New Roman"/>
          <w:color w:val="000000"/>
          <w:sz w:val="20"/>
          <w:szCs w:val="20"/>
        </w:rPr>
        <w:t>investment in OneWeb, who filed for bankruptcy in the second quarter of fiscal 2020).</w:t>
      </w:r>
    </w:p>
    <w:p w14:paraId="5E2419D5" w14:textId="77777777" w:rsidR="00000000" w:rsidRDefault="009B6C69">
      <w:pPr>
        <w:jc w:val="center"/>
        <w:divId w:val="804856625"/>
        <w:rPr>
          <w:rFonts w:eastAsia="Times New Roman"/>
        </w:rPr>
      </w:pPr>
      <w:r>
        <w:rPr>
          <w:rFonts w:eastAsia="Times New Roman"/>
          <w:color w:val="000000"/>
          <w:sz w:val="20"/>
          <w:szCs w:val="20"/>
        </w:rPr>
        <w:t>F-18</w:t>
      </w:r>
    </w:p>
    <w:p w14:paraId="29FFE54F" w14:textId="77777777" w:rsidR="00000000" w:rsidRDefault="009B6C69">
      <w:pPr>
        <w:rPr>
          <w:rFonts w:eastAsia="Times New Roman"/>
        </w:rPr>
      </w:pPr>
      <w:r>
        <w:rPr>
          <w:rFonts w:eastAsia="Times New Roman"/>
        </w:rPr>
        <w:pict w14:anchorId="5B599CD4">
          <v:rect id="_x0000_i1098" style="width:0;height:1.5pt" o:hralign="center" o:hrstd="t" o:hr="t" fillcolor="#a0a0a0" stroked="f"/>
        </w:pict>
      </w:r>
    </w:p>
    <w:p w14:paraId="590CD4E0" w14:textId="77777777" w:rsidR="00000000" w:rsidRDefault="009B6C69">
      <w:pPr>
        <w:jc w:val="center"/>
        <w:divId w:val="1436169029"/>
        <w:rPr>
          <w:rFonts w:eastAsia="Times New Roman"/>
        </w:rPr>
      </w:pPr>
    </w:p>
    <w:p w14:paraId="5C4F72A9" w14:textId="77777777" w:rsidR="00000000" w:rsidRDefault="009B6C69">
      <w:pPr>
        <w:jc w:val="center"/>
        <w:divId w:val="1436169029"/>
        <w:rPr>
          <w:rFonts w:eastAsia="Times New Roman"/>
        </w:rPr>
      </w:pPr>
      <w:r>
        <w:rPr>
          <w:rFonts w:eastAsia="Times New Roman"/>
          <w:b/>
          <w:bCs/>
          <w:color w:val="000000"/>
          <w:sz w:val="20"/>
          <w:szCs w:val="20"/>
        </w:rPr>
        <w:t>QUALCOMM Incorporated</w:t>
      </w:r>
    </w:p>
    <w:p w14:paraId="6EEE9CB3" w14:textId="77777777" w:rsidR="00000000" w:rsidRDefault="009B6C69">
      <w:pPr>
        <w:jc w:val="center"/>
        <w:divId w:val="1436169029"/>
        <w:rPr>
          <w:rFonts w:eastAsia="Times New Roman"/>
        </w:rPr>
      </w:pPr>
      <w:r>
        <w:rPr>
          <w:rFonts w:eastAsia="Times New Roman"/>
          <w:b/>
          <w:bCs/>
          <w:color w:val="000000"/>
          <w:sz w:val="20"/>
          <w:szCs w:val="20"/>
        </w:rPr>
        <w:t>NOTES TO CONSOLIDATED FINANCIAL STATEMENTS</w:t>
      </w:r>
    </w:p>
    <w:p w14:paraId="52FE8107" w14:textId="77777777" w:rsidR="00000000" w:rsidRDefault="009B6C69">
      <w:pPr>
        <w:divId w:val="1969697651"/>
        <w:rPr>
          <w:rFonts w:eastAsia="Times New Roman"/>
        </w:rPr>
      </w:pPr>
      <w:r>
        <w:rPr>
          <w:rFonts w:eastAsia="Times New Roman"/>
          <w:b/>
          <w:bCs/>
          <w:color w:val="000000"/>
          <w:sz w:val="20"/>
          <w:szCs w:val="20"/>
        </w:rPr>
        <w:t>Note 3. Income Taxes</w:t>
      </w:r>
    </w:p>
    <w:p w14:paraId="08A8C915" w14:textId="77777777" w:rsidR="00000000" w:rsidRDefault="009B6C69">
      <w:pPr>
        <w:ind w:firstLine="360"/>
        <w:divId w:val="1484466609"/>
        <w:rPr>
          <w:rFonts w:eastAsia="Times New Roman"/>
        </w:rPr>
      </w:pPr>
      <w:r>
        <w:rPr>
          <w:rFonts w:eastAsia="Times New Roman"/>
          <w:color w:val="000000"/>
          <w:sz w:val="20"/>
          <w:szCs w:val="20"/>
        </w:rPr>
        <w:t>The components of the income tax provision from continuing operations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5022"/>
        <w:gridCol w:w="36"/>
        <w:gridCol w:w="110"/>
        <w:gridCol w:w="866"/>
        <w:gridCol w:w="36"/>
        <w:gridCol w:w="36"/>
        <w:gridCol w:w="36"/>
        <w:gridCol w:w="36"/>
        <w:gridCol w:w="110"/>
        <w:gridCol w:w="832"/>
        <w:gridCol w:w="36"/>
        <w:gridCol w:w="36"/>
        <w:gridCol w:w="36"/>
        <w:gridCol w:w="36"/>
        <w:gridCol w:w="110"/>
        <w:gridCol w:w="832"/>
        <w:gridCol w:w="36"/>
      </w:tblGrid>
      <w:tr w:rsidR="00000000" w14:paraId="72931425" w14:textId="77777777">
        <w:trPr>
          <w:divId w:val="732389101"/>
        </w:trPr>
        <w:tc>
          <w:tcPr>
            <w:tcW w:w="50" w:type="pct"/>
            <w:vAlign w:val="center"/>
            <w:hideMark/>
          </w:tcPr>
          <w:p w14:paraId="4E36CE72" w14:textId="77777777" w:rsidR="00000000" w:rsidRDefault="009B6C69">
            <w:pPr>
              <w:ind w:firstLine="360"/>
              <w:rPr>
                <w:rFonts w:eastAsia="Times New Roman"/>
              </w:rPr>
            </w:pPr>
          </w:p>
        </w:tc>
        <w:tc>
          <w:tcPr>
            <w:tcW w:w="3056" w:type="pct"/>
            <w:vAlign w:val="center"/>
            <w:hideMark/>
          </w:tcPr>
          <w:p w14:paraId="279ABE83" w14:textId="77777777" w:rsidR="00000000" w:rsidRDefault="009B6C69">
            <w:pPr>
              <w:spacing w:after="100"/>
              <w:rPr>
                <w:rFonts w:eastAsia="Times New Roman"/>
                <w:sz w:val="20"/>
                <w:szCs w:val="20"/>
              </w:rPr>
            </w:pPr>
          </w:p>
        </w:tc>
        <w:tc>
          <w:tcPr>
            <w:tcW w:w="5" w:type="pct"/>
            <w:vAlign w:val="center"/>
            <w:hideMark/>
          </w:tcPr>
          <w:p w14:paraId="768B6BEC" w14:textId="77777777" w:rsidR="00000000" w:rsidRDefault="009B6C69">
            <w:pPr>
              <w:spacing w:after="100"/>
              <w:rPr>
                <w:rFonts w:eastAsia="Times New Roman"/>
                <w:sz w:val="20"/>
                <w:szCs w:val="20"/>
              </w:rPr>
            </w:pPr>
          </w:p>
        </w:tc>
        <w:tc>
          <w:tcPr>
            <w:tcW w:w="50" w:type="pct"/>
            <w:vAlign w:val="center"/>
            <w:hideMark/>
          </w:tcPr>
          <w:p w14:paraId="5DB82FBF" w14:textId="77777777" w:rsidR="00000000" w:rsidRDefault="009B6C69">
            <w:pPr>
              <w:spacing w:after="100"/>
              <w:rPr>
                <w:rFonts w:eastAsia="Times New Roman"/>
                <w:sz w:val="20"/>
                <w:szCs w:val="20"/>
              </w:rPr>
            </w:pPr>
          </w:p>
        </w:tc>
        <w:tc>
          <w:tcPr>
            <w:tcW w:w="549" w:type="pct"/>
            <w:vAlign w:val="center"/>
            <w:hideMark/>
          </w:tcPr>
          <w:p w14:paraId="7E0CABB1" w14:textId="77777777" w:rsidR="00000000" w:rsidRDefault="009B6C69">
            <w:pPr>
              <w:spacing w:after="100"/>
              <w:rPr>
                <w:rFonts w:eastAsia="Times New Roman"/>
                <w:sz w:val="20"/>
                <w:szCs w:val="20"/>
              </w:rPr>
            </w:pPr>
          </w:p>
        </w:tc>
        <w:tc>
          <w:tcPr>
            <w:tcW w:w="5" w:type="pct"/>
            <w:vAlign w:val="center"/>
            <w:hideMark/>
          </w:tcPr>
          <w:p w14:paraId="4723A86D" w14:textId="77777777" w:rsidR="00000000" w:rsidRDefault="009B6C69">
            <w:pPr>
              <w:spacing w:after="100"/>
              <w:rPr>
                <w:rFonts w:eastAsia="Times New Roman"/>
                <w:sz w:val="20"/>
                <w:szCs w:val="20"/>
              </w:rPr>
            </w:pPr>
          </w:p>
        </w:tc>
        <w:tc>
          <w:tcPr>
            <w:tcW w:w="5" w:type="pct"/>
            <w:vAlign w:val="center"/>
            <w:hideMark/>
          </w:tcPr>
          <w:p w14:paraId="3E0132A4" w14:textId="77777777" w:rsidR="00000000" w:rsidRDefault="009B6C69">
            <w:pPr>
              <w:spacing w:after="100"/>
              <w:rPr>
                <w:rFonts w:eastAsia="Times New Roman"/>
                <w:sz w:val="20"/>
                <w:szCs w:val="20"/>
              </w:rPr>
            </w:pPr>
          </w:p>
        </w:tc>
        <w:tc>
          <w:tcPr>
            <w:tcW w:w="27" w:type="pct"/>
            <w:vAlign w:val="center"/>
            <w:hideMark/>
          </w:tcPr>
          <w:p w14:paraId="4F009DA3" w14:textId="77777777" w:rsidR="00000000" w:rsidRDefault="009B6C69">
            <w:pPr>
              <w:spacing w:after="100"/>
              <w:rPr>
                <w:rFonts w:eastAsia="Times New Roman"/>
                <w:sz w:val="20"/>
                <w:szCs w:val="20"/>
              </w:rPr>
            </w:pPr>
          </w:p>
        </w:tc>
        <w:tc>
          <w:tcPr>
            <w:tcW w:w="5" w:type="pct"/>
            <w:vAlign w:val="center"/>
            <w:hideMark/>
          </w:tcPr>
          <w:p w14:paraId="65AC4ACF" w14:textId="77777777" w:rsidR="00000000" w:rsidRDefault="009B6C69">
            <w:pPr>
              <w:spacing w:after="100"/>
              <w:rPr>
                <w:rFonts w:eastAsia="Times New Roman"/>
                <w:sz w:val="20"/>
                <w:szCs w:val="20"/>
              </w:rPr>
            </w:pPr>
          </w:p>
        </w:tc>
        <w:tc>
          <w:tcPr>
            <w:tcW w:w="50" w:type="pct"/>
            <w:vAlign w:val="center"/>
            <w:hideMark/>
          </w:tcPr>
          <w:p w14:paraId="1DBEC3D0" w14:textId="77777777" w:rsidR="00000000" w:rsidRDefault="009B6C69">
            <w:pPr>
              <w:spacing w:after="100"/>
              <w:rPr>
                <w:rFonts w:eastAsia="Times New Roman"/>
                <w:sz w:val="20"/>
                <w:szCs w:val="20"/>
              </w:rPr>
            </w:pPr>
          </w:p>
        </w:tc>
        <w:tc>
          <w:tcPr>
            <w:tcW w:w="549" w:type="pct"/>
            <w:vAlign w:val="center"/>
            <w:hideMark/>
          </w:tcPr>
          <w:p w14:paraId="3A6AC985" w14:textId="77777777" w:rsidR="00000000" w:rsidRDefault="009B6C69">
            <w:pPr>
              <w:spacing w:after="100"/>
              <w:rPr>
                <w:rFonts w:eastAsia="Times New Roman"/>
                <w:sz w:val="20"/>
                <w:szCs w:val="20"/>
              </w:rPr>
            </w:pPr>
          </w:p>
        </w:tc>
        <w:tc>
          <w:tcPr>
            <w:tcW w:w="5" w:type="pct"/>
            <w:vAlign w:val="center"/>
            <w:hideMark/>
          </w:tcPr>
          <w:p w14:paraId="2DC1CDAE" w14:textId="77777777" w:rsidR="00000000" w:rsidRDefault="009B6C69">
            <w:pPr>
              <w:spacing w:after="100"/>
              <w:rPr>
                <w:rFonts w:eastAsia="Times New Roman"/>
                <w:sz w:val="20"/>
                <w:szCs w:val="20"/>
              </w:rPr>
            </w:pPr>
          </w:p>
        </w:tc>
        <w:tc>
          <w:tcPr>
            <w:tcW w:w="5" w:type="pct"/>
            <w:vAlign w:val="center"/>
            <w:hideMark/>
          </w:tcPr>
          <w:p w14:paraId="7EFC684B" w14:textId="77777777" w:rsidR="00000000" w:rsidRDefault="009B6C69">
            <w:pPr>
              <w:spacing w:after="100"/>
              <w:rPr>
                <w:rFonts w:eastAsia="Times New Roman"/>
                <w:sz w:val="20"/>
                <w:szCs w:val="20"/>
              </w:rPr>
            </w:pPr>
          </w:p>
        </w:tc>
        <w:tc>
          <w:tcPr>
            <w:tcW w:w="27" w:type="pct"/>
            <w:vAlign w:val="center"/>
            <w:hideMark/>
          </w:tcPr>
          <w:p w14:paraId="343A0E84" w14:textId="77777777" w:rsidR="00000000" w:rsidRDefault="009B6C69">
            <w:pPr>
              <w:spacing w:after="100"/>
              <w:rPr>
                <w:rFonts w:eastAsia="Times New Roman"/>
                <w:sz w:val="20"/>
                <w:szCs w:val="20"/>
              </w:rPr>
            </w:pPr>
          </w:p>
        </w:tc>
        <w:tc>
          <w:tcPr>
            <w:tcW w:w="5" w:type="pct"/>
            <w:vAlign w:val="center"/>
            <w:hideMark/>
          </w:tcPr>
          <w:p w14:paraId="324BAECD" w14:textId="77777777" w:rsidR="00000000" w:rsidRDefault="009B6C69">
            <w:pPr>
              <w:spacing w:after="100"/>
              <w:rPr>
                <w:rFonts w:eastAsia="Times New Roman"/>
                <w:sz w:val="20"/>
                <w:szCs w:val="20"/>
              </w:rPr>
            </w:pPr>
          </w:p>
        </w:tc>
        <w:tc>
          <w:tcPr>
            <w:tcW w:w="50" w:type="pct"/>
            <w:vAlign w:val="center"/>
            <w:hideMark/>
          </w:tcPr>
          <w:p w14:paraId="1C7DC7F1" w14:textId="77777777" w:rsidR="00000000" w:rsidRDefault="009B6C69">
            <w:pPr>
              <w:spacing w:after="100"/>
              <w:rPr>
                <w:rFonts w:eastAsia="Times New Roman"/>
                <w:sz w:val="20"/>
                <w:szCs w:val="20"/>
              </w:rPr>
            </w:pPr>
          </w:p>
        </w:tc>
        <w:tc>
          <w:tcPr>
            <w:tcW w:w="549" w:type="pct"/>
            <w:vAlign w:val="center"/>
            <w:hideMark/>
          </w:tcPr>
          <w:p w14:paraId="206C1762" w14:textId="77777777" w:rsidR="00000000" w:rsidRDefault="009B6C69">
            <w:pPr>
              <w:spacing w:after="100"/>
              <w:rPr>
                <w:rFonts w:eastAsia="Times New Roman"/>
                <w:sz w:val="20"/>
                <w:szCs w:val="20"/>
              </w:rPr>
            </w:pPr>
          </w:p>
        </w:tc>
        <w:tc>
          <w:tcPr>
            <w:tcW w:w="5" w:type="pct"/>
            <w:vAlign w:val="center"/>
            <w:hideMark/>
          </w:tcPr>
          <w:p w14:paraId="6DC9D23B" w14:textId="77777777" w:rsidR="00000000" w:rsidRDefault="009B6C69">
            <w:pPr>
              <w:spacing w:after="100"/>
              <w:rPr>
                <w:rFonts w:eastAsia="Times New Roman"/>
                <w:sz w:val="20"/>
                <w:szCs w:val="20"/>
              </w:rPr>
            </w:pPr>
          </w:p>
        </w:tc>
      </w:tr>
      <w:tr w:rsidR="00000000" w14:paraId="7EA1F370" w14:textId="77777777">
        <w:trPr>
          <w:divId w:val="732389101"/>
        </w:trPr>
        <w:tc>
          <w:tcPr>
            <w:tcW w:w="0" w:type="auto"/>
            <w:gridSpan w:val="3"/>
            <w:tcMar>
              <w:top w:w="0" w:type="dxa"/>
              <w:left w:w="20" w:type="dxa"/>
              <w:bottom w:w="0" w:type="dxa"/>
              <w:right w:w="20" w:type="dxa"/>
            </w:tcMar>
            <w:vAlign w:val="center"/>
            <w:hideMark/>
          </w:tcPr>
          <w:p w14:paraId="0F78D33E"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94CB87B"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14:paraId="7F4E210B"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356A572"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5E15E965"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9A79F96" w14:textId="77777777" w:rsidR="00000000" w:rsidRDefault="009B6C69">
            <w:pPr>
              <w:spacing w:after="100"/>
              <w:jc w:val="center"/>
              <w:rPr>
                <w:rFonts w:eastAsia="Times New Roman"/>
              </w:rPr>
            </w:pPr>
            <w:r>
              <w:rPr>
                <w:rFonts w:eastAsia="Times New Roman"/>
                <w:b/>
                <w:bCs/>
                <w:color w:val="000000"/>
                <w:sz w:val="18"/>
                <w:szCs w:val="18"/>
              </w:rPr>
              <w:t>2020</w:t>
            </w:r>
          </w:p>
        </w:tc>
      </w:tr>
      <w:tr w:rsidR="00000000" w14:paraId="4E477102" w14:textId="77777777">
        <w:trPr>
          <w:divId w:val="732389101"/>
        </w:trPr>
        <w:tc>
          <w:tcPr>
            <w:tcW w:w="0" w:type="auto"/>
            <w:gridSpan w:val="3"/>
            <w:tcMar>
              <w:top w:w="30" w:type="dxa"/>
              <w:left w:w="20" w:type="dxa"/>
              <w:bottom w:w="30" w:type="dxa"/>
              <w:right w:w="20" w:type="dxa"/>
            </w:tcMar>
            <w:vAlign w:val="bottom"/>
            <w:hideMark/>
          </w:tcPr>
          <w:p w14:paraId="26050780" w14:textId="77777777" w:rsidR="00000000" w:rsidRDefault="009B6C69">
            <w:pPr>
              <w:spacing w:after="100"/>
              <w:rPr>
                <w:rFonts w:eastAsia="Times New Roman"/>
              </w:rPr>
            </w:pPr>
            <w:r>
              <w:rPr>
                <w:rFonts w:eastAsia="Times New Roman"/>
                <w:color w:val="000000"/>
                <w:sz w:val="18"/>
                <w:szCs w:val="18"/>
              </w:rPr>
              <w:t>Current provision:</w:t>
            </w:r>
          </w:p>
        </w:tc>
        <w:tc>
          <w:tcPr>
            <w:tcW w:w="0" w:type="auto"/>
            <w:gridSpan w:val="3"/>
            <w:tcBorders>
              <w:top w:val="single" w:sz="8" w:space="0" w:color="000000"/>
            </w:tcBorders>
            <w:tcMar>
              <w:top w:w="30" w:type="dxa"/>
              <w:left w:w="20" w:type="dxa"/>
              <w:bottom w:w="30" w:type="dxa"/>
              <w:right w:w="20" w:type="dxa"/>
            </w:tcMar>
            <w:vAlign w:val="bottom"/>
            <w:hideMark/>
          </w:tcPr>
          <w:p w14:paraId="29FD7E10" w14:textId="77777777" w:rsidR="00000000" w:rsidRDefault="009B6C6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7CD9E701" w14:textId="77777777" w:rsidR="00000000" w:rsidRDefault="009B6C6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7FFE3C" w14:textId="77777777" w:rsidR="00000000" w:rsidRDefault="009B6C6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1F491ACA" w14:textId="77777777" w:rsidR="00000000" w:rsidRDefault="009B6C6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958CCD" w14:textId="77777777" w:rsidR="00000000" w:rsidRDefault="009B6C69">
            <w:pPr>
              <w:spacing w:after="100"/>
              <w:rPr>
                <w:rFonts w:eastAsia="Times New Roman"/>
              </w:rPr>
            </w:pPr>
            <w:r>
              <w:rPr>
                <w:rFonts w:eastAsia="Times New Roman"/>
                <w:color w:val="000000"/>
                <w:sz w:val="18"/>
                <w:szCs w:val="18"/>
              </w:rPr>
              <w:t> </w:t>
            </w:r>
          </w:p>
        </w:tc>
      </w:tr>
      <w:tr w:rsidR="00000000" w14:paraId="1032F6ED" w14:textId="77777777">
        <w:trPr>
          <w:divId w:val="732389101"/>
        </w:trPr>
        <w:tc>
          <w:tcPr>
            <w:tcW w:w="0" w:type="auto"/>
            <w:gridSpan w:val="3"/>
            <w:shd w:val="clear" w:color="auto" w:fill="CCEEFF"/>
            <w:tcMar>
              <w:top w:w="30" w:type="dxa"/>
              <w:left w:w="155" w:type="dxa"/>
              <w:bottom w:w="30" w:type="dxa"/>
              <w:right w:w="20" w:type="dxa"/>
            </w:tcMar>
            <w:vAlign w:val="bottom"/>
            <w:hideMark/>
          </w:tcPr>
          <w:p w14:paraId="25C74015" w14:textId="77777777" w:rsidR="00000000" w:rsidRDefault="009B6C69">
            <w:pPr>
              <w:spacing w:after="100"/>
              <w:rPr>
                <w:rFonts w:eastAsia="Times New Roman"/>
              </w:rPr>
            </w:pPr>
            <w:r>
              <w:rPr>
                <w:rFonts w:eastAsia="Times New Roman"/>
                <w:color w:val="000000"/>
                <w:sz w:val="18"/>
                <w:szCs w:val="18"/>
              </w:rPr>
              <w:t>Federal</w:t>
            </w:r>
          </w:p>
        </w:tc>
        <w:tc>
          <w:tcPr>
            <w:tcW w:w="0" w:type="auto"/>
            <w:shd w:val="clear" w:color="auto" w:fill="CCEEFF"/>
            <w:tcMar>
              <w:top w:w="30" w:type="dxa"/>
              <w:left w:w="20" w:type="dxa"/>
              <w:bottom w:w="30" w:type="dxa"/>
              <w:right w:w="0" w:type="dxa"/>
            </w:tcMar>
            <w:vAlign w:val="bottom"/>
            <w:hideMark/>
          </w:tcPr>
          <w:p w14:paraId="67F21DC0"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E6C2A76" w14:textId="77777777" w:rsidR="00000000" w:rsidRDefault="009B6C69">
            <w:pPr>
              <w:spacing w:after="100"/>
              <w:jc w:val="right"/>
              <w:rPr>
                <w:rFonts w:eastAsia="Times New Roman"/>
              </w:rPr>
            </w:pPr>
            <w:r>
              <w:rPr>
                <w:rFonts w:eastAsia="Times New Roman"/>
                <w:color w:val="000000"/>
                <w:sz w:val="18"/>
                <w:szCs w:val="18"/>
              </w:rPr>
              <w:t>1,114 </w:t>
            </w:r>
          </w:p>
        </w:tc>
        <w:tc>
          <w:tcPr>
            <w:tcW w:w="0" w:type="auto"/>
            <w:shd w:val="clear" w:color="auto" w:fill="CCEEFF"/>
            <w:tcMar>
              <w:top w:w="30" w:type="dxa"/>
              <w:left w:w="0" w:type="dxa"/>
              <w:bottom w:w="30" w:type="dxa"/>
              <w:right w:w="20" w:type="dxa"/>
            </w:tcMar>
            <w:vAlign w:val="bottom"/>
            <w:hideMark/>
          </w:tcPr>
          <w:p w14:paraId="26A5D74C"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413DB3"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E8D39F"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70B3B33" w14:textId="77777777" w:rsidR="00000000" w:rsidRDefault="009B6C69">
            <w:pPr>
              <w:spacing w:after="100"/>
              <w:jc w:val="right"/>
              <w:rPr>
                <w:rFonts w:eastAsia="Times New Roman"/>
              </w:rPr>
            </w:pPr>
            <w:r>
              <w:rPr>
                <w:rFonts w:eastAsia="Times New Roman"/>
                <w:color w:val="000000"/>
                <w:sz w:val="18"/>
                <w:szCs w:val="18"/>
              </w:rPr>
              <w:t>942 </w:t>
            </w:r>
          </w:p>
        </w:tc>
        <w:tc>
          <w:tcPr>
            <w:tcW w:w="0" w:type="auto"/>
            <w:shd w:val="clear" w:color="auto" w:fill="CCEEFF"/>
            <w:tcMar>
              <w:top w:w="30" w:type="dxa"/>
              <w:left w:w="0" w:type="dxa"/>
              <w:bottom w:w="30" w:type="dxa"/>
              <w:right w:w="20" w:type="dxa"/>
            </w:tcMar>
            <w:vAlign w:val="bottom"/>
            <w:hideMark/>
          </w:tcPr>
          <w:p w14:paraId="64EAF575"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D772DB"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85DFDDE"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8E12456" w14:textId="77777777" w:rsidR="00000000" w:rsidRDefault="009B6C69">
            <w:pPr>
              <w:spacing w:after="100"/>
              <w:jc w:val="right"/>
              <w:rPr>
                <w:rFonts w:eastAsia="Times New Roman"/>
              </w:rPr>
            </w:pPr>
            <w:r>
              <w:rPr>
                <w:rFonts w:eastAsia="Times New Roman"/>
                <w:color w:val="000000"/>
                <w:sz w:val="18"/>
                <w:szCs w:val="18"/>
              </w:rPr>
              <w:t>210 </w:t>
            </w:r>
          </w:p>
        </w:tc>
        <w:tc>
          <w:tcPr>
            <w:tcW w:w="0" w:type="auto"/>
            <w:shd w:val="clear" w:color="auto" w:fill="CCEEFF"/>
            <w:tcMar>
              <w:top w:w="30" w:type="dxa"/>
              <w:left w:w="0" w:type="dxa"/>
              <w:bottom w:w="30" w:type="dxa"/>
              <w:right w:w="20" w:type="dxa"/>
            </w:tcMar>
            <w:vAlign w:val="bottom"/>
            <w:hideMark/>
          </w:tcPr>
          <w:p w14:paraId="003BC64C" w14:textId="77777777" w:rsidR="00000000" w:rsidRDefault="009B6C69">
            <w:pPr>
              <w:spacing w:after="100"/>
              <w:jc w:val="right"/>
              <w:rPr>
                <w:rFonts w:eastAsia="Times New Roman"/>
              </w:rPr>
            </w:pPr>
          </w:p>
        </w:tc>
      </w:tr>
      <w:tr w:rsidR="00000000" w14:paraId="0F3A3D2A" w14:textId="77777777">
        <w:trPr>
          <w:divId w:val="732389101"/>
        </w:trPr>
        <w:tc>
          <w:tcPr>
            <w:tcW w:w="0" w:type="auto"/>
            <w:gridSpan w:val="3"/>
            <w:shd w:val="clear" w:color="auto" w:fill="FFFFFF"/>
            <w:tcMar>
              <w:top w:w="30" w:type="dxa"/>
              <w:left w:w="155" w:type="dxa"/>
              <w:bottom w:w="30" w:type="dxa"/>
              <w:right w:w="20" w:type="dxa"/>
            </w:tcMar>
            <w:vAlign w:val="bottom"/>
            <w:hideMark/>
          </w:tcPr>
          <w:p w14:paraId="0E37A71D" w14:textId="77777777" w:rsidR="00000000" w:rsidRDefault="009B6C69">
            <w:pPr>
              <w:spacing w:after="100"/>
              <w:rPr>
                <w:rFonts w:eastAsia="Times New Roman"/>
              </w:rPr>
            </w:pPr>
            <w:r>
              <w:rPr>
                <w:rFonts w:eastAsia="Times New Roman"/>
                <w:color w:val="000000"/>
                <w:sz w:val="18"/>
                <w:szCs w:val="18"/>
              </w:rPr>
              <w:t>State</w:t>
            </w:r>
          </w:p>
        </w:tc>
        <w:tc>
          <w:tcPr>
            <w:tcW w:w="0" w:type="auto"/>
            <w:gridSpan w:val="2"/>
            <w:shd w:val="clear" w:color="auto" w:fill="FFFFFF"/>
            <w:tcMar>
              <w:top w:w="30" w:type="dxa"/>
              <w:left w:w="20" w:type="dxa"/>
              <w:bottom w:w="30" w:type="dxa"/>
              <w:right w:w="0" w:type="dxa"/>
            </w:tcMar>
            <w:vAlign w:val="bottom"/>
            <w:hideMark/>
          </w:tcPr>
          <w:p w14:paraId="0812AA2F" w14:textId="77777777" w:rsidR="00000000" w:rsidRDefault="009B6C69">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4F177DE8"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461F74"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317FF4" w14:textId="77777777" w:rsidR="00000000" w:rsidRDefault="009B6C69">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14:paraId="3A06932D"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48EF87"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19E123" w14:textId="77777777" w:rsidR="00000000" w:rsidRDefault="009B6C69">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71DEE669" w14:textId="77777777" w:rsidR="00000000" w:rsidRDefault="009B6C69">
            <w:pPr>
              <w:spacing w:after="100"/>
              <w:jc w:val="right"/>
              <w:rPr>
                <w:rFonts w:eastAsia="Times New Roman"/>
              </w:rPr>
            </w:pPr>
          </w:p>
        </w:tc>
      </w:tr>
      <w:tr w:rsidR="00000000" w14:paraId="6484DFBC" w14:textId="77777777">
        <w:trPr>
          <w:divId w:val="732389101"/>
        </w:trPr>
        <w:tc>
          <w:tcPr>
            <w:tcW w:w="0" w:type="auto"/>
            <w:gridSpan w:val="3"/>
            <w:shd w:val="clear" w:color="auto" w:fill="CCEEFF"/>
            <w:tcMar>
              <w:top w:w="30" w:type="dxa"/>
              <w:left w:w="155" w:type="dxa"/>
              <w:bottom w:w="30" w:type="dxa"/>
              <w:right w:w="20" w:type="dxa"/>
            </w:tcMar>
            <w:vAlign w:val="bottom"/>
            <w:hideMark/>
          </w:tcPr>
          <w:p w14:paraId="484920D7" w14:textId="77777777" w:rsidR="00000000" w:rsidRDefault="009B6C69">
            <w:pPr>
              <w:spacing w:after="100"/>
              <w:rPr>
                <w:rFonts w:eastAsia="Times New Roman"/>
              </w:rPr>
            </w:pPr>
            <w:r>
              <w:rPr>
                <w:rFonts w:eastAsia="Times New Roman"/>
                <w:color w:val="000000"/>
                <w:sz w:val="18"/>
                <w:szCs w:val="18"/>
              </w:rPr>
              <w:t>Foreign (1)</w:t>
            </w:r>
          </w:p>
        </w:tc>
        <w:tc>
          <w:tcPr>
            <w:tcW w:w="0" w:type="auto"/>
            <w:gridSpan w:val="2"/>
            <w:shd w:val="clear" w:color="auto" w:fill="CCEEFF"/>
            <w:tcMar>
              <w:top w:w="30" w:type="dxa"/>
              <w:left w:w="20" w:type="dxa"/>
              <w:bottom w:w="30" w:type="dxa"/>
              <w:right w:w="0" w:type="dxa"/>
            </w:tcMar>
            <w:vAlign w:val="bottom"/>
            <w:hideMark/>
          </w:tcPr>
          <w:p w14:paraId="387DB4DE" w14:textId="77777777" w:rsidR="00000000" w:rsidRDefault="009B6C69">
            <w:pPr>
              <w:spacing w:after="100"/>
              <w:jc w:val="right"/>
              <w:rPr>
                <w:rFonts w:eastAsia="Times New Roman"/>
              </w:rPr>
            </w:pPr>
            <w:r>
              <w:rPr>
                <w:rFonts w:eastAsia="Times New Roman"/>
                <w:color w:val="000000"/>
                <w:sz w:val="18"/>
                <w:szCs w:val="18"/>
              </w:rPr>
              <w:t>906 </w:t>
            </w:r>
          </w:p>
        </w:tc>
        <w:tc>
          <w:tcPr>
            <w:tcW w:w="0" w:type="auto"/>
            <w:shd w:val="clear" w:color="auto" w:fill="CCEEFF"/>
            <w:tcMar>
              <w:top w:w="30" w:type="dxa"/>
              <w:left w:w="0" w:type="dxa"/>
              <w:bottom w:w="30" w:type="dxa"/>
              <w:right w:w="20" w:type="dxa"/>
            </w:tcMar>
            <w:vAlign w:val="bottom"/>
            <w:hideMark/>
          </w:tcPr>
          <w:p w14:paraId="49907D8B"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2D0F9E"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BCFD3D" w14:textId="77777777" w:rsidR="00000000" w:rsidRDefault="009B6C69">
            <w:pPr>
              <w:spacing w:after="100"/>
              <w:jc w:val="right"/>
              <w:rPr>
                <w:rFonts w:eastAsia="Times New Roman"/>
              </w:rPr>
            </w:pPr>
            <w:r>
              <w:rPr>
                <w:rFonts w:eastAsia="Times New Roman"/>
                <w:color w:val="000000"/>
                <w:sz w:val="18"/>
                <w:szCs w:val="18"/>
              </w:rPr>
              <w:t>518 </w:t>
            </w:r>
          </w:p>
        </w:tc>
        <w:tc>
          <w:tcPr>
            <w:tcW w:w="0" w:type="auto"/>
            <w:shd w:val="clear" w:color="auto" w:fill="CCEEFF"/>
            <w:tcMar>
              <w:top w:w="30" w:type="dxa"/>
              <w:left w:w="0" w:type="dxa"/>
              <w:bottom w:w="30" w:type="dxa"/>
              <w:right w:w="20" w:type="dxa"/>
            </w:tcMar>
            <w:vAlign w:val="bottom"/>
            <w:hideMark/>
          </w:tcPr>
          <w:p w14:paraId="3B4BC2A9"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779B65"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914EE7" w14:textId="77777777" w:rsidR="00000000" w:rsidRDefault="009B6C69">
            <w:pPr>
              <w:spacing w:after="100"/>
              <w:jc w:val="right"/>
              <w:rPr>
                <w:rFonts w:eastAsia="Times New Roman"/>
              </w:rPr>
            </w:pPr>
            <w:r>
              <w:rPr>
                <w:rFonts w:eastAsia="Times New Roman"/>
                <w:color w:val="000000"/>
                <w:sz w:val="18"/>
                <w:szCs w:val="18"/>
              </w:rPr>
              <w:t>526 </w:t>
            </w:r>
          </w:p>
        </w:tc>
        <w:tc>
          <w:tcPr>
            <w:tcW w:w="0" w:type="auto"/>
            <w:shd w:val="clear" w:color="auto" w:fill="CCEEFF"/>
            <w:tcMar>
              <w:top w:w="30" w:type="dxa"/>
              <w:left w:w="0" w:type="dxa"/>
              <w:bottom w:w="30" w:type="dxa"/>
              <w:right w:w="20" w:type="dxa"/>
            </w:tcMar>
            <w:vAlign w:val="bottom"/>
            <w:hideMark/>
          </w:tcPr>
          <w:p w14:paraId="708CCC41" w14:textId="77777777" w:rsidR="00000000" w:rsidRDefault="009B6C69">
            <w:pPr>
              <w:spacing w:after="100"/>
              <w:jc w:val="right"/>
              <w:rPr>
                <w:rFonts w:eastAsia="Times New Roman"/>
              </w:rPr>
            </w:pPr>
          </w:p>
        </w:tc>
      </w:tr>
      <w:tr w:rsidR="00000000" w14:paraId="4BEB255A" w14:textId="77777777">
        <w:trPr>
          <w:divId w:val="732389101"/>
        </w:trPr>
        <w:tc>
          <w:tcPr>
            <w:tcW w:w="0" w:type="auto"/>
            <w:gridSpan w:val="3"/>
            <w:shd w:val="clear" w:color="auto" w:fill="FFFFFF"/>
            <w:tcMar>
              <w:top w:w="0" w:type="dxa"/>
              <w:left w:w="20" w:type="dxa"/>
              <w:bottom w:w="0" w:type="dxa"/>
              <w:right w:w="20" w:type="dxa"/>
            </w:tcMar>
            <w:vAlign w:val="center"/>
            <w:hideMark/>
          </w:tcPr>
          <w:p w14:paraId="58880E88"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A24C12" w14:textId="77777777" w:rsidR="00000000" w:rsidRDefault="009B6C69">
            <w:pPr>
              <w:spacing w:after="100"/>
              <w:jc w:val="right"/>
              <w:rPr>
                <w:rFonts w:eastAsia="Times New Roman"/>
              </w:rPr>
            </w:pPr>
            <w:r>
              <w:rPr>
                <w:rFonts w:eastAsia="Times New Roman"/>
                <w:color w:val="000000"/>
                <w:sz w:val="18"/>
                <w:szCs w:val="18"/>
              </w:rPr>
              <w:t>2,021 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4D587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484FF5"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304BB5" w14:textId="77777777" w:rsidR="00000000" w:rsidRDefault="009B6C69">
            <w:pPr>
              <w:spacing w:after="100"/>
              <w:jc w:val="right"/>
              <w:rPr>
                <w:rFonts w:eastAsia="Times New Roman"/>
              </w:rPr>
            </w:pPr>
            <w:r>
              <w:rPr>
                <w:rFonts w:eastAsia="Times New Roman"/>
                <w:color w:val="000000"/>
                <w:sz w:val="18"/>
                <w:szCs w:val="18"/>
              </w:rPr>
              <w:t>1,468 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D55990"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D9B811"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7713FA" w14:textId="77777777" w:rsidR="00000000" w:rsidRDefault="009B6C69">
            <w:pPr>
              <w:spacing w:after="100"/>
              <w:jc w:val="right"/>
              <w:rPr>
                <w:rFonts w:eastAsia="Times New Roman"/>
              </w:rPr>
            </w:pPr>
            <w:r>
              <w:rPr>
                <w:rFonts w:eastAsia="Times New Roman"/>
                <w:color w:val="000000"/>
                <w:sz w:val="18"/>
                <w:szCs w:val="18"/>
              </w:rPr>
              <w:t>737 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4659AD" w14:textId="77777777" w:rsidR="00000000" w:rsidRDefault="009B6C69">
            <w:pPr>
              <w:spacing w:after="100"/>
              <w:jc w:val="right"/>
              <w:rPr>
                <w:rFonts w:eastAsia="Times New Roman"/>
              </w:rPr>
            </w:pPr>
          </w:p>
        </w:tc>
      </w:tr>
      <w:tr w:rsidR="00000000" w14:paraId="7CAAE5EC" w14:textId="77777777">
        <w:trPr>
          <w:divId w:val="732389101"/>
        </w:trPr>
        <w:tc>
          <w:tcPr>
            <w:tcW w:w="0" w:type="auto"/>
            <w:gridSpan w:val="3"/>
            <w:shd w:val="clear" w:color="auto" w:fill="CCEEFF"/>
            <w:tcMar>
              <w:top w:w="30" w:type="dxa"/>
              <w:left w:w="20" w:type="dxa"/>
              <w:bottom w:w="30" w:type="dxa"/>
              <w:right w:w="20" w:type="dxa"/>
            </w:tcMar>
            <w:vAlign w:val="bottom"/>
            <w:hideMark/>
          </w:tcPr>
          <w:p w14:paraId="1704CFEE" w14:textId="77777777" w:rsidR="00000000" w:rsidRDefault="009B6C69">
            <w:pPr>
              <w:spacing w:after="100"/>
              <w:rPr>
                <w:rFonts w:eastAsia="Times New Roman"/>
              </w:rPr>
            </w:pPr>
            <w:r>
              <w:rPr>
                <w:rFonts w:eastAsia="Times New Roman"/>
                <w:color w:val="000000"/>
                <w:sz w:val="18"/>
                <w:szCs w:val="18"/>
              </w:rPr>
              <w:t>Deferred (benefit) provision:</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EA995F5"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3AEAB032" w14:textId="77777777" w:rsidR="00000000" w:rsidRDefault="009B6C6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8763FFC"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4B818DDF" w14:textId="77777777" w:rsidR="00000000" w:rsidRDefault="009B6C6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42C905C" w14:textId="77777777" w:rsidR="00000000" w:rsidRDefault="009B6C69">
            <w:pPr>
              <w:spacing w:after="100"/>
              <w:rPr>
                <w:rFonts w:eastAsia="Times New Roman"/>
              </w:rPr>
            </w:pPr>
            <w:r>
              <w:rPr>
                <w:rFonts w:eastAsia="Times New Roman"/>
                <w:color w:val="000000"/>
                <w:sz w:val="18"/>
                <w:szCs w:val="18"/>
              </w:rPr>
              <w:t> </w:t>
            </w:r>
          </w:p>
        </w:tc>
      </w:tr>
      <w:tr w:rsidR="00000000" w14:paraId="334AA678" w14:textId="77777777">
        <w:trPr>
          <w:divId w:val="732389101"/>
        </w:trPr>
        <w:tc>
          <w:tcPr>
            <w:tcW w:w="0" w:type="auto"/>
            <w:gridSpan w:val="3"/>
            <w:shd w:val="clear" w:color="auto" w:fill="FFFFFF"/>
            <w:tcMar>
              <w:top w:w="30" w:type="dxa"/>
              <w:left w:w="155" w:type="dxa"/>
              <w:bottom w:w="30" w:type="dxa"/>
              <w:right w:w="20" w:type="dxa"/>
            </w:tcMar>
            <w:vAlign w:val="bottom"/>
            <w:hideMark/>
          </w:tcPr>
          <w:p w14:paraId="43437A08" w14:textId="77777777" w:rsidR="00000000" w:rsidRDefault="009B6C69">
            <w:pPr>
              <w:spacing w:after="100"/>
              <w:rPr>
                <w:rFonts w:eastAsia="Times New Roman"/>
              </w:rPr>
            </w:pPr>
            <w:r>
              <w:rPr>
                <w:rFonts w:eastAsia="Times New Roman"/>
                <w:color w:val="000000"/>
                <w:sz w:val="18"/>
                <w:szCs w:val="18"/>
              </w:rPr>
              <w:t>Federal</w:t>
            </w:r>
          </w:p>
        </w:tc>
        <w:tc>
          <w:tcPr>
            <w:tcW w:w="0" w:type="auto"/>
            <w:gridSpan w:val="2"/>
            <w:shd w:val="clear" w:color="auto" w:fill="FFFFFF"/>
            <w:tcMar>
              <w:top w:w="30" w:type="dxa"/>
              <w:left w:w="20" w:type="dxa"/>
              <w:bottom w:w="30" w:type="dxa"/>
              <w:right w:w="0" w:type="dxa"/>
            </w:tcMar>
            <w:vAlign w:val="bottom"/>
            <w:hideMark/>
          </w:tcPr>
          <w:p w14:paraId="0EAD62F2" w14:textId="77777777" w:rsidR="00000000" w:rsidRDefault="009B6C69">
            <w:pPr>
              <w:spacing w:after="100"/>
              <w:jc w:val="right"/>
              <w:rPr>
                <w:rFonts w:eastAsia="Times New Roman"/>
              </w:rPr>
            </w:pPr>
            <w:r>
              <w:rPr>
                <w:rFonts w:eastAsia="Times New Roman"/>
                <w:color w:val="000000"/>
                <w:sz w:val="18"/>
                <w:szCs w:val="18"/>
              </w:rPr>
              <w:t>(34)</w:t>
            </w:r>
          </w:p>
        </w:tc>
        <w:tc>
          <w:tcPr>
            <w:tcW w:w="0" w:type="auto"/>
            <w:shd w:val="clear" w:color="auto" w:fill="FFFFFF"/>
            <w:tcMar>
              <w:top w:w="30" w:type="dxa"/>
              <w:left w:w="0" w:type="dxa"/>
              <w:bottom w:w="30" w:type="dxa"/>
              <w:right w:w="20" w:type="dxa"/>
            </w:tcMar>
            <w:vAlign w:val="bottom"/>
            <w:hideMark/>
          </w:tcPr>
          <w:p w14:paraId="2CB98FD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CF1DB7"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B3D8AF" w14:textId="77777777" w:rsidR="00000000" w:rsidRDefault="009B6C69">
            <w:pPr>
              <w:spacing w:after="100"/>
              <w:jc w:val="right"/>
              <w:rPr>
                <w:rFonts w:eastAsia="Times New Roman"/>
              </w:rPr>
            </w:pPr>
            <w:r>
              <w:rPr>
                <w:rFonts w:eastAsia="Times New Roman"/>
                <w:color w:val="000000"/>
                <w:sz w:val="18"/>
                <w:szCs w:val="18"/>
              </w:rPr>
              <w:t>(251)</w:t>
            </w:r>
          </w:p>
        </w:tc>
        <w:tc>
          <w:tcPr>
            <w:tcW w:w="0" w:type="auto"/>
            <w:shd w:val="clear" w:color="auto" w:fill="FFFFFF"/>
            <w:tcMar>
              <w:top w:w="30" w:type="dxa"/>
              <w:left w:w="0" w:type="dxa"/>
              <w:bottom w:w="30" w:type="dxa"/>
              <w:right w:w="20" w:type="dxa"/>
            </w:tcMar>
            <w:vAlign w:val="bottom"/>
            <w:hideMark/>
          </w:tcPr>
          <w:p w14:paraId="6F8C9E4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A19298"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8181B2" w14:textId="77777777" w:rsidR="00000000" w:rsidRDefault="009B6C69">
            <w:pPr>
              <w:spacing w:after="100"/>
              <w:jc w:val="right"/>
              <w:rPr>
                <w:rFonts w:eastAsia="Times New Roman"/>
              </w:rPr>
            </w:pPr>
            <w:r>
              <w:rPr>
                <w:rFonts w:eastAsia="Times New Roman"/>
                <w:color w:val="000000"/>
                <w:sz w:val="18"/>
                <w:szCs w:val="18"/>
              </w:rPr>
              <w:t>(192)</w:t>
            </w:r>
          </w:p>
        </w:tc>
        <w:tc>
          <w:tcPr>
            <w:tcW w:w="0" w:type="auto"/>
            <w:shd w:val="clear" w:color="auto" w:fill="FFFFFF"/>
            <w:tcMar>
              <w:top w:w="30" w:type="dxa"/>
              <w:left w:w="0" w:type="dxa"/>
              <w:bottom w:w="30" w:type="dxa"/>
              <w:right w:w="20" w:type="dxa"/>
            </w:tcMar>
            <w:vAlign w:val="bottom"/>
            <w:hideMark/>
          </w:tcPr>
          <w:p w14:paraId="70597782" w14:textId="77777777" w:rsidR="00000000" w:rsidRDefault="009B6C69">
            <w:pPr>
              <w:spacing w:after="100"/>
              <w:jc w:val="right"/>
              <w:rPr>
                <w:rFonts w:eastAsia="Times New Roman"/>
              </w:rPr>
            </w:pPr>
          </w:p>
        </w:tc>
      </w:tr>
      <w:tr w:rsidR="00000000" w14:paraId="63A2FCC3" w14:textId="77777777">
        <w:trPr>
          <w:divId w:val="732389101"/>
        </w:trPr>
        <w:tc>
          <w:tcPr>
            <w:tcW w:w="0" w:type="auto"/>
            <w:gridSpan w:val="3"/>
            <w:shd w:val="clear" w:color="auto" w:fill="CCEEFF"/>
            <w:tcMar>
              <w:top w:w="30" w:type="dxa"/>
              <w:left w:w="155" w:type="dxa"/>
              <w:bottom w:w="30" w:type="dxa"/>
              <w:right w:w="20" w:type="dxa"/>
            </w:tcMar>
            <w:vAlign w:val="bottom"/>
            <w:hideMark/>
          </w:tcPr>
          <w:p w14:paraId="51E12754" w14:textId="77777777" w:rsidR="00000000" w:rsidRDefault="009B6C69">
            <w:pPr>
              <w:spacing w:after="100"/>
              <w:rPr>
                <w:rFonts w:eastAsia="Times New Roman"/>
              </w:rPr>
            </w:pPr>
            <w:r>
              <w:rPr>
                <w:rFonts w:eastAsia="Times New Roman"/>
                <w:color w:val="000000"/>
                <w:sz w:val="18"/>
                <w:szCs w:val="18"/>
              </w:rPr>
              <w:t>State</w:t>
            </w:r>
          </w:p>
        </w:tc>
        <w:tc>
          <w:tcPr>
            <w:tcW w:w="0" w:type="auto"/>
            <w:gridSpan w:val="2"/>
            <w:shd w:val="clear" w:color="auto" w:fill="CCEEFF"/>
            <w:tcMar>
              <w:top w:w="30" w:type="dxa"/>
              <w:left w:w="20" w:type="dxa"/>
              <w:bottom w:w="30" w:type="dxa"/>
              <w:right w:w="0" w:type="dxa"/>
            </w:tcMar>
            <w:vAlign w:val="bottom"/>
            <w:hideMark/>
          </w:tcPr>
          <w:p w14:paraId="45AEA445" w14:textId="77777777" w:rsidR="00000000" w:rsidRDefault="009B6C69">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14:paraId="57E0D45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3EEF4F"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6FA481" w14:textId="77777777" w:rsidR="00000000" w:rsidRDefault="009B6C69">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14:paraId="7A06DDE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7BB644"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0C3654" w14:textId="77777777" w:rsidR="00000000" w:rsidRDefault="009B6C69">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14:paraId="748D1672" w14:textId="77777777" w:rsidR="00000000" w:rsidRDefault="009B6C69">
            <w:pPr>
              <w:spacing w:after="100"/>
              <w:jc w:val="right"/>
              <w:rPr>
                <w:rFonts w:eastAsia="Times New Roman"/>
              </w:rPr>
            </w:pPr>
          </w:p>
        </w:tc>
      </w:tr>
      <w:tr w:rsidR="00000000" w14:paraId="35E5A275" w14:textId="77777777">
        <w:trPr>
          <w:divId w:val="732389101"/>
        </w:trPr>
        <w:tc>
          <w:tcPr>
            <w:tcW w:w="0" w:type="auto"/>
            <w:gridSpan w:val="3"/>
            <w:shd w:val="clear" w:color="auto" w:fill="FFFFFF"/>
            <w:tcMar>
              <w:top w:w="30" w:type="dxa"/>
              <w:left w:w="155" w:type="dxa"/>
              <w:bottom w:w="30" w:type="dxa"/>
              <w:right w:w="20" w:type="dxa"/>
            </w:tcMar>
            <w:vAlign w:val="bottom"/>
            <w:hideMark/>
          </w:tcPr>
          <w:p w14:paraId="7EC7ADA9" w14:textId="77777777" w:rsidR="00000000" w:rsidRDefault="009B6C69">
            <w:pPr>
              <w:spacing w:after="100"/>
              <w:rPr>
                <w:rFonts w:eastAsia="Times New Roman"/>
              </w:rPr>
            </w:pPr>
            <w:r>
              <w:rPr>
                <w:rFonts w:eastAsia="Times New Roman"/>
                <w:color w:val="000000"/>
                <w:sz w:val="18"/>
                <w:szCs w:val="18"/>
              </w:rPr>
              <w:t>Foreign (1)</w:t>
            </w:r>
          </w:p>
        </w:tc>
        <w:tc>
          <w:tcPr>
            <w:tcW w:w="0" w:type="auto"/>
            <w:gridSpan w:val="2"/>
            <w:shd w:val="clear" w:color="auto" w:fill="FFFFFF"/>
            <w:tcMar>
              <w:top w:w="30" w:type="dxa"/>
              <w:left w:w="20" w:type="dxa"/>
              <w:bottom w:w="30" w:type="dxa"/>
              <w:right w:w="0" w:type="dxa"/>
            </w:tcMar>
            <w:vAlign w:val="bottom"/>
            <w:hideMark/>
          </w:tcPr>
          <w:p w14:paraId="4D5E3104" w14:textId="77777777" w:rsidR="00000000" w:rsidRDefault="009B6C69">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14:paraId="318B53C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19AD4B"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19F254" w14:textId="77777777" w:rsidR="00000000" w:rsidRDefault="009B6C69">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737289C8"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1CB4DF"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538230" w14:textId="77777777" w:rsidR="00000000" w:rsidRDefault="009B6C69">
            <w:pPr>
              <w:spacing w:after="100"/>
              <w:jc w:val="right"/>
              <w:rPr>
                <w:rFonts w:eastAsia="Times New Roman"/>
              </w:rPr>
            </w:pPr>
            <w:r>
              <w:rPr>
                <w:rFonts w:eastAsia="Times New Roman"/>
                <w:color w:val="000000"/>
                <w:sz w:val="18"/>
                <w:szCs w:val="18"/>
              </w:rPr>
              <w:t>(26)</w:t>
            </w:r>
          </w:p>
        </w:tc>
        <w:tc>
          <w:tcPr>
            <w:tcW w:w="0" w:type="auto"/>
            <w:shd w:val="clear" w:color="auto" w:fill="FFFFFF"/>
            <w:tcMar>
              <w:top w:w="30" w:type="dxa"/>
              <w:left w:w="0" w:type="dxa"/>
              <w:bottom w:w="30" w:type="dxa"/>
              <w:right w:w="20" w:type="dxa"/>
            </w:tcMar>
            <w:vAlign w:val="bottom"/>
            <w:hideMark/>
          </w:tcPr>
          <w:p w14:paraId="52B64799" w14:textId="77777777" w:rsidR="00000000" w:rsidRDefault="009B6C69">
            <w:pPr>
              <w:spacing w:after="100"/>
              <w:jc w:val="right"/>
              <w:rPr>
                <w:rFonts w:eastAsia="Times New Roman"/>
              </w:rPr>
            </w:pPr>
          </w:p>
        </w:tc>
      </w:tr>
      <w:tr w:rsidR="00000000" w14:paraId="2762183B" w14:textId="77777777">
        <w:trPr>
          <w:divId w:val="732389101"/>
        </w:trPr>
        <w:tc>
          <w:tcPr>
            <w:tcW w:w="0" w:type="auto"/>
            <w:gridSpan w:val="3"/>
            <w:shd w:val="clear" w:color="auto" w:fill="CCEEFF"/>
            <w:tcMar>
              <w:top w:w="0" w:type="dxa"/>
              <w:left w:w="20" w:type="dxa"/>
              <w:bottom w:w="0" w:type="dxa"/>
              <w:right w:w="20" w:type="dxa"/>
            </w:tcMar>
            <w:vAlign w:val="center"/>
            <w:hideMark/>
          </w:tcPr>
          <w:p w14:paraId="45962F3B"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9EC446" w14:textId="77777777" w:rsidR="00000000" w:rsidRDefault="009B6C69">
            <w:pPr>
              <w:spacing w:after="100"/>
              <w:jc w:val="right"/>
              <w:rPr>
                <w:rFonts w:eastAsia="Times New Roman"/>
              </w:rPr>
            </w:pPr>
            <w:r>
              <w:rPr>
                <w:rFonts w:eastAsia="Times New Roman"/>
                <w:color w:val="000000"/>
                <w:sz w:val="18"/>
                <w:szCs w:val="18"/>
              </w:rPr>
              <w:t>(9)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DC831A"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9E55D6"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4FC0F7" w14:textId="77777777" w:rsidR="00000000" w:rsidRDefault="009B6C69">
            <w:pPr>
              <w:spacing w:after="100"/>
              <w:jc w:val="right"/>
              <w:rPr>
                <w:rFonts w:eastAsia="Times New Roman"/>
              </w:rPr>
            </w:pPr>
            <w:r>
              <w:rPr>
                <w:rFonts w:eastAsia="Times New Roman"/>
                <w:color w:val="000000"/>
                <w:sz w:val="18"/>
                <w:szCs w:val="18"/>
              </w:rPr>
              <w:t>(237)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AAB5D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0F11CF"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2B133B" w14:textId="77777777" w:rsidR="00000000" w:rsidRDefault="009B6C69">
            <w:pPr>
              <w:spacing w:after="100"/>
              <w:jc w:val="right"/>
              <w:rPr>
                <w:rFonts w:eastAsia="Times New Roman"/>
              </w:rPr>
            </w:pPr>
            <w:r>
              <w:rPr>
                <w:rFonts w:eastAsia="Times New Roman"/>
                <w:color w:val="000000"/>
                <w:sz w:val="18"/>
                <w:szCs w:val="18"/>
              </w:rPr>
              <w:t>(216)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8DA0E3" w14:textId="77777777" w:rsidR="00000000" w:rsidRDefault="009B6C69">
            <w:pPr>
              <w:spacing w:after="100"/>
              <w:jc w:val="right"/>
              <w:rPr>
                <w:rFonts w:eastAsia="Times New Roman"/>
              </w:rPr>
            </w:pPr>
          </w:p>
        </w:tc>
      </w:tr>
      <w:tr w:rsidR="00000000" w14:paraId="1E77CFA1" w14:textId="77777777">
        <w:trPr>
          <w:divId w:val="732389101"/>
        </w:trPr>
        <w:tc>
          <w:tcPr>
            <w:tcW w:w="0" w:type="auto"/>
            <w:gridSpan w:val="3"/>
            <w:shd w:val="clear" w:color="auto" w:fill="FFFFFF"/>
            <w:tcMar>
              <w:top w:w="0" w:type="dxa"/>
              <w:left w:w="20" w:type="dxa"/>
              <w:bottom w:w="0" w:type="dxa"/>
              <w:right w:w="20" w:type="dxa"/>
            </w:tcMar>
            <w:vAlign w:val="center"/>
            <w:hideMark/>
          </w:tcPr>
          <w:p w14:paraId="79485B55"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E4CC27"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78F32C" w14:textId="77777777" w:rsidR="00000000" w:rsidRDefault="009B6C69">
            <w:pPr>
              <w:spacing w:after="100"/>
              <w:jc w:val="right"/>
              <w:rPr>
                <w:rFonts w:eastAsia="Times New Roman"/>
              </w:rPr>
            </w:pPr>
            <w:r>
              <w:rPr>
                <w:rFonts w:eastAsia="Times New Roman"/>
                <w:color w:val="000000"/>
                <w:sz w:val="18"/>
                <w:szCs w:val="18"/>
              </w:rPr>
              <w:t>2,012 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E15B440"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B0F036"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FC364A"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BB7339" w14:textId="77777777" w:rsidR="00000000" w:rsidRDefault="009B6C69">
            <w:pPr>
              <w:spacing w:after="100"/>
              <w:jc w:val="right"/>
              <w:rPr>
                <w:rFonts w:eastAsia="Times New Roman"/>
              </w:rPr>
            </w:pPr>
            <w:r>
              <w:rPr>
                <w:rFonts w:eastAsia="Times New Roman"/>
                <w:color w:val="000000"/>
                <w:sz w:val="18"/>
                <w:szCs w:val="18"/>
              </w:rPr>
              <w:t>1,231 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3403057"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8B6341"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6B92CC"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FEB8250" w14:textId="77777777" w:rsidR="00000000" w:rsidRDefault="009B6C69">
            <w:pPr>
              <w:spacing w:after="100"/>
              <w:jc w:val="right"/>
              <w:rPr>
                <w:rFonts w:eastAsia="Times New Roman"/>
              </w:rPr>
            </w:pPr>
            <w:r>
              <w:rPr>
                <w:rFonts w:eastAsia="Times New Roman"/>
                <w:color w:val="000000"/>
                <w:sz w:val="18"/>
                <w:szCs w:val="18"/>
              </w:rPr>
              <w:t>521 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8F3079B" w14:textId="77777777" w:rsidR="00000000" w:rsidRDefault="009B6C69">
            <w:pPr>
              <w:spacing w:after="100"/>
              <w:jc w:val="right"/>
              <w:rPr>
                <w:rFonts w:eastAsia="Times New Roman"/>
              </w:rPr>
            </w:pPr>
          </w:p>
        </w:tc>
      </w:tr>
    </w:tbl>
    <w:p w14:paraId="756512F3" w14:textId="77777777" w:rsidR="00000000" w:rsidRDefault="009B6C69">
      <w:pPr>
        <w:ind w:hanging="270"/>
        <w:divId w:val="1112438042"/>
        <w:rPr>
          <w:rFonts w:eastAsia="Times New Roman"/>
        </w:rPr>
      </w:pPr>
      <w:r>
        <w:rPr>
          <w:rFonts w:eastAsia="Times New Roman"/>
          <w:color w:val="000000"/>
          <w:sz w:val="18"/>
          <w:szCs w:val="18"/>
        </w:rPr>
        <w:t xml:space="preserve">(1) The foreign component of the income tax provision included foreign withholding taxes on royalty revenues included in U.S. earnings. </w:t>
      </w:r>
    </w:p>
    <w:p w14:paraId="4194EEB6" w14:textId="77777777" w:rsidR="00000000" w:rsidRDefault="009B6C69">
      <w:pPr>
        <w:ind w:firstLine="360"/>
        <w:divId w:val="501744204"/>
        <w:rPr>
          <w:rFonts w:eastAsia="Times New Roman"/>
        </w:rPr>
      </w:pPr>
      <w:r>
        <w:rPr>
          <w:rFonts w:eastAsia="Times New Roman"/>
          <w:color w:val="000000"/>
          <w:sz w:val="20"/>
          <w:szCs w:val="20"/>
        </w:rPr>
        <w:t>The components of income from continuing oper</w:t>
      </w:r>
      <w:r>
        <w:rPr>
          <w:rFonts w:eastAsia="Times New Roman"/>
          <w:color w:val="000000"/>
          <w:sz w:val="20"/>
          <w:szCs w:val="20"/>
        </w:rPr>
        <w:t>ations before income taxes by U.S. and foreign jurisdictions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5021"/>
        <w:gridCol w:w="37"/>
        <w:gridCol w:w="110"/>
        <w:gridCol w:w="866"/>
        <w:gridCol w:w="36"/>
        <w:gridCol w:w="36"/>
        <w:gridCol w:w="36"/>
        <w:gridCol w:w="36"/>
        <w:gridCol w:w="110"/>
        <w:gridCol w:w="832"/>
        <w:gridCol w:w="36"/>
        <w:gridCol w:w="36"/>
        <w:gridCol w:w="36"/>
        <w:gridCol w:w="36"/>
        <w:gridCol w:w="110"/>
        <w:gridCol w:w="832"/>
        <w:gridCol w:w="36"/>
      </w:tblGrid>
      <w:tr w:rsidR="00000000" w14:paraId="5154068B" w14:textId="77777777">
        <w:trPr>
          <w:divId w:val="152141779"/>
        </w:trPr>
        <w:tc>
          <w:tcPr>
            <w:tcW w:w="50" w:type="pct"/>
            <w:vAlign w:val="center"/>
            <w:hideMark/>
          </w:tcPr>
          <w:p w14:paraId="09968E78" w14:textId="77777777" w:rsidR="00000000" w:rsidRDefault="009B6C69">
            <w:pPr>
              <w:ind w:firstLine="360"/>
              <w:rPr>
                <w:rFonts w:eastAsia="Times New Roman"/>
              </w:rPr>
            </w:pPr>
          </w:p>
        </w:tc>
        <w:tc>
          <w:tcPr>
            <w:tcW w:w="3056" w:type="pct"/>
            <w:vAlign w:val="center"/>
            <w:hideMark/>
          </w:tcPr>
          <w:p w14:paraId="6FE4369B" w14:textId="77777777" w:rsidR="00000000" w:rsidRDefault="009B6C69">
            <w:pPr>
              <w:spacing w:after="100"/>
              <w:rPr>
                <w:rFonts w:eastAsia="Times New Roman"/>
                <w:sz w:val="20"/>
                <w:szCs w:val="20"/>
              </w:rPr>
            </w:pPr>
          </w:p>
        </w:tc>
        <w:tc>
          <w:tcPr>
            <w:tcW w:w="5" w:type="pct"/>
            <w:vAlign w:val="center"/>
            <w:hideMark/>
          </w:tcPr>
          <w:p w14:paraId="210FCE2C" w14:textId="77777777" w:rsidR="00000000" w:rsidRDefault="009B6C69">
            <w:pPr>
              <w:spacing w:after="100"/>
              <w:rPr>
                <w:rFonts w:eastAsia="Times New Roman"/>
                <w:sz w:val="20"/>
                <w:szCs w:val="20"/>
              </w:rPr>
            </w:pPr>
          </w:p>
        </w:tc>
        <w:tc>
          <w:tcPr>
            <w:tcW w:w="50" w:type="pct"/>
            <w:vAlign w:val="center"/>
            <w:hideMark/>
          </w:tcPr>
          <w:p w14:paraId="76653D2E" w14:textId="77777777" w:rsidR="00000000" w:rsidRDefault="009B6C69">
            <w:pPr>
              <w:spacing w:after="100"/>
              <w:rPr>
                <w:rFonts w:eastAsia="Times New Roman"/>
                <w:sz w:val="20"/>
                <w:szCs w:val="20"/>
              </w:rPr>
            </w:pPr>
          </w:p>
        </w:tc>
        <w:tc>
          <w:tcPr>
            <w:tcW w:w="549" w:type="pct"/>
            <w:vAlign w:val="center"/>
            <w:hideMark/>
          </w:tcPr>
          <w:p w14:paraId="24E90DB1" w14:textId="77777777" w:rsidR="00000000" w:rsidRDefault="009B6C69">
            <w:pPr>
              <w:spacing w:after="100"/>
              <w:rPr>
                <w:rFonts w:eastAsia="Times New Roman"/>
                <w:sz w:val="20"/>
                <w:szCs w:val="20"/>
              </w:rPr>
            </w:pPr>
          </w:p>
        </w:tc>
        <w:tc>
          <w:tcPr>
            <w:tcW w:w="5" w:type="pct"/>
            <w:vAlign w:val="center"/>
            <w:hideMark/>
          </w:tcPr>
          <w:p w14:paraId="1BBEFC12" w14:textId="77777777" w:rsidR="00000000" w:rsidRDefault="009B6C69">
            <w:pPr>
              <w:spacing w:after="100"/>
              <w:rPr>
                <w:rFonts w:eastAsia="Times New Roman"/>
                <w:sz w:val="20"/>
                <w:szCs w:val="20"/>
              </w:rPr>
            </w:pPr>
          </w:p>
        </w:tc>
        <w:tc>
          <w:tcPr>
            <w:tcW w:w="5" w:type="pct"/>
            <w:vAlign w:val="center"/>
            <w:hideMark/>
          </w:tcPr>
          <w:p w14:paraId="08D8FDEF" w14:textId="77777777" w:rsidR="00000000" w:rsidRDefault="009B6C69">
            <w:pPr>
              <w:spacing w:after="100"/>
              <w:rPr>
                <w:rFonts w:eastAsia="Times New Roman"/>
                <w:sz w:val="20"/>
                <w:szCs w:val="20"/>
              </w:rPr>
            </w:pPr>
          </w:p>
        </w:tc>
        <w:tc>
          <w:tcPr>
            <w:tcW w:w="27" w:type="pct"/>
            <w:vAlign w:val="center"/>
            <w:hideMark/>
          </w:tcPr>
          <w:p w14:paraId="07926091" w14:textId="77777777" w:rsidR="00000000" w:rsidRDefault="009B6C69">
            <w:pPr>
              <w:spacing w:after="100"/>
              <w:rPr>
                <w:rFonts w:eastAsia="Times New Roman"/>
                <w:sz w:val="20"/>
                <w:szCs w:val="20"/>
              </w:rPr>
            </w:pPr>
          </w:p>
        </w:tc>
        <w:tc>
          <w:tcPr>
            <w:tcW w:w="5" w:type="pct"/>
            <w:vAlign w:val="center"/>
            <w:hideMark/>
          </w:tcPr>
          <w:p w14:paraId="158F4AA2" w14:textId="77777777" w:rsidR="00000000" w:rsidRDefault="009B6C69">
            <w:pPr>
              <w:spacing w:after="100"/>
              <w:rPr>
                <w:rFonts w:eastAsia="Times New Roman"/>
                <w:sz w:val="20"/>
                <w:szCs w:val="20"/>
              </w:rPr>
            </w:pPr>
          </w:p>
        </w:tc>
        <w:tc>
          <w:tcPr>
            <w:tcW w:w="50" w:type="pct"/>
            <w:vAlign w:val="center"/>
            <w:hideMark/>
          </w:tcPr>
          <w:p w14:paraId="352EE5EB" w14:textId="77777777" w:rsidR="00000000" w:rsidRDefault="009B6C69">
            <w:pPr>
              <w:spacing w:after="100"/>
              <w:rPr>
                <w:rFonts w:eastAsia="Times New Roman"/>
                <w:sz w:val="20"/>
                <w:szCs w:val="20"/>
              </w:rPr>
            </w:pPr>
          </w:p>
        </w:tc>
        <w:tc>
          <w:tcPr>
            <w:tcW w:w="549" w:type="pct"/>
            <w:vAlign w:val="center"/>
            <w:hideMark/>
          </w:tcPr>
          <w:p w14:paraId="633743A2" w14:textId="77777777" w:rsidR="00000000" w:rsidRDefault="009B6C69">
            <w:pPr>
              <w:spacing w:after="100"/>
              <w:rPr>
                <w:rFonts w:eastAsia="Times New Roman"/>
                <w:sz w:val="20"/>
                <w:szCs w:val="20"/>
              </w:rPr>
            </w:pPr>
          </w:p>
        </w:tc>
        <w:tc>
          <w:tcPr>
            <w:tcW w:w="5" w:type="pct"/>
            <w:vAlign w:val="center"/>
            <w:hideMark/>
          </w:tcPr>
          <w:p w14:paraId="5A2A80D5" w14:textId="77777777" w:rsidR="00000000" w:rsidRDefault="009B6C69">
            <w:pPr>
              <w:spacing w:after="100"/>
              <w:rPr>
                <w:rFonts w:eastAsia="Times New Roman"/>
                <w:sz w:val="20"/>
                <w:szCs w:val="20"/>
              </w:rPr>
            </w:pPr>
          </w:p>
        </w:tc>
        <w:tc>
          <w:tcPr>
            <w:tcW w:w="5" w:type="pct"/>
            <w:vAlign w:val="center"/>
            <w:hideMark/>
          </w:tcPr>
          <w:p w14:paraId="2B9D4332" w14:textId="77777777" w:rsidR="00000000" w:rsidRDefault="009B6C69">
            <w:pPr>
              <w:spacing w:after="100"/>
              <w:rPr>
                <w:rFonts w:eastAsia="Times New Roman"/>
                <w:sz w:val="20"/>
                <w:szCs w:val="20"/>
              </w:rPr>
            </w:pPr>
          </w:p>
        </w:tc>
        <w:tc>
          <w:tcPr>
            <w:tcW w:w="27" w:type="pct"/>
            <w:vAlign w:val="center"/>
            <w:hideMark/>
          </w:tcPr>
          <w:p w14:paraId="4B27AA82" w14:textId="77777777" w:rsidR="00000000" w:rsidRDefault="009B6C69">
            <w:pPr>
              <w:spacing w:after="100"/>
              <w:rPr>
                <w:rFonts w:eastAsia="Times New Roman"/>
                <w:sz w:val="20"/>
                <w:szCs w:val="20"/>
              </w:rPr>
            </w:pPr>
          </w:p>
        </w:tc>
        <w:tc>
          <w:tcPr>
            <w:tcW w:w="5" w:type="pct"/>
            <w:vAlign w:val="center"/>
            <w:hideMark/>
          </w:tcPr>
          <w:p w14:paraId="4BC512CB" w14:textId="77777777" w:rsidR="00000000" w:rsidRDefault="009B6C69">
            <w:pPr>
              <w:spacing w:after="100"/>
              <w:rPr>
                <w:rFonts w:eastAsia="Times New Roman"/>
                <w:sz w:val="20"/>
                <w:szCs w:val="20"/>
              </w:rPr>
            </w:pPr>
          </w:p>
        </w:tc>
        <w:tc>
          <w:tcPr>
            <w:tcW w:w="50" w:type="pct"/>
            <w:vAlign w:val="center"/>
            <w:hideMark/>
          </w:tcPr>
          <w:p w14:paraId="626EE038" w14:textId="77777777" w:rsidR="00000000" w:rsidRDefault="009B6C69">
            <w:pPr>
              <w:spacing w:after="100"/>
              <w:rPr>
                <w:rFonts w:eastAsia="Times New Roman"/>
                <w:sz w:val="20"/>
                <w:szCs w:val="20"/>
              </w:rPr>
            </w:pPr>
          </w:p>
        </w:tc>
        <w:tc>
          <w:tcPr>
            <w:tcW w:w="549" w:type="pct"/>
            <w:vAlign w:val="center"/>
            <w:hideMark/>
          </w:tcPr>
          <w:p w14:paraId="529CA274" w14:textId="77777777" w:rsidR="00000000" w:rsidRDefault="009B6C69">
            <w:pPr>
              <w:spacing w:after="100"/>
              <w:rPr>
                <w:rFonts w:eastAsia="Times New Roman"/>
                <w:sz w:val="20"/>
                <w:szCs w:val="20"/>
              </w:rPr>
            </w:pPr>
          </w:p>
        </w:tc>
        <w:tc>
          <w:tcPr>
            <w:tcW w:w="5" w:type="pct"/>
            <w:vAlign w:val="center"/>
            <w:hideMark/>
          </w:tcPr>
          <w:p w14:paraId="5E111B5F" w14:textId="77777777" w:rsidR="00000000" w:rsidRDefault="009B6C69">
            <w:pPr>
              <w:spacing w:after="100"/>
              <w:rPr>
                <w:rFonts w:eastAsia="Times New Roman"/>
                <w:sz w:val="20"/>
                <w:szCs w:val="20"/>
              </w:rPr>
            </w:pPr>
          </w:p>
        </w:tc>
      </w:tr>
      <w:tr w:rsidR="00000000" w14:paraId="4145D481" w14:textId="77777777">
        <w:trPr>
          <w:divId w:val="152141779"/>
        </w:trPr>
        <w:tc>
          <w:tcPr>
            <w:tcW w:w="0" w:type="auto"/>
            <w:gridSpan w:val="3"/>
            <w:tcMar>
              <w:top w:w="0" w:type="dxa"/>
              <w:left w:w="20" w:type="dxa"/>
              <w:bottom w:w="0" w:type="dxa"/>
              <w:right w:w="20" w:type="dxa"/>
            </w:tcMar>
            <w:vAlign w:val="center"/>
            <w:hideMark/>
          </w:tcPr>
          <w:p w14:paraId="1F8BE614"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506501A"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14:paraId="6E3BD02E"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7AE73A5"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4A972907"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40DD234" w14:textId="77777777" w:rsidR="00000000" w:rsidRDefault="009B6C69">
            <w:pPr>
              <w:spacing w:after="100"/>
              <w:jc w:val="center"/>
              <w:rPr>
                <w:rFonts w:eastAsia="Times New Roman"/>
              </w:rPr>
            </w:pPr>
            <w:r>
              <w:rPr>
                <w:rFonts w:eastAsia="Times New Roman"/>
                <w:b/>
                <w:bCs/>
                <w:color w:val="000000"/>
                <w:sz w:val="18"/>
                <w:szCs w:val="18"/>
              </w:rPr>
              <w:t>2020</w:t>
            </w:r>
          </w:p>
        </w:tc>
      </w:tr>
      <w:tr w:rsidR="00000000" w14:paraId="12156EF8" w14:textId="77777777">
        <w:trPr>
          <w:divId w:val="152141779"/>
        </w:trPr>
        <w:tc>
          <w:tcPr>
            <w:tcW w:w="0" w:type="auto"/>
            <w:gridSpan w:val="3"/>
            <w:shd w:val="clear" w:color="auto" w:fill="CCEEFF"/>
            <w:tcMar>
              <w:top w:w="30" w:type="dxa"/>
              <w:left w:w="20" w:type="dxa"/>
              <w:bottom w:w="30" w:type="dxa"/>
              <w:right w:w="20" w:type="dxa"/>
            </w:tcMar>
            <w:vAlign w:val="bottom"/>
            <w:hideMark/>
          </w:tcPr>
          <w:p w14:paraId="2EF63ADF" w14:textId="77777777" w:rsidR="00000000" w:rsidRDefault="009B6C69">
            <w:pPr>
              <w:spacing w:after="100"/>
              <w:rPr>
                <w:rFonts w:eastAsia="Times New Roman"/>
              </w:rPr>
            </w:pPr>
            <w:r>
              <w:rPr>
                <w:rFonts w:eastAsia="Times New Roman"/>
                <w:color w:val="000000"/>
                <w:sz w:val="18"/>
                <w:szCs w:val="18"/>
              </w:rPr>
              <w:t>United States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3D46F8"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D85649" w14:textId="77777777" w:rsidR="00000000" w:rsidRDefault="009B6C69">
            <w:pPr>
              <w:spacing w:after="100"/>
              <w:jc w:val="right"/>
              <w:rPr>
                <w:rFonts w:eastAsia="Times New Roman"/>
              </w:rPr>
            </w:pPr>
            <w:r>
              <w:rPr>
                <w:rFonts w:eastAsia="Times New Roman"/>
                <w:color w:val="000000"/>
                <w:sz w:val="18"/>
                <w:szCs w:val="18"/>
              </w:rPr>
              <w:t>12,537 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72FF3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5D2DF"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679273"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6A0CA8" w14:textId="77777777" w:rsidR="00000000" w:rsidRDefault="009B6C69">
            <w:pPr>
              <w:spacing w:after="100"/>
              <w:jc w:val="right"/>
              <w:rPr>
                <w:rFonts w:eastAsia="Times New Roman"/>
              </w:rPr>
            </w:pPr>
            <w:r>
              <w:rPr>
                <w:rFonts w:eastAsia="Times New Roman"/>
                <w:color w:val="000000"/>
                <w:sz w:val="18"/>
                <w:szCs w:val="18"/>
              </w:rPr>
              <w:t>8,781 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7482CA"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CA5FAA"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C4E641"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C2423A" w14:textId="77777777" w:rsidR="00000000" w:rsidRDefault="009B6C69">
            <w:pPr>
              <w:spacing w:after="100"/>
              <w:jc w:val="right"/>
              <w:rPr>
                <w:rFonts w:eastAsia="Times New Roman"/>
              </w:rPr>
            </w:pPr>
            <w:r>
              <w:rPr>
                <w:rFonts w:eastAsia="Times New Roman"/>
                <w:color w:val="000000"/>
                <w:sz w:val="18"/>
                <w:szCs w:val="18"/>
              </w:rPr>
              <w:t>5,004 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737327" w14:textId="77777777" w:rsidR="00000000" w:rsidRDefault="009B6C69">
            <w:pPr>
              <w:spacing w:after="100"/>
              <w:jc w:val="right"/>
              <w:rPr>
                <w:rFonts w:eastAsia="Times New Roman"/>
              </w:rPr>
            </w:pPr>
          </w:p>
        </w:tc>
      </w:tr>
      <w:tr w:rsidR="00000000" w14:paraId="61C7BC24" w14:textId="77777777">
        <w:trPr>
          <w:divId w:val="152141779"/>
        </w:trPr>
        <w:tc>
          <w:tcPr>
            <w:tcW w:w="0" w:type="auto"/>
            <w:gridSpan w:val="3"/>
            <w:shd w:val="clear" w:color="auto" w:fill="FFFFFF"/>
            <w:tcMar>
              <w:top w:w="30" w:type="dxa"/>
              <w:left w:w="20" w:type="dxa"/>
              <w:bottom w:w="30" w:type="dxa"/>
              <w:right w:w="20" w:type="dxa"/>
            </w:tcMar>
            <w:vAlign w:val="bottom"/>
            <w:hideMark/>
          </w:tcPr>
          <w:p w14:paraId="5B4EE4BA" w14:textId="77777777" w:rsidR="00000000" w:rsidRDefault="009B6C69">
            <w:pPr>
              <w:spacing w:after="100"/>
              <w:rPr>
                <w:rFonts w:eastAsia="Times New Roman"/>
              </w:rPr>
            </w:pPr>
            <w:r>
              <w:rPr>
                <w:rFonts w:eastAsia="Times New Roman"/>
                <w:color w:val="000000"/>
                <w:sz w:val="18"/>
                <w:szCs w:val="18"/>
              </w:rPr>
              <w:t>Foreign</w:t>
            </w:r>
          </w:p>
        </w:tc>
        <w:tc>
          <w:tcPr>
            <w:tcW w:w="0" w:type="auto"/>
            <w:gridSpan w:val="2"/>
            <w:shd w:val="clear" w:color="auto" w:fill="FFFFFF"/>
            <w:tcMar>
              <w:top w:w="30" w:type="dxa"/>
              <w:left w:w="20" w:type="dxa"/>
              <w:bottom w:w="30" w:type="dxa"/>
              <w:right w:w="0" w:type="dxa"/>
            </w:tcMar>
            <w:vAlign w:val="bottom"/>
            <w:hideMark/>
          </w:tcPr>
          <w:p w14:paraId="7CA99C18" w14:textId="77777777" w:rsidR="00000000" w:rsidRDefault="009B6C69">
            <w:pPr>
              <w:spacing w:after="100"/>
              <w:jc w:val="right"/>
              <w:rPr>
                <w:rFonts w:eastAsia="Times New Roman"/>
              </w:rPr>
            </w:pPr>
            <w:r>
              <w:rPr>
                <w:rFonts w:eastAsia="Times New Roman"/>
                <w:color w:val="000000"/>
                <w:sz w:val="18"/>
                <w:szCs w:val="18"/>
              </w:rPr>
              <w:t>2,461 </w:t>
            </w:r>
          </w:p>
        </w:tc>
        <w:tc>
          <w:tcPr>
            <w:tcW w:w="0" w:type="auto"/>
            <w:shd w:val="clear" w:color="auto" w:fill="FFFFFF"/>
            <w:tcMar>
              <w:top w:w="30" w:type="dxa"/>
              <w:left w:w="0" w:type="dxa"/>
              <w:bottom w:w="30" w:type="dxa"/>
              <w:right w:w="20" w:type="dxa"/>
            </w:tcMar>
            <w:vAlign w:val="bottom"/>
            <w:hideMark/>
          </w:tcPr>
          <w:p w14:paraId="11D62D79"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9B2C09"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F52E23" w14:textId="77777777" w:rsidR="00000000" w:rsidRDefault="009B6C69">
            <w:pPr>
              <w:spacing w:after="100"/>
              <w:jc w:val="right"/>
              <w:rPr>
                <w:rFonts w:eastAsia="Times New Roman"/>
              </w:rPr>
            </w:pPr>
            <w:r>
              <w:rPr>
                <w:rFonts w:eastAsia="Times New Roman"/>
                <w:color w:val="000000"/>
                <w:sz w:val="18"/>
                <w:szCs w:val="18"/>
              </w:rPr>
              <w:t>1,493 </w:t>
            </w:r>
          </w:p>
        </w:tc>
        <w:tc>
          <w:tcPr>
            <w:tcW w:w="0" w:type="auto"/>
            <w:shd w:val="clear" w:color="auto" w:fill="FFFFFF"/>
            <w:tcMar>
              <w:top w:w="30" w:type="dxa"/>
              <w:left w:w="0" w:type="dxa"/>
              <w:bottom w:w="30" w:type="dxa"/>
              <w:right w:w="20" w:type="dxa"/>
            </w:tcMar>
            <w:vAlign w:val="bottom"/>
            <w:hideMark/>
          </w:tcPr>
          <w:p w14:paraId="47F7B88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6ED549"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F8F484" w14:textId="77777777" w:rsidR="00000000" w:rsidRDefault="009B6C69">
            <w:pPr>
              <w:spacing w:after="100"/>
              <w:jc w:val="right"/>
              <w:rPr>
                <w:rFonts w:eastAsia="Times New Roman"/>
              </w:rPr>
            </w:pPr>
            <w:r>
              <w:rPr>
                <w:rFonts w:eastAsia="Times New Roman"/>
                <w:color w:val="000000"/>
                <w:sz w:val="18"/>
                <w:szCs w:val="18"/>
              </w:rPr>
              <w:t>715 </w:t>
            </w:r>
          </w:p>
        </w:tc>
        <w:tc>
          <w:tcPr>
            <w:tcW w:w="0" w:type="auto"/>
            <w:shd w:val="clear" w:color="auto" w:fill="FFFFFF"/>
            <w:tcMar>
              <w:top w:w="30" w:type="dxa"/>
              <w:left w:w="0" w:type="dxa"/>
              <w:bottom w:w="30" w:type="dxa"/>
              <w:right w:w="20" w:type="dxa"/>
            </w:tcMar>
            <w:vAlign w:val="bottom"/>
            <w:hideMark/>
          </w:tcPr>
          <w:p w14:paraId="74C918C2" w14:textId="77777777" w:rsidR="00000000" w:rsidRDefault="009B6C69">
            <w:pPr>
              <w:spacing w:after="100"/>
              <w:jc w:val="right"/>
              <w:rPr>
                <w:rFonts w:eastAsia="Times New Roman"/>
              </w:rPr>
            </w:pPr>
          </w:p>
        </w:tc>
      </w:tr>
      <w:tr w:rsidR="00000000" w14:paraId="4D9B87D6" w14:textId="77777777">
        <w:trPr>
          <w:divId w:val="152141779"/>
        </w:trPr>
        <w:tc>
          <w:tcPr>
            <w:tcW w:w="0" w:type="auto"/>
            <w:gridSpan w:val="3"/>
            <w:shd w:val="clear" w:color="auto" w:fill="CCEEFF"/>
            <w:tcMar>
              <w:top w:w="0" w:type="dxa"/>
              <w:left w:w="20" w:type="dxa"/>
              <w:bottom w:w="0" w:type="dxa"/>
              <w:right w:w="20" w:type="dxa"/>
            </w:tcMar>
            <w:vAlign w:val="center"/>
            <w:hideMark/>
          </w:tcPr>
          <w:p w14:paraId="4689A00C"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CDC693"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47C38D" w14:textId="77777777" w:rsidR="00000000" w:rsidRDefault="009B6C69">
            <w:pPr>
              <w:spacing w:after="100"/>
              <w:jc w:val="right"/>
              <w:rPr>
                <w:rFonts w:eastAsia="Times New Roman"/>
              </w:rPr>
            </w:pPr>
            <w:r>
              <w:rPr>
                <w:rFonts w:eastAsia="Times New Roman"/>
                <w:color w:val="000000"/>
                <w:sz w:val="18"/>
                <w:szCs w:val="18"/>
              </w:rPr>
              <w:t>14,998 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125E35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9083C3"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1B97ED"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1A00889" w14:textId="77777777" w:rsidR="00000000" w:rsidRDefault="009B6C69">
            <w:pPr>
              <w:spacing w:after="100"/>
              <w:jc w:val="right"/>
              <w:rPr>
                <w:rFonts w:eastAsia="Times New Roman"/>
              </w:rPr>
            </w:pPr>
            <w:r>
              <w:rPr>
                <w:rFonts w:eastAsia="Times New Roman"/>
                <w:color w:val="000000"/>
                <w:sz w:val="18"/>
                <w:szCs w:val="18"/>
              </w:rPr>
              <w:t>10,274 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74346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0B3BF1"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607754D"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72BE269" w14:textId="77777777" w:rsidR="00000000" w:rsidRDefault="009B6C69">
            <w:pPr>
              <w:spacing w:after="100"/>
              <w:jc w:val="right"/>
              <w:rPr>
                <w:rFonts w:eastAsia="Times New Roman"/>
              </w:rPr>
            </w:pPr>
            <w:r>
              <w:rPr>
                <w:rFonts w:eastAsia="Times New Roman"/>
                <w:color w:val="000000"/>
                <w:sz w:val="18"/>
                <w:szCs w:val="18"/>
              </w:rPr>
              <w:t>5,719 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999D55F" w14:textId="77777777" w:rsidR="00000000" w:rsidRDefault="009B6C69">
            <w:pPr>
              <w:spacing w:after="100"/>
              <w:jc w:val="right"/>
              <w:rPr>
                <w:rFonts w:eastAsia="Times New Roman"/>
              </w:rPr>
            </w:pPr>
          </w:p>
        </w:tc>
      </w:tr>
    </w:tbl>
    <w:p w14:paraId="62B6ECEA" w14:textId="77777777" w:rsidR="00000000" w:rsidRDefault="009B6C69">
      <w:pPr>
        <w:ind w:firstLine="360"/>
        <w:divId w:val="1894460916"/>
        <w:rPr>
          <w:rFonts w:eastAsia="Times New Roman"/>
        </w:rPr>
      </w:pPr>
      <w:r>
        <w:rPr>
          <w:rFonts w:eastAsia="Times New Roman"/>
          <w:color w:val="000000"/>
          <w:sz w:val="20"/>
          <w:szCs w:val="20"/>
        </w:rPr>
        <w:t>The following is a reconciliation of the expected statutory federal income tax provision to our actual income tax provision from continuing operations (in millions, except percentages). Substantially all of our income from continuing operations is in the U</w:t>
      </w:r>
      <w:r>
        <w:rPr>
          <w:rFonts w:eastAsia="Times New Roman"/>
          <w:color w:val="000000"/>
          <w:sz w:val="20"/>
          <w:szCs w:val="20"/>
        </w:rPr>
        <w:t>.S., of which a significant portion qualifies for preferential treatment as FDII at a 13% effective tax rate.</w:t>
      </w:r>
    </w:p>
    <w:tbl>
      <w:tblPr>
        <w:tblW w:w="4985" w:type="pct"/>
        <w:tblCellMar>
          <w:top w:w="15" w:type="dxa"/>
          <w:left w:w="15" w:type="dxa"/>
          <w:bottom w:w="15" w:type="dxa"/>
          <w:right w:w="15" w:type="dxa"/>
        </w:tblCellMar>
        <w:tblLook w:val="04A0" w:firstRow="1" w:lastRow="0" w:firstColumn="1" w:lastColumn="0" w:noHBand="0" w:noVBand="1"/>
      </w:tblPr>
      <w:tblGrid>
        <w:gridCol w:w="38"/>
        <w:gridCol w:w="4908"/>
        <w:gridCol w:w="37"/>
        <w:gridCol w:w="110"/>
        <w:gridCol w:w="808"/>
        <w:gridCol w:w="170"/>
        <w:gridCol w:w="36"/>
        <w:gridCol w:w="36"/>
        <w:gridCol w:w="36"/>
        <w:gridCol w:w="110"/>
        <w:gridCol w:w="716"/>
        <w:gridCol w:w="170"/>
        <w:gridCol w:w="36"/>
        <w:gridCol w:w="36"/>
        <w:gridCol w:w="36"/>
        <w:gridCol w:w="110"/>
        <w:gridCol w:w="718"/>
        <w:gridCol w:w="170"/>
      </w:tblGrid>
      <w:tr w:rsidR="00000000" w14:paraId="6462A8D3" w14:textId="77777777">
        <w:trPr>
          <w:divId w:val="2071272488"/>
        </w:trPr>
        <w:tc>
          <w:tcPr>
            <w:tcW w:w="50" w:type="pct"/>
            <w:vAlign w:val="center"/>
            <w:hideMark/>
          </w:tcPr>
          <w:p w14:paraId="1EABB47C" w14:textId="77777777" w:rsidR="00000000" w:rsidRDefault="009B6C69">
            <w:pPr>
              <w:ind w:firstLine="360"/>
              <w:rPr>
                <w:rFonts w:eastAsia="Times New Roman"/>
              </w:rPr>
            </w:pPr>
          </w:p>
        </w:tc>
        <w:tc>
          <w:tcPr>
            <w:tcW w:w="3056" w:type="pct"/>
            <w:vAlign w:val="center"/>
            <w:hideMark/>
          </w:tcPr>
          <w:p w14:paraId="3C37CCF8" w14:textId="77777777" w:rsidR="00000000" w:rsidRDefault="009B6C69">
            <w:pPr>
              <w:spacing w:after="100"/>
              <w:rPr>
                <w:rFonts w:eastAsia="Times New Roman"/>
                <w:sz w:val="20"/>
                <w:szCs w:val="20"/>
              </w:rPr>
            </w:pPr>
          </w:p>
        </w:tc>
        <w:tc>
          <w:tcPr>
            <w:tcW w:w="5" w:type="pct"/>
            <w:vAlign w:val="center"/>
            <w:hideMark/>
          </w:tcPr>
          <w:p w14:paraId="43BF0A5B" w14:textId="77777777" w:rsidR="00000000" w:rsidRDefault="009B6C69">
            <w:pPr>
              <w:spacing w:after="100"/>
              <w:rPr>
                <w:rFonts w:eastAsia="Times New Roman"/>
                <w:sz w:val="20"/>
                <w:szCs w:val="20"/>
              </w:rPr>
            </w:pPr>
          </w:p>
        </w:tc>
        <w:tc>
          <w:tcPr>
            <w:tcW w:w="50" w:type="pct"/>
            <w:vAlign w:val="center"/>
            <w:hideMark/>
          </w:tcPr>
          <w:p w14:paraId="12FD0ABF" w14:textId="77777777" w:rsidR="00000000" w:rsidRDefault="009B6C69">
            <w:pPr>
              <w:spacing w:after="100"/>
              <w:rPr>
                <w:rFonts w:eastAsia="Times New Roman"/>
                <w:sz w:val="20"/>
                <w:szCs w:val="20"/>
              </w:rPr>
            </w:pPr>
          </w:p>
        </w:tc>
        <w:tc>
          <w:tcPr>
            <w:tcW w:w="549" w:type="pct"/>
            <w:vAlign w:val="center"/>
            <w:hideMark/>
          </w:tcPr>
          <w:p w14:paraId="1091F205" w14:textId="77777777" w:rsidR="00000000" w:rsidRDefault="009B6C69">
            <w:pPr>
              <w:spacing w:after="100"/>
              <w:rPr>
                <w:rFonts w:eastAsia="Times New Roman"/>
                <w:sz w:val="20"/>
                <w:szCs w:val="20"/>
              </w:rPr>
            </w:pPr>
          </w:p>
        </w:tc>
        <w:tc>
          <w:tcPr>
            <w:tcW w:w="5" w:type="pct"/>
            <w:vAlign w:val="center"/>
            <w:hideMark/>
          </w:tcPr>
          <w:p w14:paraId="49FE58DF" w14:textId="77777777" w:rsidR="00000000" w:rsidRDefault="009B6C69">
            <w:pPr>
              <w:spacing w:after="100"/>
              <w:rPr>
                <w:rFonts w:eastAsia="Times New Roman"/>
                <w:sz w:val="20"/>
                <w:szCs w:val="20"/>
              </w:rPr>
            </w:pPr>
          </w:p>
        </w:tc>
        <w:tc>
          <w:tcPr>
            <w:tcW w:w="5" w:type="pct"/>
            <w:vAlign w:val="center"/>
            <w:hideMark/>
          </w:tcPr>
          <w:p w14:paraId="3DA43F8C" w14:textId="77777777" w:rsidR="00000000" w:rsidRDefault="009B6C69">
            <w:pPr>
              <w:spacing w:after="100"/>
              <w:rPr>
                <w:rFonts w:eastAsia="Times New Roman"/>
                <w:sz w:val="20"/>
                <w:szCs w:val="20"/>
              </w:rPr>
            </w:pPr>
          </w:p>
        </w:tc>
        <w:tc>
          <w:tcPr>
            <w:tcW w:w="27" w:type="pct"/>
            <w:vAlign w:val="center"/>
            <w:hideMark/>
          </w:tcPr>
          <w:p w14:paraId="6126C436" w14:textId="77777777" w:rsidR="00000000" w:rsidRDefault="009B6C69">
            <w:pPr>
              <w:spacing w:after="100"/>
              <w:rPr>
                <w:rFonts w:eastAsia="Times New Roman"/>
                <w:sz w:val="20"/>
                <w:szCs w:val="20"/>
              </w:rPr>
            </w:pPr>
          </w:p>
        </w:tc>
        <w:tc>
          <w:tcPr>
            <w:tcW w:w="5" w:type="pct"/>
            <w:vAlign w:val="center"/>
            <w:hideMark/>
          </w:tcPr>
          <w:p w14:paraId="27422A1B" w14:textId="77777777" w:rsidR="00000000" w:rsidRDefault="009B6C69">
            <w:pPr>
              <w:spacing w:after="100"/>
              <w:rPr>
                <w:rFonts w:eastAsia="Times New Roman"/>
                <w:sz w:val="20"/>
                <w:szCs w:val="20"/>
              </w:rPr>
            </w:pPr>
          </w:p>
        </w:tc>
        <w:tc>
          <w:tcPr>
            <w:tcW w:w="50" w:type="pct"/>
            <w:vAlign w:val="center"/>
            <w:hideMark/>
          </w:tcPr>
          <w:p w14:paraId="30560329" w14:textId="77777777" w:rsidR="00000000" w:rsidRDefault="009B6C69">
            <w:pPr>
              <w:spacing w:after="100"/>
              <w:rPr>
                <w:rFonts w:eastAsia="Times New Roman"/>
                <w:sz w:val="20"/>
                <w:szCs w:val="20"/>
              </w:rPr>
            </w:pPr>
          </w:p>
        </w:tc>
        <w:tc>
          <w:tcPr>
            <w:tcW w:w="549" w:type="pct"/>
            <w:vAlign w:val="center"/>
            <w:hideMark/>
          </w:tcPr>
          <w:p w14:paraId="6EC3FBF5" w14:textId="77777777" w:rsidR="00000000" w:rsidRDefault="009B6C69">
            <w:pPr>
              <w:spacing w:after="100"/>
              <w:rPr>
                <w:rFonts w:eastAsia="Times New Roman"/>
                <w:sz w:val="20"/>
                <w:szCs w:val="20"/>
              </w:rPr>
            </w:pPr>
          </w:p>
        </w:tc>
        <w:tc>
          <w:tcPr>
            <w:tcW w:w="5" w:type="pct"/>
            <w:vAlign w:val="center"/>
            <w:hideMark/>
          </w:tcPr>
          <w:p w14:paraId="6FA5CB74" w14:textId="77777777" w:rsidR="00000000" w:rsidRDefault="009B6C69">
            <w:pPr>
              <w:spacing w:after="100"/>
              <w:rPr>
                <w:rFonts w:eastAsia="Times New Roman"/>
                <w:sz w:val="20"/>
                <w:szCs w:val="20"/>
              </w:rPr>
            </w:pPr>
          </w:p>
        </w:tc>
        <w:tc>
          <w:tcPr>
            <w:tcW w:w="5" w:type="pct"/>
            <w:vAlign w:val="center"/>
            <w:hideMark/>
          </w:tcPr>
          <w:p w14:paraId="467B1F3F" w14:textId="77777777" w:rsidR="00000000" w:rsidRDefault="009B6C69">
            <w:pPr>
              <w:spacing w:after="100"/>
              <w:rPr>
                <w:rFonts w:eastAsia="Times New Roman"/>
                <w:sz w:val="20"/>
                <w:szCs w:val="20"/>
              </w:rPr>
            </w:pPr>
          </w:p>
        </w:tc>
        <w:tc>
          <w:tcPr>
            <w:tcW w:w="27" w:type="pct"/>
            <w:vAlign w:val="center"/>
            <w:hideMark/>
          </w:tcPr>
          <w:p w14:paraId="7C6A8255" w14:textId="77777777" w:rsidR="00000000" w:rsidRDefault="009B6C69">
            <w:pPr>
              <w:spacing w:after="100"/>
              <w:rPr>
                <w:rFonts w:eastAsia="Times New Roman"/>
                <w:sz w:val="20"/>
                <w:szCs w:val="20"/>
              </w:rPr>
            </w:pPr>
          </w:p>
        </w:tc>
        <w:tc>
          <w:tcPr>
            <w:tcW w:w="5" w:type="pct"/>
            <w:vAlign w:val="center"/>
            <w:hideMark/>
          </w:tcPr>
          <w:p w14:paraId="1D16FDE7" w14:textId="77777777" w:rsidR="00000000" w:rsidRDefault="009B6C69">
            <w:pPr>
              <w:spacing w:after="100"/>
              <w:rPr>
                <w:rFonts w:eastAsia="Times New Roman"/>
                <w:sz w:val="20"/>
                <w:szCs w:val="20"/>
              </w:rPr>
            </w:pPr>
          </w:p>
        </w:tc>
        <w:tc>
          <w:tcPr>
            <w:tcW w:w="50" w:type="pct"/>
            <w:vAlign w:val="center"/>
            <w:hideMark/>
          </w:tcPr>
          <w:p w14:paraId="161746AF" w14:textId="77777777" w:rsidR="00000000" w:rsidRDefault="009B6C69">
            <w:pPr>
              <w:spacing w:after="100"/>
              <w:rPr>
                <w:rFonts w:eastAsia="Times New Roman"/>
                <w:sz w:val="20"/>
                <w:szCs w:val="20"/>
              </w:rPr>
            </w:pPr>
          </w:p>
        </w:tc>
        <w:tc>
          <w:tcPr>
            <w:tcW w:w="549" w:type="pct"/>
            <w:vAlign w:val="center"/>
            <w:hideMark/>
          </w:tcPr>
          <w:p w14:paraId="15FF7128" w14:textId="77777777" w:rsidR="00000000" w:rsidRDefault="009B6C69">
            <w:pPr>
              <w:spacing w:after="100"/>
              <w:rPr>
                <w:rFonts w:eastAsia="Times New Roman"/>
                <w:sz w:val="20"/>
                <w:szCs w:val="20"/>
              </w:rPr>
            </w:pPr>
          </w:p>
        </w:tc>
        <w:tc>
          <w:tcPr>
            <w:tcW w:w="5" w:type="pct"/>
            <w:vAlign w:val="center"/>
            <w:hideMark/>
          </w:tcPr>
          <w:p w14:paraId="03A4CD3F" w14:textId="77777777" w:rsidR="00000000" w:rsidRDefault="009B6C69">
            <w:pPr>
              <w:spacing w:after="100"/>
              <w:rPr>
                <w:rFonts w:eastAsia="Times New Roman"/>
                <w:sz w:val="20"/>
                <w:szCs w:val="20"/>
              </w:rPr>
            </w:pPr>
          </w:p>
        </w:tc>
      </w:tr>
      <w:tr w:rsidR="00000000" w14:paraId="74752244" w14:textId="77777777">
        <w:trPr>
          <w:divId w:val="2071272488"/>
        </w:trPr>
        <w:tc>
          <w:tcPr>
            <w:tcW w:w="0" w:type="auto"/>
            <w:gridSpan w:val="3"/>
            <w:tcMar>
              <w:top w:w="0" w:type="dxa"/>
              <w:left w:w="20" w:type="dxa"/>
              <w:bottom w:w="0" w:type="dxa"/>
              <w:right w:w="20" w:type="dxa"/>
            </w:tcMar>
            <w:vAlign w:val="center"/>
            <w:hideMark/>
          </w:tcPr>
          <w:p w14:paraId="37F396AC"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6E80D2B"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14:paraId="5F4DE570"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A67EA14"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0F8BECCA"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607CDF7" w14:textId="77777777" w:rsidR="00000000" w:rsidRDefault="009B6C69">
            <w:pPr>
              <w:spacing w:after="100"/>
              <w:jc w:val="center"/>
              <w:rPr>
                <w:rFonts w:eastAsia="Times New Roman"/>
              </w:rPr>
            </w:pPr>
            <w:r>
              <w:rPr>
                <w:rFonts w:eastAsia="Times New Roman"/>
                <w:b/>
                <w:bCs/>
                <w:color w:val="000000"/>
                <w:sz w:val="18"/>
                <w:szCs w:val="18"/>
              </w:rPr>
              <w:t>2020</w:t>
            </w:r>
          </w:p>
        </w:tc>
      </w:tr>
      <w:tr w:rsidR="00000000" w14:paraId="5B1BD3F0" w14:textId="77777777">
        <w:trPr>
          <w:divId w:val="2071272488"/>
        </w:trPr>
        <w:tc>
          <w:tcPr>
            <w:tcW w:w="0" w:type="auto"/>
            <w:gridSpan w:val="3"/>
            <w:shd w:val="clear" w:color="auto" w:fill="CCEEFF"/>
            <w:tcMar>
              <w:top w:w="30" w:type="dxa"/>
              <w:left w:w="20" w:type="dxa"/>
              <w:bottom w:w="30" w:type="dxa"/>
              <w:right w:w="20" w:type="dxa"/>
            </w:tcMar>
            <w:vAlign w:val="bottom"/>
            <w:hideMark/>
          </w:tcPr>
          <w:p w14:paraId="4CB08AFB" w14:textId="77777777" w:rsidR="00000000" w:rsidRDefault="009B6C69">
            <w:pPr>
              <w:spacing w:after="100"/>
              <w:rPr>
                <w:rFonts w:eastAsia="Times New Roman"/>
              </w:rPr>
            </w:pPr>
            <w:r>
              <w:rPr>
                <w:rFonts w:eastAsia="Times New Roman"/>
                <w:color w:val="000000"/>
                <w:sz w:val="18"/>
                <w:szCs w:val="18"/>
              </w:rPr>
              <w:t>Expected income tax provision at federal statutory tax rate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D097D3"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5D4EEB" w14:textId="77777777" w:rsidR="00000000" w:rsidRDefault="009B6C69">
            <w:pPr>
              <w:spacing w:after="100"/>
              <w:jc w:val="right"/>
              <w:rPr>
                <w:rFonts w:eastAsia="Times New Roman"/>
              </w:rPr>
            </w:pPr>
            <w:r>
              <w:rPr>
                <w:rFonts w:eastAsia="Times New Roman"/>
                <w:color w:val="000000"/>
                <w:sz w:val="18"/>
                <w:szCs w:val="18"/>
              </w:rPr>
              <w:t>3,150 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A9825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F9E58C"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E81091"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D042F3" w14:textId="77777777" w:rsidR="00000000" w:rsidRDefault="009B6C69">
            <w:pPr>
              <w:spacing w:after="100"/>
              <w:jc w:val="right"/>
              <w:rPr>
                <w:rFonts w:eastAsia="Times New Roman"/>
              </w:rPr>
            </w:pPr>
            <w:r>
              <w:rPr>
                <w:rFonts w:eastAsia="Times New Roman"/>
                <w:color w:val="000000"/>
                <w:sz w:val="18"/>
                <w:szCs w:val="18"/>
              </w:rPr>
              <w:t>2,158 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A5279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EB9D80"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05F757"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EE9527" w14:textId="77777777" w:rsidR="00000000" w:rsidRDefault="009B6C69">
            <w:pPr>
              <w:spacing w:after="100"/>
              <w:jc w:val="right"/>
              <w:rPr>
                <w:rFonts w:eastAsia="Times New Roman"/>
              </w:rPr>
            </w:pPr>
            <w:r>
              <w:rPr>
                <w:rFonts w:eastAsia="Times New Roman"/>
                <w:color w:val="000000"/>
                <w:sz w:val="18"/>
                <w:szCs w:val="18"/>
              </w:rPr>
              <w:t>1,201 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DCDD1F" w14:textId="77777777" w:rsidR="00000000" w:rsidRDefault="009B6C69">
            <w:pPr>
              <w:spacing w:after="100"/>
              <w:jc w:val="right"/>
              <w:rPr>
                <w:rFonts w:eastAsia="Times New Roman"/>
              </w:rPr>
            </w:pPr>
          </w:p>
        </w:tc>
      </w:tr>
      <w:tr w:rsidR="00000000" w14:paraId="274071AC" w14:textId="77777777">
        <w:trPr>
          <w:divId w:val="2071272488"/>
        </w:trPr>
        <w:tc>
          <w:tcPr>
            <w:tcW w:w="0" w:type="auto"/>
            <w:gridSpan w:val="3"/>
            <w:shd w:val="clear" w:color="auto" w:fill="FFFFFF"/>
            <w:tcMar>
              <w:top w:w="30" w:type="dxa"/>
              <w:left w:w="20" w:type="dxa"/>
              <w:bottom w:w="30" w:type="dxa"/>
              <w:right w:w="20" w:type="dxa"/>
            </w:tcMar>
            <w:vAlign w:val="bottom"/>
            <w:hideMark/>
          </w:tcPr>
          <w:p w14:paraId="559E8AAF" w14:textId="77777777" w:rsidR="00000000" w:rsidRDefault="009B6C69">
            <w:pPr>
              <w:spacing w:after="100"/>
              <w:rPr>
                <w:rFonts w:eastAsia="Times New Roman"/>
              </w:rPr>
            </w:pPr>
            <w:r>
              <w:rPr>
                <w:rFonts w:eastAsia="Times New Roman"/>
                <w:color w:val="000000"/>
                <w:sz w:val="18"/>
                <w:szCs w:val="18"/>
              </w:rPr>
              <w:t>Benefit from FDII deduction</w:t>
            </w:r>
          </w:p>
        </w:tc>
        <w:tc>
          <w:tcPr>
            <w:tcW w:w="0" w:type="auto"/>
            <w:gridSpan w:val="2"/>
            <w:shd w:val="clear" w:color="auto" w:fill="FFFFFF"/>
            <w:tcMar>
              <w:top w:w="30" w:type="dxa"/>
              <w:left w:w="20" w:type="dxa"/>
              <w:bottom w:w="30" w:type="dxa"/>
              <w:right w:w="0" w:type="dxa"/>
            </w:tcMar>
            <w:vAlign w:val="bottom"/>
            <w:hideMark/>
          </w:tcPr>
          <w:p w14:paraId="3E3B3603" w14:textId="77777777" w:rsidR="00000000" w:rsidRDefault="009B6C69">
            <w:pPr>
              <w:spacing w:after="100"/>
              <w:jc w:val="right"/>
              <w:rPr>
                <w:rFonts w:eastAsia="Times New Roman"/>
              </w:rPr>
            </w:pPr>
            <w:r>
              <w:rPr>
                <w:rFonts w:eastAsia="Times New Roman"/>
                <w:color w:val="000000"/>
                <w:sz w:val="18"/>
                <w:szCs w:val="18"/>
              </w:rPr>
              <w:t>(753)</w:t>
            </w:r>
          </w:p>
        </w:tc>
        <w:tc>
          <w:tcPr>
            <w:tcW w:w="0" w:type="auto"/>
            <w:shd w:val="clear" w:color="auto" w:fill="FFFFFF"/>
            <w:tcMar>
              <w:top w:w="30" w:type="dxa"/>
              <w:left w:w="0" w:type="dxa"/>
              <w:bottom w:w="30" w:type="dxa"/>
              <w:right w:w="20" w:type="dxa"/>
            </w:tcMar>
            <w:vAlign w:val="bottom"/>
            <w:hideMark/>
          </w:tcPr>
          <w:p w14:paraId="0093F42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0A0E3A"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D0984B" w14:textId="77777777" w:rsidR="00000000" w:rsidRDefault="009B6C69">
            <w:pPr>
              <w:spacing w:after="100"/>
              <w:jc w:val="right"/>
              <w:rPr>
                <w:rFonts w:eastAsia="Times New Roman"/>
              </w:rPr>
            </w:pPr>
            <w:r>
              <w:rPr>
                <w:rFonts w:eastAsia="Times New Roman"/>
                <w:color w:val="000000"/>
                <w:sz w:val="18"/>
                <w:szCs w:val="18"/>
              </w:rPr>
              <w:t>(550)</w:t>
            </w:r>
          </w:p>
        </w:tc>
        <w:tc>
          <w:tcPr>
            <w:tcW w:w="0" w:type="auto"/>
            <w:shd w:val="clear" w:color="auto" w:fill="FFFFFF"/>
            <w:tcMar>
              <w:top w:w="30" w:type="dxa"/>
              <w:left w:w="0" w:type="dxa"/>
              <w:bottom w:w="30" w:type="dxa"/>
              <w:right w:w="20" w:type="dxa"/>
            </w:tcMar>
            <w:vAlign w:val="bottom"/>
            <w:hideMark/>
          </w:tcPr>
          <w:p w14:paraId="486F56A7"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5C2399"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CEAA1A" w14:textId="77777777" w:rsidR="00000000" w:rsidRDefault="009B6C69">
            <w:pPr>
              <w:spacing w:after="100"/>
              <w:jc w:val="right"/>
              <w:rPr>
                <w:rFonts w:eastAsia="Times New Roman"/>
              </w:rPr>
            </w:pPr>
            <w:r>
              <w:rPr>
                <w:rFonts w:eastAsia="Times New Roman"/>
                <w:color w:val="000000"/>
                <w:sz w:val="18"/>
                <w:szCs w:val="18"/>
              </w:rPr>
              <w:t>(381)</w:t>
            </w:r>
          </w:p>
        </w:tc>
        <w:tc>
          <w:tcPr>
            <w:tcW w:w="0" w:type="auto"/>
            <w:shd w:val="clear" w:color="auto" w:fill="FFFFFF"/>
            <w:tcMar>
              <w:top w:w="30" w:type="dxa"/>
              <w:left w:w="0" w:type="dxa"/>
              <w:bottom w:w="30" w:type="dxa"/>
              <w:right w:w="20" w:type="dxa"/>
            </w:tcMar>
            <w:vAlign w:val="bottom"/>
            <w:hideMark/>
          </w:tcPr>
          <w:p w14:paraId="3A609BA9" w14:textId="77777777" w:rsidR="00000000" w:rsidRDefault="009B6C69">
            <w:pPr>
              <w:spacing w:after="100"/>
              <w:jc w:val="right"/>
              <w:rPr>
                <w:rFonts w:eastAsia="Times New Roman"/>
              </w:rPr>
            </w:pPr>
          </w:p>
        </w:tc>
      </w:tr>
      <w:tr w:rsidR="00000000" w14:paraId="2AA19779" w14:textId="77777777">
        <w:trPr>
          <w:divId w:val="2071272488"/>
        </w:trPr>
        <w:tc>
          <w:tcPr>
            <w:tcW w:w="0" w:type="auto"/>
            <w:gridSpan w:val="3"/>
            <w:shd w:val="clear" w:color="auto" w:fill="CCEEFF"/>
            <w:tcMar>
              <w:top w:w="30" w:type="dxa"/>
              <w:left w:w="20" w:type="dxa"/>
              <w:bottom w:w="30" w:type="dxa"/>
              <w:right w:w="20" w:type="dxa"/>
            </w:tcMar>
            <w:vAlign w:val="bottom"/>
            <w:hideMark/>
          </w:tcPr>
          <w:p w14:paraId="6E558DB3" w14:textId="77777777" w:rsidR="00000000" w:rsidRDefault="009B6C69">
            <w:pPr>
              <w:spacing w:after="100"/>
              <w:rPr>
                <w:rFonts w:eastAsia="Times New Roman"/>
              </w:rPr>
            </w:pPr>
            <w:r>
              <w:rPr>
                <w:rFonts w:eastAsia="Times New Roman"/>
                <w:color w:val="000000"/>
                <w:sz w:val="18"/>
                <w:szCs w:val="18"/>
              </w:rPr>
              <w:t>Excess tax benefit associated with share-based awards</w:t>
            </w:r>
          </w:p>
        </w:tc>
        <w:tc>
          <w:tcPr>
            <w:tcW w:w="0" w:type="auto"/>
            <w:gridSpan w:val="2"/>
            <w:shd w:val="clear" w:color="auto" w:fill="CCEEFF"/>
            <w:tcMar>
              <w:top w:w="30" w:type="dxa"/>
              <w:left w:w="20" w:type="dxa"/>
              <w:bottom w:w="30" w:type="dxa"/>
              <w:right w:w="0" w:type="dxa"/>
            </w:tcMar>
            <w:vAlign w:val="bottom"/>
            <w:hideMark/>
          </w:tcPr>
          <w:p w14:paraId="632A1166" w14:textId="77777777" w:rsidR="00000000" w:rsidRDefault="009B6C69">
            <w:pPr>
              <w:spacing w:after="100"/>
              <w:jc w:val="right"/>
              <w:rPr>
                <w:rFonts w:eastAsia="Times New Roman"/>
              </w:rPr>
            </w:pPr>
            <w:r>
              <w:rPr>
                <w:rFonts w:eastAsia="Times New Roman"/>
                <w:color w:val="000000"/>
                <w:sz w:val="18"/>
                <w:szCs w:val="18"/>
              </w:rPr>
              <w:t>(257)</w:t>
            </w:r>
          </w:p>
        </w:tc>
        <w:tc>
          <w:tcPr>
            <w:tcW w:w="0" w:type="auto"/>
            <w:shd w:val="clear" w:color="auto" w:fill="CCEEFF"/>
            <w:tcMar>
              <w:top w:w="30" w:type="dxa"/>
              <w:left w:w="0" w:type="dxa"/>
              <w:bottom w:w="30" w:type="dxa"/>
              <w:right w:w="20" w:type="dxa"/>
            </w:tcMar>
            <w:vAlign w:val="bottom"/>
            <w:hideMark/>
          </w:tcPr>
          <w:p w14:paraId="5FEA5C2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DF40A8"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C02EBE" w14:textId="77777777" w:rsidR="00000000" w:rsidRDefault="009B6C69">
            <w:pPr>
              <w:spacing w:after="100"/>
              <w:jc w:val="right"/>
              <w:rPr>
                <w:rFonts w:eastAsia="Times New Roman"/>
              </w:rPr>
            </w:pPr>
            <w:r>
              <w:rPr>
                <w:rFonts w:eastAsia="Times New Roman"/>
                <w:color w:val="000000"/>
                <w:sz w:val="18"/>
                <w:szCs w:val="18"/>
              </w:rPr>
              <w:t>(265)</w:t>
            </w:r>
          </w:p>
        </w:tc>
        <w:tc>
          <w:tcPr>
            <w:tcW w:w="0" w:type="auto"/>
            <w:shd w:val="clear" w:color="auto" w:fill="CCEEFF"/>
            <w:tcMar>
              <w:top w:w="30" w:type="dxa"/>
              <w:left w:w="0" w:type="dxa"/>
              <w:bottom w:w="30" w:type="dxa"/>
              <w:right w:w="20" w:type="dxa"/>
            </w:tcMar>
            <w:vAlign w:val="bottom"/>
            <w:hideMark/>
          </w:tcPr>
          <w:p w14:paraId="76CE145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EEA42B"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1CF4BE" w14:textId="77777777" w:rsidR="00000000" w:rsidRDefault="009B6C69">
            <w:pPr>
              <w:spacing w:after="100"/>
              <w:jc w:val="right"/>
              <w:rPr>
                <w:rFonts w:eastAsia="Times New Roman"/>
              </w:rPr>
            </w:pPr>
            <w:r>
              <w:rPr>
                <w:rFonts w:eastAsia="Times New Roman"/>
                <w:color w:val="000000"/>
                <w:sz w:val="18"/>
                <w:szCs w:val="18"/>
              </w:rPr>
              <w:t>(83)</w:t>
            </w:r>
          </w:p>
        </w:tc>
        <w:tc>
          <w:tcPr>
            <w:tcW w:w="0" w:type="auto"/>
            <w:shd w:val="clear" w:color="auto" w:fill="CCEEFF"/>
            <w:tcMar>
              <w:top w:w="30" w:type="dxa"/>
              <w:left w:w="0" w:type="dxa"/>
              <w:bottom w:w="30" w:type="dxa"/>
              <w:right w:w="20" w:type="dxa"/>
            </w:tcMar>
            <w:vAlign w:val="bottom"/>
            <w:hideMark/>
          </w:tcPr>
          <w:p w14:paraId="41E5DED0" w14:textId="77777777" w:rsidR="00000000" w:rsidRDefault="009B6C69">
            <w:pPr>
              <w:spacing w:after="100"/>
              <w:jc w:val="right"/>
              <w:rPr>
                <w:rFonts w:eastAsia="Times New Roman"/>
              </w:rPr>
            </w:pPr>
          </w:p>
        </w:tc>
      </w:tr>
      <w:tr w:rsidR="00000000" w14:paraId="77E6F8C9" w14:textId="77777777">
        <w:trPr>
          <w:divId w:val="2071272488"/>
        </w:trPr>
        <w:tc>
          <w:tcPr>
            <w:tcW w:w="0" w:type="auto"/>
            <w:gridSpan w:val="3"/>
            <w:vAlign w:val="center"/>
            <w:hideMark/>
          </w:tcPr>
          <w:p w14:paraId="143CC27E" w14:textId="77777777" w:rsidR="00000000" w:rsidRDefault="009B6C69">
            <w:pPr>
              <w:spacing w:after="100"/>
              <w:jc w:val="right"/>
              <w:rPr>
                <w:rFonts w:eastAsia="Times New Roman"/>
                <w:sz w:val="20"/>
                <w:szCs w:val="20"/>
              </w:rPr>
            </w:pPr>
          </w:p>
        </w:tc>
        <w:tc>
          <w:tcPr>
            <w:tcW w:w="0" w:type="auto"/>
            <w:gridSpan w:val="3"/>
            <w:vAlign w:val="center"/>
            <w:hideMark/>
          </w:tcPr>
          <w:p w14:paraId="79FE24D3" w14:textId="77777777" w:rsidR="00000000" w:rsidRDefault="009B6C69">
            <w:pPr>
              <w:spacing w:after="100"/>
              <w:rPr>
                <w:rFonts w:eastAsia="Times New Roman"/>
                <w:sz w:val="20"/>
                <w:szCs w:val="20"/>
              </w:rPr>
            </w:pPr>
          </w:p>
        </w:tc>
        <w:tc>
          <w:tcPr>
            <w:tcW w:w="0" w:type="auto"/>
            <w:gridSpan w:val="3"/>
            <w:vAlign w:val="center"/>
            <w:hideMark/>
          </w:tcPr>
          <w:p w14:paraId="25D7B6AE" w14:textId="77777777" w:rsidR="00000000" w:rsidRDefault="009B6C69">
            <w:pPr>
              <w:spacing w:after="100"/>
              <w:rPr>
                <w:rFonts w:eastAsia="Times New Roman"/>
                <w:sz w:val="20"/>
                <w:szCs w:val="20"/>
              </w:rPr>
            </w:pPr>
          </w:p>
        </w:tc>
        <w:tc>
          <w:tcPr>
            <w:tcW w:w="0" w:type="auto"/>
            <w:gridSpan w:val="3"/>
            <w:vAlign w:val="center"/>
            <w:hideMark/>
          </w:tcPr>
          <w:p w14:paraId="5F87E6C8" w14:textId="77777777" w:rsidR="00000000" w:rsidRDefault="009B6C69">
            <w:pPr>
              <w:spacing w:after="100"/>
              <w:rPr>
                <w:rFonts w:eastAsia="Times New Roman"/>
                <w:sz w:val="20"/>
                <w:szCs w:val="20"/>
              </w:rPr>
            </w:pPr>
          </w:p>
        </w:tc>
        <w:tc>
          <w:tcPr>
            <w:tcW w:w="0" w:type="auto"/>
            <w:gridSpan w:val="3"/>
            <w:vAlign w:val="center"/>
            <w:hideMark/>
          </w:tcPr>
          <w:p w14:paraId="7BAD81FC" w14:textId="77777777" w:rsidR="00000000" w:rsidRDefault="009B6C69">
            <w:pPr>
              <w:spacing w:after="100"/>
              <w:rPr>
                <w:rFonts w:eastAsia="Times New Roman"/>
                <w:sz w:val="20"/>
                <w:szCs w:val="20"/>
              </w:rPr>
            </w:pPr>
          </w:p>
        </w:tc>
        <w:tc>
          <w:tcPr>
            <w:tcW w:w="0" w:type="auto"/>
            <w:gridSpan w:val="3"/>
            <w:vAlign w:val="center"/>
            <w:hideMark/>
          </w:tcPr>
          <w:p w14:paraId="4A60A000" w14:textId="77777777" w:rsidR="00000000" w:rsidRDefault="009B6C69">
            <w:pPr>
              <w:spacing w:after="100"/>
              <w:rPr>
                <w:rFonts w:eastAsia="Times New Roman"/>
                <w:sz w:val="20"/>
                <w:szCs w:val="20"/>
              </w:rPr>
            </w:pPr>
          </w:p>
        </w:tc>
      </w:tr>
      <w:tr w:rsidR="00000000" w14:paraId="19CE3B46" w14:textId="77777777">
        <w:trPr>
          <w:divId w:val="2071272488"/>
        </w:trPr>
        <w:tc>
          <w:tcPr>
            <w:tcW w:w="0" w:type="auto"/>
            <w:gridSpan w:val="3"/>
            <w:vAlign w:val="center"/>
            <w:hideMark/>
          </w:tcPr>
          <w:p w14:paraId="72E34096" w14:textId="77777777" w:rsidR="00000000" w:rsidRDefault="009B6C69">
            <w:pPr>
              <w:spacing w:after="100"/>
              <w:rPr>
                <w:rFonts w:eastAsia="Times New Roman"/>
                <w:sz w:val="20"/>
                <w:szCs w:val="20"/>
              </w:rPr>
            </w:pPr>
          </w:p>
        </w:tc>
        <w:tc>
          <w:tcPr>
            <w:tcW w:w="0" w:type="auto"/>
            <w:gridSpan w:val="3"/>
            <w:vAlign w:val="center"/>
            <w:hideMark/>
          </w:tcPr>
          <w:p w14:paraId="1331A737" w14:textId="77777777" w:rsidR="00000000" w:rsidRDefault="009B6C69">
            <w:pPr>
              <w:spacing w:after="100"/>
              <w:rPr>
                <w:rFonts w:eastAsia="Times New Roman"/>
                <w:sz w:val="20"/>
                <w:szCs w:val="20"/>
              </w:rPr>
            </w:pPr>
          </w:p>
        </w:tc>
        <w:tc>
          <w:tcPr>
            <w:tcW w:w="0" w:type="auto"/>
            <w:gridSpan w:val="3"/>
            <w:vAlign w:val="center"/>
            <w:hideMark/>
          </w:tcPr>
          <w:p w14:paraId="72E8B208" w14:textId="77777777" w:rsidR="00000000" w:rsidRDefault="009B6C69">
            <w:pPr>
              <w:spacing w:after="100"/>
              <w:rPr>
                <w:rFonts w:eastAsia="Times New Roman"/>
                <w:sz w:val="20"/>
                <w:szCs w:val="20"/>
              </w:rPr>
            </w:pPr>
          </w:p>
        </w:tc>
        <w:tc>
          <w:tcPr>
            <w:tcW w:w="0" w:type="auto"/>
            <w:gridSpan w:val="3"/>
            <w:vAlign w:val="center"/>
            <w:hideMark/>
          </w:tcPr>
          <w:p w14:paraId="6402E0EE" w14:textId="77777777" w:rsidR="00000000" w:rsidRDefault="009B6C69">
            <w:pPr>
              <w:spacing w:after="100"/>
              <w:rPr>
                <w:rFonts w:eastAsia="Times New Roman"/>
                <w:sz w:val="20"/>
                <w:szCs w:val="20"/>
              </w:rPr>
            </w:pPr>
          </w:p>
        </w:tc>
        <w:tc>
          <w:tcPr>
            <w:tcW w:w="0" w:type="auto"/>
            <w:gridSpan w:val="3"/>
            <w:vAlign w:val="center"/>
            <w:hideMark/>
          </w:tcPr>
          <w:p w14:paraId="5D7BE665" w14:textId="77777777" w:rsidR="00000000" w:rsidRDefault="009B6C69">
            <w:pPr>
              <w:spacing w:after="100"/>
              <w:rPr>
                <w:rFonts w:eastAsia="Times New Roman"/>
                <w:sz w:val="20"/>
                <w:szCs w:val="20"/>
              </w:rPr>
            </w:pPr>
          </w:p>
        </w:tc>
        <w:tc>
          <w:tcPr>
            <w:tcW w:w="0" w:type="auto"/>
            <w:gridSpan w:val="3"/>
            <w:vAlign w:val="center"/>
            <w:hideMark/>
          </w:tcPr>
          <w:p w14:paraId="7542AC05" w14:textId="77777777" w:rsidR="00000000" w:rsidRDefault="009B6C69">
            <w:pPr>
              <w:spacing w:after="100"/>
              <w:rPr>
                <w:rFonts w:eastAsia="Times New Roman"/>
                <w:sz w:val="20"/>
                <w:szCs w:val="20"/>
              </w:rPr>
            </w:pPr>
          </w:p>
        </w:tc>
      </w:tr>
      <w:tr w:rsidR="00000000" w14:paraId="69EB5DFB" w14:textId="77777777">
        <w:trPr>
          <w:divId w:val="2071272488"/>
        </w:trPr>
        <w:tc>
          <w:tcPr>
            <w:tcW w:w="0" w:type="auto"/>
            <w:gridSpan w:val="3"/>
            <w:vAlign w:val="center"/>
            <w:hideMark/>
          </w:tcPr>
          <w:p w14:paraId="17C49EDC" w14:textId="77777777" w:rsidR="00000000" w:rsidRDefault="009B6C69">
            <w:pPr>
              <w:spacing w:after="100"/>
              <w:rPr>
                <w:rFonts w:eastAsia="Times New Roman"/>
                <w:sz w:val="20"/>
                <w:szCs w:val="20"/>
              </w:rPr>
            </w:pPr>
          </w:p>
        </w:tc>
        <w:tc>
          <w:tcPr>
            <w:tcW w:w="0" w:type="auto"/>
            <w:gridSpan w:val="3"/>
            <w:vAlign w:val="center"/>
            <w:hideMark/>
          </w:tcPr>
          <w:p w14:paraId="6D0F1AC3" w14:textId="77777777" w:rsidR="00000000" w:rsidRDefault="009B6C69">
            <w:pPr>
              <w:spacing w:after="100"/>
              <w:rPr>
                <w:rFonts w:eastAsia="Times New Roman"/>
                <w:sz w:val="20"/>
                <w:szCs w:val="20"/>
              </w:rPr>
            </w:pPr>
          </w:p>
        </w:tc>
        <w:tc>
          <w:tcPr>
            <w:tcW w:w="0" w:type="auto"/>
            <w:gridSpan w:val="3"/>
            <w:vAlign w:val="center"/>
            <w:hideMark/>
          </w:tcPr>
          <w:p w14:paraId="7782978F" w14:textId="77777777" w:rsidR="00000000" w:rsidRDefault="009B6C69">
            <w:pPr>
              <w:spacing w:after="100"/>
              <w:rPr>
                <w:rFonts w:eastAsia="Times New Roman"/>
                <w:sz w:val="20"/>
                <w:szCs w:val="20"/>
              </w:rPr>
            </w:pPr>
          </w:p>
        </w:tc>
        <w:tc>
          <w:tcPr>
            <w:tcW w:w="0" w:type="auto"/>
            <w:gridSpan w:val="3"/>
            <w:vAlign w:val="center"/>
            <w:hideMark/>
          </w:tcPr>
          <w:p w14:paraId="67FD385E" w14:textId="77777777" w:rsidR="00000000" w:rsidRDefault="009B6C69">
            <w:pPr>
              <w:spacing w:after="100"/>
              <w:rPr>
                <w:rFonts w:eastAsia="Times New Roman"/>
                <w:sz w:val="20"/>
                <w:szCs w:val="20"/>
              </w:rPr>
            </w:pPr>
          </w:p>
        </w:tc>
        <w:tc>
          <w:tcPr>
            <w:tcW w:w="0" w:type="auto"/>
            <w:gridSpan w:val="3"/>
            <w:vAlign w:val="center"/>
            <w:hideMark/>
          </w:tcPr>
          <w:p w14:paraId="78684BE1" w14:textId="77777777" w:rsidR="00000000" w:rsidRDefault="009B6C69">
            <w:pPr>
              <w:spacing w:after="100"/>
              <w:rPr>
                <w:rFonts w:eastAsia="Times New Roman"/>
                <w:sz w:val="20"/>
                <w:szCs w:val="20"/>
              </w:rPr>
            </w:pPr>
          </w:p>
        </w:tc>
        <w:tc>
          <w:tcPr>
            <w:tcW w:w="0" w:type="auto"/>
            <w:gridSpan w:val="3"/>
            <w:vAlign w:val="center"/>
            <w:hideMark/>
          </w:tcPr>
          <w:p w14:paraId="5433FFDB" w14:textId="77777777" w:rsidR="00000000" w:rsidRDefault="009B6C69">
            <w:pPr>
              <w:spacing w:after="100"/>
              <w:rPr>
                <w:rFonts w:eastAsia="Times New Roman"/>
                <w:sz w:val="20"/>
                <w:szCs w:val="20"/>
              </w:rPr>
            </w:pPr>
          </w:p>
        </w:tc>
      </w:tr>
      <w:tr w:rsidR="00000000" w14:paraId="79D99619" w14:textId="77777777">
        <w:trPr>
          <w:divId w:val="2071272488"/>
        </w:trPr>
        <w:tc>
          <w:tcPr>
            <w:tcW w:w="0" w:type="auto"/>
            <w:gridSpan w:val="3"/>
            <w:shd w:val="clear" w:color="auto" w:fill="FFFFFF"/>
            <w:tcMar>
              <w:top w:w="30" w:type="dxa"/>
              <w:left w:w="20" w:type="dxa"/>
              <w:bottom w:w="30" w:type="dxa"/>
              <w:right w:w="20" w:type="dxa"/>
            </w:tcMar>
            <w:vAlign w:val="bottom"/>
            <w:hideMark/>
          </w:tcPr>
          <w:p w14:paraId="058155D5" w14:textId="77777777" w:rsidR="00000000" w:rsidRDefault="009B6C69">
            <w:pPr>
              <w:spacing w:after="100"/>
              <w:rPr>
                <w:rFonts w:eastAsia="Times New Roman"/>
              </w:rPr>
            </w:pPr>
            <w:r>
              <w:rPr>
                <w:rFonts w:eastAsia="Times New Roman"/>
                <w:color w:val="000000"/>
                <w:sz w:val="18"/>
                <w:szCs w:val="18"/>
              </w:rPr>
              <w:t>Foreign currency losses (gains) related to Korean withholding tax receivable</w:t>
            </w:r>
          </w:p>
        </w:tc>
        <w:tc>
          <w:tcPr>
            <w:tcW w:w="0" w:type="auto"/>
            <w:gridSpan w:val="2"/>
            <w:shd w:val="clear" w:color="auto" w:fill="FFFFFF"/>
            <w:tcMar>
              <w:top w:w="30" w:type="dxa"/>
              <w:left w:w="20" w:type="dxa"/>
              <w:bottom w:w="30" w:type="dxa"/>
              <w:right w:w="0" w:type="dxa"/>
            </w:tcMar>
            <w:vAlign w:val="bottom"/>
            <w:hideMark/>
          </w:tcPr>
          <w:p w14:paraId="4DC67238" w14:textId="77777777" w:rsidR="00000000" w:rsidRDefault="009B6C69">
            <w:pPr>
              <w:spacing w:after="100"/>
              <w:jc w:val="right"/>
              <w:rPr>
                <w:rFonts w:eastAsia="Times New Roman"/>
              </w:rPr>
            </w:pPr>
            <w:r>
              <w:rPr>
                <w:rFonts w:eastAsia="Times New Roman"/>
                <w:color w:val="000000"/>
                <w:sz w:val="18"/>
                <w:szCs w:val="18"/>
              </w:rPr>
              <w:t>243 </w:t>
            </w:r>
          </w:p>
        </w:tc>
        <w:tc>
          <w:tcPr>
            <w:tcW w:w="0" w:type="auto"/>
            <w:shd w:val="clear" w:color="auto" w:fill="FFFFFF"/>
            <w:tcMar>
              <w:top w:w="30" w:type="dxa"/>
              <w:left w:w="0" w:type="dxa"/>
              <w:bottom w:w="30" w:type="dxa"/>
              <w:right w:w="20" w:type="dxa"/>
            </w:tcMar>
            <w:vAlign w:val="bottom"/>
            <w:hideMark/>
          </w:tcPr>
          <w:p w14:paraId="51189DC4"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6956B9"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30CDF9" w14:textId="77777777" w:rsidR="00000000" w:rsidRDefault="009B6C69">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375AB05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2B95C8"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1DD885" w14:textId="77777777" w:rsidR="00000000" w:rsidRDefault="009B6C69">
            <w:pPr>
              <w:spacing w:after="100"/>
              <w:jc w:val="right"/>
              <w:rPr>
                <w:rFonts w:eastAsia="Times New Roman"/>
              </w:rPr>
            </w:pPr>
            <w:r>
              <w:rPr>
                <w:rFonts w:eastAsia="Times New Roman"/>
                <w:color w:val="000000"/>
                <w:sz w:val="18"/>
                <w:szCs w:val="18"/>
              </w:rPr>
              <w:t>(37)</w:t>
            </w:r>
          </w:p>
        </w:tc>
        <w:tc>
          <w:tcPr>
            <w:tcW w:w="0" w:type="auto"/>
            <w:shd w:val="clear" w:color="auto" w:fill="FFFFFF"/>
            <w:tcMar>
              <w:top w:w="30" w:type="dxa"/>
              <w:left w:w="0" w:type="dxa"/>
              <w:bottom w:w="30" w:type="dxa"/>
              <w:right w:w="20" w:type="dxa"/>
            </w:tcMar>
            <w:vAlign w:val="bottom"/>
            <w:hideMark/>
          </w:tcPr>
          <w:p w14:paraId="20084F5E" w14:textId="77777777" w:rsidR="00000000" w:rsidRDefault="009B6C69">
            <w:pPr>
              <w:spacing w:after="100"/>
              <w:jc w:val="right"/>
              <w:rPr>
                <w:rFonts w:eastAsia="Times New Roman"/>
              </w:rPr>
            </w:pPr>
          </w:p>
        </w:tc>
      </w:tr>
      <w:tr w:rsidR="00000000" w14:paraId="27DAF633" w14:textId="77777777">
        <w:trPr>
          <w:divId w:val="2071272488"/>
        </w:trPr>
        <w:tc>
          <w:tcPr>
            <w:tcW w:w="0" w:type="auto"/>
            <w:gridSpan w:val="3"/>
            <w:vAlign w:val="center"/>
            <w:hideMark/>
          </w:tcPr>
          <w:p w14:paraId="2B602BD4" w14:textId="77777777" w:rsidR="00000000" w:rsidRDefault="009B6C69">
            <w:pPr>
              <w:spacing w:after="100"/>
              <w:jc w:val="right"/>
              <w:rPr>
                <w:rFonts w:eastAsia="Times New Roman"/>
                <w:sz w:val="20"/>
                <w:szCs w:val="20"/>
              </w:rPr>
            </w:pPr>
          </w:p>
        </w:tc>
        <w:tc>
          <w:tcPr>
            <w:tcW w:w="0" w:type="auto"/>
            <w:gridSpan w:val="3"/>
            <w:vAlign w:val="center"/>
            <w:hideMark/>
          </w:tcPr>
          <w:p w14:paraId="237E297A" w14:textId="77777777" w:rsidR="00000000" w:rsidRDefault="009B6C69">
            <w:pPr>
              <w:spacing w:after="100"/>
              <w:rPr>
                <w:rFonts w:eastAsia="Times New Roman"/>
                <w:sz w:val="20"/>
                <w:szCs w:val="20"/>
              </w:rPr>
            </w:pPr>
          </w:p>
        </w:tc>
        <w:tc>
          <w:tcPr>
            <w:tcW w:w="0" w:type="auto"/>
            <w:gridSpan w:val="3"/>
            <w:vAlign w:val="center"/>
            <w:hideMark/>
          </w:tcPr>
          <w:p w14:paraId="3A09EF68" w14:textId="77777777" w:rsidR="00000000" w:rsidRDefault="009B6C69">
            <w:pPr>
              <w:spacing w:after="100"/>
              <w:rPr>
                <w:rFonts w:eastAsia="Times New Roman"/>
                <w:sz w:val="20"/>
                <w:szCs w:val="20"/>
              </w:rPr>
            </w:pPr>
          </w:p>
        </w:tc>
        <w:tc>
          <w:tcPr>
            <w:tcW w:w="0" w:type="auto"/>
            <w:gridSpan w:val="3"/>
            <w:vAlign w:val="center"/>
            <w:hideMark/>
          </w:tcPr>
          <w:p w14:paraId="2A324A90" w14:textId="77777777" w:rsidR="00000000" w:rsidRDefault="009B6C69">
            <w:pPr>
              <w:spacing w:after="100"/>
              <w:rPr>
                <w:rFonts w:eastAsia="Times New Roman"/>
                <w:sz w:val="20"/>
                <w:szCs w:val="20"/>
              </w:rPr>
            </w:pPr>
          </w:p>
        </w:tc>
        <w:tc>
          <w:tcPr>
            <w:tcW w:w="0" w:type="auto"/>
            <w:gridSpan w:val="3"/>
            <w:vAlign w:val="center"/>
            <w:hideMark/>
          </w:tcPr>
          <w:p w14:paraId="666351B9" w14:textId="77777777" w:rsidR="00000000" w:rsidRDefault="009B6C69">
            <w:pPr>
              <w:spacing w:after="100"/>
              <w:rPr>
                <w:rFonts w:eastAsia="Times New Roman"/>
                <w:sz w:val="20"/>
                <w:szCs w:val="20"/>
              </w:rPr>
            </w:pPr>
          </w:p>
        </w:tc>
        <w:tc>
          <w:tcPr>
            <w:tcW w:w="0" w:type="auto"/>
            <w:gridSpan w:val="3"/>
            <w:vAlign w:val="center"/>
            <w:hideMark/>
          </w:tcPr>
          <w:p w14:paraId="0B431721" w14:textId="77777777" w:rsidR="00000000" w:rsidRDefault="009B6C69">
            <w:pPr>
              <w:spacing w:after="100"/>
              <w:rPr>
                <w:rFonts w:eastAsia="Times New Roman"/>
                <w:sz w:val="20"/>
                <w:szCs w:val="20"/>
              </w:rPr>
            </w:pPr>
          </w:p>
        </w:tc>
      </w:tr>
      <w:tr w:rsidR="00000000" w14:paraId="6F298EF5" w14:textId="77777777">
        <w:trPr>
          <w:divId w:val="2071272488"/>
        </w:trPr>
        <w:tc>
          <w:tcPr>
            <w:tcW w:w="0" w:type="auto"/>
            <w:gridSpan w:val="3"/>
            <w:shd w:val="clear" w:color="auto" w:fill="CCEEFF"/>
            <w:tcMar>
              <w:top w:w="30" w:type="dxa"/>
              <w:left w:w="20" w:type="dxa"/>
              <w:bottom w:w="30" w:type="dxa"/>
              <w:right w:w="20" w:type="dxa"/>
            </w:tcMar>
            <w:vAlign w:val="bottom"/>
            <w:hideMark/>
          </w:tcPr>
          <w:p w14:paraId="1623D89F" w14:textId="77777777" w:rsidR="00000000" w:rsidRDefault="009B6C69">
            <w:pPr>
              <w:spacing w:after="100"/>
              <w:rPr>
                <w:rFonts w:eastAsia="Times New Roman"/>
              </w:rPr>
            </w:pPr>
            <w:r>
              <w:rPr>
                <w:rFonts w:eastAsia="Times New Roman"/>
                <w:color w:val="000000"/>
                <w:sz w:val="18"/>
                <w:szCs w:val="18"/>
              </w:rPr>
              <w:t>Nontaxable reversal of 2018 EC fine</w:t>
            </w:r>
          </w:p>
        </w:tc>
        <w:tc>
          <w:tcPr>
            <w:tcW w:w="0" w:type="auto"/>
            <w:gridSpan w:val="2"/>
            <w:shd w:val="clear" w:color="auto" w:fill="CCEEFF"/>
            <w:tcMar>
              <w:top w:w="30" w:type="dxa"/>
              <w:left w:w="20" w:type="dxa"/>
              <w:bottom w:w="30" w:type="dxa"/>
              <w:right w:w="0" w:type="dxa"/>
            </w:tcMar>
            <w:vAlign w:val="bottom"/>
            <w:hideMark/>
          </w:tcPr>
          <w:p w14:paraId="783A1A49" w14:textId="77777777" w:rsidR="00000000" w:rsidRDefault="009B6C69">
            <w:pPr>
              <w:spacing w:after="100"/>
              <w:jc w:val="right"/>
              <w:rPr>
                <w:rFonts w:eastAsia="Times New Roman"/>
              </w:rPr>
            </w:pPr>
            <w:r>
              <w:rPr>
                <w:rFonts w:eastAsia="Times New Roman"/>
                <w:color w:val="000000"/>
                <w:sz w:val="18"/>
                <w:szCs w:val="18"/>
              </w:rPr>
              <w:t>(224)</w:t>
            </w:r>
          </w:p>
        </w:tc>
        <w:tc>
          <w:tcPr>
            <w:tcW w:w="0" w:type="auto"/>
            <w:shd w:val="clear" w:color="auto" w:fill="CCEEFF"/>
            <w:tcMar>
              <w:top w:w="30" w:type="dxa"/>
              <w:left w:w="0" w:type="dxa"/>
              <w:bottom w:w="30" w:type="dxa"/>
              <w:right w:w="20" w:type="dxa"/>
            </w:tcMar>
            <w:vAlign w:val="bottom"/>
            <w:hideMark/>
          </w:tcPr>
          <w:p w14:paraId="680F4A25"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9C4F60"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9DD8DC"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2955899"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74B5E7"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735454"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1770C8F" w14:textId="77777777" w:rsidR="00000000" w:rsidRDefault="009B6C69">
            <w:pPr>
              <w:spacing w:after="100"/>
              <w:jc w:val="right"/>
              <w:rPr>
                <w:rFonts w:eastAsia="Times New Roman"/>
              </w:rPr>
            </w:pPr>
          </w:p>
        </w:tc>
      </w:tr>
      <w:tr w:rsidR="00000000" w14:paraId="57C991B4" w14:textId="77777777">
        <w:trPr>
          <w:divId w:val="2071272488"/>
        </w:trPr>
        <w:tc>
          <w:tcPr>
            <w:tcW w:w="0" w:type="auto"/>
            <w:gridSpan w:val="3"/>
            <w:shd w:val="clear" w:color="auto" w:fill="FFFFFF"/>
            <w:tcMar>
              <w:top w:w="30" w:type="dxa"/>
              <w:left w:w="20" w:type="dxa"/>
              <w:bottom w:w="30" w:type="dxa"/>
              <w:right w:w="20" w:type="dxa"/>
            </w:tcMar>
            <w:vAlign w:val="bottom"/>
            <w:hideMark/>
          </w:tcPr>
          <w:p w14:paraId="285E3202" w14:textId="77777777" w:rsidR="00000000" w:rsidRDefault="009B6C69">
            <w:pPr>
              <w:spacing w:after="100"/>
              <w:rPr>
                <w:rFonts w:eastAsia="Times New Roman"/>
              </w:rPr>
            </w:pPr>
            <w:r>
              <w:rPr>
                <w:rFonts w:eastAsia="Times New Roman"/>
                <w:color w:val="000000"/>
                <w:sz w:val="18"/>
                <w:szCs w:val="18"/>
              </w:rPr>
              <w:t>Benefit related to research and development tax credits</w:t>
            </w:r>
          </w:p>
        </w:tc>
        <w:tc>
          <w:tcPr>
            <w:tcW w:w="0" w:type="auto"/>
            <w:gridSpan w:val="2"/>
            <w:shd w:val="clear" w:color="auto" w:fill="FFFFFF"/>
            <w:tcMar>
              <w:top w:w="30" w:type="dxa"/>
              <w:left w:w="20" w:type="dxa"/>
              <w:bottom w:w="30" w:type="dxa"/>
              <w:right w:w="0" w:type="dxa"/>
            </w:tcMar>
            <w:vAlign w:val="bottom"/>
            <w:hideMark/>
          </w:tcPr>
          <w:p w14:paraId="40B14ADF" w14:textId="77777777" w:rsidR="00000000" w:rsidRDefault="009B6C69">
            <w:pPr>
              <w:spacing w:after="100"/>
              <w:jc w:val="right"/>
              <w:rPr>
                <w:rFonts w:eastAsia="Times New Roman"/>
              </w:rPr>
            </w:pPr>
            <w:r>
              <w:rPr>
                <w:rFonts w:eastAsia="Times New Roman"/>
                <w:color w:val="000000"/>
                <w:sz w:val="18"/>
                <w:szCs w:val="18"/>
              </w:rPr>
              <w:t>(224)</w:t>
            </w:r>
          </w:p>
        </w:tc>
        <w:tc>
          <w:tcPr>
            <w:tcW w:w="0" w:type="auto"/>
            <w:shd w:val="clear" w:color="auto" w:fill="FFFFFF"/>
            <w:tcMar>
              <w:top w:w="30" w:type="dxa"/>
              <w:left w:w="0" w:type="dxa"/>
              <w:bottom w:w="30" w:type="dxa"/>
              <w:right w:w="20" w:type="dxa"/>
            </w:tcMar>
            <w:vAlign w:val="bottom"/>
            <w:hideMark/>
          </w:tcPr>
          <w:p w14:paraId="6C92262D"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CF6C08"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704718" w14:textId="77777777" w:rsidR="00000000" w:rsidRDefault="009B6C69">
            <w:pPr>
              <w:spacing w:after="100"/>
              <w:jc w:val="right"/>
              <w:rPr>
                <w:rFonts w:eastAsia="Times New Roman"/>
              </w:rPr>
            </w:pPr>
            <w:r>
              <w:rPr>
                <w:rFonts w:eastAsia="Times New Roman"/>
                <w:color w:val="000000"/>
                <w:sz w:val="18"/>
                <w:szCs w:val="18"/>
              </w:rPr>
              <w:t>(195)</w:t>
            </w:r>
          </w:p>
        </w:tc>
        <w:tc>
          <w:tcPr>
            <w:tcW w:w="0" w:type="auto"/>
            <w:shd w:val="clear" w:color="auto" w:fill="FFFFFF"/>
            <w:tcMar>
              <w:top w:w="30" w:type="dxa"/>
              <w:left w:w="0" w:type="dxa"/>
              <w:bottom w:w="30" w:type="dxa"/>
              <w:right w:w="20" w:type="dxa"/>
            </w:tcMar>
            <w:vAlign w:val="bottom"/>
            <w:hideMark/>
          </w:tcPr>
          <w:p w14:paraId="43645BE7"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26943E"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11FADE" w14:textId="77777777" w:rsidR="00000000" w:rsidRDefault="009B6C69">
            <w:pPr>
              <w:spacing w:after="100"/>
              <w:jc w:val="right"/>
              <w:rPr>
                <w:rFonts w:eastAsia="Times New Roman"/>
              </w:rPr>
            </w:pPr>
            <w:r>
              <w:rPr>
                <w:rFonts w:eastAsia="Times New Roman"/>
                <w:color w:val="000000"/>
                <w:sz w:val="18"/>
                <w:szCs w:val="18"/>
              </w:rPr>
              <w:t>(125)</w:t>
            </w:r>
          </w:p>
        </w:tc>
        <w:tc>
          <w:tcPr>
            <w:tcW w:w="0" w:type="auto"/>
            <w:shd w:val="clear" w:color="auto" w:fill="FFFFFF"/>
            <w:tcMar>
              <w:top w:w="30" w:type="dxa"/>
              <w:left w:w="0" w:type="dxa"/>
              <w:bottom w:w="30" w:type="dxa"/>
              <w:right w:w="20" w:type="dxa"/>
            </w:tcMar>
            <w:vAlign w:val="bottom"/>
            <w:hideMark/>
          </w:tcPr>
          <w:p w14:paraId="1FD209AA" w14:textId="77777777" w:rsidR="00000000" w:rsidRDefault="009B6C69">
            <w:pPr>
              <w:spacing w:after="100"/>
              <w:jc w:val="right"/>
              <w:rPr>
                <w:rFonts w:eastAsia="Times New Roman"/>
              </w:rPr>
            </w:pPr>
          </w:p>
        </w:tc>
      </w:tr>
      <w:tr w:rsidR="00000000" w14:paraId="689FCCF2" w14:textId="77777777">
        <w:trPr>
          <w:divId w:val="2071272488"/>
        </w:trPr>
        <w:tc>
          <w:tcPr>
            <w:tcW w:w="0" w:type="auto"/>
            <w:gridSpan w:val="3"/>
            <w:shd w:val="clear" w:color="auto" w:fill="CCEEFF"/>
            <w:tcMar>
              <w:top w:w="30" w:type="dxa"/>
              <w:left w:w="20" w:type="dxa"/>
              <w:bottom w:w="30" w:type="dxa"/>
              <w:right w:w="20" w:type="dxa"/>
            </w:tcMar>
            <w:vAlign w:val="bottom"/>
            <w:hideMark/>
          </w:tcPr>
          <w:p w14:paraId="6AE78326" w14:textId="77777777" w:rsidR="00000000" w:rsidRDefault="009B6C69">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4E9F4410" w14:textId="77777777" w:rsidR="00000000" w:rsidRDefault="009B6C69">
            <w:pPr>
              <w:spacing w:after="100"/>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bottom"/>
            <w:hideMark/>
          </w:tcPr>
          <w:p w14:paraId="4F02EC02"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24EC88"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92F526" w14:textId="77777777" w:rsidR="00000000" w:rsidRDefault="009B6C69">
            <w:pPr>
              <w:spacing w:after="100"/>
              <w:jc w:val="right"/>
              <w:rPr>
                <w:rFonts w:eastAsia="Times New Roman"/>
              </w:rPr>
            </w:pPr>
            <w:r>
              <w:rPr>
                <w:rFonts w:eastAsia="Times New Roman"/>
                <w:color w:val="000000"/>
                <w:sz w:val="18"/>
                <w:szCs w:val="18"/>
              </w:rPr>
              <w:t>71 </w:t>
            </w:r>
          </w:p>
        </w:tc>
        <w:tc>
          <w:tcPr>
            <w:tcW w:w="0" w:type="auto"/>
            <w:shd w:val="clear" w:color="auto" w:fill="CCEEFF"/>
            <w:tcMar>
              <w:top w:w="30" w:type="dxa"/>
              <w:left w:w="0" w:type="dxa"/>
              <w:bottom w:w="30" w:type="dxa"/>
              <w:right w:w="20" w:type="dxa"/>
            </w:tcMar>
            <w:vAlign w:val="bottom"/>
            <w:hideMark/>
          </w:tcPr>
          <w:p w14:paraId="05D3812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0F9B67"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C98227" w14:textId="77777777" w:rsidR="00000000" w:rsidRDefault="009B6C69">
            <w:pPr>
              <w:spacing w:after="100"/>
              <w:jc w:val="right"/>
              <w:rPr>
                <w:rFonts w:eastAsia="Times New Roman"/>
              </w:rPr>
            </w:pPr>
            <w:r>
              <w:rPr>
                <w:rFonts w:eastAsia="Times New Roman"/>
                <w:color w:val="000000"/>
                <w:sz w:val="18"/>
                <w:szCs w:val="18"/>
              </w:rPr>
              <w:t>(54)</w:t>
            </w:r>
          </w:p>
        </w:tc>
        <w:tc>
          <w:tcPr>
            <w:tcW w:w="0" w:type="auto"/>
            <w:shd w:val="clear" w:color="auto" w:fill="CCEEFF"/>
            <w:tcMar>
              <w:top w:w="30" w:type="dxa"/>
              <w:left w:w="0" w:type="dxa"/>
              <w:bottom w:w="30" w:type="dxa"/>
              <w:right w:w="20" w:type="dxa"/>
            </w:tcMar>
            <w:vAlign w:val="bottom"/>
            <w:hideMark/>
          </w:tcPr>
          <w:p w14:paraId="6892F3CC" w14:textId="77777777" w:rsidR="00000000" w:rsidRDefault="009B6C69">
            <w:pPr>
              <w:spacing w:after="100"/>
              <w:jc w:val="right"/>
              <w:rPr>
                <w:rFonts w:eastAsia="Times New Roman"/>
              </w:rPr>
            </w:pPr>
          </w:p>
        </w:tc>
      </w:tr>
      <w:tr w:rsidR="00000000" w14:paraId="7E3C0613" w14:textId="77777777">
        <w:trPr>
          <w:divId w:val="2071272488"/>
        </w:trPr>
        <w:tc>
          <w:tcPr>
            <w:tcW w:w="0" w:type="auto"/>
            <w:gridSpan w:val="3"/>
            <w:shd w:val="clear" w:color="auto" w:fill="FFFFFF"/>
            <w:tcMar>
              <w:top w:w="0" w:type="dxa"/>
              <w:left w:w="20" w:type="dxa"/>
              <w:bottom w:w="0" w:type="dxa"/>
              <w:right w:w="20" w:type="dxa"/>
            </w:tcMar>
            <w:vAlign w:val="center"/>
            <w:hideMark/>
          </w:tcPr>
          <w:p w14:paraId="55865912"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E13FCBB"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FD348B4" w14:textId="77777777" w:rsidR="00000000" w:rsidRDefault="009B6C69">
            <w:pPr>
              <w:spacing w:after="100"/>
              <w:jc w:val="right"/>
              <w:rPr>
                <w:rFonts w:eastAsia="Times New Roman"/>
              </w:rPr>
            </w:pPr>
            <w:r>
              <w:rPr>
                <w:rFonts w:eastAsia="Times New Roman"/>
                <w:color w:val="000000"/>
                <w:sz w:val="18"/>
                <w:szCs w:val="18"/>
              </w:rPr>
              <w:t>2,012 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991920"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65C4A7"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6362751"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68F1097" w14:textId="77777777" w:rsidR="00000000" w:rsidRDefault="009B6C69">
            <w:pPr>
              <w:spacing w:after="100"/>
              <w:jc w:val="right"/>
              <w:rPr>
                <w:rFonts w:eastAsia="Times New Roman"/>
              </w:rPr>
            </w:pPr>
            <w:r>
              <w:rPr>
                <w:rFonts w:eastAsia="Times New Roman"/>
                <w:color w:val="000000"/>
                <w:sz w:val="18"/>
                <w:szCs w:val="18"/>
              </w:rPr>
              <w:t>1,231 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7C333E"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6A8D1"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C4724DC"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05DB19D" w14:textId="77777777" w:rsidR="00000000" w:rsidRDefault="009B6C69">
            <w:pPr>
              <w:spacing w:after="100"/>
              <w:jc w:val="right"/>
              <w:rPr>
                <w:rFonts w:eastAsia="Times New Roman"/>
              </w:rPr>
            </w:pPr>
            <w:r>
              <w:rPr>
                <w:rFonts w:eastAsia="Times New Roman"/>
                <w:color w:val="000000"/>
                <w:sz w:val="18"/>
                <w:szCs w:val="18"/>
              </w:rPr>
              <w:t>521 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739586" w14:textId="77777777" w:rsidR="00000000" w:rsidRDefault="009B6C69">
            <w:pPr>
              <w:spacing w:after="100"/>
              <w:jc w:val="right"/>
              <w:rPr>
                <w:rFonts w:eastAsia="Times New Roman"/>
              </w:rPr>
            </w:pPr>
          </w:p>
        </w:tc>
      </w:tr>
      <w:tr w:rsidR="00000000" w14:paraId="24B3189E" w14:textId="77777777">
        <w:trPr>
          <w:divId w:val="2071272488"/>
        </w:trPr>
        <w:tc>
          <w:tcPr>
            <w:tcW w:w="0" w:type="auto"/>
            <w:gridSpan w:val="3"/>
            <w:shd w:val="clear" w:color="auto" w:fill="CCEEFF"/>
            <w:tcMar>
              <w:top w:w="30" w:type="dxa"/>
              <w:left w:w="20" w:type="dxa"/>
              <w:bottom w:w="30" w:type="dxa"/>
              <w:right w:w="20" w:type="dxa"/>
            </w:tcMar>
            <w:vAlign w:val="bottom"/>
            <w:hideMark/>
          </w:tcPr>
          <w:p w14:paraId="5FC20348" w14:textId="77777777" w:rsidR="00000000" w:rsidRDefault="009B6C69">
            <w:pPr>
              <w:spacing w:after="100"/>
              <w:rPr>
                <w:rFonts w:eastAsia="Times New Roman"/>
              </w:rPr>
            </w:pPr>
            <w:r>
              <w:rPr>
                <w:rFonts w:eastAsia="Times New Roman"/>
                <w:color w:val="000000"/>
                <w:sz w:val="18"/>
                <w:szCs w:val="18"/>
              </w:rPr>
              <w:t>Effective tax rate</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3104CF14" w14:textId="77777777" w:rsidR="00000000" w:rsidRDefault="009B6C69">
            <w:pPr>
              <w:spacing w:after="100"/>
              <w:jc w:val="right"/>
              <w:rPr>
                <w:rFonts w:eastAsia="Times New Roman"/>
              </w:rPr>
            </w:pPr>
            <w:r>
              <w:rPr>
                <w:rFonts w:eastAsia="Times New Roman"/>
                <w:color w:val="000000"/>
                <w:sz w:val="18"/>
                <w:szCs w:val="18"/>
              </w:rPr>
              <w:t>13 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088F7A7" w14:textId="77777777" w:rsidR="00000000" w:rsidRDefault="009B6C69">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1917CC9" w14:textId="77777777" w:rsidR="00000000" w:rsidRDefault="009B6C69">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056D10ED" w14:textId="77777777" w:rsidR="00000000" w:rsidRDefault="009B6C69">
            <w:pPr>
              <w:spacing w:after="100"/>
              <w:jc w:val="right"/>
              <w:rPr>
                <w:rFonts w:eastAsia="Times New Roman"/>
              </w:rPr>
            </w:pPr>
            <w:r>
              <w:rPr>
                <w:rFonts w:eastAsia="Times New Roman"/>
                <w:color w:val="000000"/>
                <w:sz w:val="18"/>
                <w:szCs w:val="18"/>
              </w:rPr>
              <w:t>12 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42F08C6" w14:textId="77777777" w:rsidR="00000000" w:rsidRDefault="009B6C69">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B706201" w14:textId="77777777" w:rsidR="00000000" w:rsidRDefault="009B6C69">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016CA48C" w14:textId="77777777" w:rsidR="00000000" w:rsidRDefault="009B6C69">
            <w:pPr>
              <w:spacing w:after="100"/>
              <w:jc w:val="right"/>
              <w:rPr>
                <w:rFonts w:eastAsia="Times New Roman"/>
              </w:rPr>
            </w:pPr>
            <w:r>
              <w:rPr>
                <w:rFonts w:eastAsia="Times New Roman"/>
                <w:color w:val="000000"/>
                <w:sz w:val="18"/>
                <w:szCs w:val="18"/>
              </w:rPr>
              <w:t>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FF13CB7" w14:textId="77777777" w:rsidR="00000000" w:rsidRDefault="009B6C69">
            <w:pPr>
              <w:spacing w:after="100"/>
              <w:rPr>
                <w:rFonts w:eastAsia="Times New Roman"/>
              </w:rPr>
            </w:pPr>
            <w:r>
              <w:rPr>
                <w:rFonts w:eastAsia="Times New Roman"/>
                <w:color w:val="000000"/>
                <w:sz w:val="18"/>
                <w:szCs w:val="18"/>
              </w:rPr>
              <w:t>%</w:t>
            </w:r>
          </w:p>
        </w:tc>
      </w:tr>
    </w:tbl>
    <w:p w14:paraId="05C42611" w14:textId="77777777" w:rsidR="00000000" w:rsidRDefault="009B6C69">
      <w:pPr>
        <w:ind w:firstLine="360"/>
        <w:divId w:val="1171260337"/>
        <w:rPr>
          <w:rFonts w:eastAsia="Times New Roman"/>
        </w:rPr>
      </w:pPr>
      <w:r>
        <w:rPr>
          <w:rFonts w:eastAsia="Times New Roman"/>
          <w:color w:val="000000"/>
          <w:sz w:val="20"/>
          <w:szCs w:val="20"/>
        </w:rPr>
        <w:t>B</w:t>
      </w:r>
      <w:r>
        <w:rPr>
          <w:rFonts w:eastAsia="Times New Roman"/>
          <w:color w:val="000000"/>
          <w:sz w:val="20"/>
          <w:szCs w:val="20"/>
        </w:rPr>
        <w:t>eginning in fiscal 2019, as a result of certain court rulings in Korea, among other factors, we decided to apply for a partial refund claim for taxes previously withheld from licensees in Korea on payments due under their license agreements to which we hav</w:t>
      </w:r>
      <w:r>
        <w:rPr>
          <w:rFonts w:eastAsia="Times New Roman"/>
          <w:color w:val="000000"/>
          <w:sz w:val="20"/>
          <w:szCs w:val="20"/>
        </w:rPr>
        <w:t>e claimed a foreign tax credit in the United States. As a result, $1.7 billion and $1.9 billion was recorded as a noncurrent income taxes receivable (recorded in other assets) at September 25, 2022 and September 26, 2021, respectively, and $2.1 billion and</w:t>
      </w:r>
      <w:r>
        <w:rPr>
          <w:rFonts w:eastAsia="Times New Roman"/>
          <w:color w:val="000000"/>
          <w:sz w:val="20"/>
          <w:szCs w:val="20"/>
        </w:rPr>
        <w:t xml:space="preserve"> $1.9 billion was recorded as a noncurrent liability for uncertain tax benefits (recorded in other liabilities) at September 25, 2022 and September 26, 2021, respectively. </w:t>
      </w:r>
    </w:p>
    <w:p w14:paraId="50F50449" w14:textId="77777777" w:rsidR="00000000" w:rsidRDefault="009B6C69">
      <w:pPr>
        <w:ind w:firstLine="360"/>
        <w:divId w:val="331496193"/>
        <w:rPr>
          <w:rFonts w:eastAsia="Times New Roman"/>
        </w:rPr>
      </w:pPr>
      <w:r>
        <w:rPr>
          <w:rFonts w:eastAsia="Times New Roman"/>
          <w:color w:val="000000"/>
          <w:sz w:val="20"/>
          <w:szCs w:val="20"/>
        </w:rPr>
        <w:t>At September 25, 2022, we estimated remaining future payments of $1.7 billion for a</w:t>
      </w:r>
      <w:r>
        <w:rPr>
          <w:rFonts w:eastAsia="Times New Roman"/>
          <w:color w:val="000000"/>
          <w:sz w:val="20"/>
          <w:szCs w:val="20"/>
        </w:rPr>
        <w:t xml:space="preserve"> one-time repatriation tax accrued in fiscal 2018, after application of certain tax credits, which is payable in installments over the next four years. At September 25, 2022, $207 million was recorded in other current liabilities, reflecting the next insta</w:t>
      </w:r>
      <w:r>
        <w:rPr>
          <w:rFonts w:eastAsia="Times New Roman"/>
          <w:color w:val="000000"/>
          <w:sz w:val="20"/>
          <w:szCs w:val="20"/>
        </w:rPr>
        <w:t>llment due in January 2023, with the remaining noncurrent portion presented as income taxes payable on our balance sheet.</w:t>
      </w:r>
    </w:p>
    <w:p w14:paraId="62B24181" w14:textId="77777777" w:rsidR="00000000" w:rsidRDefault="009B6C69">
      <w:pPr>
        <w:ind w:firstLine="360"/>
        <w:divId w:val="815998284"/>
        <w:rPr>
          <w:rFonts w:eastAsia="Times New Roman"/>
        </w:rPr>
      </w:pPr>
      <w:r>
        <w:rPr>
          <w:rFonts w:eastAsia="Times New Roman"/>
          <w:color w:val="000000"/>
          <w:sz w:val="20"/>
          <w:szCs w:val="20"/>
        </w:rPr>
        <w:t>We continue to assert that certain of our foreign earnings are not indefinitely reinvested. At September 25, 2022, we had not recorded</w:t>
      </w:r>
      <w:r>
        <w:rPr>
          <w:rFonts w:eastAsia="Times New Roman"/>
          <w:color w:val="000000"/>
          <w:sz w:val="20"/>
          <w:szCs w:val="20"/>
        </w:rPr>
        <w:t xml:space="preserve"> a deferred tax liability of approximately $70 million related to foreign withholding taxes on approximately $851 million of undistributed earnings of certain subsidiaries that we continue to consider to be indefinitely reinvested outside the </w:t>
      </w:r>
    </w:p>
    <w:p w14:paraId="6B87DBA9" w14:textId="77777777" w:rsidR="00000000" w:rsidRDefault="009B6C69">
      <w:pPr>
        <w:jc w:val="center"/>
        <w:divId w:val="1844398488"/>
        <w:rPr>
          <w:rFonts w:eastAsia="Times New Roman"/>
        </w:rPr>
      </w:pPr>
      <w:r>
        <w:rPr>
          <w:rFonts w:eastAsia="Times New Roman"/>
          <w:color w:val="000000"/>
          <w:sz w:val="20"/>
          <w:szCs w:val="20"/>
        </w:rPr>
        <w:t>F-19</w:t>
      </w:r>
    </w:p>
    <w:p w14:paraId="5602CE84" w14:textId="77777777" w:rsidR="00000000" w:rsidRDefault="009B6C69">
      <w:pPr>
        <w:rPr>
          <w:rFonts w:eastAsia="Times New Roman"/>
        </w:rPr>
      </w:pPr>
      <w:r>
        <w:rPr>
          <w:rFonts w:eastAsia="Times New Roman"/>
        </w:rPr>
        <w:pict w14:anchorId="17E25EC0">
          <v:rect id="_x0000_i1099" style="width:0;height:1.5pt" o:hralign="center" o:hrstd="t" o:hr="t" fillcolor="#a0a0a0" stroked="f"/>
        </w:pict>
      </w:r>
    </w:p>
    <w:p w14:paraId="44B97BFD" w14:textId="77777777" w:rsidR="00000000" w:rsidRDefault="009B6C69">
      <w:pPr>
        <w:jc w:val="center"/>
        <w:divId w:val="1917861239"/>
        <w:rPr>
          <w:rFonts w:eastAsia="Times New Roman"/>
        </w:rPr>
      </w:pPr>
    </w:p>
    <w:p w14:paraId="1AD6712E" w14:textId="77777777" w:rsidR="00000000" w:rsidRDefault="009B6C69">
      <w:pPr>
        <w:jc w:val="center"/>
        <w:divId w:val="1917861239"/>
        <w:rPr>
          <w:rFonts w:eastAsia="Times New Roman"/>
        </w:rPr>
      </w:pPr>
      <w:r>
        <w:rPr>
          <w:rFonts w:eastAsia="Times New Roman"/>
          <w:b/>
          <w:bCs/>
          <w:color w:val="000000"/>
          <w:sz w:val="20"/>
          <w:szCs w:val="20"/>
        </w:rPr>
        <w:t>QUALCOMM Incorporated</w:t>
      </w:r>
    </w:p>
    <w:p w14:paraId="2FC0A424" w14:textId="77777777" w:rsidR="00000000" w:rsidRDefault="009B6C69">
      <w:pPr>
        <w:jc w:val="center"/>
        <w:divId w:val="1917861239"/>
        <w:rPr>
          <w:rFonts w:eastAsia="Times New Roman"/>
        </w:rPr>
      </w:pPr>
      <w:r>
        <w:rPr>
          <w:rFonts w:eastAsia="Times New Roman"/>
          <w:b/>
          <w:bCs/>
          <w:color w:val="000000"/>
          <w:sz w:val="20"/>
          <w:szCs w:val="20"/>
        </w:rPr>
        <w:t>NOTES TO CONSOLIDATED FINANCIAL STATEMENTS</w:t>
      </w:r>
    </w:p>
    <w:p w14:paraId="0C65B5EC" w14:textId="77777777" w:rsidR="00000000" w:rsidRDefault="009B6C69">
      <w:pPr>
        <w:divId w:val="676924925"/>
        <w:rPr>
          <w:rFonts w:eastAsia="Times New Roman"/>
        </w:rPr>
      </w:pPr>
      <w:r>
        <w:rPr>
          <w:rFonts w:eastAsia="Times New Roman"/>
          <w:color w:val="000000"/>
          <w:sz w:val="20"/>
          <w:szCs w:val="20"/>
        </w:rPr>
        <w:t>United States. Should we decide to no longer indefinitely reinvest such earnings outside the U.S., we would have to adjust the income tax provision in the peri</w:t>
      </w:r>
      <w:r>
        <w:rPr>
          <w:rFonts w:eastAsia="Times New Roman"/>
          <w:color w:val="000000"/>
          <w:sz w:val="20"/>
          <w:szCs w:val="20"/>
        </w:rPr>
        <w:t>od we make such determination.</w:t>
      </w:r>
    </w:p>
    <w:p w14:paraId="3500E518" w14:textId="77777777" w:rsidR="00000000" w:rsidRDefault="009B6C69">
      <w:pPr>
        <w:ind w:firstLine="360"/>
        <w:divId w:val="1053580388"/>
        <w:rPr>
          <w:rFonts w:eastAsia="Times New Roman"/>
        </w:rPr>
      </w:pPr>
      <w:r>
        <w:rPr>
          <w:rFonts w:eastAsia="Times New Roman"/>
          <w:color w:val="000000"/>
          <w:sz w:val="20"/>
          <w:szCs w:val="20"/>
        </w:rPr>
        <w:t>We have tax incentives in Singapore that require we meet specified employment and other criteria. Although our profit in Singapore declined as a result of restructuring our operations in 2018, we were required to meet (and di</w:t>
      </w:r>
      <w:r>
        <w:rPr>
          <w:rFonts w:eastAsia="Times New Roman"/>
          <w:color w:val="000000"/>
          <w:sz w:val="20"/>
          <w:szCs w:val="20"/>
        </w:rPr>
        <w:t>d meet) certain incentive requirements through March 2022. Failure to meet such requirements could have required us to refund previously realized material tax benefits for 2017 and 2018.</w:t>
      </w:r>
    </w:p>
    <w:p w14:paraId="7E6192B2" w14:textId="77777777" w:rsidR="00000000" w:rsidRDefault="009B6C69">
      <w:pPr>
        <w:ind w:firstLine="360"/>
        <w:divId w:val="471675534"/>
        <w:rPr>
          <w:rFonts w:eastAsia="Times New Roman"/>
        </w:rPr>
      </w:pPr>
      <w:r>
        <w:rPr>
          <w:rFonts w:eastAsia="Times New Roman"/>
          <w:color w:val="000000"/>
          <w:sz w:val="20"/>
          <w:szCs w:val="20"/>
        </w:rPr>
        <w:t>We had deferred tax assets and deferred tax liabilities as follows (i</w:t>
      </w:r>
      <w:r>
        <w:rPr>
          <w:rFonts w:eastAsia="Times New Roman"/>
          <w:color w:val="000000"/>
          <w:sz w:val="20"/>
          <w:szCs w:val="20"/>
        </w:rPr>
        <w:t>n millions):</w:t>
      </w:r>
    </w:p>
    <w:tbl>
      <w:tblPr>
        <w:tblW w:w="4992" w:type="pct"/>
        <w:tblCellMar>
          <w:top w:w="15" w:type="dxa"/>
          <w:left w:w="15" w:type="dxa"/>
          <w:bottom w:w="15" w:type="dxa"/>
          <w:right w:w="15" w:type="dxa"/>
        </w:tblCellMar>
        <w:tblLook w:val="04A0" w:firstRow="1" w:lastRow="0" w:firstColumn="1" w:lastColumn="0" w:noHBand="0" w:noVBand="1"/>
      </w:tblPr>
      <w:tblGrid>
        <w:gridCol w:w="44"/>
        <w:gridCol w:w="6099"/>
        <w:gridCol w:w="38"/>
        <w:gridCol w:w="111"/>
        <w:gridCol w:w="870"/>
        <w:gridCol w:w="36"/>
        <w:gridCol w:w="36"/>
        <w:gridCol w:w="36"/>
        <w:gridCol w:w="36"/>
        <w:gridCol w:w="111"/>
        <w:gridCol w:w="840"/>
        <w:gridCol w:w="36"/>
      </w:tblGrid>
      <w:tr w:rsidR="00000000" w14:paraId="693A7990" w14:textId="77777777">
        <w:trPr>
          <w:divId w:val="989678382"/>
        </w:trPr>
        <w:tc>
          <w:tcPr>
            <w:tcW w:w="50" w:type="pct"/>
            <w:vAlign w:val="center"/>
            <w:hideMark/>
          </w:tcPr>
          <w:p w14:paraId="0045B3B9" w14:textId="77777777" w:rsidR="00000000" w:rsidRDefault="009B6C69">
            <w:pPr>
              <w:ind w:firstLine="360"/>
              <w:rPr>
                <w:rFonts w:eastAsia="Times New Roman"/>
              </w:rPr>
            </w:pPr>
          </w:p>
        </w:tc>
        <w:tc>
          <w:tcPr>
            <w:tcW w:w="3700" w:type="pct"/>
            <w:vAlign w:val="center"/>
            <w:hideMark/>
          </w:tcPr>
          <w:p w14:paraId="0D0C79D5" w14:textId="77777777" w:rsidR="00000000" w:rsidRDefault="009B6C69">
            <w:pPr>
              <w:spacing w:after="100"/>
              <w:rPr>
                <w:rFonts w:eastAsia="Times New Roman"/>
                <w:sz w:val="20"/>
                <w:szCs w:val="20"/>
              </w:rPr>
            </w:pPr>
          </w:p>
        </w:tc>
        <w:tc>
          <w:tcPr>
            <w:tcW w:w="5" w:type="pct"/>
            <w:vAlign w:val="center"/>
            <w:hideMark/>
          </w:tcPr>
          <w:p w14:paraId="32AA87A5" w14:textId="77777777" w:rsidR="00000000" w:rsidRDefault="009B6C69">
            <w:pPr>
              <w:spacing w:after="100"/>
              <w:rPr>
                <w:rFonts w:eastAsia="Times New Roman"/>
                <w:sz w:val="20"/>
                <w:szCs w:val="20"/>
              </w:rPr>
            </w:pPr>
          </w:p>
        </w:tc>
        <w:tc>
          <w:tcPr>
            <w:tcW w:w="50" w:type="pct"/>
            <w:vAlign w:val="center"/>
            <w:hideMark/>
          </w:tcPr>
          <w:p w14:paraId="53228DB0" w14:textId="77777777" w:rsidR="00000000" w:rsidRDefault="009B6C69">
            <w:pPr>
              <w:spacing w:after="100"/>
              <w:rPr>
                <w:rFonts w:eastAsia="Times New Roman"/>
                <w:sz w:val="20"/>
                <w:szCs w:val="20"/>
              </w:rPr>
            </w:pPr>
          </w:p>
        </w:tc>
        <w:tc>
          <w:tcPr>
            <w:tcW w:w="548" w:type="pct"/>
            <w:vAlign w:val="center"/>
            <w:hideMark/>
          </w:tcPr>
          <w:p w14:paraId="6FA271D6" w14:textId="77777777" w:rsidR="00000000" w:rsidRDefault="009B6C69">
            <w:pPr>
              <w:spacing w:after="100"/>
              <w:rPr>
                <w:rFonts w:eastAsia="Times New Roman"/>
                <w:sz w:val="20"/>
                <w:szCs w:val="20"/>
              </w:rPr>
            </w:pPr>
          </w:p>
        </w:tc>
        <w:tc>
          <w:tcPr>
            <w:tcW w:w="5" w:type="pct"/>
            <w:vAlign w:val="center"/>
            <w:hideMark/>
          </w:tcPr>
          <w:p w14:paraId="45F61F9E" w14:textId="77777777" w:rsidR="00000000" w:rsidRDefault="009B6C69">
            <w:pPr>
              <w:spacing w:after="100"/>
              <w:rPr>
                <w:rFonts w:eastAsia="Times New Roman"/>
                <w:sz w:val="20"/>
                <w:szCs w:val="20"/>
              </w:rPr>
            </w:pPr>
          </w:p>
        </w:tc>
        <w:tc>
          <w:tcPr>
            <w:tcW w:w="5" w:type="pct"/>
            <w:vAlign w:val="center"/>
            <w:hideMark/>
          </w:tcPr>
          <w:p w14:paraId="0E27DA6D" w14:textId="77777777" w:rsidR="00000000" w:rsidRDefault="009B6C69">
            <w:pPr>
              <w:spacing w:after="100"/>
              <w:rPr>
                <w:rFonts w:eastAsia="Times New Roman"/>
                <w:sz w:val="20"/>
                <w:szCs w:val="20"/>
              </w:rPr>
            </w:pPr>
          </w:p>
        </w:tc>
        <w:tc>
          <w:tcPr>
            <w:tcW w:w="27" w:type="pct"/>
            <w:vAlign w:val="center"/>
            <w:hideMark/>
          </w:tcPr>
          <w:p w14:paraId="29F33BE6" w14:textId="77777777" w:rsidR="00000000" w:rsidRDefault="009B6C69">
            <w:pPr>
              <w:spacing w:after="100"/>
              <w:rPr>
                <w:rFonts w:eastAsia="Times New Roman"/>
                <w:sz w:val="20"/>
                <w:szCs w:val="20"/>
              </w:rPr>
            </w:pPr>
          </w:p>
        </w:tc>
        <w:tc>
          <w:tcPr>
            <w:tcW w:w="5" w:type="pct"/>
            <w:vAlign w:val="center"/>
            <w:hideMark/>
          </w:tcPr>
          <w:p w14:paraId="734DB826" w14:textId="77777777" w:rsidR="00000000" w:rsidRDefault="009B6C69">
            <w:pPr>
              <w:spacing w:after="100"/>
              <w:rPr>
                <w:rFonts w:eastAsia="Times New Roman"/>
                <w:sz w:val="20"/>
                <w:szCs w:val="20"/>
              </w:rPr>
            </w:pPr>
          </w:p>
        </w:tc>
        <w:tc>
          <w:tcPr>
            <w:tcW w:w="50" w:type="pct"/>
            <w:vAlign w:val="center"/>
            <w:hideMark/>
          </w:tcPr>
          <w:p w14:paraId="079E8298" w14:textId="77777777" w:rsidR="00000000" w:rsidRDefault="009B6C69">
            <w:pPr>
              <w:spacing w:after="100"/>
              <w:rPr>
                <w:rFonts w:eastAsia="Times New Roman"/>
                <w:sz w:val="20"/>
                <w:szCs w:val="20"/>
              </w:rPr>
            </w:pPr>
          </w:p>
        </w:tc>
        <w:tc>
          <w:tcPr>
            <w:tcW w:w="548" w:type="pct"/>
            <w:vAlign w:val="center"/>
            <w:hideMark/>
          </w:tcPr>
          <w:p w14:paraId="6704AD33" w14:textId="77777777" w:rsidR="00000000" w:rsidRDefault="009B6C69">
            <w:pPr>
              <w:spacing w:after="100"/>
              <w:rPr>
                <w:rFonts w:eastAsia="Times New Roman"/>
                <w:sz w:val="20"/>
                <w:szCs w:val="20"/>
              </w:rPr>
            </w:pPr>
          </w:p>
        </w:tc>
        <w:tc>
          <w:tcPr>
            <w:tcW w:w="5" w:type="pct"/>
            <w:vAlign w:val="center"/>
            <w:hideMark/>
          </w:tcPr>
          <w:p w14:paraId="39756F45" w14:textId="77777777" w:rsidR="00000000" w:rsidRDefault="009B6C69">
            <w:pPr>
              <w:spacing w:after="100"/>
              <w:rPr>
                <w:rFonts w:eastAsia="Times New Roman"/>
                <w:sz w:val="20"/>
                <w:szCs w:val="20"/>
              </w:rPr>
            </w:pPr>
          </w:p>
        </w:tc>
      </w:tr>
      <w:tr w:rsidR="00000000" w14:paraId="49F661C6" w14:textId="77777777">
        <w:trPr>
          <w:divId w:val="989678382"/>
        </w:trPr>
        <w:tc>
          <w:tcPr>
            <w:tcW w:w="0" w:type="auto"/>
            <w:gridSpan w:val="3"/>
            <w:tcMar>
              <w:top w:w="0" w:type="dxa"/>
              <w:left w:w="20" w:type="dxa"/>
              <w:bottom w:w="0" w:type="dxa"/>
              <w:right w:w="20" w:type="dxa"/>
            </w:tcMar>
            <w:vAlign w:val="center"/>
            <w:hideMark/>
          </w:tcPr>
          <w:p w14:paraId="03567ECE"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84B511F" w14:textId="77777777" w:rsidR="00000000" w:rsidRDefault="009B6C69">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14:paraId="6C73D326"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2783E2F" w14:textId="77777777" w:rsidR="00000000" w:rsidRDefault="009B6C69">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r>
      <w:tr w:rsidR="00000000" w14:paraId="65BFC6AC" w14:textId="77777777">
        <w:trPr>
          <w:divId w:val="989678382"/>
        </w:trPr>
        <w:tc>
          <w:tcPr>
            <w:tcW w:w="0" w:type="auto"/>
            <w:gridSpan w:val="3"/>
            <w:shd w:val="clear" w:color="auto" w:fill="CCEEFF"/>
            <w:tcMar>
              <w:top w:w="30" w:type="dxa"/>
              <w:left w:w="20" w:type="dxa"/>
              <w:bottom w:w="30" w:type="dxa"/>
              <w:right w:w="20" w:type="dxa"/>
            </w:tcMar>
            <w:vAlign w:val="bottom"/>
            <w:hideMark/>
          </w:tcPr>
          <w:p w14:paraId="0C11B476" w14:textId="77777777" w:rsidR="00000000" w:rsidRDefault="009B6C69">
            <w:pPr>
              <w:spacing w:after="100"/>
              <w:rPr>
                <w:rFonts w:eastAsia="Times New Roman"/>
              </w:rPr>
            </w:pPr>
            <w:r>
              <w:rPr>
                <w:rFonts w:eastAsia="Times New Roman"/>
                <w:color w:val="000000"/>
                <w:sz w:val="18"/>
                <w:szCs w:val="18"/>
              </w:rPr>
              <w:t>Unused tax credits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44C9F1"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03E96F" w14:textId="77777777" w:rsidR="00000000" w:rsidRDefault="009B6C69">
            <w:pPr>
              <w:spacing w:after="100"/>
              <w:jc w:val="right"/>
              <w:rPr>
                <w:rFonts w:eastAsia="Times New Roman"/>
              </w:rPr>
            </w:pPr>
            <w:r>
              <w:rPr>
                <w:rFonts w:eastAsia="Times New Roman"/>
                <w:color w:val="000000"/>
                <w:sz w:val="18"/>
                <w:szCs w:val="18"/>
              </w:rPr>
              <w:t>1,624 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1F1AB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50E50D"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700640"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ACBFFC" w14:textId="77777777" w:rsidR="00000000" w:rsidRDefault="009B6C69">
            <w:pPr>
              <w:spacing w:after="100"/>
              <w:jc w:val="right"/>
              <w:rPr>
                <w:rFonts w:eastAsia="Times New Roman"/>
              </w:rPr>
            </w:pPr>
            <w:r>
              <w:rPr>
                <w:rFonts w:eastAsia="Times New Roman"/>
                <w:color w:val="000000"/>
                <w:sz w:val="18"/>
                <w:szCs w:val="18"/>
              </w:rPr>
              <w:t>1,504 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4DEE67" w14:textId="77777777" w:rsidR="00000000" w:rsidRDefault="009B6C69">
            <w:pPr>
              <w:spacing w:after="100"/>
              <w:jc w:val="right"/>
              <w:rPr>
                <w:rFonts w:eastAsia="Times New Roman"/>
              </w:rPr>
            </w:pPr>
          </w:p>
        </w:tc>
      </w:tr>
      <w:tr w:rsidR="00000000" w14:paraId="1C0C6B6A" w14:textId="77777777">
        <w:trPr>
          <w:divId w:val="989678382"/>
        </w:trPr>
        <w:tc>
          <w:tcPr>
            <w:tcW w:w="0" w:type="auto"/>
            <w:gridSpan w:val="3"/>
            <w:shd w:val="clear" w:color="auto" w:fill="FFFFFF"/>
            <w:tcMar>
              <w:top w:w="30" w:type="dxa"/>
              <w:left w:w="20" w:type="dxa"/>
              <w:bottom w:w="30" w:type="dxa"/>
              <w:right w:w="20" w:type="dxa"/>
            </w:tcMar>
            <w:vAlign w:val="bottom"/>
            <w:hideMark/>
          </w:tcPr>
          <w:p w14:paraId="0935ABD9" w14:textId="77777777" w:rsidR="00000000" w:rsidRDefault="009B6C69">
            <w:pPr>
              <w:spacing w:after="100"/>
              <w:rPr>
                <w:rFonts w:eastAsia="Times New Roman"/>
              </w:rPr>
            </w:pPr>
            <w:r>
              <w:rPr>
                <w:rFonts w:eastAsia="Times New Roman"/>
                <w:color w:val="000000"/>
                <w:sz w:val="18"/>
                <w:szCs w:val="18"/>
              </w:rPr>
              <w:t>Unused net operating losses</w:t>
            </w:r>
          </w:p>
        </w:tc>
        <w:tc>
          <w:tcPr>
            <w:tcW w:w="0" w:type="auto"/>
            <w:gridSpan w:val="2"/>
            <w:shd w:val="clear" w:color="auto" w:fill="FFFFFF"/>
            <w:tcMar>
              <w:top w:w="30" w:type="dxa"/>
              <w:left w:w="20" w:type="dxa"/>
              <w:bottom w:w="30" w:type="dxa"/>
              <w:right w:w="0" w:type="dxa"/>
            </w:tcMar>
            <w:vAlign w:val="bottom"/>
            <w:hideMark/>
          </w:tcPr>
          <w:p w14:paraId="6B0E64DE" w14:textId="77777777" w:rsidR="00000000" w:rsidRDefault="009B6C69">
            <w:pPr>
              <w:spacing w:after="100"/>
              <w:jc w:val="right"/>
              <w:rPr>
                <w:rFonts w:eastAsia="Times New Roman"/>
              </w:rPr>
            </w:pPr>
            <w:r>
              <w:rPr>
                <w:rFonts w:eastAsia="Times New Roman"/>
                <w:color w:val="000000"/>
                <w:sz w:val="18"/>
                <w:szCs w:val="18"/>
              </w:rPr>
              <w:t>887 </w:t>
            </w:r>
          </w:p>
        </w:tc>
        <w:tc>
          <w:tcPr>
            <w:tcW w:w="0" w:type="auto"/>
            <w:shd w:val="clear" w:color="auto" w:fill="FFFFFF"/>
            <w:tcMar>
              <w:top w:w="30" w:type="dxa"/>
              <w:left w:w="0" w:type="dxa"/>
              <w:bottom w:w="30" w:type="dxa"/>
              <w:right w:w="20" w:type="dxa"/>
            </w:tcMar>
            <w:vAlign w:val="bottom"/>
            <w:hideMark/>
          </w:tcPr>
          <w:p w14:paraId="22408BF7"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464B30"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BF3CB7" w14:textId="77777777" w:rsidR="00000000" w:rsidRDefault="009B6C69">
            <w:pPr>
              <w:spacing w:after="100"/>
              <w:jc w:val="right"/>
              <w:rPr>
                <w:rFonts w:eastAsia="Times New Roman"/>
              </w:rPr>
            </w:pPr>
            <w:r>
              <w:rPr>
                <w:rFonts w:eastAsia="Times New Roman"/>
                <w:color w:val="000000"/>
                <w:sz w:val="18"/>
                <w:szCs w:val="18"/>
              </w:rPr>
              <w:t>663 </w:t>
            </w:r>
          </w:p>
        </w:tc>
        <w:tc>
          <w:tcPr>
            <w:tcW w:w="0" w:type="auto"/>
            <w:shd w:val="clear" w:color="auto" w:fill="FFFFFF"/>
            <w:tcMar>
              <w:top w:w="30" w:type="dxa"/>
              <w:left w:w="0" w:type="dxa"/>
              <w:bottom w:w="30" w:type="dxa"/>
              <w:right w:w="20" w:type="dxa"/>
            </w:tcMar>
            <w:vAlign w:val="bottom"/>
            <w:hideMark/>
          </w:tcPr>
          <w:p w14:paraId="63890EDF" w14:textId="77777777" w:rsidR="00000000" w:rsidRDefault="009B6C69">
            <w:pPr>
              <w:spacing w:after="100"/>
              <w:jc w:val="right"/>
              <w:rPr>
                <w:rFonts w:eastAsia="Times New Roman"/>
              </w:rPr>
            </w:pPr>
          </w:p>
        </w:tc>
      </w:tr>
      <w:tr w:rsidR="00000000" w14:paraId="1A880F2C" w14:textId="77777777">
        <w:trPr>
          <w:divId w:val="989678382"/>
        </w:trPr>
        <w:tc>
          <w:tcPr>
            <w:tcW w:w="0" w:type="auto"/>
            <w:gridSpan w:val="3"/>
            <w:shd w:val="clear" w:color="auto" w:fill="CCEEFF"/>
            <w:tcMar>
              <w:top w:w="30" w:type="dxa"/>
              <w:left w:w="20" w:type="dxa"/>
              <w:bottom w:w="30" w:type="dxa"/>
              <w:right w:w="20" w:type="dxa"/>
            </w:tcMar>
            <w:vAlign w:val="bottom"/>
            <w:hideMark/>
          </w:tcPr>
          <w:p w14:paraId="2381724A" w14:textId="77777777" w:rsidR="00000000" w:rsidRDefault="009B6C69">
            <w:pPr>
              <w:spacing w:after="100"/>
              <w:rPr>
                <w:rFonts w:eastAsia="Times New Roman"/>
              </w:rPr>
            </w:pPr>
            <w:r>
              <w:rPr>
                <w:rFonts w:eastAsia="Times New Roman"/>
                <w:color w:val="000000"/>
                <w:sz w:val="18"/>
                <w:szCs w:val="18"/>
              </w:rPr>
              <w:t>Customer incentives</w:t>
            </w:r>
          </w:p>
        </w:tc>
        <w:tc>
          <w:tcPr>
            <w:tcW w:w="0" w:type="auto"/>
            <w:gridSpan w:val="2"/>
            <w:shd w:val="clear" w:color="auto" w:fill="CCEEFF"/>
            <w:tcMar>
              <w:top w:w="30" w:type="dxa"/>
              <w:left w:w="20" w:type="dxa"/>
              <w:bottom w:w="30" w:type="dxa"/>
              <w:right w:w="0" w:type="dxa"/>
            </w:tcMar>
            <w:vAlign w:val="bottom"/>
            <w:hideMark/>
          </w:tcPr>
          <w:p w14:paraId="380A3DE0" w14:textId="77777777" w:rsidR="00000000" w:rsidRDefault="009B6C69">
            <w:pPr>
              <w:spacing w:after="100"/>
              <w:jc w:val="right"/>
              <w:rPr>
                <w:rFonts w:eastAsia="Times New Roman"/>
              </w:rPr>
            </w:pPr>
            <w:r>
              <w:rPr>
                <w:rFonts w:eastAsia="Times New Roman"/>
                <w:color w:val="000000"/>
                <w:sz w:val="18"/>
                <w:szCs w:val="18"/>
              </w:rPr>
              <w:t>807 </w:t>
            </w:r>
          </w:p>
        </w:tc>
        <w:tc>
          <w:tcPr>
            <w:tcW w:w="0" w:type="auto"/>
            <w:shd w:val="clear" w:color="auto" w:fill="CCEEFF"/>
            <w:tcMar>
              <w:top w:w="30" w:type="dxa"/>
              <w:left w:w="0" w:type="dxa"/>
              <w:bottom w:w="30" w:type="dxa"/>
              <w:right w:w="20" w:type="dxa"/>
            </w:tcMar>
            <w:vAlign w:val="bottom"/>
            <w:hideMark/>
          </w:tcPr>
          <w:p w14:paraId="7BF48EAA"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121D38"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F7EB27" w14:textId="77777777" w:rsidR="00000000" w:rsidRDefault="009B6C69">
            <w:pPr>
              <w:spacing w:after="100"/>
              <w:jc w:val="right"/>
              <w:rPr>
                <w:rFonts w:eastAsia="Times New Roman"/>
              </w:rPr>
            </w:pPr>
            <w:r>
              <w:rPr>
                <w:rFonts w:eastAsia="Times New Roman"/>
                <w:color w:val="000000"/>
                <w:sz w:val="18"/>
                <w:szCs w:val="18"/>
              </w:rPr>
              <w:t>762 </w:t>
            </w:r>
          </w:p>
        </w:tc>
        <w:tc>
          <w:tcPr>
            <w:tcW w:w="0" w:type="auto"/>
            <w:shd w:val="clear" w:color="auto" w:fill="CCEEFF"/>
            <w:tcMar>
              <w:top w:w="30" w:type="dxa"/>
              <w:left w:w="0" w:type="dxa"/>
              <w:bottom w:w="30" w:type="dxa"/>
              <w:right w:w="20" w:type="dxa"/>
            </w:tcMar>
            <w:vAlign w:val="bottom"/>
            <w:hideMark/>
          </w:tcPr>
          <w:p w14:paraId="1F04E9BF" w14:textId="77777777" w:rsidR="00000000" w:rsidRDefault="009B6C69">
            <w:pPr>
              <w:spacing w:after="100"/>
              <w:jc w:val="right"/>
              <w:rPr>
                <w:rFonts w:eastAsia="Times New Roman"/>
              </w:rPr>
            </w:pPr>
          </w:p>
        </w:tc>
      </w:tr>
      <w:tr w:rsidR="00000000" w14:paraId="7D2FE32F" w14:textId="77777777">
        <w:trPr>
          <w:divId w:val="989678382"/>
        </w:trPr>
        <w:tc>
          <w:tcPr>
            <w:tcW w:w="0" w:type="auto"/>
            <w:gridSpan w:val="3"/>
            <w:shd w:val="clear" w:color="auto" w:fill="FFFFFF"/>
            <w:tcMar>
              <w:top w:w="30" w:type="dxa"/>
              <w:left w:w="20" w:type="dxa"/>
              <w:bottom w:w="30" w:type="dxa"/>
              <w:right w:w="20" w:type="dxa"/>
            </w:tcMar>
            <w:vAlign w:val="bottom"/>
            <w:hideMark/>
          </w:tcPr>
          <w:p w14:paraId="70BAB9BD" w14:textId="77777777" w:rsidR="00000000" w:rsidRDefault="009B6C69">
            <w:pPr>
              <w:spacing w:after="100"/>
              <w:rPr>
                <w:rFonts w:eastAsia="Times New Roman"/>
              </w:rPr>
            </w:pPr>
            <w:r>
              <w:rPr>
                <w:rFonts w:eastAsia="Times New Roman"/>
                <w:color w:val="000000"/>
                <w:sz w:val="18"/>
                <w:szCs w:val="18"/>
              </w:rPr>
              <w:t>Accrued liabilities and reserves</w:t>
            </w:r>
          </w:p>
        </w:tc>
        <w:tc>
          <w:tcPr>
            <w:tcW w:w="0" w:type="auto"/>
            <w:gridSpan w:val="2"/>
            <w:shd w:val="clear" w:color="auto" w:fill="FFFFFF"/>
            <w:tcMar>
              <w:top w:w="30" w:type="dxa"/>
              <w:left w:w="20" w:type="dxa"/>
              <w:bottom w:w="30" w:type="dxa"/>
              <w:right w:w="0" w:type="dxa"/>
            </w:tcMar>
            <w:vAlign w:val="bottom"/>
            <w:hideMark/>
          </w:tcPr>
          <w:p w14:paraId="46746EB0" w14:textId="77777777" w:rsidR="00000000" w:rsidRDefault="009B6C69">
            <w:pPr>
              <w:spacing w:after="100"/>
              <w:jc w:val="right"/>
              <w:rPr>
                <w:rFonts w:eastAsia="Times New Roman"/>
              </w:rPr>
            </w:pPr>
            <w:r>
              <w:rPr>
                <w:rFonts w:eastAsia="Times New Roman"/>
                <w:color w:val="000000"/>
                <w:sz w:val="18"/>
                <w:szCs w:val="18"/>
              </w:rPr>
              <w:t>264 </w:t>
            </w:r>
          </w:p>
        </w:tc>
        <w:tc>
          <w:tcPr>
            <w:tcW w:w="0" w:type="auto"/>
            <w:shd w:val="clear" w:color="auto" w:fill="FFFFFF"/>
            <w:tcMar>
              <w:top w:w="30" w:type="dxa"/>
              <w:left w:w="0" w:type="dxa"/>
              <w:bottom w:w="30" w:type="dxa"/>
              <w:right w:w="20" w:type="dxa"/>
            </w:tcMar>
            <w:vAlign w:val="bottom"/>
            <w:hideMark/>
          </w:tcPr>
          <w:p w14:paraId="7BC7267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1C4701"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DCB0D4" w14:textId="77777777" w:rsidR="00000000" w:rsidRDefault="009B6C69">
            <w:pPr>
              <w:spacing w:after="100"/>
              <w:jc w:val="right"/>
              <w:rPr>
                <w:rFonts w:eastAsia="Times New Roman"/>
              </w:rPr>
            </w:pPr>
            <w:r>
              <w:rPr>
                <w:rFonts w:eastAsia="Times New Roman"/>
                <w:color w:val="000000"/>
                <w:sz w:val="18"/>
                <w:szCs w:val="18"/>
              </w:rPr>
              <w:t>483 </w:t>
            </w:r>
          </w:p>
        </w:tc>
        <w:tc>
          <w:tcPr>
            <w:tcW w:w="0" w:type="auto"/>
            <w:shd w:val="clear" w:color="auto" w:fill="FFFFFF"/>
            <w:tcMar>
              <w:top w:w="30" w:type="dxa"/>
              <w:left w:w="0" w:type="dxa"/>
              <w:bottom w:w="30" w:type="dxa"/>
              <w:right w:w="20" w:type="dxa"/>
            </w:tcMar>
            <w:vAlign w:val="bottom"/>
            <w:hideMark/>
          </w:tcPr>
          <w:p w14:paraId="7A788915" w14:textId="77777777" w:rsidR="00000000" w:rsidRDefault="009B6C69">
            <w:pPr>
              <w:spacing w:after="100"/>
              <w:jc w:val="right"/>
              <w:rPr>
                <w:rFonts w:eastAsia="Times New Roman"/>
              </w:rPr>
            </w:pPr>
          </w:p>
        </w:tc>
      </w:tr>
      <w:tr w:rsidR="00000000" w14:paraId="4B1248C8" w14:textId="77777777">
        <w:trPr>
          <w:divId w:val="989678382"/>
        </w:trPr>
        <w:tc>
          <w:tcPr>
            <w:tcW w:w="0" w:type="auto"/>
            <w:gridSpan w:val="3"/>
            <w:shd w:val="clear" w:color="auto" w:fill="CCEEFF"/>
            <w:tcMar>
              <w:top w:w="30" w:type="dxa"/>
              <w:left w:w="20" w:type="dxa"/>
              <w:bottom w:w="30" w:type="dxa"/>
              <w:right w:w="20" w:type="dxa"/>
            </w:tcMar>
            <w:vAlign w:val="bottom"/>
            <w:hideMark/>
          </w:tcPr>
          <w:p w14:paraId="312B8C51" w14:textId="77777777" w:rsidR="00000000" w:rsidRDefault="009B6C69">
            <w:pPr>
              <w:spacing w:after="100"/>
              <w:rPr>
                <w:rFonts w:eastAsia="Times New Roman"/>
              </w:rPr>
            </w:pPr>
            <w:r>
              <w:rPr>
                <w:rFonts w:eastAsia="Times New Roman"/>
                <w:color w:val="000000"/>
                <w:sz w:val="18"/>
                <w:szCs w:val="18"/>
              </w:rPr>
              <w:t>Share-based compensation</w:t>
            </w:r>
          </w:p>
        </w:tc>
        <w:tc>
          <w:tcPr>
            <w:tcW w:w="0" w:type="auto"/>
            <w:gridSpan w:val="2"/>
            <w:shd w:val="clear" w:color="auto" w:fill="CCEEFF"/>
            <w:tcMar>
              <w:top w:w="30" w:type="dxa"/>
              <w:left w:w="20" w:type="dxa"/>
              <w:bottom w:w="30" w:type="dxa"/>
              <w:right w:w="0" w:type="dxa"/>
            </w:tcMar>
            <w:vAlign w:val="bottom"/>
            <w:hideMark/>
          </w:tcPr>
          <w:p w14:paraId="6EB2DE35" w14:textId="77777777" w:rsidR="00000000" w:rsidRDefault="009B6C69">
            <w:pPr>
              <w:spacing w:after="100"/>
              <w:jc w:val="right"/>
              <w:rPr>
                <w:rFonts w:eastAsia="Times New Roman"/>
              </w:rPr>
            </w:pPr>
            <w:r>
              <w:rPr>
                <w:rFonts w:eastAsia="Times New Roman"/>
                <w:color w:val="000000"/>
                <w:sz w:val="18"/>
                <w:szCs w:val="18"/>
              </w:rPr>
              <w:t>225 </w:t>
            </w:r>
          </w:p>
        </w:tc>
        <w:tc>
          <w:tcPr>
            <w:tcW w:w="0" w:type="auto"/>
            <w:shd w:val="clear" w:color="auto" w:fill="CCEEFF"/>
            <w:tcMar>
              <w:top w:w="30" w:type="dxa"/>
              <w:left w:w="0" w:type="dxa"/>
              <w:bottom w:w="30" w:type="dxa"/>
              <w:right w:w="20" w:type="dxa"/>
            </w:tcMar>
            <w:vAlign w:val="bottom"/>
            <w:hideMark/>
          </w:tcPr>
          <w:p w14:paraId="5F038ED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8BA40D"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21474F" w14:textId="77777777" w:rsidR="00000000" w:rsidRDefault="009B6C69">
            <w:pPr>
              <w:spacing w:after="100"/>
              <w:jc w:val="right"/>
              <w:rPr>
                <w:rFonts w:eastAsia="Times New Roman"/>
              </w:rPr>
            </w:pPr>
            <w:r>
              <w:rPr>
                <w:rFonts w:eastAsia="Times New Roman"/>
                <w:color w:val="000000"/>
                <w:sz w:val="18"/>
                <w:szCs w:val="18"/>
              </w:rPr>
              <w:t>175 </w:t>
            </w:r>
          </w:p>
        </w:tc>
        <w:tc>
          <w:tcPr>
            <w:tcW w:w="0" w:type="auto"/>
            <w:shd w:val="clear" w:color="auto" w:fill="CCEEFF"/>
            <w:tcMar>
              <w:top w:w="30" w:type="dxa"/>
              <w:left w:w="0" w:type="dxa"/>
              <w:bottom w:w="30" w:type="dxa"/>
              <w:right w:w="20" w:type="dxa"/>
            </w:tcMar>
            <w:vAlign w:val="bottom"/>
            <w:hideMark/>
          </w:tcPr>
          <w:p w14:paraId="55B99191" w14:textId="77777777" w:rsidR="00000000" w:rsidRDefault="009B6C69">
            <w:pPr>
              <w:spacing w:after="100"/>
              <w:jc w:val="right"/>
              <w:rPr>
                <w:rFonts w:eastAsia="Times New Roman"/>
              </w:rPr>
            </w:pPr>
          </w:p>
        </w:tc>
      </w:tr>
      <w:tr w:rsidR="00000000" w14:paraId="009D5B2B" w14:textId="77777777">
        <w:trPr>
          <w:divId w:val="989678382"/>
        </w:trPr>
        <w:tc>
          <w:tcPr>
            <w:tcW w:w="0" w:type="auto"/>
            <w:gridSpan w:val="3"/>
            <w:shd w:val="clear" w:color="auto" w:fill="FFFFFF"/>
            <w:tcMar>
              <w:top w:w="30" w:type="dxa"/>
              <w:left w:w="20" w:type="dxa"/>
              <w:bottom w:w="30" w:type="dxa"/>
              <w:right w:w="20" w:type="dxa"/>
            </w:tcMar>
            <w:vAlign w:val="bottom"/>
            <w:hideMark/>
          </w:tcPr>
          <w:p w14:paraId="177F0A15" w14:textId="77777777" w:rsidR="00000000" w:rsidRDefault="009B6C69">
            <w:pPr>
              <w:spacing w:after="100"/>
              <w:rPr>
                <w:rFonts w:eastAsia="Times New Roman"/>
              </w:rPr>
            </w:pPr>
            <w:r>
              <w:rPr>
                <w:rFonts w:eastAsia="Times New Roman"/>
                <w:color w:val="000000"/>
                <w:sz w:val="18"/>
                <w:szCs w:val="18"/>
              </w:rPr>
              <w:t>Operating lease liabilities</w:t>
            </w:r>
          </w:p>
        </w:tc>
        <w:tc>
          <w:tcPr>
            <w:tcW w:w="0" w:type="auto"/>
            <w:gridSpan w:val="2"/>
            <w:shd w:val="clear" w:color="auto" w:fill="FFFFFF"/>
            <w:tcMar>
              <w:top w:w="30" w:type="dxa"/>
              <w:left w:w="20" w:type="dxa"/>
              <w:bottom w:w="30" w:type="dxa"/>
              <w:right w:w="0" w:type="dxa"/>
            </w:tcMar>
            <w:vAlign w:val="bottom"/>
            <w:hideMark/>
          </w:tcPr>
          <w:p w14:paraId="7FB290E8" w14:textId="77777777" w:rsidR="00000000" w:rsidRDefault="009B6C69">
            <w:pPr>
              <w:spacing w:after="100"/>
              <w:jc w:val="right"/>
              <w:rPr>
                <w:rFonts w:eastAsia="Times New Roman"/>
              </w:rPr>
            </w:pPr>
            <w:r>
              <w:rPr>
                <w:rFonts w:eastAsia="Times New Roman"/>
                <w:color w:val="000000"/>
                <w:sz w:val="18"/>
                <w:szCs w:val="18"/>
              </w:rPr>
              <w:t>202 </w:t>
            </w:r>
          </w:p>
        </w:tc>
        <w:tc>
          <w:tcPr>
            <w:tcW w:w="0" w:type="auto"/>
            <w:shd w:val="clear" w:color="auto" w:fill="FFFFFF"/>
            <w:tcMar>
              <w:top w:w="30" w:type="dxa"/>
              <w:left w:w="0" w:type="dxa"/>
              <w:bottom w:w="30" w:type="dxa"/>
              <w:right w:w="20" w:type="dxa"/>
            </w:tcMar>
            <w:vAlign w:val="bottom"/>
            <w:hideMark/>
          </w:tcPr>
          <w:p w14:paraId="006E06DA"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098255"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D9C601" w14:textId="77777777" w:rsidR="00000000" w:rsidRDefault="009B6C69">
            <w:pPr>
              <w:spacing w:after="100"/>
              <w:jc w:val="right"/>
              <w:rPr>
                <w:rFonts w:eastAsia="Times New Roman"/>
              </w:rPr>
            </w:pPr>
            <w:r>
              <w:rPr>
                <w:rFonts w:eastAsia="Times New Roman"/>
                <w:color w:val="000000"/>
                <w:sz w:val="18"/>
                <w:szCs w:val="18"/>
              </w:rPr>
              <w:t>188 </w:t>
            </w:r>
          </w:p>
        </w:tc>
        <w:tc>
          <w:tcPr>
            <w:tcW w:w="0" w:type="auto"/>
            <w:shd w:val="clear" w:color="auto" w:fill="FFFFFF"/>
            <w:tcMar>
              <w:top w:w="30" w:type="dxa"/>
              <w:left w:w="0" w:type="dxa"/>
              <w:bottom w:w="30" w:type="dxa"/>
              <w:right w:w="20" w:type="dxa"/>
            </w:tcMar>
            <w:vAlign w:val="bottom"/>
            <w:hideMark/>
          </w:tcPr>
          <w:p w14:paraId="208DF283" w14:textId="77777777" w:rsidR="00000000" w:rsidRDefault="009B6C69">
            <w:pPr>
              <w:spacing w:after="100"/>
              <w:jc w:val="right"/>
              <w:rPr>
                <w:rFonts w:eastAsia="Times New Roman"/>
              </w:rPr>
            </w:pPr>
          </w:p>
        </w:tc>
      </w:tr>
      <w:tr w:rsidR="00000000" w14:paraId="5DDA3234" w14:textId="77777777">
        <w:trPr>
          <w:divId w:val="989678382"/>
        </w:trPr>
        <w:tc>
          <w:tcPr>
            <w:tcW w:w="0" w:type="auto"/>
            <w:gridSpan w:val="3"/>
            <w:shd w:val="clear" w:color="auto" w:fill="CCEEFF"/>
            <w:tcMar>
              <w:top w:w="30" w:type="dxa"/>
              <w:left w:w="20" w:type="dxa"/>
              <w:bottom w:w="30" w:type="dxa"/>
              <w:right w:w="20" w:type="dxa"/>
            </w:tcMar>
            <w:vAlign w:val="bottom"/>
            <w:hideMark/>
          </w:tcPr>
          <w:p w14:paraId="2FBF305A" w14:textId="77777777" w:rsidR="00000000" w:rsidRDefault="009B6C69">
            <w:pPr>
              <w:spacing w:after="100"/>
              <w:rPr>
                <w:rFonts w:eastAsia="Times New Roman"/>
              </w:rPr>
            </w:pPr>
            <w:r>
              <w:rPr>
                <w:rFonts w:eastAsia="Times New Roman"/>
                <w:color w:val="000000"/>
                <w:sz w:val="18"/>
                <w:szCs w:val="18"/>
              </w:rPr>
              <w:t>Unrealized losses on other investments and marketable securities</w:t>
            </w:r>
          </w:p>
        </w:tc>
        <w:tc>
          <w:tcPr>
            <w:tcW w:w="0" w:type="auto"/>
            <w:gridSpan w:val="2"/>
            <w:shd w:val="clear" w:color="auto" w:fill="CCEEFF"/>
            <w:tcMar>
              <w:top w:w="30" w:type="dxa"/>
              <w:left w:w="20" w:type="dxa"/>
              <w:bottom w:w="30" w:type="dxa"/>
              <w:right w:w="0" w:type="dxa"/>
            </w:tcMar>
            <w:vAlign w:val="bottom"/>
            <w:hideMark/>
          </w:tcPr>
          <w:p w14:paraId="54AEBB38" w14:textId="77777777" w:rsidR="00000000" w:rsidRDefault="009B6C69">
            <w:pPr>
              <w:spacing w:after="100"/>
              <w:jc w:val="right"/>
              <w:rPr>
                <w:rFonts w:eastAsia="Times New Roman"/>
              </w:rPr>
            </w:pPr>
            <w:r>
              <w:rPr>
                <w:rFonts w:eastAsia="Times New Roman"/>
                <w:color w:val="000000"/>
                <w:sz w:val="18"/>
                <w:szCs w:val="18"/>
              </w:rPr>
              <w:t>197 </w:t>
            </w:r>
          </w:p>
        </w:tc>
        <w:tc>
          <w:tcPr>
            <w:tcW w:w="0" w:type="auto"/>
            <w:shd w:val="clear" w:color="auto" w:fill="CCEEFF"/>
            <w:tcMar>
              <w:top w:w="30" w:type="dxa"/>
              <w:left w:w="0" w:type="dxa"/>
              <w:bottom w:w="30" w:type="dxa"/>
              <w:right w:w="20" w:type="dxa"/>
            </w:tcMar>
            <w:vAlign w:val="bottom"/>
            <w:hideMark/>
          </w:tcPr>
          <w:p w14:paraId="4E51467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095A23"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D3C3CF" w14:textId="77777777" w:rsidR="00000000" w:rsidRDefault="009B6C69">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14:paraId="0B0BC6E7" w14:textId="77777777" w:rsidR="00000000" w:rsidRDefault="009B6C69">
            <w:pPr>
              <w:spacing w:after="100"/>
              <w:jc w:val="right"/>
              <w:rPr>
                <w:rFonts w:eastAsia="Times New Roman"/>
              </w:rPr>
            </w:pPr>
          </w:p>
        </w:tc>
      </w:tr>
      <w:tr w:rsidR="00000000" w14:paraId="2B20A94D" w14:textId="77777777">
        <w:trPr>
          <w:divId w:val="989678382"/>
        </w:trPr>
        <w:tc>
          <w:tcPr>
            <w:tcW w:w="0" w:type="auto"/>
            <w:gridSpan w:val="3"/>
            <w:shd w:val="clear" w:color="auto" w:fill="FFFFFF"/>
            <w:tcMar>
              <w:top w:w="30" w:type="dxa"/>
              <w:left w:w="20" w:type="dxa"/>
              <w:bottom w:w="30" w:type="dxa"/>
              <w:right w:w="20" w:type="dxa"/>
            </w:tcMar>
            <w:vAlign w:val="bottom"/>
            <w:hideMark/>
          </w:tcPr>
          <w:p w14:paraId="16C4EE21" w14:textId="77777777" w:rsidR="00000000" w:rsidRDefault="009B6C69">
            <w:pPr>
              <w:spacing w:after="100"/>
              <w:rPr>
                <w:rFonts w:eastAsia="Times New Roman"/>
              </w:rPr>
            </w:pPr>
            <w:r>
              <w:rPr>
                <w:rFonts w:eastAsia="Times New Roman"/>
                <w:color w:val="000000"/>
                <w:sz w:val="18"/>
                <w:szCs w:val="18"/>
              </w:rPr>
              <w:t>Unearned revenues</w:t>
            </w:r>
          </w:p>
        </w:tc>
        <w:tc>
          <w:tcPr>
            <w:tcW w:w="0" w:type="auto"/>
            <w:gridSpan w:val="2"/>
            <w:shd w:val="clear" w:color="auto" w:fill="FFFFFF"/>
            <w:tcMar>
              <w:top w:w="30" w:type="dxa"/>
              <w:left w:w="20" w:type="dxa"/>
              <w:bottom w:w="30" w:type="dxa"/>
              <w:right w:w="0" w:type="dxa"/>
            </w:tcMar>
            <w:vAlign w:val="bottom"/>
            <w:hideMark/>
          </w:tcPr>
          <w:p w14:paraId="1BF0176C" w14:textId="77777777" w:rsidR="00000000" w:rsidRDefault="009B6C69">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bottom"/>
            <w:hideMark/>
          </w:tcPr>
          <w:p w14:paraId="64BF3CE2"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8FA237"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4ED1F9" w14:textId="77777777" w:rsidR="00000000" w:rsidRDefault="009B6C69">
            <w:pPr>
              <w:spacing w:after="100"/>
              <w:jc w:val="right"/>
              <w:rPr>
                <w:rFonts w:eastAsia="Times New Roman"/>
              </w:rPr>
            </w:pPr>
            <w:r>
              <w:rPr>
                <w:rFonts w:eastAsia="Times New Roman"/>
                <w:color w:val="000000"/>
                <w:sz w:val="18"/>
                <w:szCs w:val="18"/>
              </w:rPr>
              <w:t>181 </w:t>
            </w:r>
          </w:p>
        </w:tc>
        <w:tc>
          <w:tcPr>
            <w:tcW w:w="0" w:type="auto"/>
            <w:shd w:val="clear" w:color="auto" w:fill="FFFFFF"/>
            <w:tcMar>
              <w:top w:w="30" w:type="dxa"/>
              <w:left w:w="0" w:type="dxa"/>
              <w:bottom w:w="30" w:type="dxa"/>
              <w:right w:w="20" w:type="dxa"/>
            </w:tcMar>
            <w:vAlign w:val="bottom"/>
            <w:hideMark/>
          </w:tcPr>
          <w:p w14:paraId="76DA2DEC" w14:textId="77777777" w:rsidR="00000000" w:rsidRDefault="009B6C69">
            <w:pPr>
              <w:spacing w:after="100"/>
              <w:jc w:val="right"/>
              <w:rPr>
                <w:rFonts w:eastAsia="Times New Roman"/>
              </w:rPr>
            </w:pPr>
          </w:p>
        </w:tc>
      </w:tr>
      <w:tr w:rsidR="00000000" w14:paraId="02030F3F" w14:textId="77777777">
        <w:trPr>
          <w:divId w:val="989678382"/>
        </w:trPr>
        <w:tc>
          <w:tcPr>
            <w:tcW w:w="0" w:type="auto"/>
            <w:gridSpan w:val="3"/>
            <w:shd w:val="clear" w:color="auto" w:fill="CCEEFF"/>
            <w:tcMar>
              <w:top w:w="30" w:type="dxa"/>
              <w:left w:w="20" w:type="dxa"/>
              <w:bottom w:w="30" w:type="dxa"/>
              <w:right w:w="20" w:type="dxa"/>
            </w:tcMar>
            <w:vAlign w:val="bottom"/>
            <w:hideMark/>
          </w:tcPr>
          <w:p w14:paraId="1F0BBE79" w14:textId="77777777" w:rsidR="00000000" w:rsidRDefault="009B6C69">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2096F715" w14:textId="77777777" w:rsidR="00000000" w:rsidRDefault="009B6C69">
            <w:pPr>
              <w:spacing w:after="100"/>
              <w:jc w:val="right"/>
              <w:rPr>
                <w:rFonts w:eastAsia="Times New Roman"/>
              </w:rPr>
            </w:pPr>
            <w:r>
              <w:rPr>
                <w:rFonts w:eastAsia="Times New Roman"/>
                <w:color w:val="000000"/>
                <w:sz w:val="18"/>
                <w:szCs w:val="18"/>
              </w:rPr>
              <w:t>335 </w:t>
            </w:r>
          </w:p>
        </w:tc>
        <w:tc>
          <w:tcPr>
            <w:tcW w:w="0" w:type="auto"/>
            <w:shd w:val="clear" w:color="auto" w:fill="CCEEFF"/>
            <w:tcMar>
              <w:top w:w="30" w:type="dxa"/>
              <w:left w:w="0" w:type="dxa"/>
              <w:bottom w:w="30" w:type="dxa"/>
              <w:right w:w="20" w:type="dxa"/>
            </w:tcMar>
            <w:vAlign w:val="bottom"/>
            <w:hideMark/>
          </w:tcPr>
          <w:p w14:paraId="5A91B34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976BAF"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0AD797" w14:textId="77777777" w:rsidR="00000000" w:rsidRDefault="009B6C69">
            <w:pPr>
              <w:spacing w:after="100"/>
              <w:jc w:val="right"/>
              <w:rPr>
                <w:rFonts w:eastAsia="Times New Roman"/>
              </w:rPr>
            </w:pPr>
            <w:r>
              <w:rPr>
                <w:rFonts w:eastAsia="Times New Roman"/>
                <w:color w:val="000000"/>
                <w:sz w:val="18"/>
                <w:szCs w:val="18"/>
              </w:rPr>
              <w:t>165 </w:t>
            </w:r>
          </w:p>
        </w:tc>
        <w:tc>
          <w:tcPr>
            <w:tcW w:w="0" w:type="auto"/>
            <w:shd w:val="clear" w:color="auto" w:fill="CCEEFF"/>
            <w:tcMar>
              <w:top w:w="30" w:type="dxa"/>
              <w:left w:w="0" w:type="dxa"/>
              <w:bottom w:w="30" w:type="dxa"/>
              <w:right w:w="20" w:type="dxa"/>
            </w:tcMar>
            <w:vAlign w:val="bottom"/>
            <w:hideMark/>
          </w:tcPr>
          <w:p w14:paraId="08FD8C7B" w14:textId="77777777" w:rsidR="00000000" w:rsidRDefault="009B6C69">
            <w:pPr>
              <w:spacing w:after="100"/>
              <w:jc w:val="right"/>
              <w:rPr>
                <w:rFonts w:eastAsia="Times New Roman"/>
              </w:rPr>
            </w:pPr>
          </w:p>
        </w:tc>
      </w:tr>
      <w:tr w:rsidR="00000000" w14:paraId="62F5F684" w14:textId="77777777">
        <w:trPr>
          <w:divId w:val="989678382"/>
        </w:trPr>
        <w:tc>
          <w:tcPr>
            <w:tcW w:w="0" w:type="auto"/>
            <w:gridSpan w:val="3"/>
            <w:shd w:val="clear" w:color="auto" w:fill="FFFFFF"/>
            <w:tcMar>
              <w:top w:w="30" w:type="dxa"/>
              <w:left w:w="155" w:type="dxa"/>
              <w:bottom w:w="30" w:type="dxa"/>
              <w:right w:w="20" w:type="dxa"/>
            </w:tcMar>
            <w:vAlign w:val="bottom"/>
            <w:hideMark/>
          </w:tcPr>
          <w:p w14:paraId="4A6C9F14" w14:textId="77777777" w:rsidR="00000000" w:rsidRDefault="009B6C69">
            <w:pPr>
              <w:spacing w:after="100"/>
              <w:rPr>
                <w:rFonts w:eastAsia="Times New Roman"/>
              </w:rPr>
            </w:pPr>
            <w:r>
              <w:rPr>
                <w:rFonts w:eastAsia="Times New Roman"/>
                <w:color w:val="000000"/>
                <w:sz w:val="18"/>
                <w:szCs w:val="18"/>
              </w:rPr>
              <w:t>Total gross deferred tax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1FAF24" w14:textId="77777777" w:rsidR="00000000" w:rsidRDefault="009B6C69">
            <w:pPr>
              <w:spacing w:after="100"/>
              <w:jc w:val="right"/>
              <w:rPr>
                <w:rFonts w:eastAsia="Times New Roman"/>
              </w:rPr>
            </w:pPr>
            <w:r>
              <w:rPr>
                <w:rFonts w:eastAsia="Times New Roman"/>
                <w:color w:val="000000"/>
                <w:sz w:val="18"/>
                <w:szCs w:val="18"/>
              </w:rPr>
              <w:t>4,641 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8EBFA3"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5A959A"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29F010" w14:textId="77777777" w:rsidR="00000000" w:rsidRDefault="009B6C69">
            <w:pPr>
              <w:spacing w:after="100"/>
              <w:jc w:val="right"/>
              <w:rPr>
                <w:rFonts w:eastAsia="Times New Roman"/>
              </w:rPr>
            </w:pPr>
            <w:r>
              <w:rPr>
                <w:rFonts w:eastAsia="Times New Roman"/>
                <w:color w:val="000000"/>
                <w:sz w:val="18"/>
                <w:szCs w:val="18"/>
              </w:rPr>
              <w:t>4,227 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EB7BB8" w14:textId="77777777" w:rsidR="00000000" w:rsidRDefault="009B6C69">
            <w:pPr>
              <w:spacing w:after="100"/>
              <w:jc w:val="right"/>
              <w:rPr>
                <w:rFonts w:eastAsia="Times New Roman"/>
              </w:rPr>
            </w:pPr>
          </w:p>
        </w:tc>
      </w:tr>
      <w:tr w:rsidR="00000000" w14:paraId="5ACC69E7" w14:textId="77777777">
        <w:trPr>
          <w:divId w:val="989678382"/>
        </w:trPr>
        <w:tc>
          <w:tcPr>
            <w:tcW w:w="0" w:type="auto"/>
            <w:gridSpan w:val="3"/>
            <w:shd w:val="clear" w:color="auto" w:fill="CCEEFF"/>
            <w:tcMar>
              <w:top w:w="30" w:type="dxa"/>
              <w:left w:w="20" w:type="dxa"/>
              <w:bottom w:w="30" w:type="dxa"/>
              <w:right w:w="20" w:type="dxa"/>
            </w:tcMar>
            <w:vAlign w:val="bottom"/>
            <w:hideMark/>
          </w:tcPr>
          <w:p w14:paraId="10FF1A65" w14:textId="77777777" w:rsidR="00000000" w:rsidRDefault="009B6C69">
            <w:pPr>
              <w:spacing w:after="100"/>
              <w:rPr>
                <w:rFonts w:eastAsia="Times New Roman"/>
              </w:rPr>
            </w:pPr>
            <w:r>
              <w:rPr>
                <w:rFonts w:eastAsia="Times New Roman"/>
                <w:color w:val="000000"/>
                <w:sz w:val="18"/>
                <w:szCs w:val="18"/>
              </w:rPr>
              <w:t>Valuation allowance</w:t>
            </w:r>
          </w:p>
        </w:tc>
        <w:tc>
          <w:tcPr>
            <w:tcW w:w="0" w:type="auto"/>
            <w:gridSpan w:val="2"/>
            <w:shd w:val="clear" w:color="auto" w:fill="CCEEFF"/>
            <w:tcMar>
              <w:top w:w="30" w:type="dxa"/>
              <w:left w:w="20" w:type="dxa"/>
              <w:bottom w:w="30" w:type="dxa"/>
              <w:right w:w="0" w:type="dxa"/>
            </w:tcMar>
            <w:vAlign w:val="bottom"/>
            <w:hideMark/>
          </w:tcPr>
          <w:p w14:paraId="25A45282" w14:textId="77777777" w:rsidR="00000000" w:rsidRDefault="009B6C69">
            <w:pPr>
              <w:spacing w:after="100"/>
              <w:jc w:val="right"/>
              <w:rPr>
                <w:rFonts w:eastAsia="Times New Roman"/>
              </w:rPr>
            </w:pPr>
            <w:r>
              <w:rPr>
                <w:rFonts w:eastAsia="Times New Roman"/>
                <w:color w:val="000000"/>
                <w:sz w:val="18"/>
                <w:szCs w:val="18"/>
              </w:rPr>
              <w:t>(2,223)</w:t>
            </w:r>
          </w:p>
        </w:tc>
        <w:tc>
          <w:tcPr>
            <w:tcW w:w="0" w:type="auto"/>
            <w:shd w:val="clear" w:color="auto" w:fill="CCEEFF"/>
            <w:tcMar>
              <w:top w:w="30" w:type="dxa"/>
              <w:left w:w="0" w:type="dxa"/>
              <w:bottom w:w="30" w:type="dxa"/>
              <w:right w:w="20" w:type="dxa"/>
            </w:tcMar>
            <w:vAlign w:val="bottom"/>
            <w:hideMark/>
          </w:tcPr>
          <w:p w14:paraId="2BFE197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230A8C"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58786C" w14:textId="77777777" w:rsidR="00000000" w:rsidRDefault="009B6C69">
            <w:pPr>
              <w:spacing w:after="100"/>
              <w:jc w:val="right"/>
              <w:rPr>
                <w:rFonts w:eastAsia="Times New Roman"/>
              </w:rPr>
            </w:pPr>
            <w:r>
              <w:rPr>
                <w:rFonts w:eastAsia="Times New Roman"/>
                <w:color w:val="000000"/>
                <w:sz w:val="18"/>
                <w:szCs w:val="18"/>
              </w:rPr>
              <w:t>(1,926)</w:t>
            </w:r>
          </w:p>
        </w:tc>
        <w:tc>
          <w:tcPr>
            <w:tcW w:w="0" w:type="auto"/>
            <w:shd w:val="clear" w:color="auto" w:fill="CCEEFF"/>
            <w:tcMar>
              <w:top w:w="30" w:type="dxa"/>
              <w:left w:w="0" w:type="dxa"/>
              <w:bottom w:w="30" w:type="dxa"/>
              <w:right w:w="20" w:type="dxa"/>
            </w:tcMar>
            <w:vAlign w:val="bottom"/>
            <w:hideMark/>
          </w:tcPr>
          <w:p w14:paraId="2A109FBA" w14:textId="77777777" w:rsidR="00000000" w:rsidRDefault="009B6C69">
            <w:pPr>
              <w:spacing w:after="100"/>
              <w:jc w:val="right"/>
              <w:rPr>
                <w:rFonts w:eastAsia="Times New Roman"/>
              </w:rPr>
            </w:pPr>
          </w:p>
        </w:tc>
      </w:tr>
      <w:tr w:rsidR="00000000" w14:paraId="0DBC9FC1" w14:textId="77777777">
        <w:trPr>
          <w:divId w:val="989678382"/>
        </w:trPr>
        <w:tc>
          <w:tcPr>
            <w:tcW w:w="0" w:type="auto"/>
            <w:gridSpan w:val="3"/>
            <w:shd w:val="clear" w:color="auto" w:fill="FFFFFF"/>
            <w:tcMar>
              <w:top w:w="30" w:type="dxa"/>
              <w:left w:w="155" w:type="dxa"/>
              <w:bottom w:w="30" w:type="dxa"/>
              <w:right w:w="20" w:type="dxa"/>
            </w:tcMar>
            <w:vAlign w:val="bottom"/>
            <w:hideMark/>
          </w:tcPr>
          <w:p w14:paraId="6F0799C2" w14:textId="77777777" w:rsidR="00000000" w:rsidRDefault="009B6C69">
            <w:pPr>
              <w:spacing w:after="100"/>
              <w:rPr>
                <w:rFonts w:eastAsia="Times New Roman"/>
              </w:rPr>
            </w:pPr>
            <w:r>
              <w:rPr>
                <w:rFonts w:eastAsia="Times New Roman"/>
                <w:color w:val="000000"/>
                <w:sz w:val="18"/>
                <w:szCs w:val="18"/>
              </w:rPr>
              <w:t>Total net deferred tax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A29553" w14:textId="77777777" w:rsidR="00000000" w:rsidRDefault="009B6C69">
            <w:pPr>
              <w:spacing w:after="100"/>
              <w:jc w:val="right"/>
              <w:rPr>
                <w:rFonts w:eastAsia="Times New Roman"/>
              </w:rPr>
            </w:pPr>
            <w:r>
              <w:rPr>
                <w:rFonts w:eastAsia="Times New Roman"/>
                <w:color w:val="000000"/>
                <w:sz w:val="18"/>
                <w:szCs w:val="18"/>
              </w:rPr>
              <w:t>2,418 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474FB8"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CA1305"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48841A" w14:textId="77777777" w:rsidR="00000000" w:rsidRDefault="009B6C69">
            <w:pPr>
              <w:spacing w:after="100"/>
              <w:jc w:val="right"/>
              <w:rPr>
                <w:rFonts w:eastAsia="Times New Roman"/>
              </w:rPr>
            </w:pPr>
            <w:r>
              <w:rPr>
                <w:rFonts w:eastAsia="Times New Roman"/>
                <w:color w:val="000000"/>
                <w:sz w:val="18"/>
                <w:szCs w:val="18"/>
              </w:rPr>
              <w:t>2,301 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00B8C1" w14:textId="77777777" w:rsidR="00000000" w:rsidRDefault="009B6C69">
            <w:pPr>
              <w:spacing w:after="100"/>
              <w:jc w:val="right"/>
              <w:rPr>
                <w:rFonts w:eastAsia="Times New Roman"/>
              </w:rPr>
            </w:pPr>
          </w:p>
        </w:tc>
      </w:tr>
      <w:tr w:rsidR="00000000" w14:paraId="46A56451" w14:textId="77777777">
        <w:trPr>
          <w:divId w:val="989678382"/>
        </w:trPr>
        <w:tc>
          <w:tcPr>
            <w:tcW w:w="0" w:type="auto"/>
            <w:gridSpan w:val="3"/>
            <w:shd w:val="clear" w:color="auto" w:fill="CCEEFF"/>
            <w:tcMar>
              <w:top w:w="30" w:type="dxa"/>
              <w:left w:w="20" w:type="dxa"/>
              <w:bottom w:w="30" w:type="dxa"/>
              <w:right w:w="20" w:type="dxa"/>
            </w:tcMar>
            <w:vAlign w:val="bottom"/>
            <w:hideMark/>
          </w:tcPr>
          <w:p w14:paraId="18496836" w14:textId="77777777" w:rsidR="00000000" w:rsidRDefault="009B6C69">
            <w:pPr>
              <w:spacing w:after="100"/>
              <w:rPr>
                <w:rFonts w:eastAsia="Times New Roman"/>
              </w:rPr>
            </w:pPr>
            <w:r>
              <w:rPr>
                <w:rFonts w:eastAsia="Times New Roman"/>
                <w:color w:val="000000"/>
                <w:sz w:val="18"/>
                <w:szCs w:val="18"/>
              </w:rPr>
              <w:t>Intangible assets</w:t>
            </w:r>
          </w:p>
        </w:tc>
        <w:tc>
          <w:tcPr>
            <w:tcW w:w="0" w:type="auto"/>
            <w:gridSpan w:val="2"/>
            <w:shd w:val="clear" w:color="auto" w:fill="CCEEFF"/>
            <w:tcMar>
              <w:top w:w="30" w:type="dxa"/>
              <w:left w:w="20" w:type="dxa"/>
              <w:bottom w:w="30" w:type="dxa"/>
              <w:right w:w="0" w:type="dxa"/>
            </w:tcMar>
            <w:vAlign w:val="bottom"/>
            <w:hideMark/>
          </w:tcPr>
          <w:p w14:paraId="532FA2D4" w14:textId="77777777" w:rsidR="00000000" w:rsidRDefault="009B6C69">
            <w:pPr>
              <w:spacing w:after="100"/>
              <w:jc w:val="right"/>
              <w:rPr>
                <w:rFonts w:eastAsia="Times New Roman"/>
              </w:rPr>
            </w:pPr>
            <w:r>
              <w:rPr>
                <w:rFonts w:eastAsia="Times New Roman"/>
                <w:color w:val="000000"/>
                <w:sz w:val="18"/>
                <w:szCs w:val="18"/>
              </w:rPr>
              <w:t>(315)</w:t>
            </w:r>
          </w:p>
        </w:tc>
        <w:tc>
          <w:tcPr>
            <w:tcW w:w="0" w:type="auto"/>
            <w:shd w:val="clear" w:color="auto" w:fill="CCEEFF"/>
            <w:tcMar>
              <w:top w:w="30" w:type="dxa"/>
              <w:left w:w="0" w:type="dxa"/>
              <w:bottom w:w="30" w:type="dxa"/>
              <w:right w:w="20" w:type="dxa"/>
            </w:tcMar>
            <w:vAlign w:val="bottom"/>
            <w:hideMark/>
          </w:tcPr>
          <w:p w14:paraId="6586763B"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729FC1"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67A5A7" w14:textId="77777777" w:rsidR="00000000" w:rsidRDefault="009B6C69">
            <w:pPr>
              <w:spacing w:after="100"/>
              <w:jc w:val="right"/>
              <w:rPr>
                <w:rFonts w:eastAsia="Times New Roman"/>
              </w:rPr>
            </w:pPr>
            <w:r>
              <w:rPr>
                <w:rFonts w:eastAsia="Times New Roman"/>
                <w:color w:val="000000"/>
                <w:sz w:val="18"/>
                <w:szCs w:val="18"/>
              </w:rPr>
              <w:t>(198)</w:t>
            </w:r>
          </w:p>
        </w:tc>
        <w:tc>
          <w:tcPr>
            <w:tcW w:w="0" w:type="auto"/>
            <w:shd w:val="clear" w:color="auto" w:fill="CCEEFF"/>
            <w:tcMar>
              <w:top w:w="30" w:type="dxa"/>
              <w:left w:w="0" w:type="dxa"/>
              <w:bottom w:w="30" w:type="dxa"/>
              <w:right w:w="20" w:type="dxa"/>
            </w:tcMar>
            <w:vAlign w:val="bottom"/>
            <w:hideMark/>
          </w:tcPr>
          <w:p w14:paraId="4D4AB8EE" w14:textId="77777777" w:rsidR="00000000" w:rsidRDefault="009B6C69">
            <w:pPr>
              <w:spacing w:after="100"/>
              <w:jc w:val="right"/>
              <w:rPr>
                <w:rFonts w:eastAsia="Times New Roman"/>
              </w:rPr>
            </w:pPr>
          </w:p>
        </w:tc>
      </w:tr>
      <w:tr w:rsidR="00000000" w14:paraId="6496B447" w14:textId="77777777">
        <w:trPr>
          <w:divId w:val="989678382"/>
        </w:trPr>
        <w:tc>
          <w:tcPr>
            <w:tcW w:w="0" w:type="auto"/>
            <w:gridSpan w:val="3"/>
            <w:shd w:val="clear" w:color="auto" w:fill="FFFFFF"/>
            <w:tcMar>
              <w:top w:w="30" w:type="dxa"/>
              <w:left w:w="20" w:type="dxa"/>
              <w:bottom w:w="30" w:type="dxa"/>
              <w:right w:w="20" w:type="dxa"/>
            </w:tcMar>
            <w:vAlign w:val="bottom"/>
            <w:hideMark/>
          </w:tcPr>
          <w:p w14:paraId="520659CE" w14:textId="77777777" w:rsidR="00000000" w:rsidRDefault="009B6C69">
            <w:pPr>
              <w:spacing w:after="100"/>
              <w:rPr>
                <w:rFonts w:eastAsia="Times New Roman"/>
              </w:rPr>
            </w:pPr>
            <w:r>
              <w:rPr>
                <w:rFonts w:eastAsia="Times New Roman"/>
                <w:color w:val="000000"/>
                <w:sz w:val="18"/>
                <w:szCs w:val="18"/>
              </w:rPr>
              <w:t>Operating lease assets</w:t>
            </w:r>
          </w:p>
        </w:tc>
        <w:tc>
          <w:tcPr>
            <w:tcW w:w="0" w:type="auto"/>
            <w:gridSpan w:val="2"/>
            <w:shd w:val="clear" w:color="auto" w:fill="FFFFFF"/>
            <w:tcMar>
              <w:top w:w="30" w:type="dxa"/>
              <w:left w:w="20" w:type="dxa"/>
              <w:bottom w:w="30" w:type="dxa"/>
              <w:right w:w="0" w:type="dxa"/>
            </w:tcMar>
            <w:vAlign w:val="bottom"/>
            <w:hideMark/>
          </w:tcPr>
          <w:p w14:paraId="58B020A1" w14:textId="77777777" w:rsidR="00000000" w:rsidRDefault="009B6C69">
            <w:pPr>
              <w:spacing w:after="100"/>
              <w:jc w:val="right"/>
              <w:rPr>
                <w:rFonts w:eastAsia="Times New Roman"/>
              </w:rPr>
            </w:pPr>
            <w:r>
              <w:rPr>
                <w:rFonts w:eastAsia="Times New Roman"/>
                <w:color w:val="000000"/>
                <w:sz w:val="18"/>
                <w:szCs w:val="18"/>
              </w:rPr>
              <w:t>(184)</w:t>
            </w:r>
          </w:p>
        </w:tc>
        <w:tc>
          <w:tcPr>
            <w:tcW w:w="0" w:type="auto"/>
            <w:shd w:val="clear" w:color="auto" w:fill="FFFFFF"/>
            <w:tcMar>
              <w:top w:w="30" w:type="dxa"/>
              <w:left w:w="0" w:type="dxa"/>
              <w:bottom w:w="30" w:type="dxa"/>
              <w:right w:w="20" w:type="dxa"/>
            </w:tcMar>
            <w:vAlign w:val="bottom"/>
            <w:hideMark/>
          </w:tcPr>
          <w:p w14:paraId="77E0B6CC"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1A90C"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4EEB6E" w14:textId="77777777" w:rsidR="00000000" w:rsidRDefault="009B6C69">
            <w:pPr>
              <w:spacing w:after="100"/>
              <w:jc w:val="right"/>
              <w:rPr>
                <w:rFonts w:eastAsia="Times New Roman"/>
              </w:rPr>
            </w:pPr>
            <w:r>
              <w:rPr>
                <w:rFonts w:eastAsia="Times New Roman"/>
                <w:color w:val="000000"/>
                <w:sz w:val="18"/>
                <w:szCs w:val="18"/>
              </w:rPr>
              <w:t>(174)</w:t>
            </w:r>
          </w:p>
        </w:tc>
        <w:tc>
          <w:tcPr>
            <w:tcW w:w="0" w:type="auto"/>
            <w:shd w:val="clear" w:color="auto" w:fill="FFFFFF"/>
            <w:tcMar>
              <w:top w:w="30" w:type="dxa"/>
              <w:left w:w="0" w:type="dxa"/>
              <w:bottom w:w="30" w:type="dxa"/>
              <w:right w:w="20" w:type="dxa"/>
            </w:tcMar>
            <w:vAlign w:val="bottom"/>
            <w:hideMark/>
          </w:tcPr>
          <w:p w14:paraId="2EAAAC09" w14:textId="77777777" w:rsidR="00000000" w:rsidRDefault="009B6C69">
            <w:pPr>
              <w:spacing w:after="100"/>
              <w:jc w:val="right"/>
              <w:rPr>
                <w:rFonts w:eastAsia="Times New Roman"/>
              </w:rPr>
            </w:pPr>
          </w:p>
        </w:tc>
      </w:tr>
      <w:tr w:rsidR="00000000" w14:paraId="62DC1A99" w14:textId="77777777">
        <w:trPr>
          <w:divId w:val="989678382"/>
        </w:trPr>
        <w:tc>
          <w:tcPr>
            <w:tcW w:w="0" w:type="auto"/>
            <w:gridSpan w:val="3"/>
            <w:shd w:val="clear" w:color="auto" w:fill="CCEEFF"/>
            <w:tcMar>
              <w:top w:w="30" w:type="dxa"/>
              <w:left w:w="20" w:type="dxa"/>
              <w:bottom w:w="30" w:type="dxa"/>
              <w:right w:w="20" w:type="dxa"/>
            </w:tcMar>
            <w:vAlign w:val="bottom"/>
            <w:hideMark/>
          </w:tcPr>
          <w:p w14:paraId="048EEDED" w14:textId="77777777" w:rsidR="00000000" w:rsidRDefault="009B6C69">
            <w:pPr>
              <w:spacing w:after="100"/>
              <w:rPr>
                <w:rFonts w:eastAsia="Times New Roman"/>
              </w:rPr>
            </w:pPr>
            <w:r>
              <w:rPr>
                <w:rFonts w:eastAsia="Times New Roman"/>
                <w:color w:val="000000"/>
                <w:sz w:val="18"/>
                <w:szCs w:val="18"/>
              </w:rPr>
              <w:t>Property, plant and equipment</w:t>
            </w:r>
          </w:p>
        </w:tc>
        <w:tc>
          <w:tcPr>
            <w:tcW w:w="0" w:type="auto"/>
            <w:gridSpan w:val="2"/>
            <w:shd w:val="clear" w:color="auto" w:fill="CCEEFF"/>
            <w:tcMar>
              <w:top w:w="30" w:type="dxa"/>
              <w:left w:w="20" w:type="dxa"/>
              <w:bottom w:w="30" w:type="dxa"/>
              <w:right w:w="0" w:type="dxa"/>
            </w:tcMar>
            <w:vAlign w:val="bottom"/>
            <w:hideMark/>
          </w:tcPr>
          <w:p w14:paraId="7A4A4050" w14:textId="77777777" w:rsidR="00000000" w:rsidRDefault="009B6C69">
            <w:pPr>
              <w:spacing w:after="100"/>
              <w:jc w:val="right"/>
              <w:rPr>
                <w:rFonts w:eastAsia="Times New Roman"/>
              </w:rPr>
            </w:pPr>
            <w:r>
              <w:rPr>
                <w:rFonts w:eastAsia="Times New Roman"/>
                <w:color w:val="000000"/>
                <w:sz w:val="18"/>
                <w:szCs w:val="18"/>
              </w:rPr>
              <w:t>(101)</w:t>
            </w:r>
          </w:p>
        </w:tc>
        <w:tc>
          <w:tcPr>
            <w:tcW w:w="0" w:type="auto"/>
            <w:shd w:val="clear" w:color="auto" w:fill="CCEEFF"/>
            <w:tcMar>
              <w:top w:w="30" w:type="dxa"/>
              <w:left w:w="0" w:type="dxa"/>
              <w:bottom w:w="30" w:type="dxa"/>
              <w:right w:w="20" w:type="dxa"/>
            </w:tcMar>
            <w:vAlign w:val="bottom"/>
            <w:hideMark/>
          </w:tcPr>
          <w:p w14:paraId="0D92252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A79518"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0F8A57" w14:textId="77777777" w:rsidR="00000000" w:rsidRDefault="009B6C69">
            <w:pPr>
              <w:spacing w:after="100"/>
              <w:jc w:val="right"/>
              <w:rPr>
                <w:rFonts w:eastAsia="Times New Roman"/>
              </w:rPr>
            </w:pPr>
            <w:r>
              <w:rPr>
                <w:rFonts w:eastAsia="Times New Roman"/>
                <w:color w:val="000000"/>
                <w:sz w:val="18"/>
                <w:szCs w:val="18"/>
              </w:rPr>
              <w:t>(111)</w:t>
            </w:r>
          </w:p>
        </w:tc>
        <w:tc>
          <w:tcPr>
            <w:tcW w:w="0" w:type="auto"/>
            <w:shd w:val="clear" w:color="auto" w:fill="CCEEFF"/>
            <w:tcMar>
              <w:top w:w="30" w:type="dxa"/>
              <w:left w:w="0" w:type="dxa"/>
              <w:bottom w:w="30" w:type="dxa"/>
              <w:right w:w="20" w:type="dxa"/>
            </w:tcMar>
            <w:vAlign w:val="bottom"/>
            <w:hideMark/>
          </w:tcPr>
          <w:p w14:paraId="513B1687" w14:textId="77777777" w:rsidR="00000000" w:rsidRDefault="009B6C69">
            <w:pPr>
              <w:spacing w:after="100"/>
              <w:jc w:val="right"/>
              <w:rPr>
                <w:rFonts w:eastAsia="Times New Roman"/>
              </w:rPr>
            </w:pPr>
          </w:p>
        </w:tc>
      </w:tr>
      <w:tr w:rsidR="00000000" w14:paraId="36200B07" w14:textId="77777777">
        <w:trPr>
          <w:divId w:val="989678382"/>
        </w:trPr>
        <w:tc>
          <w:tcPr>
            <w:tcW w:w="0" w:type="auto"/>
            <w:gridSpan w:val="3"/>
            <w:shd w:val="clear" w:color="auto" w:fill="FFFFFF"/>
            <w:tcMar>
              <w:top w:w="30" w:type="dxa"/>
              <w:left w:w="20" w:type="dxa"/>
              <w:bottom w:w="30" w:type="dxa"/>
              <w:right w:w="20" w:type="dxa"/>
            </w:tcMar>
            <w:vAlign w:val="bottom"/>
            <w:hideMark/>
          </w:tcPr>
          <w:p w14:paraId="30F54C74" w14:textId="77777777" w:rsidR="00000000" w:rsidRDefault="009B6C69">
            <w:pPr>
              <w:spacing w:after="100"/>
              <w:rPr>
                <w:rFonts w:eastAsia="Times New Roman"/>
              </w:rPr>
            </w:pPr>
            <w:r>
              <w:rPr>
                <w:rFonts w:eastAsia="Times New Roman"/>
                <w:color w:val="000000"/>
                <w:sz w:val="18"/>
                <w:szCs w:val="18"/>
              </w:rPr>
              <w:t>Unrealized gains on other investments and marketable securities</w:t>
            </w:r>
          </w:p>
        </w:tc>
        <w:tc>
          <w:tcPr>
            <w:tcW w:w="0" w:type="auto"/>
            <w:gridSpan w:val="2"/>
            <w:shd w:val="clear" w:color="auto" w:fill="FFFFFF"/>
            <w:tcMar>
              <w:top w:w="30" w:type="dxa"/>
              <w:left w:w="20" w:type="dxa"/>
              <w:bottom w:w="30" w:type="dxa"/>
              <w:right w:w="0" w:type="dxa"/>
            </w:tcMar>
            <w:vAlign w:val="bottom"/>
            <w:hideMark/>
          </w:tcPr>
          <w:p w14:paraId="4D82D50F" w14:textId="77777777" w:rsidR="00000000" w:rsidRDefault="009B6C69">
            <w:pPr>
              <w:spacing w:after="100"/>
              <w:jc w:val="right"/>
              <w:rPr>
                <w:rFonts w:eastAsia="Times New Roman"/>
              </w:rPr>
            </w:pPr>
            <w:r>
              <w:rPr>
                <w:rFonts w:eastAsia="Times New Roman"/>
                <w:color w:val="000000"/>
                <w:sz w:val="18"/>
                <w:szCs w:val="18"/>
              </w:rPr>
              <w:t>(84)</w:t>
            </w:r>
          </w:p>
        </w:tc>
        <w:tc>
          <w:tcPr>
            <w:tcW w:w="0" w:type="auto"/>
            <w:shd w:val="clear" w:color="auto" w:fill="FFFFFF"/>
            <w:tcMar>
              <w:top w:w="30" w:type="dxa"/>
              <w:left w:w="0" w:type="dxa"/>
              <w:bottom w:w="30" w:type="dxa"/>
              <w:right w:w="20" w:type="dxa"/>
            </w:tcMar>
            <w:vAlign w:val="bottom"/>
            <w:hideMark/>
          </w:tcPr>
          <w:p w14:paraId="2F346EE7"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8F4E37"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B85398" w14:textId="77777777" w:rsidR="00000000" w:rsidRDefault="009B6C69">
            <w:pPr>
              <w:spacing w:after="100"/>
              <w:jc w:val="right"/>
              <w:rPr>
                <w:rFonts w:eastAsia="Times New Roman"/>
              </w:rPr>
            </w:pPr>
            <w:r>
              <w:rPr>
                <w:rFonts w:eastAsia="Times New Roman"/>
                <w:color w:val="000000"/>
                <w:sz w:val="18"/>
                <w:szCs w:val="18"/>
              </w:rPr>
              <w:t>(215)</w:t>
            </w:r>
          </w:p>
        </w:tc>
        <w:tc>
          <w:tcPr>
            <w:tcW w:w="0" w:type="auto"/>
            <w:shd w:val="clear" w:color="auto" w:fill="FFFFFF"/>
            <w:tcMar>
              <w:top w:w="30" w:type="dxa"/>
              <w:left w:w="0" w:type="dxa"/>
              <w:bottom w:w="30" w:type="dxa"/>
              <w:right w:w="20" w:type="dxa"/>
            </w:tcMar>
            <w:vAlign w:val="bottom"/>
            <w:hideMark/>
          </w:tcPr>
          <w:p w14:paraId="0F6BD03A" w14:textId="77777777" w:rsidR="00000000" w:rsidRDefault="009B6C69">
            <w:pPr>
              <w:spacing w:after="100"/>
              <w:jc w:val="right"/>
              <w:rPr>
                <w:rFonts w:eastAsia="Times New Roman"/>
              </w:rPr>
            </w:pPr>
          </w:p>
        </w:tc>
      </w:tr>
      <w:tr w:rsidR="00000000" w14:paraId="4F6515D2" w14:textId="77777777">
        <w:trPr>
          <w:divId w:val="989678382"/>
        </w:trPr>
        <w:tc>
          <w:tcPr>
            <w:tcW w:w="0" w:type="auto"/>
            <w:gridSpan w:val="3"/>
            <w:shd w:val="clear" w:color="auto" w:fill="CCEEFF"/>
            <w:tcMar>
              <w:top w:w="30" w:type="dxa"/>
              <w:left w:w="20" w:type="dxa"/>
              <w:bottom w:w="30" w:type="dxa"/>
              <w:right w:w="20" w:type="dxa"/>
            </w:tcMar>
            <w:vAlign w:val="bottom"/>
            <w:hideMark/>
          </w:tcPr>
          <w:p w14:paraId="0653C9BD" w14:textId="77777777" w:rsidR="00000000" w:rsidRDefault="009B6C69">
            <w:pPr>
              <w:spacing w:after="100"/>
              <w:rPr>
                <w:rFonts w:eastAsia="Times New Roman"/>
              </w:rPr>
            </w:pPr>
            <w:r>
              <w:rPr>
                <w:rFonts w:eastAsia="Times New Roman"/>
                <w:color w:val="000000"/>
                <w:sz w:val="18"/>
                <w:szCs w:val="18"/>
              </w:rPr>
              <w:t>Accrued withholding taxes</w:t>
            </w:r>
          </w:p>
        </w:tc>
        <w:tc>
          <w:tcPr>
            <w:tcW w:w="0" w:type="auto"/>
            <w:gridSpan w:val="2"/>
            <w:shd w:val="clear" w:color="auto" w:fill="CCEEFF"/>
            <w:tcMar>
              <w:top w:w="30" w:type="dxa"/>
              <w:left w:w="20" w:type="dxa"/>
              <w:bottom w:w="30" w:type="dxa"/>
              <w:right w:w="0" w:type="dxa"/>
            </w:tcMar>
            <w:vAlign w:val="bottom"/>
            <w:hideMark/>
          </w:tcPr>
          <w:p w14:paraId="576F01FE" w14:textId="77777777" w:rsidR="00000000" w:rsidRDefault="009B6C69">
            <w:pPr>
              <w:spacing w:after="100"/>
              <w:jc w:val="right"/>
              <w:rPr>
                <w:rFonts w:eastAsia="Times New Roman"/>
              </w:rPr>
            </w:pPr>
            <w:r>
              <w:rPr>
                <w:rFonts w:eastAsia="Times New Roman"/>
                <w:color w:val="000000"/>
                <w:sz w:val="18"/>
                <w:szCs w:val="18"/>
              </w:rPr>
              <w:t>(62)</w:t>
            </w:r>
          </w:p>
        </w:tc>
        <w:tc>
          <w:tcPr>
            <w:tcW w:w="0" w:type="auto"/>
            <w:shd w:val="clear" w:color="auto" w:fill="CCEEFF"/>
            <w:tcMar>
              <w:top w:w="30" w:type="dxa"/>
              <w:left w:w="0" w:type="dxa"/>
              <w:bottom w:w="30" w:type="dxa"/>
              <w:right w:w="20" w:type="dxa"/>
            </w:tcMar>
            <w:vAlign w:val="bottom"/>
            <w:hideMark/>
          </w:tcPr>
          <w:p w14:paraId="58AC5F2A"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CBABB1"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86928D" w14:textId="77777777" w:rsidR="00000000" w:rsidRDefault="009B6C69">
            <w:pPr>
              <w:spacing w:after="100"/>
              <w:jc w:val="right"/>
              <w:rPr>
                <w:rFonts w:eastAsia="Times New Roman"/>
              </w:rPr>
            </w:pPr>
            <w:r>
              <w:rPr>
                <w:rFonts w:eastAsia="Times New Roman"/>
                <w:color w:val="000000"/>
                <w:sz w:val="18"/>
                <w:szCs w:val="18"/>
              </w:rPr>
              <w:t>(42)</w:t>
            </w:r>
          </w:p>
        </w:tc>
        <w:tc>
          <w:tcPr>
            <w:tcW w:w="0" w:type="auto"/>
            <w:shd w:val="clear" w:color="auto" w:fill="CCEEFF"/>
            <w:tcMar>
              <w:top w:w="30" w:type="dxa"/>
              <w:left w:w="0" w:type="dxa"/>
              <w:bottom w:w="30" w:type="dxa"/>
              <w:right w:w="20" w:type="dxa"/>
            </w:tcMar>
            <w:vAlign w:val="bottom"/>
            <w:hideMark/>
          </w:tcPr>
          <w:p w14:paraId="44B0D841" w14:textId="77777777" w:rsidR="00000000" w:rsidRDefault="009B6C69">
            <w:pPr>
              <w:spacing w:after="100"/>
              <w:jc w:val="right"/>
              <w:rPr>
                <w:rFonts w:eastAsia="Times New Roman"/>
              </w:rPr>
            </w:pPr>
          </w:p>
        </w:tc>
      </w:tr>
      <w:tr w:rsidR="00000000" w14:paraId="5475571F" w14:textId="77777777">
        <w:trPr>
          <w:divId w:val="989678382"/>
        </w:trPr>
        <w:tc>
          <w:tcPr>
            <w:tcW w:w="0" w:type="auto"/>
            <w:gridSpan w:val="3"/>
            <w:shd w:val="clear" w:color="auto" w:fill="FFFFFF"/>
            <w:tcMar>
              <w:top w:w="30" w:type="dxa"/>
              <w:left w:w="20" w:type="dxa"/>
              <w:bottom w:w="30" w:type="dxa"/>
              <w:right w:w="20" w:type="dxa"/>
            </w:tcMar>
            <w:vAlign w:val="bottom"/>
            <w:hideMark/>
          </w:tcPr>
          <w:p w14:paraId="7402FBD1" w14:textId="77777777" w:rsidR="00000000" w:rsidRDefault="009B6C69">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31837BA9" w14:textId="77777777" w:rsidR="00000000" w:rsidRDefault="009B6C69">
            <w:pPr>
              <w:spacing w:after="100"/>
              <w:jc w:val="right"/>
              <w:rPr>
                <w:rFonts w:eastAsia="Times New Roman"/>
              </w:rPr>
            </w:pPr>
            <w:r>
              <w:rPr>
                <w:rFonts w:eastAsia="Times New Roman"/>
                <w:color w:val="000000"/>
                <w:sz w:val="18"/>
                <w:szCs w:val="18"/>
              </w:rPr>
              <w:t>(36)</w:t>
            </w:r>
          </w:p>
        </w:tc>
        <w:tc>
          <w:tcPr>
            <w:tcW w:w="0" w:type="auto"/>
            <w:shd w:val="clear" w:color="auto" w:fill="FFFFFF"/>
            <w:tcMar>
              <w:top w:w="30" w:type="dxa"/>
              <w:left w:w="0" w:type="dxa"/>
              <w:bottom w:w="30" w:type="dxa"/>
              <w:right w:w="20" w:type="dxa"/>
            </w:tcMar>
            <w:vAlign w:val="bottom"/>
            <w:hideMark/>
          </w:tcPr>
          <w:p w14:paraId="1C2BCA4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FADA81"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9D7E39" w14:textId="77777777" w:rsidR="00000000" w:rsidRDefault="009B6C69">
            <w:pPr>
              <w:spacing w:after="100"/>
              <w:jc w:val="right"/>
              <w:rPr>
                <w:rFonts w:eastAsia="Times New Roman"/>
              </w:rPr>
            </w:pPr>
            <w:r>
              <w:rPr>
                <w:rFonts w:eastAsia="Times New Roman"/>
                <w:color w:val="000000"/>
                <w:sz w:val="18"/>
                <w:szCs w:val="18"/>
              </w:rPr>
              <w:t>(34)</w:t>
            </w:r>
          </w:p>
        </w:tc>
        <w:tc>
          <w:tcPr>
            <w:tcW w:w="0" w:type="auto"/>
            <w:shd w:val="clear" w:color="auto" w:fill="FFFFFF"/>
            <w:tcMar>
              <w:top w:w="30" w:type="dxa"/>
              <w:left w:w="0" w:type="dxa"/>
              <w:bottom w:w="30" w:type="dxa"/>
              <w:right w:w="20" w:type="dxa"/>
            </w:tcMar>
            <w:vAlign w:val="bottom"/>
            <w:hideMark/>
          </w:tcPr>
          <w:p w14:paraId="6500381B" w14:textId="77777777" w:rsidR="00000000" w:rsidRDefault="009B6C69">
            <w:pPr>
              <w:spacing w:after="100"/>
              <w:jc w:val="right"/>
              <w:rPr>
                <w:rFonts w:eastAsia="Times New Roman"/>
              </w:rPr>
            </w:pPr>
          </w:p>
        </w:tc>
      </w:tr>
      <w:tr w:rsidR="00000000" w14:paraId="0F661FE2" w14:textId="77777777">
        <w:trPr>
          <w:divId w:val="989678382"/>
        </w:trPr>
        <w:tc>
          <w:tcPr>
            <w:tcW w:w="0" w:type="auto"/>
            <w:gridSpan w:val="3"/>
            <w:shd w:val="clear" w:color="auto" w:fill="CCEEFF"/>
            <w:tcMar>
              <w:top w:w="30" w:type="dxa"/>
              <w:left w:w="155" w:type="dxa"/>
              <w:bottom w:w="30" w:type="dxa"/>
              <w:right w:w="20" w:type="dxa"/>
            </w:tcMar>
            <w:vAlign w:val="bottom"/>
            <w:hideMark/>
          </w:tcPr>
          <w:p w14:paraId="349C2F02" w14:textId="77777777" w:rsidR="00000000" w:rsidRDefault="009B6C69">
            <w:pPr>
              <w:spacing w:after="100"/>
              <w:rPr>
                <w:rFonts w:eastAsia="Times New Roman"/>
              </w:rPr>
            </w:pPr>
            <w:r>
              <w:rPr>
                <w:rFonts w:eastAsia="Times New Roman"/>
                <w:color w:val="000000"/>
                <w:sz w:val="18"/>
                <w:szCs w:val="18"/>
              </w:rPr>
              <w:t>Total deferred tax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C42508" w14:textId="77777777" w:rsidR="00000000" w:rsidRDefault="009B6C69">
            <w:pPr>
              <w:spacing w:after="100"/>
              <w:jc w:val="right"/>
              <w:rPr>
                <w:rFonts w:eastAsia="Times New Roman"/>
              </w:rPr>
            </w:pPr>
            <w:r>
              <w:rPr>
                <w:rFonts w:eastAsia="Times New Roman"/>
                <w:color w:val="000000"/>
                <w:sz w:val="18"/>
                <w:szCs w:val="18"/>
              </w:rPr>
              <w:t>(782)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CDA4C9"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776AF"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D0CBDF" w14:textId="77777777" w:rsidR="00000000" w:rsidRDefault="009B6C69">
            <w:pPr>
              <w:spacing w:after="100"/>
              <w:jc w:val="right"/>
              <w:rPr>
                <w:rFonts w:eastAsia="Times New Roman"/>
              </w:rPr>
            </w:pPr>
            <w:r>
              <w:rPr>
                <w:rFonts w:eastAsia="Times New Roman"/>
                <w:color w:val="000000"/>
                <w:sz w:val="18"/>
                <w:szCs w:val="18"/>
              </w:rPr>
              <w:t>(774)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2A21F8" w14:textId="77777777" w:rsidR="00000000" w:rsidRDefault="009B6C69">
            <w:pPr>
              <w:spacing w:after="100"/>
              <w:jc w:val="right"/>
              <w:rPr>
                <w:rFonts w:eastAsia="Times New Roman"/>
              </w:rPr>
            </w:pPr>
          </w:p>
        </w:tc>
      </w:tr>
      <w:tr w:rsidR="00000000" w14:paraId="4FFC2D2A" w14:textId="77777777">
        <w:trPr>
          <w:divId w:val="989678382"/>
        </w:trPr>
        <w:tc>
          <w:tcPr>
            <w:tcW w:w="0" w:type="auto"/>
            <w:gridSpan w:val="3"/>
            <w:shd w:val="clear" w:color="auto" w:fill="FFFFFF"/>
            <w:tcMar>
              <w:top w:w="30" w:type="dxa"/>
              <w:left w:w="20" w:type="dxa"/>
              <w:bottom w:w="30" w:type="dxa"/>
              <w:right w:w="20" w:type="dxa"/>
            </w:tcMar>
            <w:vAlign w:val="bottom"/>
            <w:hideMark/>
          </w:tcPr>
          <w:p w14:paraId="5BE1CD15" w14:textId="77777777" w:rsidR="00000000" w:rsidRDefault="009B6C69">
            <w:pPr>
              <w:spacing w:after="100"/>
              <w:rPr>
                <w:rFonts w:eastAsia="Times New Roman"/>
              </w:rPr>
            </w:pPr>
            <w:r>
              <w:rPr>
                <w:rFonts w:eastAsia="Times New Roman"/>
                <w:color w:val="000000"/>
                <w:sz w:val="18"/>
                <w:szCs w:val="18"/>
              </w:rPr>
              <w:t>Net deferred tax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0859060"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F005C03" w14:textId="77777777" w:rsidR="00000000" w:rsidRDefault="009B6C69">
            <w:pPr>
              <w:spacing w:after="100"/>
              <w:jc w:val="right"/>
              <w:rPr>
                <w:rFonts w:eastAsia="Times New Roman"/>
              </w:rPr>
            </w:pPr>
            <w:r>
              <w:rPr>
                <w:rFonts w:eastAsia="Times New Roman"/>
                <w:color w:val="000000"/>
                <w:sz w:val="18"/>
                <w:szCs w:val="18"/>
              </w:rPr>
              <w:t>1,636 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D6AE37"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E65221"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E98BA4"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D9EC947" w14:textId="77777777" w:rsidR="00000000" w:rsidRDefault="009B6C69">
            <w:pPr>
              <w:spacing w:after="100"/>
              <w:jc w:val="right"/>
              <w:rPr>
                <w:rFonts w:eastAsia="Times New Roman"/>
              </w:rPr>
            </w:pPr>
            <w:r>
              <w:rPr>
                <w:rFonts w:eastAsia="Times New Roman"/>
                <w:color w:val="000000"/>
                <w:sz w:val="18"/>
                <w:szCs w:val="18"/>
              </w:rPr>
              <w:t>1,527 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9C7333" w14:textId="77777777" w:rsidR="00000000" w:rsidRDefault="009B6C69">
            <w:pPr>
              <w:spacing w:after="100"/>
              <w:jc w:val="right"/>
              <w:rPr>
                <w:rFonts w:eastAsia="Times New Roman"/>
              </w:rPr>
            </w:pPr>
          </w:p>
        </w:tc>
      </w:tr>
      <w:tr w:rsidR="00000000" w14:paraId="57B6CA3F" w14:textId="77777777">
        <w:trPr>
          <w:divId w:val="989678382"/>
        </w:trPr>
        <w:tc>
          <w:tcPr>
            <w:tcW w:w="0" w:type="auto"/>
            <w:gridSpan w:val="3"/>
            <w:shd w:val="clear" w:color="auto" w:fill="CCEEFF"/>
            <w:tcMar>
              <w:top w:w="30" w:type="dxa"/>
              <w:left w:w="20" w:type="dxa"/>
              <w:bottom w:w="30" w:type="dxa"/>
              <w:right w:w="20" w:type="dxa"/>
            </w:tcMar>
            <w:vAlign w:val="bottom"/>
            <w:hideMark/>
          </w:tcPr>
          <w:p w14:paraId="185D8298" w14:textId="77777777" w:rsidR="00000000" w:rsidRDefault="009B6C69">
            <w:pPr>
              <w:spacing w:after="100"/>
              <w:rPr>
                <w:rFonts w:eastAsia="Times New Roman"/>
              </w:rPr>
            </w:pPr>
            <w:r>
              <w:rPr>
                <w:rFonts w:eastAsia="Times New Roman"/>
                <w:color w:val="000000"/>
                <w:sz w:val="18"/>
                <w:szCs w:val="18"/>
              </w:rPr>
              <w:t>Reported as: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667CEFE"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677CD4F1" w14:textId="77777777" w:rsidR="00000000" w:rsidRDefault="009B6C69">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B020641" w14:textId="77777777" w:rsidR="00000000" w:rsidRDefault="009B6C69">
            <w:pPr>
              <w:spacing w:after="100"/>
              <w:rPr>
                <w:rFonts w:eastAsia="Times New Roman"/>
              </w:rPr>
            </w:pPr>
            <w:r>
              <w:rPr>
                <w:rFonts w:eastAsia="Times New Roman"/>
                <w:color w:val="000000"/>
                <w:sz w:val="18"/>
                <w:szCs w:val="18"/>
              </w:rPr>
              <w:t> </w:t>
            </w:r>
          </w:p>
        </w:tc>
      </w:tr>
      <w:tr w:rsidR="00000000" w14:paraId="0CFAAB69" w14:textId="77777777">
        <w:trPr>
          <w:divId w:val="989678382"/>
        </w:trPr>
        <w:tc>
          <w:tcPr>
            <w:tcW w:w="0" w:type="auto"/>
            <w:gridSpan w:val="3"/>
            <w:vAlign w:val="center"/>
            <w:hideMark/>
          </w:tcPr>
          <w:p w14:paraId="1A79BC8A" w14:textId="77777777" w:rsidR="00000000" w:rsidRDefault="009B6C69">
            <w:pPr>
              <w:spacing w:after="100"/>
              <w:rPr>
                <w:rFonts w:eastAsia="Times New Roman"/>
              </w:rPr>
            </w:pPr>
          </w:p>
        </w:tc>
        <w:tc>
          <w:tcPr>
            <w:tcW w:w="0" w:type="auto"/>
            <w:gridSpan w:val="3"/>
            <w:vAlign w:val="center"/>
            <w:hideMark/>
          </w:tcPr>
          <w:p w14:paraId="4B42B1F4" w14:textId="77777777" w:rsidR="00000000" w:rsidRDefault="009B6C69">
            <w:pPr>
              <w:spacing w:after="100"/>
              <w:rPr>
                <w:rFonts w:eastAsia="Times New Roman"/>
                <w:sz w:val="20"/>
                <w:szCs w:val="20"/>
              </w:rPr>
            </w:pPr>
          </w:p>
        </w:tc>
        <w:tc>
          <w:tcPr>
            <w:tcW w:w="0" w:type="auto"/>
            <w:gridSpan w:val="3"/>
            <w:vAlign w:val="center"/>
            <w:hideMark/>
          </w:tcPr>
          <w:p w14:paraId="58B1C3D7" w14:textId="77777777" w:rsidR="00000000" w:rsidRDefault="009B6C69">
            <w:pPr>
              <w:spacing w:after="100"/>
              <w:rPr>
                <w:rFonts w:eastAsia="Times New Roman"/>
                <w:sz w:val="20"/>
                <w:szCs w:val="20"/>
              </w:rPr>
            </w:pPr>
          </w:p>
        </w:tc>
        <w:tc>
          <w:tcPr>
            <w:tcW w:w="0" w:type="auto"/>
            <w:gridSpan w:val="3"/>
            <w:vAlign w:val="center"/>
            <w:hideMark/>
          </w:tcPr>
          <w:p w14:paraId="36B30604" w14:textId="77777777" w:rsidR="00000000" w:rsidRDefault="009B6C69">
            <w:pPr>
              <w:spacing w:after="100"/>
              <w:rPr>
                <w:rFonts w:eastAsia="Times New Roman"/>
                <w:sz w:val="20"/>
                <w:szCs w:val="20"/>
              </w:rPr>
            </w:pPr>
          </w:p>
        </w:tc>
      </w:tr>
      <w:tr w:rsidR="00000000" w14:paraId="56A5727A" w14:textId="77777777">
        <w:trPr>
          <w:divId w:val="989678382"/>
        </w:trPr>
        <w:tc>
          <w:tcPr>
            <w:tcW w:w="0" w:type="auto"/>
            <w:gridSpan w:val="3"/>
            <w:shd w:val="clear" w:color="auto" w:fill="FFFFFF"/>
            <w:tcMar>
              <w:top w:w="30" w:type="dxa"/>
              <w:left w:w="380" w:type="dxa"/>
              <w:bottom w:w="30" w:type="dxa"/>
              <w:right w:w="20" w:type="dxa"/>
            </w:tcMar>
            <w:vAlign w:val="bottom"/>
            <w:hideMark/>
          </w:tcPr>
          <w:p w14:paraId="078E9A76" w14:textId="77777777" w:rsidR="00000000" w:rsidRDefault="009B6C69">
            <w:pPr>
              <w:spacing w:after="100"/>
              <w:rPr>
                <w:rFonts w:eastAsia="Times New Roman"/>
              </w:rPr>
            </w:pPr>
            <w:r>
              <w:rPr>
                <w:rFonts w:eastAsia="Times New Roman"/>
                <w:color w:val="000000"/>
                <w:sz w:val="18"/>
                <w:szCs w:val="18"/>
              </w:rPr>
              <w:t>Non-current deferred tax assets</w:t>
            </w:r>
          </w:p>
        </w:tc>
        <w:tc>
          <w:tcPr>
            <w:tcW w:w="0" w:type="auto"/>
            <w:shd w:val="clear" w:color="auto" w:fill="FFFFFF"/>
            <w:tcMar>
              <w:top w:w="30" w:type="dxa"/>
              <w:left w:w="20" w:type="dxa"/>
              <w:bottom w:w="30" w:type="dxa"/>
              <w:right w:w="0" w:type="dxa"/>
            </w:tcMar>
            <w:vAlign w:val="bottom"/>
            <w:hideMark/>
          </w:tcPr>
          <w:p w14:paraId="04C86701"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7244571" w14:textId="77777777" w:rsidR="00000000" w:rsidRDefault="009B6C69">
            <w:pPr>
              <w:spacing w:after="100"/>
              <w:jc w:val="right"/>
              <w:rPr>
                <w:rFonts w:eastAsia="Times New Roman"/>
              </w:rPr>
            </w:pPr>
            <w:r>
              <w:rPr>
                <w:rFonts w:eastAsia="Times New Roman"/>
                <w:color w:val="000000"/>
                <w:sz w:val="18"/>
                <w:szCs w:val="18"/>
              </w:rPr>
              <w:t>1,803 </w:t>
            </w:r>
          </w:p>
        </w:tc>
        <w:tc>
          <w:tcPr>
            <w:tcW w:w="0" w:type="auto"/>
            <w:shd w:val="clear" w:color="auto" w:fill="FFFFFF"/>
            <w:tcMar>
              <w:top w:w="30" w:type="dxa"/>
              <w:left w:w="0" w:type="dxa"/>
              <w:bottom w:w="30" w:type="dxa"/>
              <w:right w:w="20" w:type="dxa"/>
            </w:tcMar>
            <w:vAlign w:val="bottom"/>
            <w:hideMark/>
          </w:tcPr>
          <w:p w14:paraId="6588BCBE"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BDA3CF" w14:textId="77777777" w:rsidR="00000000" w:rsidRDefault="009B6C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420D6D"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009BE2E" w14:textId="77777777" w:rsidR="00000000" w:rsidRDefault="009B6C69">
            <w:pPr>
              <w:spacing w:after="100"/>
              <w:jc w:val="right"/>
              <w:rPr>
                <w:rFonts w:eastAsia="Times New Roman"/>
              </w:rPr>
            </w:pPr>
            <w:r>
              <w:rPr>
                <w:rFonts w:eastAsia="Times New Roman"/>
                <w:color w:val="000000"/>
                <w:sz w:val="18"/>
                <w:szCs w:val="18"/>
              </w:rPr>
              <w:t>1,591 </w:t>
            </w:r>
          </w:p>
        </w:tc>
        <w:tc>
          <w:tcPr>
            <w:tcW w:w="0" w:type="auto"/>
            <w:shd w:val="clear" w:color="auto" w:fill="FFFFFF"/>
            <w:tcMar>
              <w:top w:w="30" w:type="dxa"/>
              <w:left w:w="0" w:type="dxa"/>
              <w:bottom w:w="30" w:type="dxa"/>
              <w:right w:w="20" w:type="dxa"/>
            </w:tcMar>
            <w:vAlign w:val="bottom"/>
            <w:hideMark/>
          </w:tcPr>
          <w:p w14:paraId="10D1AB4D" w14:textId="77777777" w:rsidR="00000000" w:rsidRDefault="009B6C69">
            <w:pPr>
              <w:spacing w:after="100"/>
              <w:jc w:val="right"/>
              <w:rPr>
                <w:rFonts w:eastAsia="Times New Roman"/>
              </w:rPr>
            </w:pPr>
          </w:p>
        </w:tc>
      </w:tr>
      <w:tr w:rsidR="00000000" w14:paraId="0A2014EA" w14:textId="77777777">
        <w:trPr>
          <w:divId w:val="989678382"/>
        </w:trPr>
        <w:tc>
          <w:tcPr>
            <w:tcW w:w="0" w:type="auto"/>
            <w:gridSpan w:val="3"/>
            <w:vAlign w:val="center"/>
            <w:hideMark/>
          </w:tcPr>
          <w:p w14:paraId="2425A116" w14:textId="77777777" w:rsidR="00000000" w:rsidRDefault="009B6C69">
            <w:pPr>
              <w:spacing w:after="100"/>
              <w:jc w:val="right"/>
              <w:rPr>
                <w:rFonts w:eastAsia="Times New Roman"/>
                <w:sz w:val="20"/>
                <w:szCs w:val="20"/>
              </w:rPr>
            </w:pPr>
          </w:p>
        </w:tc>
        <w:tc>
          <w:tcPr>
            <w:tcW w:w="0" w:type="auto"/>
            <w:gridSpan w:val="3"/>
            <w:vAlign w:val="center"/>
            <w:hideMark/>
          </w:tcPr>
          <w:p w14:paraId="52A1866F" w14:textId="77777777" w:rsidR="00000000" w:rsidRDefault="009B6C69">
            <w:pPr>
              <w:spacing w:after="100"/>
              <w:rPr>
                <w:rFonts w:eastAsia="Times New Roman"/>
                <w:sz w:val="20"/>
                <w:szCs w:val="20"/>
              </w:rPr>
            </w:pPr>
          </w:p>
        </w:tc>
        <w:tc>
          <w:tcPr>
            <w:tcW w:w="0" w:type="auto"/>
            <w:gridSpan w:val="3"/>
            <w:vAlign w:val="center"/>
            <w:hideMark/>
          </w:tcPr>
          <w:p w14:paraId="19AF2811" w14:textId="77777777" w:rsidR="00000000" w:rsidRDefault="009B6C69">
            <w:pPr>
              <w:spacing w:after="100"/>
              <w:rPr>
                <w:rFonts w:eastAsia="Times New Roman"/>
                <w:sz w:val="20"/>
                <w:szCs w:val="20"/>
              </w:rPr>
            </w:pPr>
          </w:p>
        </w:tc>
        <w:tc>
          <w:tcPr>
            <w:tcW w:w="0" w:type="auto"/>
            <w:gridSpan w:val="3"/>
            <w:vAlign w:val="center"/>
            <w:hideMark/>
          </w:tcPr>
          <w:p w14:paraId="6FA0E28C" w14:textId="77777777" w:rsidR="00000000" w:rsidRDefault="009B6C69">
            <w:pPr>
              <w:spacing w:after="100"/>
              <w:rPr>
                <w:rFonts w:eastAsia="Times New Roman"/>
                <w:sz w:val="20"/>
                <w:szCs w:val="20"/>
              </w:rPr>
            </w:pPr>
          </w:p>
        </w:tc>
      </w:tr>
      <w:tr w:rsidR="00000000" w14:paraId="120A1DE6" w14:textId="77777777">
        <w:trPr>
          <w:divId w:val="989678382"/>
        </w:trPr>
        <w:tc>
          <w:tcPr>
            <w:tcW w:w="0" w:type="auto"/>
            <w:gridSpan w:val="3"/>
            <w:shd w:val="clear" w:color="auto" w:fill="CCEEFF"/>
            <w:tcMar>
              <w:top w:w="30" w:type="dxa"/>
              <w:left w:w="20" w:type="dxa"/>
              <w:bottom w:w="30" w:type="dxa"/>
              <w:right w:w="20" w:type="dxa"/>
            </w:tcMar>
            <w:vAlign w:val="bottom"/>
            <w:hideMark/>
          </w:tcPr>
          <w:p w14:paraId="0BCF18D2" w14:textId="77777777" w:rsidR="00000000" w:rsidRDefault="009B6C69">
            <w:pPr>
              <w:spacing w:after="100"/>
              <w:rPr>
                <w:rFonts w:eastAsia="Times New Roman"/>
              </w:rPr>
            </w:pPr>
            <w:r>
              <w:rPr>
                <w:rFonts w:eastAsia="Times New Roman"/>
                <w:color w:val="000000"/>
                <w:sz w:val="18"/>
                <w:szCs w:val="18"/>
              </w:rPr>
              <w:t>        Non-current deferred tax liabilities (1)</w:t>
            </w:r>
          </w:p>
        </w:tc>
        <w:tc>
          <w:tcPr>
            <w:tcW w:w="0" w:type="auto"/>
            <w:gridSpan w:val="2"/>
            <w:shd w:val="clear" w:color="auto" w:fill="CCEEFF"/>
            <w:tcMar>
              <w:top w:w="30" w:type="dxa"/>
              <w:left w:w="20" w:type="dxa"/>
              <w:bottom w:w="30" w:type="dxa"/>
              <w:right w:w="0" w:type="dxa"/>
            </w:tcMar>
            <w:vAlign w:val="bottom"/>
            <w:hideMark/>
          </w:tcPr>
          <w:p w14:paraId="22F7F287" w14:textId="77777777" w:rsidR="00000000" w:rsidRDefault="009B6C69">
            <w:pPr>
              <w:spacing w:after="100"/>
              <w:jc w:val="right"/>
              <w:rPr>
                <w:rFonts w:eastAsia="Times New Roman"/>
              </w:rPr>
            </w:pPr>
            <w:r>
              <w:rPr>
                <w:rFonts w:eastAsia="Times New Roman"/>
                <w:color w:val="000000"/>
                <w:sz w:val="18"/>
                <w:szCs w:val="18"/>
              </w:rPr>
              <w:t>(167)</w:t>
            </w:r>
          </w:p>
        </w:tc>
        <w:tc>
          <w:tcPr>
            <w:tcW w:w="0" w:type="auto"/>
            <w:shd w:val="clear" w:color="auto" w:fill="CCEEFF"/>
            <w:tcMar>
              <w:top w:w="30" w:type="dxa"/>
              <w:left w:w="0" w:type="dxa"/>
              <w:bottom w:w="30" w:type="dxa"/>
              <w:right w:w="20" w:type="dxa"/>
            </w:tcMar>
            <w:vAlign w:val="bottom"/>
            <w:hideMark/>
          </w:tcPr>
          <w:p w14:paraId="1D1FEE6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099239"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3B8660" w14:textId="77777777" w:rsidR="00000000" w:rsidRDefault="009B6C69">
            <w:pPr>
              <w:spacing w:after="100"/>
              <w:jc w:val="right"/>
              <w:rPr>
                <w:rFonts w:eastAsia="Times New Roman"/>
              </w:rPr>
            </w:pPr>
            <w:r>
              <w:rPr>
                <w:rFonts w:eastAsia="Times New Roman"/>
                <w:color w:val="000000"/>
                <w:sz w:val="18"/>
                <w:szCs w:val="18"/>
              </w:rPr>
              <w:t>(64)</w:t>
            </w:r>
          </w:p>
        </w:tc>
        <w:tc>
          <w:tcPr>
            <w:tcW w:w="0" w:type="auto"/>
            <w:shd w:val="clear" w:color="auto" w:fill="CCEEFF"/>
            <w:tcMar>
              <w:top w:w="30" w:type="dxa"/>
              <w:left w:w="0" w:type="dxa"/>
              <w:bottom w:w="30" w:type="dxa"/>
              <w:right w:w="20" w:type="dxa"/>
            </w:tcMar>
            <w:vAlign w:val="bottom"/>
            <w:hideMark/>
          </w:tcPr>
          <w:p w14:paraId="3D9ED97B" w14:textId="77777777" w:rsidR="00000000" w:rsidRDefault="009B6C69">
            <w:pPr>
              <w:spacing w:after="100"/>
              <w:jc w:val="right"/>
              <w:rPr>
                <w:rFonts w:eastAsia="Times New Roman"/>
              </w:rPr>
            </w:pPr>
          </w:p>
        </w:tc>
      </w:tr>
      <w:tr w:rsidR="00000000" w14:paraId="4DB02143" w14:textId="77777777">
        <w:trPr>
          <w:divId w:val="989678382"/>
        </w:trPr>
        <w:tc>
          <w:tcPr>
            <w:tcW w:w="0" w:type="auto"/>
            <w:gridSpan w:val="3"/>
            <w:shd w:val="clear" w:color="auto" w:fill="FFFFFF"/>
            <w:tcMar>
              <w:top w:w="0" w:type="dxa"/>
              <w:left w:w="20" w:type="dxa"/>
              <w:bottom w:w="0" w:type="dxa"/>
              <w:right w:w="20" w:type="dxa"/>
            </w:tcMar>
            <w:vAlign w:val="center"/>
            <w:hideMark/>
          </w:tcPr>
          <w:p w14:paraId="2929CEB5"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EBBA8A"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560103B" w14:textId="77777777" w:rsidR="00000000" w:rsidRDefault="009B6C69">
            <w:pPr>
              <w:spacing w:after="100"/>
              <w:jc w:val="right"/>
              <w:rPr>
                <w:rFonts w:eastAsia="Times New Roman"/>
              </w:rPr>
            </w:pPr>
            <w:r>
              <w:rPr>
                <w:rFonts w:eastAsia="Times New Roman"/>
                <w:color w:val="000000"/>
                <w:sz w:val="18"/>
                <w:szCs w:val="18"/>
              </w:rPr>
              <w:t>1,636 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15B87F2"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7B0097"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CD28B1B"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42F542A" w14:textId="77777777" w:rsidR="00000000" w:rsidRDefault="009B6C69">
            <w:pPr>
              <w:spacing w:after="100"/>
              <w:jc w:val="right"/>
              <w:rPr>
                <w:rFonts w:eastAsia="Times New Roman"/>
              </w:rPr>
            </w:pPr>
            <w:r>
              <w:rPr>
                <w:rFonts w:eastAsia="Times New Roman"/>
                <w:color w:val="000000"/>
                <w:sz w:val="18"/>
                <w:szCs w:val="18"/>
              </w:rPr>
              <w:t>1,527 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6BCA26E" w14:textId="77777777" w:rsidR="00000000" w:rsidRDefault="009B6C69">
            <w:pPr>
              <w:spacing w:after="100"/>
              <w:jc w:val="right"/>
              <w:rPr>
                <w:rFonts w:eastAsia="Times New Roman"/>
              </w:rPr>
            </w:pPr>
          </w:p>
        </w:tc>
      </w:tr>
    </w:tbl>
    <w:p w14:paraId="78F8F63B" w14:textId="77777777" w:rsidR="00000000" w:rsidRDefault="009B6C69">
      <w:pPr>
        <w:divId w:val="1033573331"/>
        <w:rPr>
          <w:rFonts w:eastAsia="Times New Roman"/>
        </w:rPr>
      </w:pPr>
      <w:r>
        <w:rPr>
          <w:rFonts w:eastAsia="Times New Roman"/>
          <w:color w:val="000000"/>
          <w:sz w:val="18"/>
          <w:szCs w:val="18"/>
        </w:rPr>
        <w:t xml:space="preserve">(1) </w:t>
      </w:r>
      <w:r>
        <w:rPr>
          <w:rFonts w:eastAsia="Times New Roman"/>
          <w:color w:val="000000"/>
          <w:sz w:val="18"/>
          <w:szCs w:val="18"/>
        </w:rPr>
        <w:t>Non-current deferred tax liabilities were included in other liabilities in the consolidated balance sheets.</w:t>
      </w:r>
    </w:p>
    <w:p w14:paraId="020B2F0C" w14:textId="77777777" w:rsidR="00000000" w:rsidRDefault="009B6C69">
      <w:pPr>
        <w:ind w:firstLine="360"/>
        <w:divId w:val="12461463"/>
        <w:rPr>
          <w:rFonts w:eastAsia="Times New Roman"/>
        </w:rPr>
      </w:pPr>
      <w:r>
        <w:rPr>
          <w:rFonts w:eastAsia="Times New Roman"/>
          <w:color w:val="000000"/>
          <w:sz w:val="20"/>
          <w:szCs w:val="20"/>
        </w:rPr>
        <w:t>At September 25, 2022, we had unused federal net operating loss carryforwards of $808 million, of which $134 million expire from 2023 through 2037 a</w:t>
      </w:r>
      <w:r>
        <w:rPr>
          <w:rFonts w:eastAsia="Times New Roman"/>
          <w:color w:val="000000"/>
          <w:sz w:val="20"/>
          <w:szCs w:val="20"/>
        </w:rPr>
        <w:t>nd $674 million may be carried forward indefinitely, unused state net operating loss carryforwards of $896 million expiring from 2023 through 2037 and unused foreign net operating loss carryforwards of $2.6 billion, of which substantially all may be carrie</w:t>
      </w:r>
      <w:r>
        <w:rPr>
          <w:rFonts w:eastAsia="Times New Roman"/>
          <w:color w:val="000000"/>
          <w:sz w:val="20"/>
          <w:szCs w:val="20"/>
        </w:rPr>
        <w:t>d forward indefinitely. At September 25, 2022, we had unused state tax credits of $1.5 billion, of which substantially all may be carried forward indefinitely, unused federal tax credits of $135 million expiring from 2028 through 2041 and unused tax credit</w:t>
      </w:r>
      <w:r>
        <w:rPr>
          <w:rFonts w:eastAsia="Times New Roman"/>
          <w:color w:val="000000"/>
          <w:sz w:val="20"/>
          <w:szCs w:val="20"/>
        </w:rPr>
        <w:t>s of $54 million in foreign jurisdictions expiring from 2034 through 2042. We do not expect our federal net operating loss carryforwards to expire unused.</w:t>
      </w:r>
    </w:p>
    <w:p w14:paraId="02188B59" w14:textId="77777777" w:rsidR="00000000" w:rsidRDefault="009B6C69">
      <w:pPr>
        <w:ind w:firstLine="360"/>
        <w:divId w:val="298732560"/>
        <w:rPr>
          <w:rFonts w:eastAsia="Times New Roman"/>
        </w:rPr>
      </w:pPr>
      <w:r>
        <w:rPr>
          <w:rFonts w:eastAsia="Times New Roman"/>
          <w:color w:val="000000"/>
          <w:sz w:val="20"/>
          <w:szCs w:val="20"/>
        </w:rPr>
        <w:t>At September </w:t>
      </w:r>
      <w:r>
        <w:rPr>
          <w:rFonts w:eastAsia="Times New Roman"/>
          <w:color w:val="000000"/>
          <w:sz w:val="20"/>
          <w:szCs w:val="20"/>
        </w:rPr>
        <w:t xml:space="preserve">25, 2022, we have provided a valuation allowance on certain state tax credits, foreign deferred tax assets, state net operating losses and federal tax credits of $1.5 billion, $673 million, $42 million and $4 million, respectively. The valuation allowance </w:t>
      </w:r>
      <w:r>
        <w:rPr>
          <w:rFonts w:eastAsia="Times New Roman"/>
          <w:color w:val="000000"/>
          <w:sz w:val="20"/>
          <w:szCs w:val="20"/>
        </w:rPr>
        <w:t>reflects the uncertainties surrounding our ability to generate sufficient future taxable income in certain tax jurisdictions to utilize our net operating losses. We believe, more likely than not, that we will have sufficient taxable income after deductions</w:t>
      </w:r>
      <w:r>
        <w:rPr>
          <w:rFonts w:eastAsia="Times New Roman"/>
          <w:color w:val="000000"/>
          <w:sz w:val="20"/>
          <w:szCs w:val="20"/>
        </w:rPr>
        <w:t xml:space="preserve"> related to share-based awards to utilize our remaining deferred tax assets.</w:t>
      </w:r>
    </w:p>
    <w:p w14:paraId="02A67A5A" w14:textId="77777777" w:rsidR="00000000" w:rsidRDefault="009B6C69">
      <w:pPr>
        <w:jc w:val="center"/>
        <w:divId w:val="526527227"/>
        <w:rPr>
          <w:rFonts w:eastAsia="Times New Roman"/>
        </w:rPr>
      </w:pPr>
      <w:r>
        <w:rPr>
          <w:rFonts w:eastAsia="Times New Roman"/>
          <w:color w:val="000000"/>
          <w:sz w:val="20"/>
          <w:szCs w:val="20"/>
        </w:rPr>
        <w:t>F-20</w:t>
      </w:r>
    </w:p>
    <w:p w14:paraId="47B08ED4" w14:textId="77777777" w:rsidR="00000000" w:rsidRDefault="009B6C69">
      <w:pPr>
        <w:rPr>
          <w:rFonts w:eastAsia="Times New Roman"/>
        </w:rPr>
      </w:pPr>
      <w:r>
        <w:rPr>
          <w:rFonts w:eastAsia="Times New Roman"/>
        </w:rPr>
        <w:pict w14:anchorId="6259B2EE">
          <v:rect id="_x0000_i1100" style="width:0;height:1.5pt" o:hralign="center" o:hrstd="t" o:hr="t" fillcolor="#a0a0a0" stroked="f"/>
        </w:pict>
      </w:r>
    </w:p>
    <w:p w14:paraId="5B643FCF" w14:textId="77777777" w:rsidR="00000000" w:rsidRDefault="009B6C69">
      <w:pPr>
        <w:jc w:val="center"/>
        <w:divId w:val="1007513047"/>
        <w:rPr>
          <w:rFonts w:eastAsia="Times New Roman"/>
        </w:rPr>
      </w:pPr>
    </w:p>
    <w:p w14:paraId="2FF0D54C" w14:textId="77777777" w:rsidR="00000000" w:rsidRDefault="009B6C69">
      <w:pPr>
        <w:jc w:val="center"/>
        <w:divId w:val="1007513047"/>
        <w:rPr>
          <w:rFonts w:eastAsia="Times New Roman"/>
        </w:rPr>
      </w:pPr>
      <w:r>
        <w:rPr>
          <w:rFonts w:eastAsia="Times New Roman"/>
          <w:b/>
          <w:bCs/>
          <w:color w:val="000000"/>
          <w:sz w:val="20"/>
          <w:szCs w:val="20"/>
        </w:rPr>
        <w:t>QUALCOMM Incorporated</w:t>
      </w:r>
    </w:p>
    <w:p w14:paraId="45338A11" w14:textId="77777777" w:rsidR="00000000" w:rsidRDefault="009B6C69">
      <w:pPr>
        <w:jc w:val="center"/>
        <w:divId w:val="1007513047"/>
        <w:rPr>
          <w:rFonts w:eastAsia="Times New Roman"/>
        </w:rPr>
      </w:pPr>
      <w:r>
        <w:rPr>
          <w:rFonts w:eastAsia="Times New Roman"/>
          <w:b/>
          <w:bCs/>
          <w:color w:val="000000"/>
          <w:sz w:val="20"/>
          <w:szCs w:val="20"/>
        </w:rPr>
        <w:t>NOTES TO CONSOLIDATED FINANCIAL STATEMENTS</w:t>
      </w:r>
    </w:p>
    <w:p w14:paraId="654496A0" w14:textId="77777777" w:rsidR="00000000" w:rsidRDefault="009B6C69">
      <w:pPr>
        <w:ind w:firstLine="360"/>
        <w:divId w:val="133064095"/>
        <w:rPr>
          <w:rFonts w:eastAsia="Times New Roman"/>
        </w:rPr>
      </w:pPr>
      <w:r>
        <w:rPr>
          <w:rFonts w:eastAsia="Times New Roman"/>
          <w:color w:val="000000"/>
          <w:sz w:val="20"/>
          <w:szCs w:val="20"/>
        </w:rPr>
        <w:t>A summary of the changes in the amount of unrecognized tax benefits for</w:t>
      </w:r>
      <w:r>
        <w:rPr>
          <w:rFonts w:eastAsia="Times New Roman"/>
          <w:color w:val="000000"/>
          <w:sz w:val="20"/>
          <w:szCs w:val="20"/>
        </w:rPr>
        <w:t xml:space="preserve"> fiscal 2022, 2021 and 2020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5022"/>
        <w:gridCol w:w="36"/>
        <w:gridCol w:w="110"/>
        <w:gridCol w:w="866"/>
        <w:gridCol w:w="36"/>
        <w:gridCol w:w="36"/>
        <w:gridCol w:w="36"/>
        <w:gridCol w:w="36"/>
        <w:gridCol w:w="110"/>
        <w:gridCol w:w="832"/>
        <w:gridCol w:w="36"/>
        <w:gridCol w:w="36"/>
        <w:gridCol w:w="36"/>
        <w:gridCol w:w="36"/>
        <w:gridCol w:w="110"/>
        <w:gridCol w:w="832"/>
        <w:gridCol w:w="36"/>
      </w:tblGrid>
      <w:tr w:rsidR="00000000" w14:paraId="37F558D7" w14:textId="77777777">
        <w:trPr>
          <w:divId w:val="2136097258"/>
        </w:trPr>
        <w:tc>
          <w:tcPr>
            <w:tcW w:w="50" w:type="pct"/>
            <w:vAlign w:val="center"/>
            <w:hideMark/>
          </w:tcPr>
          <w:p w14:paraId="135359E9" w14:textId="77777777" w:rsidR="00000000" w:rsidRDefault="009B6C69">
            <w:pPr>
              <w:ind w:firstLine="360"/>
              <w:rPr>
                <w:rFonts w:eastAsia="Times New Roman"/>
              </w:rPr>
            </w:pPr>
          </w:p>
        </w:tc>
        <w:tc>
          <w:tcPr>
            <w:tcW w:w="3056" w:type="pct"/>
            <w:vAlign w:val="center"/>
            <w:hideMark/>
          </w:tcPr>
          <w:p w14:paraId="7FACF4B1" w14:textId="77777777" w:rsidR="00000000" w:rsidRDefault="009B6C69">
            <w:pPr>
              <w:spacing w:after="100"/>
              <w:rPr>
                <w:rFonts w:eastAsia="Times New Roman"/>
                <w:sz w:val="20"/>
                <w:szCs w:val="20"/>
              </w:rPr>
            </w:pPr>
          </w:p>
        </w:tc>
        <w:tc>
          <w:tcPr>
            <w:tcW w:w="5" w:type="pct"/>
            <w:vAlign w:val="center"/>
            <w:hideMark/>
          </w:tcPr>
          <w:p w14:paraId="29341B38" w14:textId="77777777" w:rsidR="00000000" w:rsidRDefault="009B6C69">
            <w:pPr>
              <w:spacing w:after="100"/>
              <w:rPr>
                <w:rFonts w:eastAsia="Times New Roman"/>
                <w:sz w:val="20"/>
                <w:szCs w:val="20"/>
              </w:rPr>
            </w:pPr>
          </w:p>
        </w:tc>
        <w:tc>
          <w:tcPr>
            <w:tcW w:w="50" w:type="pct"/>
            <w:vAlign w:val="center"/>
            <w:hideMark/>
          </w:tcPr>
          <w:p w14:paraId="4F0502FE" w14:textId="77777777" w:rsidR="00000000" w:rsidRDefault="009B6C69">
            <w:pPr>
              <w:spacing w:after="100"/>
              <w:rPr>
                <w:rFonts w:eastAsia="Times New Roman"/>
                <w:sz w:val="20"/>
                <w:szCs w:val="20"/>
              </w:rPr>
            </w:pPr>
          </w:p>
        </w:tc>
        <w:tc>
          <w:tcPr>
            <w:tcW w:w="549" w:type="pct"/>
            <w:vAlign w:val="center"/>
            <w:hideMark/>
          </w:tcPr>
          <w:p w14:paraId="0E50A756" w14:textId="77777777" w:rsidR="00000000" w:rsidRDefault="009B6C69">
            <w:pPr>
              <w:spacing w:after="100"/>
              <w:rPr>
                <w:rFonts w:eastAsia="Times New Roman"/>
                <w:sz w:val="20"/>
                <w:szCs w:val="20"/>
              </w:rPr>
            </w:pPr>
          </w:p>
        </w:tc>
        <w:tc>
          <w:tcPr>
            <w:tcW w:w="5" w:type="pct"/>
            <w:vAlign w:val="center"/>
            <w:hideMark/>
          </w:tcPr>
          <w:p w14:paraId="473058A5" w14:textId="77777777" w:rsidR="00000000" w:rsidRDefault="009B6C69">
            <w:pPr>
              <w:spacing w:after="100"/>
              <w:rPr>
                <w:rFonts w:eastAsia="Times New Roman"/>
                <w:sz w:val="20"/>
                <w:szCs w:val="20"/>
              </w:rPr>
            </w:pPr>
          </w:p>
        </w:tc>
        <w:tc>
          <w:tcPr>
            <w:tcW w:w="5" w:type="pct"/>
            <w:vAlign w:val="center"/>
            <w:hideMark/>
          </w:tcPr>
          <w:p w14:paraId="24C599F2" w14:textId="77777777" w:rsidR="00000000" w:rsidRDefault="009B6C69">
            <w:pPr>
              <w:spacing w:after="100"/>
              <w:rPr>
                <w:rFonts w:eastAsia="Times New Roman"/>
                <w:sz w:val="20"/>
                <w:szCs w:val="20"/>
              </w:rPr>
            </w:pPr>
          </w:p>
        </w:tc>
        <w:tc>
          <w:tcPr>
            <w:tcW w:w="27" w:type="pct"/>
            <w:vAlign w:val="center"/>
            <w:hideMark/>
          </w:tcPr>
          <w:p w14:paraId="4BAF90E3" w14:textId="77777777" w:rsidR="00000000" w:rsidRDefault="009B6C69">
            <w:pPr>
              <w:spacing w:after="100"/>
              <w:rPr>
                <w:rFonts w:eastAsia="Times New Roman"/>
                <w:sz w:val="20"/>
                <w:szCs w:val="20"/>
              </w:rPr>
            </w:pPr>
          </w:p>
        </w:tc>
        <w:tc>
          <w:tcPr>
            <w:tcW w:w="5" w:type="pct"/>
            <w:vAlign w:val="center"/>
            <w:hideMark/>
          </w:tcPr>
          <w:p w14:paraId="2956223E" w14:textId="77777777" w:rsidR="00000000" w:rsidRDefault="009B6C69">
            <w:pPr>
              <w:spacing w:after="100"/>
              <w:rPr>
                <w:rFonts w:eastAsia="Times New Roman"/>
                <w:sz w:val="20"/>
                <w:szCs w:val="20"/>
              </w:rPr>
            </w:pPr>
          </w:p>
        </w:tc>
        <w:tc>
          <w:tcPr>
            <w:tcW w:w="50" w:type="pct"/>
            <w:vAlign w:val="center"/>
            <w:hideMark/>
          </w:tcPr>
          <w:p w14:paraId="686C6CD4" w14:textId="77777777" w:rsidR="00000000" w:rsidRDefault="009B6C69">
            <w:pPr>
              <w:spacing w:after="100"/>
              <w:rPr>
                <w:rFonts w:eastAsia="Times New Roman"/>
                <w:sz w:val="20"/>
                <w:szCs w:val="20"/>
              </w:rPr>
            </w:pPr>
          </w:p>
        </w:tc>
        <w:tc>
          <w:tcPr>
            <w:tcW w:w="549" w:type="pct"/>
            <w:vAlign w:val="center"/>
            <w:hideMark/>
          </w:tcPr>
          <w:p w14:paraId="2297E5B9" w14:textId="77777777" w:rsidR="00000000" w:rsidRDefault="009B6C69">
            <w:pPr>
              <w:spacing w:after="100"/>
              <w:rPr>
                <w:rFonts w:eastAsia="Times New Roman"/>
                <w:sz w:val="20"/>
                <w:szCs w:val="20"/>
              </w:rPr>
            </w:pPr>
          </w:p>
        </w:tc>
        <w:tc>
          <w:tcPr>
            <w:tcW w:w="5" w:type="pct"/>
            <w:vAlign w:val="center"/>
            <w:hideMark/>
          </w:tcPr>
          <w:p w14:paraId="3854A27B" w14:textId="77777777" w:rsidR="00000000" w:rsidRDefault="009B6C69">
            <w:pPr>
              <w:spacing w:after="100"/>
              <w:rPr>
                <w:rFonts w:eastAsia="Times New Roman"/>
                <w:sz w:val="20"/>
                <w:szCs w:val="20"/>
              </w:rPr>
            </w:pPr>
          </w:p>
        </w:tc>
        <w:tc>
          <w:tcPr>
            <w:tcW w:w="5" w:type="pct"/>
            <w:vAlign w:val="center"/>
            <w:hideMark/>
          </w:tcPr>
          <w:p w14:paraId="21EA0BF9" w14:textId="77777777" w:rsidR="00000000" w:rsidRDefault="009B6C69">
            <w:pPr>
              <w:spacing w:after="100"/>
              <w:rPr>
                <w:rFonts w:eastAsia="Times New Roman"/>
                <w:sz w:val="20"/>
                <w:szCs w:val="20"/>
              </w:rPr>
            </w:pPr>
          </w:p>
        </w:tc>
        <w:tc>
          <w:tcPr>
            <w:tcW w:w="27" w:type="pct"/>
            <w:vAlign w:val="center"/>
            <w:hideMark/>
          </w:tcPr>
          <w:p w14:paraId="2ADA0748" w14:textId="77777777" w:rsidR="00000000" w:rsidRDefault="009B6C69">
            <w:pPr>
              <w:spacing w:after="100"/>
              <w:rPr>
                <w:rFonts w:eastAsia="Times New Roman"/>
                <w:sz w:val="20"/>
                <w:szCs w:val="20"/>
              </w:rPr>
            </w:pPr>
          </w:p>
        </w:tc>
        <w:tc>
          <w:tcPr>
            <w:tcW w:w="5" w:type="pct"/>
            <w:vAlign w:val="center"/>
            <w:hideMark/>
          </w:tcPr>
          <w:p w14:paraId="09561500" w14:textId="77777777" w:rsidR="00000000" w:rsidRDefault="009B6C69">
            <w:pPr>
              <w:spacing w:after="100"/>
              <w:rPr>
                <w:rFonts w:eastAsia="Times New Roman"/>
                <w:sz w:val="20"/>
                <w:szCs w:val="20"/>
              </w:rPr>
            </w:pPr>
          </w:p>
        </w:tc>
        <w:tc>
          <w:tcPr>
            <w:tcW w:w="50" w:type="pct"/>
            <w:vAlign w:val="center"/>
            <w:hideMark/>
          </w:tcPr>
          <w:p w14:paraId="46704B2F" w14:textId="77777777" w:rsidR="00000000" w:rsidRDefault="009B6C69">
            <w:pPr>
              <w:spacing w:after="100"/>
              <w:rPr>
                <w:rFonts w:eastAsia="Times New Roman"/>
                <w:sz w:val="20"/>
                <w:szCs w:val="20"/>
              </w:rPr>
            </w:pPr>
          </w:p>
        </w:tc>
        <w:tc>
          <w:tcPr>
            <w:tcW w:w="549" w:type="pct"/>
            <w:vAlign w:val="center"/>
            <w:hideMark/>
          </w:tcPr>
          <w:p w14:paraId="5D012E07" w14:textId="77777777" w:rsidR="00000000" w:rsidRDefault="009B6C69">
            <w:pPr>
              <w:spacing w:after="100"/>
              <w:rPr>
                <w:rFonts w:eastAsia="Times New Roman"/>
                <w:sz w:val="20"/>
                <w:szCs w:val="20"/>
              </w:rPr>
            </w:pPr>
          </w:p>
        </w:tc>
        <w:tc>
          <w:tcPr>
            <w:tcW w:w="5" w:type="pct"/>
            <w:vAlign w:val="center"/>
            <w:hideMark/>
          </w:tcPr>
          <w:p w14:paraId="114FA839" w14:textId="77777777" w:rsidR="00000000" w:rsidRDefault="009B6C69">
            <w:pPr>
              <w:spacing w:after="100"/>
              <w:rPr>
                <w:rFonts w:eastAsia="Times New Roman"/>
                <w:sz w:val="20"/>
                <w:szCs w:val="20"/>
              </w:rPr>
            </w:pPr>
          </w:p>
        </w:tc>
      </w:tr>
      <w:tr w:rsidR="00000000" w14:paraId="4276A21D" w14:textId="77777777">
        <w:trPr>
          <w:divId w:val="2136097258"/>
        </w:trPr>
        <w:tc>
          <w:tcPr>
            <w:tcW w:w="0" w:type="auto"/>
            <w:gridSpan w:val="3"/>
            <w:tcMar>
              <w:top w:w="0" w:type="dxa"/>
              <w:left w:w="20" w:type="dxa"/>
              <w:bottom w:w="0" w:type="dxa"/>
              <w:right w:w="20" w:type="dxa"/>
            </w:tcMar>
            <w:vAlign w:val="center"/>
            <w:hideMark/>
          </w:tcPr>
          <w:p w14:paraId="5A5E0A8B"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4C7598D"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14:paraId="4EC35502"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6A0FEF3"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59618638"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D66F94C" w14:textId="77777777" w:rsidR="00000000" w:rsidRDefault="009B6C69">
            <w:pPr>
              <w:spacing w:after="100"/>
              <w:jc w:val="center"/>
              <w:rPr>
                <w:rFonts w:eastAsia="Times New Roman"/>
              </w:rPr>
            </w:pPr>
            <w:r>
              <w:rPr>
                <w:rFonts w:eastAsia="Times New Roman"/>
                <w:b/>
                <w:bCs/>
                <w:color w:val="000000"/>
                <w:sz w:val="18"/>
                <w:szCs w:val="18"/>
              </w:rPr>
              <w:t>2020</w:t>
            </w:r>
          </w:p>
        </w:tc>
      </w:tr>
      <w:tr w:rsidR="00000000" w14:paraId="787C59CE" w14:textId="77777777">
        <w:trPr>
          <w:divId w:val="2136097258"/>
        </w:trPr>
        <w:tc>
          <w:tcPr>
            <w:tcW w:w="0" w:type="auto"/>
            <w:gridSpan w:val="3"/>
            <w:shd w:val="clear" w:color="auto" w:fill="CCEEFF"/>
            <w:tcMar>
              <w:top w:w="30" w:type="dxa"/>
              <w:left w:w="20" w:type="dxa"/>
              <w:bottom w:w="30" w:type="dxa"/>
              <w:right w:w="20" w:type="dxa"/>
            </w:tcMar>
            <w:vAlign w:val="bottom"/>
            <w:hideMark/>
          </w:tcPr>
          <w:p w14:paraId="5C3613A4" w14:textId="77777777" w:rsidR="00000000" w:rsidRDefault="009B6C69">
            <w:pPr>
              <w:spacing w:after="100"/>
              <w:rPr>
                <w:rFonts w:eastAsia="Times New Roman"/>
              </w:rPr>
            </w:pPr>
            <w:r>
              <w:rPr>
                <w:rFonts w:eastAsia="Times New Roman"/>
                <w:color w:val="000000"/>
                <w:sz w:val="18"/>
                <w:szCs w:val="18"/>
              </w:rPr>
              <w:t>Beginning balance of unrecognized tax benefits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9C6401"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B543A6" w14:textId="77777777" w:rsidR="00000000" w:rsidRDefault="009B6C69">
            <w:pPr>
              <w:spacing w:after="100"/>
              <w:jc w:val="right"/>
              <w:rPr>
                <w:rFonts w:eastAsia="Times New Roman"/>
              </w:rPr>
            </w:pPr>
            <w:r>
              <w:rPr>
                <w:rFonts w:eastAsia="Times New Roman"/>
                <w:color w:val="000000"/>
                <w:sz w:val="18"/>
                <w:szCs w:val="18"/>
              </w:rPr>
              <w:t>2,136 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F0DD25"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60A3DD"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7B43CE"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E50C9B" w14:textId="77777777" w:rsidR="00000000" w:rsidRDefault="009B6C69">
            <w:pPr>
              <w:spacing w:after="100"/>
              <w:jc w:val="right"/>
              <w:rPr>
                <w:rFonts w:eastAsia="Times New Roman"/>
              </w:rPr>
            </w:pPr>
            <w:r>
              <w:rPr>
                <w:rFonts w:eastAsia="Times New Roman"/>
                <w:color w:val="000000"/>
                <w:sz w:val="18"/>
                <w:szCs w:val="18"/>
              </w:rPr>
              <w:t>1,901 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2156D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0C9F31"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43D9AB"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0237CE" w14:textId="77777777" w:rsidR="00000000" w:rsidRDefault="009B6C69">
            <w:pPr>
              <w:spacing w:after="100"/>
              <w:jc w:val="right"/>
              <w:rPr>
                <w:rFonts w:eastAsia="Times New Roman"/>
              </w:rPr>
            </w:pPr>
            <w:r>
              <w:rPr>
                <w:rFonts w:eastAsia="Times New Roman"/>
                <w:color w:val="000000"/>
                <w:sz w:val="18"/>
                <w:szCs w:val="18"/>
              </w:rPr>
              <w:t>1,705 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23CD01" w14:textId="77777777" w:rsidR="00000000" w:rsidRDefault="009B6C69">
            <w:pPr>
              <w:spacing w:after="100"/>
              <w:jc w:val="right"/>
              <w:rPr>
                <w:rFonts w:eastAsia="Times New Roman"/>
              </w:rPr>
            </w:pPr>
          </w:p>
        </w:tc>
      </w:tr>
      <w:tr w:rsidR="00000000" w14:paraId="469BEE92" w14:textId="77777777">
        <w:trPr>
          <w:divId w:val="2136097258"/>
        </w:trPr>
        <w:tc>
          <w:tcPr>
            <w:tcW w:w="0" w:type="auto"/>
            <w:gridSpan w:val="3"/>
            <w:shd w:val="clear" w:color="auto" w:fill="FFFFFF"/>
            <w:tcMar>
              <w:top w:w="30" w:type="dxa"/>
              <w:left w:w="155" w:type="dxa"/>
              <w:bottom w:w="30" w:type="dxa"/>
              <w:right w:w="20" w:type="dxa"/>
            </w:tcMar>
            <w:vAlign w:val="bottom"/>
            <w:hideMark/>
          </w:tcPr>
          <w:p w14:paraId="558E27C0" w14:textId="77777777" w:rsidR="00000000" w:rsidRDefault="009B6C69">
            <w:pPr>
              <w:spacing w:after="100"/>
              <w:rPr>
                <w:rFonts w:eastAsia="Times New Roman"/>
              </w:rPr>
            </w:pPr>
            <w:r>
              <w:rPr>
                <w:rFonts w:eastAsia="Times New Roman"/>
                <w:color w:val="000000"/>
                <w:sz w:val="18"/>
                <w:szCs w:val="18"/>
              </w:rPr>
              <w:t>Additions based on prior year tax positions</w:t>
            </w:r>
          </w:p>
        </w:tc>
        <w:tc>
          <w:tcPr>
            <w:tcW w:w="0" w:type="auto"/>
            <w:gridSpan w:val="2"/>
            <w:shd w:val="clear" w:color="auto" w:fill="FFFFFF"/>
            <w:tcMar>
              <w:top w:w="30" w:type="dxa"/>
              <w:left w:w="20" w:type="dxa"/>
              <w:bottom w:w="30" w:type="dxa"/>
              <w:right w:w="0" w:type="dxa"/>
            </w:tcMar>
            <w:vAlign w:val="bottom"/>
            <w:hideMark/>
          </w:tcPr>
          <w:p w14:paraId="4997D8FA" w14:textId="77777777" w:rsidR="00000000" w:rsidRDefault="009B6C69">
            <w:pPr>
              <w:spacing w:after="100"/>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vAlign w:val="bottom"/>
            <w:hideMark/>
          </w:tcPr>
          <w:p w14:paraId="616BBBB2"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0C8370"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1B4F7B" w14:textId="77777777" w:rsidR="00000000" w:rsidRDefault="009B6C69">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bottom"/>
            <w:hideMark/>
          </w:tcPr>
          <w:p w14:paraId="06C4FBD3"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FD94D5"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439EA7" w14:textId="77777777" w:rsidR="00000000" w:rsidRDefault="009B6C69">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bottom"/>
            <w:hideMark/>
          </w:tcPr>
          <w:p w14:paraId="012A1608" w14:textId="77777777" w:rsidR="00000000" w:rsidRDefault="009B6C69">
            <w:pPr>
              <w:spacing w:after="100"/>
              <w:jc w:val="right"/>
              <w:rPr>
                <w:rFonts w:eastAsia="Times New Roman"/>
              </w:rPr>
            </w:pPr>
          </w:p>
        </w:tc>
      </w:tr>
      <w:tr w:rsidR="00000000" w14:paraId="57599CEF" w14:textId="77777777">
        <w:trPr>
          <w:divId w:val="2136097258"/>
        </w:trPr>
        <w:tc>
          <w:tcPr>
            <w:tcW w:w="0" w:type="auto"/>
            <w:gridSpan w:val="3"/>
            <w:shd w:val="clear" w:color="auto" w:fill="CCEEFF"/>
            <w:tcMar>
              <w:top w:w="30" w:type="dxa"/>
              <w:left w:w="155" w:type="dxa"/>
              <w:bottom w:w="30" w:type="dxa"/>
              <w:right w:w="20" w:type="dxa"/>
            </w:tcMar>
            <w:vAlign w:val="bottom"/>
            <w:hideMark/>
          </w:tcPr>
          <w:p w14:paraId="671C43AF" w14:textId="77777777" w:rsidR="00000000" w:rsidRDefault="009B6C69">
            <w:pPr>
              <w:spacing w:after="100"/>
              <w:rPr>
                <w:rFonts w:eastAsia="Times New Roman"/>
              </w:rPr>
            </w:pPr>
            <w:r>
              <w:rPr>
                <w:rFonts w:eastAsia="Times New Roman"/>
                <w:color w:val="000000"/>
                <w:sz w:val="18"/>
                <w:szCs w:val="18"/>
              </w:rPr>
              <w:t>Reductions for prior year tax positions and lapse in statute of limitations</w:t>
            </w:r>
          </w:p>
        </w:tc>
        <w:tc>
          <w:tcPr>
            <w:tcW w:w="0" w:type="auto"/>
            <w:gridSpan w:val="2"/>
            <w:shd w:val="clear" w:color="auto" w:fill="CCEEFF"/>
            <w:tcMar>
              <w:top w:w="30" w:type="dxa"/>
              <w:left w:w="20" w:type="dxa"/>
              <w:bottom w:w="30" w:type="dxa"/>
              <w:right w:w="0" w:type="dxa"/>
            </w:tcMar>
            <w:vAlign w:val="bottom"/>
            <w:hideMark/>
          </w:tcPr>
          <w:p w14:paraId="425D846A" w14:textId="77777777" w:rsidR="00000000" w:rsidRDefault="009B6C69">
            <w:pPr>
              <w:spacing w:after="100"/>
              <w:jc w:val="right"/>
              <w:rPr>
                <w:rFonts w:eastAsia="Times New Roman"/>
              </w:rPr>
            </w:pPr>
            <w:r>
              <w:rPr>
                <w:rFonts w:eastAsia="Times New Roman"/>
                <w:color w:val="000000"/>
                <w:sz w:val="18"/>
                <w:szCs w:val="18"/>
              </w:rPr>
              <w:t>(136)</w:t>
            </w:r>
          </w:p>
        </w:tc>
        <w:tc>
          <w:tcPr>
            <w:tcW w:w="0" w:type="auto"/>
            <w:shd w:val="clear" w:color="auto" w:fill="CCEEFF"/>
            <w:tcMar>
              <w:top w:w="30" w:type="dxa"/>
              <w:left w:w="0" w:type="dxa"/>
              <w:bottom w:w="30" w:type="dxa"/>
              <w:right w:w="20" w:type="dxa"/>
            </w:tcMar>
            <w:vAlign w:val="bottom"/>
            <w:hideMark/>
          </w:tcPr>
          <w:p w14:paraId="18ADA94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4E429"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F1D608" w14:textId="77777777" w:rsidR="00000000" w:rsidRDefault="009B6C69">
            <w:pPr>
              <w:spacing w:after="100"/>
              <w:jc w:val="right"/>
              <w:rPr>
                <w:rFonts w:eastAsia="Times New Roman"/>
              </w:rPr>
            </w:pPr>
            <w:r>
              <w:rPr>
                <w:rFonts w:eastAsia="Times New Roman"/>
                <w:color w:val="000000"/>
                <w:sz w:val="18"/>
                <w:szCs w:val="18"/>
              </w:rPr>
              <w:t>(13)</w:t>
            </w:r>
          </w:p>
        </w:tc>
        <w:tc>
          <w:tcPr>
            <w:tcW w:w="0" w:type="auto"/>
            <w:shd w:val="clear" w:color="auto" w:fill="CCEEFF"/>
            <w:tcMar>
              <w:top w:w="30" w:type="dxa"/>
              <w:left w:w="0" w:type="dxa"/>
              <w:bottom w:w="30" w:type="dxa"/>
              <w:right w:w="20" w:type="dxa"/>
            </w:tcMar>
            <w:vAlign w:val="bottom"/>
            <w:hideMark/>
          </w:tcPr>
          <w:p w14:paraId="52ACC24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A601AC"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9B0232" w14:textId="77777777" w:rsidR="00000000" w:rsidRDefault="009B6C69">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14:paraId="0CB0026C" w14:textId="77777777" w:rsidR="00000000" w:rsidRDefault="009B6C69">
            <w:pPr>
              <w:spacing w:after="100"/>
              <w:jc w:val="right"/>
              <w:rPr>
                <w:rFonts w:eastAsia="Times New Roman"/>
              </w:rPr>
            </w:pPr>
          </w:p>
        </w:tc>
      </w:tr>
      <w:tr w:rsidR="00000000" w14:paraId="5BCF5E81" w14:textId="77777777">
        <w:trPr>
          <w:divId w:val="2136097258"/>
        </w:trPr>
        <w:tc>
          <w:tcPr>
            <w:tcW w:w="0" w:type="auto"/>
            <w:gridSpan w:val="3"/>
            <w:shd w:val="clear" w:color="auto" w:fill="FFFFFF"/>
            <w:tcMar>
              <w:top w:w="30" w:type="dxa"/>
              <w:left w:w="155" w:type="dxa"/>
              <w:bottom w:w="30" w:type="dxa"/>
              <w:right w:w="20" w:type="dxa"/>
            </w:tcMar>
            <w:vAlign w:val="bottom"/>
            <w:hideMark/>
          </w:tcPr>
          <w:p w14:paraId="23E66367" w14:textId="77777777" w:rsidR="00000000" w:rsidRDefault="009B6C69">
            <w:pPr>
              <w:spacing w:after="100"/>
              <w:rPr>
                <w:rFonts w:eastAsia="Times New Roman"/>
              </w:rPr>
            </w:pPr>
            <w:r>
              <w:rPr>
                <w:rFonts w:eastAsia="Times New Roman"/>
                <w:color w:val="000000"/>
                <w:sz w:val="18"/>
                <w:szCs w:val="18"/>
              </w:rPr>
              <w:t>Additions for current year tax positions</w:t>
            </w:r>
          </w:p>
        </w:tc>
        <w:tc>
          <w:tcPr>
            <w:tcW w:w="0" w:type="auto"/>
            <w:gridSpan w:val="2"/>
            <w:shd w:val="clear" w:color="auto" w:fill="FFFFFF"/>
            <w:tcMar>
              <w:top w:w="30" w:type="dxa"/>
              <w:left w:w="20" w:type="dxa"/>
              <w:bottom w:w="30" w:type="dxa"/>
              <w:right w:w="0" w:type="dxa"/>
            </w:tcMar>
            <w:vAlign w:val="bottom"/>
            <w:hideMark/>
          </w:tcPr>
          <w:p w14:paraId="58803371" w14:textId="77777777" w:rsidR="00000000" w:rsidRDefault="009B6C69">
            <w:pPr>
              <w:spacing w:after="100"/>
              <w:jc w:val="right"/>
              <w:rPr>
                <w:rFonts w:eastAsia="Times New Roman"/>
              </w:rPr>
            </w:pPr>
            <w:r>
              <w:rPr>
                <w:rFonts w:eastAsia="Times New Roman"/>
                <w:color w:val="000000"/>
                <w:sz w:val="18"/>
                <w:szCs w:val="18"/>
              </w:rPr>
              <w:t>184 </w:t>
            </w:r>
          </w:p>
        </w:tc>
        <w:tc>
          <w:tcPr>
            <w:tcW w:w="0" w:type="auto"/>
            <w:shd w:val="clear" w:color="auto" w:fill="FFFFFF"/>
            <w:tcMar>
              <w:top w:w="30" w:type="dxa"/>
              <w:left w:w="0" w:type="dxa"/>
              <w:bottom w:w="30" w:type="dxa"/>
              <w:right w:w="20" w:type="dxa"/>
            </w:tcMar>
            <w:vAlign w:val="bottom"/>
            <w:hideMark/>
          </w:tcPr>
          <w:p w14:paraId="49426BC3"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2CFF65"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4E7A38" w14:textId="77777777" w:rsidR="00000000" w:rsidRDefault="009B6C69">
            <w:pPr>
              <w:spacing w:after="100"/>
              <w:jc w:val="right"/>
              <w:rPr>
                <w:rFonts w:eastAsia="Times New Roman"/>
              </w:rPr>
            </w:pPr>
            <w:r>
              <w:rPr>
                <w:rFonts w:eastAsia="Times New Roman"/>
                <w:color w:val="000000"/>
                <w:sz w:val="18"/>
                <w:szCs w:val="18"/>
              </w:rPr>
              <w:t>213 </w:t>
            </w:r>
          </w:p>
        </w:tc>
        <w:tc>
          <w:tcPr>
            <w:tcW w:w="0" w:type="auto"/>
            <w:shd w:val="clear" w:color="auto" w:fill="FFFFFF"/>
            <w:tcMar>
              <w:top w:w="30" w:type="dxa"/>
              <w:left w:w="0" w:type="dxa"/>
              <w:bottom w:w="30" w:type="dxa"/>
              <w:right w:w="20" w:type="dxa"/>
            </w:tcMar>
            <w:vAlign w:val="bottom"/>
            <w:hideMark/>
          </w:tcPr>
          <w:p w14:paraId="66B3767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D5391C"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FC9447" w14:textId="77777777" w:rsidR="00000000" w:rsidRDefault="009B6C69">
            <w:pPr>
              <w:spacing w:after="100"/>
              <w:jc w:val="right"/>
              <w:rPr>
                <w:rFonts w:eastAsia="Times New Roman"/>
              </w:rPr>
            </w:pPr>
            <w:r>
              <w:rPr>
                <w:rFonts w:eastAsia="Times New Roman"/>
                <w:color w:val="000000"/>
                <w:sz w:val="18"/>
                <w:szCs w:val="18"/>
              </w:rPr>
              <w:t>192 </w:t>
            </w:r>
          </w:p>
        </w:tc>
        <w:tc>
          <w:tcPr>
            <w:tcW w:w="0" w:type="auto"/>
            <w:shd w:val="clear" w:color="auto" w:fill="FFFFFF"/>
            <w:tcMar>
              <w:top w:w="30" w:type="dxa"/>
              <w:left w:w="0" w:type="dxa"/>
              <w:bottom w:w="30" w:type="dxa"/>
              <w:right w:w="20" w:type="dxa"/>
            </w:tcMar>
            <w:vAlign w:val="bottom"/>
            <w:hideMark/>
          </w:tcPr>
          <w:p w14:paraId="3FD14EF8" w14:textId="77777777" w:rsidR="00000000" w:rsidRDefault="009B6C69">
            <w:pPr>
              <w:spacing w:after="100"/>
              <w:jc w:val="right"/>
              <w:rPr>
                <w:rFonts w:eastAsia="Times New Roman"/>
              </w:rPr>
            </w:pPr>
          </w:p>
        </w:tc>
      </w:tr>
      <w:tr w:rsidR="00000000" w14:paraId="6D31403C" w14:textId="77777777">
        <w:trPr>
          <w:divId w:val="2136097258"/>
        </w:trPr>
        <w:tc>
          <w:tcPr>
            <w:tcW w:w="0" w:type="auto"/>
            <w:gridSpan w:val="3"/>
            <w:shd w:val="clear" w:color="auto" w:fill="CCEEFF"/>
            <w:tcMar>
              <w:top w:w="30" w:type="dxa"/>
              <w:left w:w="155" w:type="dxa"/>
              <w:bottom w:w="30" w:type="dxa"/>
              <w:right w:w="20" w:type="dxa"/>
            </w:tcMar>
            <w:vAlign w:val="bottom"/>
            <w:hideMark/>
          </w:tcPr>
          <w:p w14:paraId="3D694F9C" w14:textId="77777777" w:rsidR="00000000" w:rsidRDefault="009B6C69">
            <w:pPr>
              <w:spacing w:after="100"/>
              <w:rPr>
                <w:rFonts w:eastAsia="Times New Roman"/>
              </w:rPr>
            </w:pPr>
            <w:r>
              <w:rPr>
                <w:rFonts w:eastAsia="Times New Roman"/>
                <w:color w:val="000000"/>
                <w:sz w:val="18"/>
                <w:szCs w:val="18"/>
              </w:rPr>
              <w:t>Settlements with taxing authorities</w:t>
            </w:r>
          </w:p>
        </w:tc>
        <w:tc>
          <w:tcPr>
            <w:tcW w:w="0" w:type="auto"/>
            <w:gridSpan w:val="2"/>
            <w:shd w:val="clear" w:color="auto" w:fill="CCEEFF"/>
            <w:tcMar>
              <w:top w:w="30" w:type="dxa"/>
              <w:left w:w="20" w:type="dxa"/>
              <w:bottom w:w="30" w:type="dxa"/>
              <w:right w:w="0" w:type="dxa"/>
            </w:tcMar>
            <w:vAlign w:val="bottom"/>
            <w:hideMark/>
          </w:tcPr>
          <w:p w14:paraId="0C1FD7DC" w14:textId="77777777" w:rsidR="00000000" w:rsidRDefault="009B6C69">
            <w:pPr>
              <w:spacing w:after="100"/>
              <w:jc w:val="right"/>
              <w:rPr>
                <w:rFonts w:eastAsia="Times New Roman"/>
              </w:rPr>
            </w:pPr>
            <w:r>
              <w:rPr>
                <w:rFonts w:eastAsia="Times New Roman"/>
                <w:color w:val="000000"/>
                <w:sz w:val="18"/>
                <w:szCs w:val="18"/>
              </w:rPr>
              <w:t>(51)</w:t>
            </w:r>
          </w:p>
        </w:tc>
        <w:tc>
          <w:tcPr>
            <w:tcW w:w="0" w:type="auto"/>
            <w:shd w:val="clear" w:color="auto" w:fill="CCEEFF"/>
            <w:tcMar>
              <w:top w:w="30" w:type="dxa"/>
              <w:left w:w="0" w:type="dxa"/>
              <w:bottom w:w="30" w:type="dxa"/>
              <w:right w:w="20" w:type="dxa"/>
            </w:tcMar>
            <w:vAlign w:val="bottom"/>
            <w:hideMark/>
          </w:tcPr>
          <w:p w14:paraId="3CA8D1A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7F3554"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2DAC8F" w14:textId="77777777" w:rsidR="00000000" w:rsidRDefault="009B6C69">
            <w:pPr>
              <w:spacing w:after="100"/>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bottom"/>
            <w:hideMark/>
          </w:tcPr>
          <w:p w14:paraId="1D41CA02"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EF8351"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8DBD67" w14:textId="77777777" w:rsidR="00000000" w:rsidRDefault="009B6C69">
            <w:pPr>
              <w:spacing w:after="100"/>
              <w:jc w:val="right"/>
              <w:rPr>
                <w:rFonts w:eastAsia="Times New Roman"/>
              </w:rPr>
            </w:pPr>
            <w:r>
              <w:rPr>
                <w:rFonts w:eastAsia="Times New Roman"/>
                <w:color w:val="000000"/>
                <w:sz w:val="18"/>
                <w:szCs w:val="18"/>
              </w:rPr>
              <w:t>(14)</w:t>
            </w:r>
          </w:p>
        </w:tc>
        <w:tc>
          <w:tcPr>
            <w:tcW w:w="0" w:type="auto"/>
            <w:shd w:val="clear" w:color="auto" w:fill="CCEEFF"/>
            <w:tcMar>
              <w:top w:w="30" w:type="dxa"/>
              <w:left w:w="0" w:type="dxa"/>
              <w:bottom w:w="30" w:type="dxa"/>
              <w:right w:w="20" w:type="dxa"/>
            </w:tcMar>
            <w:vAlign w:val="bottom"/>
            <w:hideMark/>
          </w:tcPr>
          <w:p w14:paraId="32A7DF60" w14:textId="77777777" w:rsidR="00000000" w:rsidRDefault="009B6C69">
            <w:pPr>
              <w:spacing w:after="100"/>
              <w:jc w:val="right"/>
              <w:rPr>
                <w:rFonts w:eastAsia="Times New Roman"/>
              </w:rPr>
            </w:pPr>
          </w:p>
        </w:tc>
      </w:tr>
      <w:tr w:rsidR="00000000" w14:paraId="4B797D30" w14:textId="77777777">
        <w:trPr>
          <w:divId w:val="2136097258"/>
        </w:trPr>
        <w:tc>
          <w:tcPr>
            <w:tcW w:w="0" w:type="auto"/>
            <w:gridSpan w:val="3"/>
            <w:shd w:val="clear" w:color="auto" w:fill="FFFFFF"/>
            <w:tcMar>
              <w:top w:w="30" w:type="dxa"/>
              <w:left w:w="20" w:type="dxa"/>
              <w:bottom w:w="30" w:type="dxa"/>
              <w:right w:w="20" w:type="dxa"/>
            </w:tcMar>
            <w:vAlign w:val="bottom"/>
            <w:hideMark/>
          </w:tcPr>
          <w:p w14:paraId="157A4040" w14:textId="77777777" w:rsidR="00000000" w:rsidRDefault="009B6C69">
            <w:pPr>
              <w:spacing w:after="100"/>
              <w:rPr>
                <w:rFonts w:eastAsia="Times New Roman"/>
              </w:rPr>
            </w:pPr>
            <w:r>
              <w:rPr>
                <w:rFonts w:eastAsia="Times New Roman"/>
                <w:color w:val="000000"/>
                <w:sz w:val="18"/>
                <w:szCs w:val="18"/>
              </w:rPr>
              <w:t>Ending balance of unrecognized tax benefits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DFF93DF"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0D88377" w14:textId="77777777" w:rsidR="00000000" w:rsidRDefault="009B6C69">
            <w:pPr>
              <w:spacing w:after="100"/>
              <w:jc w:val="right"/>
              <w:rPr>
                <w:rFonts w:eastAsia="Times New Roman"/>
              </w:rPr>
            </w:pPr>
            <w:r>
              <w:rPr>
                <w:rFonts w:eastAsia="Times New Roman"/>
                <w:color w:val="000000"/>
                <w:sz w:val="18"/>
                <w:szCs w:val="18"/>
              </w:rPr>
              <w:t>2,191 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384193"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3879F8"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AC0992"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1F7DDCA" w14:textId="77777777" w:rsidR="00000000" w:rsidRDefault="009B6C69">
            <w:pPr>
              <w:spacing w:after="100"/>
              <w:jc w:val="right"/>
              <w:rPr>
                <w:rFonts w:eastAsia="Times New Roman"/>
              </w:rPr>
            </w:pPr>
            <w:r>
              <w:rPr>
                <w:rFonts w:eastAsia="Times New Roman"/>
                <w:color w:val="000000"/>
                <w:sz w:val="18"/>
                <w:szCs w:val="18"/>
              </w:rPr>
              <w:t>2,136 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D04474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2E5D49"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5BD8DBD"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3F36BCB" w14:textId="77777777" w:rsidR="00000000" w:rsidRDefault="009B6C69">
            <w:pPr>
              <w:spacing w:after="100"/>
              <w:jc w:val="right"/>
              <w:rPr>
                <w:rFonts w:eastAsia="Times New Roman"/>
              </w:rPr>
            </w:pPr>
            <w:r>
              <w:rPr>
                <w:rFonts w:eastAsia="Times New Roman"/>
                <w:color w:val="000000"/>
                <w:sz w:val="18"/>
                <w:szCs w:val="18"/>
              </w:rPr>
              <w:t>1,901 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7B264E" w14:textId="77777777" w:rsidR="00000000" w:rsidRDefault="009B6C69">
            <w:pPr>
              <w:spacing w:after="100"/>
              <w:jc w:val="right"/>
              <w:rPr>
                <w:rFonts w:eastAsia="Times New Roman"/>
              </w:rPr>
            </w:pPr>
          </w:p>
        </w:tc>
      </w:tr>
    </w:tbl>
    <w:p w14:paraId="0EC48836" w14:textId="77777777" w:rsidR="00000000" w:rsidRDefault="009B6C69">
      <w:pPr>
        <w:ind w:firstLine="360"/>
        <w:divId w:val="1321231913"/>
        <w:rPr>
          <w:rFonts w:eastAsia="Times New Roman"/>
        </w:rPr>
      </w:pPr>
      <w:r>
        <w:rPr>
          <w:rFonts w:eastAsia="Times New Roman"/>
          <w:color w:val="000000"/>
          <w:sz w:val="20"/>
          <w:szCs w:val="20"/>
        </w:rPr>
        <w:t xml:space="preserve">Of the $2.2 billion of unrecognized tax benefits, $2.0 </w:t>
      </w:r>
      <w:r>
        <w:rPr>
          <w:rFonts w:eastAsia="Times New Roman"/>
          <w:color w:val="000000"/>
          <w:sz w:val="20"/>
          <w:szCs w:val="20"/>
        </w:rPr>
        <w:t>billion has been recorded to other liabilities. We believe that it is reasonably possible that certain unrecognized tax benefits recorded at September 25, 2022 may result in a cash payment in fiscal 2023. Unrecognized tax benefits at September 25, 2022 inc</w:t>
      </w:r>
      <w:r>
        <w:rPr>
          <w:rFonts w:eastAsia="Times New Roman"/>
          <w:color w:val="000000"/>
          <w:sz w:val="20"/>
          <w:szCs w:val="20"/>
        </w:rPr>
        <w:t xml:space="preserve">luded $135 million for tax positions that, if recognized, would impact the effective tax rate. The unrecognized tax benefits differ from the amount that would affect our effective tax rate primarily because the unrecognized tax benefits were included on a </w:t>
      </w:r>
      <w:r>
        <w:rPr>
          <w:rFonts w:eastAsia="Times New Roman"/>
          <w:color w:val="000000"/>
          <w:sz w:val="20"/>
          <w:szCs w:val="20"/>
        </w:rPr>
        <w:t xml:space="preserve">gross basis and did not reflect related receivables or secondary impacts, such as the federal deduction for state taxes, adjustments to deferred tax assets and the valuation allowance that might be required if our tax positions are sustained. The increase </w:t>
      </w:r>
      <w:r>
        <w:rPr>
          <w:rFonts w:eastAsia="Times New Roman"/>
          <w:color w:val="000000"/>
          <w:sz w:val="20"/>
          <w:szCs w:val="20"/>
        </w:rPr>
        <w:t>in unrecognized tax benefits for all periods presented was primarily due to expected refunds of Korean withholding tax previously paid (which such increase had an insignificant impact to our income tax provision). If successful, the refund will result in a</w:t>
      </w:r>
      <w:r>
        <w:rPr>
          <w:rFonts w:eastAsia="Times New Roman"/>
          <w:color w:val="000000"/>
          <w:sz w:val="20"/>
          <w:szCs w:val="20"/>
        </w:rPr>
        <w:t xml:space="preserve"> corresponding reduction in U.S. foreign tax credits. We believe that it is likely that the total amount of unrecognized tax benefits at September 25, 2022 will increase in fiscal 2023 as licensees in Korea continue to withhold taxes on future payments due</w:t>
      </w:r>
      <w:r>
        <w:rPr>
          <w:rFonts w:eastAsia="Times New Roman"/>
          <w:color w:val="000000"/>
          <w:sz w:val="20"/>
          <w:szCs w:val="20"/>
        </w:rPr>
        <w:t xml:space="preserve"> under their licensing agreements at a rate higher than we believe is owed; such increase is not expected to have a significant impact on our income tax provision. At September 25, 2022, total interest and penalties related to unrecognized tax benefits acc</w:t>
      </w:r>
      <w:r>
        <w:rPr>
          <w:rFonts w:eastAsia="Times New Roman"/>
          <w:color w:val="000000"/>
          <w:sz w:val="20"/>
          <w:szCs w:val="20"/>
        </w:rPr>
        <w:t>rued in other current liabilities and other liabilities was $168 million, with a corresponding noncurrent income taxes receivable of $108 million recorded in other assets for expected refunds of certain tax benefits.</w:t>
      </w:r>
    </w:p>
    <w:p w14:paraId="24AA3711" w14:textId="77777777" w:rsidR="00000000" w:rsidRDefault="009B6C69">
      <w:pPr>
        <w:ind w:firstLine="360"/>
        <w:divId w:val="1601718505"/>
        <w:rPr>
          <w:rFonts w:eastAsia="Times New Roman"/>
        </w:rPr>
      </w:pPr>
      <w:r>
        <w:rPr>
          <w:rFonts w:eastAsia="Times New Roman"/>
          <w:color w:val="000000"/>
          <w:sz w:val="20"/>
          <w:szCs w:val="20"/>
        </w:rPr>
        <w:t xml:space="preserve">We file income tax returns in the U.S. </w:t>
      </w:r>
      <w:r>
        <w:rPr>
          <w:rFonts w:eastAsia="Times New Roman"/>
          <w:color w:val="000000"/>
          <w:sz w:val="20"/>
          <w:szCs w:val="20"/>
        </w:rPr>
        <w:t>federal jurisdiction and various state and foreign jurisdictions. For tax years prior to fiscal 2021, we are a participant in the IRS Compliance Assurance Process (CAP) Program, whereby we and the IRS endeavor to agree on the treatment of all tax issues pr</w:t>
      </w:r>
      <w:r>
        <w:rPr>
          <w:rFonts w:eastAsia="Times New Roman"/>
          <w:color w:val="000000"/>
          <w:sz w:val="20"/>
          <w:szCs w:val="20"/>
        </w:rPr>
        <w:t>ior to the tax return being filed. We are no longer subject to U.S. federal income tax examinations for years prior to fiscal 2018. We are also subject to examination in other taxing jurisdictions in the U.S. and numerous foreign jurisdictions. These exami</w:t>
      </w:r>
      <w:r>
        <w:rPr>
          <w:rFonts w:eastAsia="Times New Roman"/>
          <w:color w:val="000000"/>
          <w:sz w:val="20"/>
          <w:szCs w:val="20"/>
        </w:rPr>
        <w:t>nations are at various stages with respect to assessments, claims, deficiencies and refunds, many of which are open for periods after fiscal 2001. We continually assess the likelihood and amount of potential adjustments and adjust the income tax provision,</w:t>
      </w:r>
      <w:r>
        <w:rPr>
          <w:rFonts w:eastAsia="Times New Roman"/>
          <w:color w:val="000000"/>
          <w:sz w:val="20"/>
          <w:szCs w:val="20"/>
        </w:rPr>
        <w:t xml:space="preserve"> income taxes payable and deferred taxes in the period in which the facts give rise to a revision become known. At September 25, 2022, we believe that adequate amounts have been reserved for based on facts known. However, the final determination of tax aud</w:t>
      </w:r>
      <w:r>
        <w:rPr>
          <w:rFonts w:eastAsia="Times New Roman"/>
          <w:color w:val="000000"/>
          <w:sz w:val="20"/>
          <w:szCs w:val="20"/>
        </w:rPr>
        <w:t xml:space="preserve">its and any related legal proceedings could materially differ from amounts reflected in our income tax provision and the related accruals. </w:t>
      </w:r>
    </w:p>
    <w:p w14:paraId="310F4A8A" w14:textId="77777777" w:rsidR="00000000" w:rsidRDefault="009B6C69">
      <w:pPr>
        <w:ind w:firstLine="360"/>
        <w:divId w:val="876892732"/>
        <w:rPr>
          <w:rFonts w:eastAsia="Times New Roman"/>
        </w:rPr>
      </w:pPr>
      <w:r>
        <w:rPr>
          <w:rFonts w:eastAsia="Times New Roman"/>
          <w:color w:val="000000"/>
          <w:sz w:val="20"/>
          <w:szCs w:val="20"/>
        </w:rPr>
        <w:t>Cash amounts paid for income taxes, net of refunds received, were $2.1 billion, $1.5 billion and $0.8 billion for fi</w:t>
      </w:r>
      <w:r>
        <w:rPr>
          <w:rFonts w:eastAsia="Times New Roman"/>
          <w:color w:val="000000"/>
          <w:sz w:val="20"/>
          <w:szCs w:val="20"/>
        </w:rPr>
        <w:t>scal 2022, 2021 and 2020, respectively.</w:t>
      </w:r>
    </w:p>
    <w:p w14:paraId="32AB4EED" w14:textId="77777777" w:rsidR="00000000" w:rsidRDefault="009B6C69">
      <w:pPr>
        <w:divId w:val="1778914600"/>
        <w:rPr>
          <w:rFonts w:eastAsia="Times New Roman"/>
        </w:rPr>
      </w:pPr>
      <w:r>
        <w:rPr>
          <w:rFonts w:eastAsia="Times New Roman"/>
          <w:b/>
          <w:bCs/>
          <w:color w:val="000000"/>
          <w:sz w:val="20"/>
          <w:szCs w:val="20"/>
        </w:rPr>
        <w:t>Note 4. Capital Stock</w:t>
      </w:r>
    </w:p>
    <w:p w14:paraId="70FF95D0" w14:textId="77777777" w:rsidR="00000000" w:rsidRDefault="009B6C69">
      <w:pPr>
        <w:ind w:firstLine="360"/>
        <w:divId w:val="592972959"/>
        <w:rPr>
          <w:rFonts w:eastAsia="Times New Roman"/>
        </w:rPr>
      </w:pPr>
      <w:r>
        <w:rPr>
          <w:rFonts w:eastAsia="Times New Roman"/>
          <w:b/>
          <w:bCs/>
          <w:i/>
          <w:iCs/>
          <w:color w:val="000000"/>
          <w:sz w:val="20"/>
          <w:szCs w:val="20"/>
        </w:rPr>
        <w:t xml:space="preserve">Stock Repurchase Program. </w:t>
      </w:r>
      <w:r>
        <w:rPr>
          <w:rFonts w:eastAsia="Times New Roman"/>
          <w:color w:val="000000"/>
          <w:sz w:val="20"/>
          <w:szCs w:val="20"/>
        </w:rPr>
        <w:t>On October 12, 2021, we announced a $10.0 billion stock repurchase program. The stock repurchase program has no expiration date. At September 25, 2022, $8.1 billion rem</w:t>
      </w:r>
      <w:r>
        <w:rPr>
          <w:rFonts w:eastAsia="Times New Roman"/>
          <w:color w:val="000000"/>
          <w:sz w:val="20"/>
          <w:szCs w:val="20"/>
        </w:rPr>
        <w:t xml:space="preserve">ained authorized for repurchase under our stock repurchase program. </w:t>
      </w:r>
    </w:p>
    <w:p w14:paraId="182343DA" w14:textId="77777777" w:rsidR="00000000" w:rsidRDefault="009B6C69">
      <w:pPr>
        <w:ind w:firstLine="360"/>
        <w:divId w:val="1147013310"/>
        <w:rPr>
          <w:rFonts w:eastAsia="Times New Roman"/>
        </w:rPr>
      </w:pPr>
      <w:r>
        <w:rPr>
          <w:rFonts w:eastAsia="Times New Roman"/>
          <w:b/>
          <w:bCs/>
          <w:i/>
          <w:iCs/>
          <w:color w:val="000000"/>
          <w:sz w:val="20"/>
          <w:szCs w:val="20"/>
        </w:rPr>
        <w:t xml:space="preserve">Shares Outstanding. </w:t>
      </w:r>
      <w:r>
        <w:rPr>
          <w:rFonts w:eastAsia="Times New Roman"/>
          <w:color w:val="000000"/>
          <w:sz w:val="20"/>
          <w:szCs w:val="20"/>
        </w:rPr>
        <w:t>Shares of common stock outstanding at September 25, 2022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69"/>
        <w:gridCol w:w="7028"/>
        <w:gridCol w:w="37"/>
        <w:gridCol w:w="69"/>
        <w:gridCol w:w="1067"/>
        <w:gridCol w:w="36"/>
      </w:tblGrid>
      <w:tr w:rsidR="00000000" w14:paraId="1B3C93C9" w14:textId="77777777">
        <w:trPr>
          <w:divId w:val="348142818"/>
        </w:trPr>
        <w:tc>
          <w:tcPr>
            <w:tcW w:w="50" w:type="pct"/>
            <w:vAlign w:val="center"/>
            <w:hideMark/>
          </w:tcPr>
          <w:p w14:paraId="1BEEBC44" w14:textId="77777777" w:rsidR="00000000" w:rsidRDefault="009B6C69">
            <w:pPr>
              <w:ind w:firstLine="360"/>
              <w:rPr>
                <w:rFonts w:eastAsia="Times New Roman"/>
              </w:rPr>
            </w:pPr>
          </w:p>
        </w:tc>
        <w:tc>
          <w:tcPr>
            <w:tcW w:w="4238" w:type="pct"/>
            <w:vAlign w:val="center"/>
            <w:hideMark/>
          </w:tcPr>
          <w:p w14:paraId="30B94DC7" w14:textId="77777777" w:rsidR="00000000" w:rsidRDefault="009B6C69">
            <w:pPr>
              <w:spacing w:after="100"/>
              <w:rPr>
                <w:rFonts w:eastAsia="Times New Roman"/>
                <w:sz w:val="20"/>
                <w:szCs w:val="20"/>
              </w:rPr>
            </w:pPr>
          </w:p>
        </w:tc>
        <w:tc>
          <w:tcPr>
            <w:tcW w:w="5" w:type="pct"/>
            <w:vAlign w:val="center"/>
            <w:hideMark/>
          </w:tcPr>
          <w:p w14:paraId="4FE9934C" w14:textId="77777777" w:rsidR="00000000" w:rsidRDefault="009B6C69">
            <w:pPr>
              <w:spacing w:after="100"/>
              <w:rPr>
                <w:rFonts w:eastAsia="Times New Roman"/>
                <w:sz w:val="20"/>
                <w:szCs w:val="20"/>
              </w:rPr>
            </w:pPr>
          </w:p>
        </w:tc>
        <w:tc>
          <w:tcPr>
            <w:tcW w:w="50" w:type="pct"/>
            <w:vAlign w:val="center"/>
            <w:hideMark/>
          </w:tcPr>
          <w:p w14:paraId="4EC4B9CD" w14:textId="77777777" w:rsidR="00000000" w:rsidRDefault="009B6C69">
            <w:pPr>
              <w:spacing w:after="100"/>
              <w:rPr>
                <w:rFonts w:eastAsia="Times New Roman"/>
                <w:sz w:val="20"/>
                <w:szCs w:val="20"/>
              </w:rPr>
            </w:pPr>
          </w:p>
        </w:tc>
        <w:tc>
          <w:tcPr>
            <w:tcW w:w="651" w:type="pct"/>
            <w:vAlign w:val="center"/>
            <w:hideMark/>
          </w:tcPr>
          <w:p w14:paraId="6C18DC97" w14:textId="77777777" w:rsidR="00000000" w:rsidRDefault="009B6C69">
            <w:pPr>
              <w:spacing w:after="100"/>
              <w:rPr>
                <w:rFonts w:eastAsia="Times New Roman"/>
                <w:sz w:val="20"/>
                <w:szCs w:val="20"/>
              </w:rPr>
            </w:pPr>
          </w:p>
        </w:tc>
        <w:tc>
          <w:tcPr>
            <w:tcW w:w="5" w:type="pct"/>
            <w:vAlign w:val="center"/>
            <w:hideMark/>
          </w:tcPr>
          <w:p w14:paraId="10D37502" w14:textId="77777777" w:rsidR="00000000" w:rsidRDefault="009B6C69">
            <w:pPr>
              <w:spacing w:after="100"/>
              <w:rPr>
                <w:rFonts w:eastAsia="Times New Roman"/>
                <w:sz w:val="20"/>
                <w:szCs w:val="20"/>
              </w:rPr>
            </w:pPr>
          </w:p>
        </w:tc>
      </w:tr>
      <w:tr w:rsidR="00000000" w14:paraId="431613FA" w14:textId="77777777">
        <w:trPr>
          <w:divId w:val="348142818"/>
          <w:trHeight w:val="120"/>
        </w:trPr>
        <w:tc>
          <w:tcPr>
            <w:tcW w:w="0" w:type="auto"/>
            <w:gridSpan w:val="3"/>
            <w:tcMar>
              <w:top w:w="0" w:type="dxa"/>
              <w:left w:w="20" w:type="dxa"/>
              <w:bottom w:w="0" w:type="dxa"/>
              <w:right w:w="20" w:type="dxa"/>
            </w:tcMar>
            <w:vAlign w:val="center"/>
            <w:hideMark/>
          </w:tcPr>
          <w:p w14:paraId="7DFE597C"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BBF797" w14:textId="77777777" w:rsidR="00000000" w:rsidRDefault="009B6C69">
            <w:pPr>
              <w:spacing w:after="100"/>
              <w:rPr>
                <w:rFonts w:eastAsia="Times New Roman"/>
                <w:sz w:val="20"/>
                <w:szCs w:val="20"/>
              </w:rPr>
            </w:pPr>
          </w:p>
        </w:tc>
      </w:tr>
      <w:tr w:rsidR="00000000" w14:paraId="6D962EF8" w14:textId="77777777">
        <w:trPr>
          <w:divId w:val="348142818"/>
        </w:trPr>
        <w:tc>
          <w:tcPr>
            <w:tcW w:w="0" w:type="auto"/>
            <w:gridSpan w:val="3"/>
            <w:shd w:val="clear" w:color="auto" w:fill="CCEEFF"/>
            <w:tcMar>
              <w:top w:w="30" w:type="dxa"/>
              <w:left w:w="20" w:type="dxa"/>
              <w:bottom w:w="30" w:type="dxa"/>
              <w:right w:w="20" w:type="dxa"/>
            </w:tcMar>
            <w:vAlign w:val="bottom"/>
            <w:hideMark/>
          </w:tcPr>
          <w:p w14:paraId="41093988" w14:textId="77777777" w:rsidR="00000000" w:rsidRDefault="009B6C69">
            <w:pPr>
              <w:spacing w:after="100"/>
              <w:divId w:val="1699350187"/>
              <w:rPr>
                <w:rFonts w:eastAsia="Times New Roman"/>
              </w:rPr>
            </w:pPr>
            <w:r>
              <w:rPr>
                <w:rFonts w:eastAsia="Times New Roman"/>
                <w:color w:val="000000"/>
                <w:sz w:val="18"/>
                <w:szCs w:val="18"/>
              </w:rPr>
              <w:t>Balance at beginning of period</w:t>
            </w:r>
          </w:p>
        </w:tc>
        <w:tc>
          <w:tcPr>
            <w:tcW w:w="0" w:type="auto"/>
            <w:gridSpan w:val="2"/>
            <w:shd w:val="clear" w:color="auto" w:fill="CCEEFF"/>
            <w:tcMar>
              <w:top w:w="30" w:type="dxa"/>
              <w:left w:w="20" w:type="dxa"/>
              <w:bottom w:w="30" w:type="dxa"/>
              <w:right w:w="0" w:type="dxa"/>
            </w:tcMar>
            <w:vAlign w:val="bottom"/>
            <w:hideMark/>
          </w:tcPr>
          <w:p w14:paraId="19F0FCD6" w14:textId="77777777" w:rsidR="00000000" w:rsidRDefault="009B6C69">
            <w:pPr>
              <w:spacing w:after="100"/>
              <w:jc w:val="right"/>
              <w:rPr>
                <w:rFonts w:eastAsia="Times New Roman"/>
              </w:rPr>
            </w:pPr>
            <w:r>
              <w:rPr>
                <w:rFonts w:eastAsia="Times New Roman"/>
                <w:color w:val="000000"/>
                <w:sz w:val="18"/>
                <w:szCs w:val="18"/>
              </w:rPr>
              <w:t>1,125 </w:t>
            </w:r>
          </w:p>
        </w:tc>
        <w:tc>
          <w:tcPr>
            <w:tcW w:w="0" w:type="auto"/>
            <w:shd w:val="clear" w:color="auto" w:fill="CCEEFF"/>
            <w:tcMar>
              <w:top w:w="30" w:type="dxa"/>
              <w:left w:w="0" w:type="dxa"/>
              <w:bottom w:w="30" w:type="dxa"/>
              <w:right w:w="20" w:type="dxa"/>
            </w:tcMar>
            <w:vAlign w:val="bottom"/>
            <w:hideMark/>
          </w:tcPr>
          <w:p w14:paraId="4D205CD5" w14:textId="77777777" w:rsidR="00000000" w:rsidRDefault="009B6C69">
            <w:pPr>
              <w:spacing w:after="100"/>
              <w:jc w:val="right"/>
              <w:rPr>
                <w:rFonts w:eastAsia="Times New Roman"/>
              </w:rPr>
            </w:pPr>
          </w:p>
        </w:tc>
      </w:tr>
      <w:tr w:rsidR="00000000" w14:paraId="41E6C859" w14:textId="77777777">
        <w:trPr>
          <w:divId w:val="348142818"/>
        </w:trPr>
        <w:tc>
          <w:tcPr>
            <w:tcW w:w="0" w:type="auto"/>
            <w:gridSpan w:val="3"/>
            <w:shd w:val="clear" w:color="auto" w:fill="FFFFFF"/>
            <w:tcMar>
              <w:top w:w="30" w:type="dxa"/>
              <w:left w:w="20" w:type="dxa"/>
              <w:bottom w:w="30" w:type="dxa"/>
              <w:right w:w="20" w:type="dxa"/>
            </w:tcMar>
            <w:vAlign w:val="bottom"/>
            <w:hideMark/>
          </w:tcPr>
          <w:p w14:paraId="3594C6E5" w14:textId="77777777" w:rsidR="00000000" w:rsidRDefault="009B6C69">
            <w:pPr>
              <w:spacing w:after="100"/>
              <w:divId w:val="1755318183"/>
              <w:rPr>
                <w:rFonts w:eastAsia="Times New Roman"/>
              </w:rPr>
            </w:pPr>
            <w:r>
              <w:rPr>
                <w:rFonts w:eastAsia="Times New Roman"/>
                <w:color w:val="000000"/>
                <w:sz w:val="18"/>
                <w:szCs w:val="18"/>
              </w:rPr>
              <w:t>Issued</w:t>
            </w:r>
          </w:p>
        </w:tc>
        <w:tc>
          <w:tcPr>
            <w:tcW w:w="0" w:type="auto"/>
            <w:gridSpan w:val="2"/>
            <w:shd w:val="clear" w:color="auto" w:fill="FFFFFF"/>
            <w:tcMar>
              <w:top w:w="30" w:type="dxa"/>
              <w:left w:w="20" w:type="dxa"/>
              <w:bottom w:w="30" w:type="dxa"/>
              <w:right w:w="0" w:type="dxa"/>
            </w:tcMar>
            <w:vAlign w:val="bottom"/>
            <w:hideMark/>
          </w:tcPr>
          <w:p w14:paraId="279F2120" w14:textId="77777777" w:rsidR="00000000" w:rsidRDefault="009B6C69">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bottom"/>
            <w:hideMark/>
          </w:tcPr>
          <w:p w14:paraId="1EC68B9D" w14:textId="77777777" w:rsidR="00000000" w:rsidRDefault="009B6C69">
            <w:pPr>
              <w:spacing w:after="100"/>
              <w:jc w:val="right"/>
              <w:rPr>
                <w:rFonts w:eastAsia="Times New Roman"/>
              </w:rPr>
            </w:pPr>
          </w:p>
        </w:tc>
      </w:tr>
      <w:tr w:rsidR="00000000" w14:paraId="1C9C0AB6" w14:textId="77777777">
        <w:trPr>
          <w:divId w:val="348142818"/>
        </w:trPr>
        <w:tc>
          <w:tcPr>
            <w:tcW w:w="0" w:type="auto"/>
            <w:gridSpan w:val="3"/>
            <w:shd w:val="clear" w:color="auto" w:fill="CCEEFF"/>
            <w:tcMar>
              <w:top w:w="30" w:type="dxa"/>
              <w:left w:w="20" w:type="dxa"/>
              <w:bottom w:w="30" w:type="dxa"/>
              <w:right w:w="20" w:type="dxa"/>
            </w:tcMar>
            <w:vAlign w:val="bottom"/>
            <w:hideMark/>
          </w:tcPr>
          <w:p w14:paraId="4DA0CEA8" w14:textId="77777777" w:rsidR="00000000" w:rsidRDefault="009B6C69">
            <w:pPr>
              <w:spacing w:after="100"/>
              <w:divId w:val="326253071"/>
              <w:rPr>
                <w:rFonts w:eastAsia="Times New Roman"/>
              </w:rPr>
            </w:pPr>
            <w:r>
              <w:rPr>
                <w:rFonts w:eastAsia="Times New Roman"/>
                <w:color w:val="000000"/>
                <w:sz w:val="18"/>
                <w:szCs w:val="18"/>
              </w:rPr>
              <w:t>Repurchased</w:t>
            </w:r>
          </w:p>
        </w:tc>
        <w:tc>
          <w:tcPr>
            <w:tcW w:w="0" w:type="auto"/>
            <w:gridSpan w:val="2"/>
            <w:shd w:val="clear" w:color="auto" w:fill="CCEEFF"/>
            <w:tcMar>
              <w:top w:w="30" w:type="dxa"/>
              <w:left w:w="20" w:type="dxa"/>
              <w:bottom w:w="30" w:type="dxa"/>
              <w:right w:w="0" w:type="dxa"/>
            </w:tcMar>
            <w:vAlign w:val="bottom"/>
            <w:hideMark/>
          </w:tcPr>
          <w:p w14:paraId="2D24D215" w14:textId="77777777" w:rsidR="00000000" w:rsidRDefault="009B6C69">
            <w:pPr>
              <w:spacing w:after="100"/>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bottom"/>
            <w:hideMark/>
          </w:tcPr>
          <w:p w14:paraId="789C3B4E" w14:textId="77777777" w:rsidR="00000000" w:rsidRDefault="009B6C69">
            <w:pPr>
              <w:spacing w:after="100"/>
              <w:jc w:val="right"/>
              <w:rPr>
                <w:rFonts w:eastAsia="Times New Roman"/>
              </w:rPr>
            </w:pPr>
          </w:p>
        </w:tc>
      </w:tr>
      <w:tr w:rsidR="00000000" w14:paraId="2E02FAD2" w14:textId="77777777">
        <w:trPr>
          <w:divId w:val="348142818"/>
        </w:trPr>
        <w:tc>
          <w:tcPr>
            <w:tcW w:w="0" w:type="auto"/>
            <w:gridSpan w:val="3"/>
            <w:shd w:val="clear" w:color="auto" w:fill="FFFFFF"/>
            <w:tcMar>
              <w:top w:w="30" w:type="dxa"/>
              <w:left w:w="20" w:type="dxa"/>
              <w:bottom w:w="30" w:type="dxa"/>
              <w:right w:w="20" w:type="dxa"/>
            </w:tcMar>
            <w:vAlign w:val="bottom"/>
            <w:hideMark/>
          </w:tcPr>
          <w:p w14:paraId="2953A6D5" w14:textId="77777777" w:rsidR="00000000" w:rsidRDefault="009B6C69">
            <w:pPr>
              <w:spacing w:after="100"/>
              <w:divId w:val="1817799166"/>
              <w:rPr>
                <w:rFonts w:eastAsia="Times New Roman"/>
              </w:rPr>
            </w:pPr>
            <w:r>
              <w:rPr>
                <w:rFonts w:eastAsia="Times New Roman"/>
                <w:color w:val="000000"/>
                <w:sz w:val="18"/>
                <w:szCs w:val="18"/>
              </w:rPr>
              <w:t>Balance at end of period</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0934147F" w14:textId="77777777" w:rsidR="00000000" w:rsidRDefault="009B6C69">
            <w:pPr>
              <w:spacing w:after="100"/>
              <w:jc w:val="right"/>
              <w:rPr>
                <w:rFonts w:eastAsia="Times New Roman"/>
              </w:rPr>
            </w:pPr>
            <w:r>
              <w:rPr>
                <w:rFonts w:eastAsia="Times New Roman"/>
                <w:color w:val="000000"/>
                <w:sz w:val="18"/>
                <w:szCs w:val="18"/>
              </w:rPr>
              <w:t>1,121</w:t>
            </w:r>
          </w:p>
        </w:tc>
      </w:tr>
    </w:tbl>
    <w:p w14:paraId="435D03FC" w14:textId="77777777" w:rsidR="00000000" w:rsidRDefault="009B6C69">
      <w:pPr>
        <w:ind w:firstLine="360"/>
        <w:divId w:val="1229027137"/>
        <w:rPr>
          <w:rFonts w:eastAsia="Times New Roman"/>
        </w:rPr>
      </w:pPr>
      <w:r>
        <w:rPr>
          <w:rFonts w:eastAsia="Times New Roman"/>
          <w:b/>
          <w:bCs/>
          <w:i/>
          <w:iCs/>
          <w:color w:val="000000"/>
          <w:sz w:val="20"/>
          <w:szCs w:val="20"/>
        </w:rPr>
        <w:t xml:space="preserve">Dividends. </w:t>
      </w:r>
      <w:r>
        <w:rPr>
          <w:rFonts w:eastAsia="Times New Roman"/>
          <w:color w:val="000000"/>
          <w:sz w:val="20"/>
          <w:szCs w:val="20"/>
        </w:rPr>
        <w:t>On October 14, 2022, we announced a cash dividend of $0.75 per share on our common stock, payable on December 15, 2022 </w:t>
      </w:r>
      <w:r>
        <w:rPr>
          <w:rFonts w:eastAsia="Times New Roman"/>
          <w:color w:val="000000"/>
          <w:sz w:val="20"/>
          <w:szCs w:val="20"/>
        </w:rPr>
        <w:t>to stockholders of record as of the close of business on December 1, 2022.</w:t>
      </w:r>
    </w:p>
    <w:p w14:paraId="626EAF24" w14:textId="77777777" w:rsidR="00000000" w:rsidRDefault="009B6C69">
      <w:pPr>
        <w:divId w:val="839199564"/>
        <w:rPr>
          <w:rFonts w:eastAsia="Times New Roman"/>
        </w:rPr>
      </w:pPr>
      <w:r>
        <w:rPr>
          <w:rFonts w:eastAsia="Times New Roman"/>
          <w:b/>
          <w:bCs/>
          <w:color w:val="000000"/>
          <w:sz w:val="20"/>
          <w:szCs w:val="20"/>
        </w:rPr>
        <w:t>Note 5. Employee Benefit Plans</w:t>
      </w:r>
    </w:p>
    <w:p w14:paraId="4B41D4B0" w14:textId="77777777" w:rsidR="00000000" w:rsidRDefault="009B6C69">
      <w:pPr>
        <w:ind w:firstLine="360"/>
        <w:divId w:val="207571101"/>
        <w:rPr>
          <w:rFonts w:eastAsia="Times New Roman"/>
        </w:rPr>
      </w:pPr>
      <w:r>
        <w:rPr>
          <w:rFonts w:eastAsia="Times New Roman"/>
          <w:b/>
          <w:bCs/>
          <w:i/>
          <w:iCs/>
          <w:color w:val="000000"/>
          <w:sz w:val="20"/>
          <w:szCs w:val="20"/>
        </w:rPr>
        <w:t>Equity Compensation Plans.</w:t>
      </w:r>
      <w:r>
        <w:rPr>
          <w:rFonts w:eastAsia="Times New Roman"/>
          <w:color w:val="000000"/>
          <w:sz w:val="20"/>
          <w:szCs w:val="20"/>
        </w:rPr>
        <w:t xml:space="preserve"> On March 10, 2020, our stockholders approved the amended and restated Qualcomm Incorporated 2016 Long-Term Incentive Plan (</w:t>
      </w:r>
      <w:r>
        <w:rPr>
          <w:rFonts w:eastAsia="Times New Roman"/>
          <w:color w:val="000000"/>
          <w:sz w:val="20"/>
          <w:szCs w:val="20"/>
        </w:rPr>
        <w:t>the 2016 Plan), including an increase in the share reserve by 75 million shares. The 2016 Plan provides for the grant of RSUs and other stock-based awards. The RSUs generally include dividend-equivalent rights and vest over three years from the date of gra</w:t>
      </w:r>
      <w:r>
        <w:rPr>
          <w:rFonts w:eastAsia="Times New Roman"/>
          <w:color w:val="000000"/>
          <w:sz w:val="20"/>
          <w:szCs w:val="20"/>
        </w:rPr>
        <w:t xml:space="preserve">nt. The Board of Directors may amend or terminate the 2016 </w:t>
      </w:r>
    </w:p>
    <w:p w14:paraId="37895142" w14:textId="77777777" w:rsidR="00000000" w:rsidRDefault="009B6C69">
      <w:pPr>
        <w:jc w:val="center"/>
        <w:divId w:val="1272517731"/>
        <w:rPr>
          <w:rFonts w:eastAsia="Times New Roman"/>
        </w:rPr>
      </w:pPr>
      <w:r>
        <w:rPr>
          <w:rFonts w:eastAsia="Times New Roman"/>
          <w:color w:val="000000"/>
          <w:sz w:val="20"/>
          <w:szCs w:val="20"/>
        </w:rPr>
        <w:t>F-21</w:t>
      </w:r>
    </w:p>
    <w:p w14:paraId="29FF2B57" w14:textId="77777777" w:rsidR="00000000" w:rsidRDefault="009B6C69">
      <w:pPr>
        <w:rPr>
          <w:rFonts w:eastAsia="Times New Roman"/>
        </w:rPr>
      </w:pPr>
      <w:r>
        <w:rPr>
          <w:rFonts w:eastAsia="Times New Roman"/>
        </w:rPr>
        <w:pict w14:anchorId="263243BB">
          <v:rect id="_x0000_i1101" style="width:0;height:1.5pt" o:hralign="center" o:hrstd="t" o:hr="t" fillcolor="#a0a0a0" stroked="f"/>
        </w:pict>
      </w:r>
    </w:p>
    <w:p w14:paraId="3D2E84B1" w14:textId="77777777" w:rsidR="00000000" w:rsidRDefault="009B6C69">
      <w:pPr>
        <w:jc w:val="center"/>
        <w:divId w:val="48892343"/>
        <w:rPr>
          <w:rFonts w:eastAsia="Times New Roman"/>
        </w:rPr>
      </w:pPr>
    </w:p>
    <w:p w14:paraId="3CA55D35" w14:textId="77777777" w:rsidR="00000000" w:rsidRDefault="009B6C69">
      <w:pPr>
        <w:jc w:val="center"/>
        <w:divId w:val="48892343"/>
        <w:rPr>
          <w:rFonts w:eastAsia="Times New Roman"/>
        </w:rPr>
      </w:pPr>
      <w:r>
        <w:rPr>
          <w:rFonts w:eastAsia="Times New Roman"/>
          <w:b/>
          <w:bCs/>
          <w:color w:val="000000"/>
          <w:sz w:val="20"/>
          <w:szCs w:val="20"/>
        </w:rPr>
        <w:t>QUALCOMM Incorporated</w:t>
      </w:r>
    </w:p>
    <w:p w14:paraId="2EF58B1A" w14:textId="77777777" w:rsidR="00000000" w:rsidRDefault="009B6C69">
      <w:pPr>
        <w:jc w:val="center"/>
        <w:divId w:val="48892343"/>
        <w:rPr>
          <w:rFonts w:eastAsia="Times New Roman"/>
        </w:rPr>
      </w:pPr>
      <w:r>
        <w:rPr>
          <w:rFonts w:eastAsia="Times New Roman"/>
          <w:b/>
          <w:bCs/>
          <w:color w:val="000000"/>
          <w:sz w:val="20"/>
          <w:szCs w:val="20"/>
        </w:rPr>
        <w:t>NOTES TO CONSOLIDATED FINANCIAL STATEMENTS</w:t>
      </w:r>
    </w:p>
    <w:p w14:paraId="1CE63DEA" w14:textId="77777777" w:rsidR="00000000" w:rsidRDefault="009B6C69">
      <w:pPr>
        <w:divId w:val="1139029126"/>
        <w:rPr>
          <w:rFonts w:eastAsia="Times New Roman"/>
        </w:rPr>
      </w:pPr>
      <w:r>
        <w:rPr>
          <w:rFonts w:eastAsia="Times New Roman"/>
          <w:color w:val="000000"/>
          <w:sz w:val="20"/>
          <w:szCs w:val="20"/>
        </w:rPr>
        <w:t>Plan at any time. Certain amendments, including an increase in the share reserve, requi</w:t>
      </w:r>
      <w:r>
        <w:rPr>
          <w:rFonts w:eastAsia="Times New Roman"/>
          <w:color w:val="000000"/>
          <w:sz w:val="20"/>
          <w:szCs w:val="20"/>
        </w:rPr>
        <w:t>re stockholder approval. At September 25, 2022, approximately 43 million shares were available for future grant under the 2016 Plan.</w:t>
      </w:r>
    </w:p>
    <w:p w14:paraId="47E1E8D6" w14:textId="77777777" w:rsidR="00000000" w:rsidRDefault="009B6C69">
      <w:pPr>
        <w:ind w:firstLine="360"/>
        <w:divId w:val="115830984"/>
        <w:rPr>
          <w:rFonts w:eastAsia="Times New Roman"/>
        </w:rPr>
      </w:pPr>
      <w:r>
        <w:rPr>
          <w:rFonts w:eastAsia="Times New Roman"/>
          <w:color w:val="000000"/>
          <w:sz w:val="20"/>
          <w:szCs w:val="20"/>
        </w:rPr>
        <w:t>The following is a summary of employee RSU transactions under our 2016 Plan that contain only service requirements to vest:</w:t>
      </w:r>
    </w:p>
    <w:tbl>
      <w:tblPr>
        <w:tblW w:w="4992" w:type="pct"/>
        <w:tblCellMar>
          <w:top w:w="15" w:type="dxa"/>
          <w:left w:w="15" w:type="dxa"/>
          <w:bottom w:w="15" w:type="dxa"/>
          <w:right w:w="15" w:type="dxa"/>
        </w:tblCellMar>
        <w:tblLook w:val="04A0" w:firstRow="1" w:lastRow="0" w:firstColumn="1" w:lastColumn="0" w:noHBand="0" w:noVBand="1"/>
      </w:tblPr>
      <w:tblGrid>
        <w:gridCol w:w="54"/>
        <w:gridCol w:w="6058"/>
        <w:gridCol w:w="37"/>
        <w:gridCol w:w="59"/>
        <w:gridCol w:w="868"/>
        <w:gridCol w:w="36"/>
        <w:gridCol w:w="36"/>
        <w:gridCol w:w="36"/>
        <w:gridCol w:w="36"/>
        <w:gridCol w:w="111"/>
        <w:gridCol w:w="854"/>
        <w:gridCol w:w="36"/>
        <w:gridCol w:w="36"/>
        <w:gridCol w:w="36"/>
      </w:tblGrid>
      <w:tr w:rsidR="00000000" w14:paraId="1234D369" w14:textId="77777777">
        <w:trPr>
          <w:divId w:val="1847288598"/>
        </w:trPr>
        <w:tc>
          <w:tcPr>
            <w:tcW w:w="50" w:type="pct"/>
            <w:vAlign w:val="center"/>
            <w:hideMark/>
          </w:tcPr>
          <w:p w14:paraId="40AE47BD" w14:textId="77777777" w:rsidR="00000000" w:rsidRDefault="009B6C69">
            <w:pPr>
              <w:ind w:firstLine="360"/>
              <w:rPr>
                <w:rFonts w:eastAsia="Times New Roman"/>
              </w:rPr>
            </w:pPr>
          </w:p>
        </w:tc>
        <w:tc>
          <w:tcPr>
            <w:tcW w:w="3700" w:type="pct"/>
            <w:vAlign w:val="center"/>
            <w:hideMark/>
          </w:tcPr>
          <w:p w14:paraId="7902EA02" w14:textId="77777777" w:rsidR="00000000" w:rsidRDefault="009B6C69">
            <w:pPr>
              <w:spacing w:after="100"/>
              <w:rPr>
                <w:rFonts w:eastAsia="Times New Roman"/>
                <w:sz w:val="20"/>
                <w:szCs w:val="20"/>
              </w:rPr>
            </w:pPr>
          </w:p>
        </w:tc>
        <w:tc>
          <w:tcPr>
            <w:tcW w:w="5" w:type="pct"/>
            <w:vAlign w:val="center"/>
            <w:hideMark/>
          </w:tcPr>
          <w:p w14:paraId="7FD85272" w14:textId="77777777" w:rsidR="00000000" w:rsidRDefault="009B6C69">
            <w:pPr>
              <w:spacing w:after="100"/>
              <w:rPr>
                <w:rFonts w:eastAsia="Times New Roman"/>
                <w:sz w:val="20"/>
                <w:szCs w:val="20"/>
              </w:rPr>
            </w:pPr>
          </w:p>
        </w:tc>
        <w:tc>
          <w:tcPr>
            <w:tcW w:w="50" w:type="pct"/>
            <w:vAlign w:val="center"/>
            <w:hideMark/>
          </w:tcPr>
          <w:p w14:paraId="28DFEC35" w14:textId="77777777" w:rsidR="00000000" w:rsidRDefault="009B6C69">
            <w:pPr>
              <w:spacing w:after="100"/>
              <w:rPr>
                <w:rFonts w:eastAsia="Times New Roman"/>
                <w:sz w:val="20"/>
                <w:szCs w:val="20"/>
              </w:rPr>
            </w:pPr>
          </w:p>
        </w:tc>
        <w:tc>
          <w:tcPr>
            <w:tcW w:w="548" w:type="pct"/>
            <w:vAlign w:val="center"/>
            <w:hideMark/>
          </w:tcPr>
          <w:p w14:paraId="31756C6B" w14:textId="77777777" w:rsidR="00000000" w:rsidRDefault="009B6C69">
            <w:pPr>
              <w:spacing w:after="100"/>
              <w:rPr>
                <w:rFonts w:eastAsia="Times New Roman"/>
                <w:sz w:val="20"/>
                <w:szCs w:val="20"/>
              </w:rPr>
            </w:pPr>
          </w:p>
        </w:tc>
        <w:tc>
          <w:tcPr>
            <w:tcW w:w="5" w:type="pct"/>
            <w:vAlign w:val="center"/>
            <w:hideMark/>
          </w:tcPr>
          <w:p w14:paraId="00CD236F" w14:textId="77777777" w:rsidR="00000000" w:rsidRDefault="009B6C69">
            <w:pPr>
              <w:spacing w:after="100"/>
              <w:rPr>
                <w:rFonts w:eastAsia="Times New Roman"/>
                <w:sz w:val="20"/>
                <w:szCs w:val="20"/>
              </w:rPr>
            </w:pPr>
          </w:p>
        </w:tc>
        <w:tc>
          <w:tcPr>
            <w:tcW w:w="5" w:type="pct"/>
            <w:vAlign w:val="center"/>
            <w:hideMark/>
          </w:tcPr>
          <w:p w14:paraId="58D515A4" w14:textId="77777777" w:rsidR="00000000" w:rsidRDefault="009B6C69">
            <w:pPr>
              <w:spacing w:after="100"/>
              <w:rPr>
                <w:rFonts w:eastAsia="Times New Roman"/>
                <w:sz w:val="20"/>
                <w:szCs w:val="20"/>
              </w:rPr>
            </w:pPr>
          </w:p>
        </w:tc>
        <w:tc>
          <w:tcPr>
            <w:tcW w:w="27" w:type="pct"/>
            <w:vAlign w:val="center"/>
            <w:hideMark/>
          </w:tcPr>
          <w:p w14:paraId="01AC16E4" w14:textId="77777777" w:rsidR="00000000" w:rsidRDefault="009B6C69">
            <w:pPr>
              <w:spacing w:after="100"/>
              <w:rPr>
                <w:rFonts w:eastAsia="Times New Roman"/>
                <w:sz w:val="20"/>
                <w:szCs w:val="20"/>
              </w:rPr>
            </w:pPr>
          </w:p>
        </w:tc>
        <w:tc>
          <w:tcPr>
            <w:tcW w:w="5" w:type="pct"/>
            <w:vAlign w:val="center"/>
            <w:hideMark/>
          </w:tcPr>
          <w:p w14:paraId="41F6CD65" w14:textId="77777777" w:rsidR="00000000" w:rsidRDefault="009B6C69">
            <w:pPr>
              <w:spacing w:after="100"/>
              <w:rPr>
                <w:rFonts w:eastAsia="Times New Roman"/>
                <w:sz w:val="20"/>
                <w:szCs w:val="20"/>
              </w:rPr>
            </w:pPr>
          </w:p>
        </w:tc>
        <w:tc>
          <w:tcPr>
            <w:tcW w:w="50" w:type="pct"/>
            <w:vAlign w:val="center"/>
            <w:hideMark/>
          </w:tcPr>
          <w:p w14:paraId="343267BF" w14:textId="77777777" w:rsidR="00000000" w:rsidRDefault="009B6C69">
            <w:pPr>
              <w:spacing w:after="100"/>
              <w:rPr>
                <w:rFonts w:eastAsia="Times New Roman"/>
                <w:sz w:val="20"/>
                <w:szCs w:val="20"/>
              </w:rPr>
            </w:pPr>
          </w:p>
        </w:tc>
        <w:tc>
          <w:tcPr>
            <w:tcW w:w="548" w:type="pct"/>
            <w:vAlign w:val="center"/>
            <w:hideMark/>
          </w:tcPr>
          <w:p w14:paraId="0CC2E2E1" w14:textId="77777777" w:rsidR="00000000" w:rsidRDefault="009B6C69">
            <w:pPr>
              <w:spacing w:after="100"/>
              <w:rPr>
                <w:rFonts w:eastAsia="Times New Roman"/>
                <w:sz w:val="20"/>
                <w:szCs w:val="20"/>
              </w:rPr>
            </w:pPr>
          </w:p>
        </w:tc>
        <w:tc>
          <w:tcPr>
            <w:tcW w:w="5" w:type="pct"/>
            <w:vAlign w:val="center"/>
            <w:hideMark/>
          </w:tcPr>
          <w:p w14:paraId="2B869912" w14:textId="77777777" w:rsidR="00000000" w:rsidRDefault="009B6C69">
            <w:pPr>
              <w:spacing w:after="100"/>
              <w:rPr>
                <w:rFonts w:eastAsia="Times New Roman"/>
                <w:sz w:val="20"/>
                <w:szCs w:val="20"/>
              </w:rPr>
            </w:pPr>
          </w:p>
        </w:tc>
        <w:tc>
          <w:tcPr>
            <w:tcW w:w="0" w:type="auto"/>
            <w:vAlign w:val="center"/>
            <w:hideMark/>
          </w:tcPr>
          <w:p w14:paraId="65AB1E61" w14:textId="77777777" w:rsidR="00000000" w:rsidRDefault="009B6C69">
            <w:pPr>
              <w:spacing w:after="100"/>
              <w:rPr>
                <w:rFonts w:eastAsia="Times New Roman"/>
                <w:sz w:val="20"/>
                <w:szCs w:val="20"/>
              </w:rPr>
            </w:pPr>
          </w:p>
        </w:tc>
        <w:tc>
          <w:tcPr>
            <w:tcW w:w="0" w:type="auto"/>
            <w:vAlign w:val="center"/>
            <w:hideMark/>
          </w:tcPr>
          <w:p w14:paraId="70B95D15" w14:textId="77777777" w:rsidR="00000000" w:rsidRDefault="009B6C69">
            <w:pPr>
              <w:spacing w:after="100"/>
              <w:rPr>
                <w:rFonts w:eastAsia="Times New Roman"/>
                <w:sz w:val="20"/>
                <w:szCs w:val="20"/>
              </w:rPr>
            </w:pPr>
          </w:p>
        </w:tc>
      </w:tr>
      <w:tr w:rsidR="00000000" w14:paraId="6027062D" w14:textId="77777777">
        <w:trPr>
          <w:divId w:val="1847288598"/>
        </w:trPr>
        <w:tc>
          <w:tcPr>
            <w:tcW w:w="0" w:type="auto"/>
            <w:gridSpan w:val="3"/>
            <w:tcMar>
              <w:top w:w="0" w:type="dxa"/>
              <w:left w:w="20" w:type="dxa"/>
              <w:bottom w:w="0" w:type="dxa"/>
              <w:right w:w="20" w:type="dxa"/>
            </w:tcMar>
            <w:vAlign w:val="center"/>
            <w:hideMark/>
          </w:tcPr>
          <w:p w14:paraId="0F9F2276"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6F9CEFF" w14:textId="77777777" w:rsidR="00000000" w:rsidRDefault="009B6C69">
            <w:pPr>
              <w:spacing w:after="100"/>
              <w:jc w:val="center"/>
              <w:rPr>
                <w:rFonts w:eastAsia="Times New Roman"/>
              </w:rPr>
            </w:pPr>
            <w:r>
              <w:rPr>
                <w:rFonts w:eastAsia="Times New Roman"/>
                <w:b/>
                <w:bCs/>
                <w:color w:val="000000"/>
                <w:sz w:val="18"/>
                <w:szCs w:val="18"/>
              </w:rPr>
              <w:t>Number of Shares</w:t>
            </w:r>
            <w:r>
              <w:rPr>
                <w:rFonts w:eastAsia="Times New Roman"/>
                <w:b/>
                <w:bCs/>
                <w:color w:val="000000"/>
                <w:sz w:val="18"/>
                <w:szCs w:val="18"/>
              </w:rPr>
              <w:br/>
              <w:t>(in millions)</w:t>
            </w:r>
          </w:p>
        </w:tc>
        <w:tc>
          <w:tcPr>
            <w:tcW w:w="0" w:type="auto"/>
            <w:gridSpan w:val="3"/>
            <w:tcMar>
              <w:top w:w="0" w:type="dxa"/>
              <w:left w:w="20" w:type="dxa"/>
              <w:bottom w:w="0" w:type="dxa"/>
              <w:right w:w="20" w:type="dxa"/>
            </w:tcMar>
            <w:vAlign w:val="center"/>
            <w:hideMark/>
          </w:tcPr>
          <w:p w14:paraId="18870D71"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01B64BF" w14:textId="77777777" w:rsidR="00000000" w:rsidRDefault="009B6C69">
            <w:pPr>
              <w:spacing w:after="100"/>
              <w:jc w:val="center"/>
              <w:rPr>
                <w:rFonts w:eastAsia="Times New Roman"/>
              </w:rPr>
            </w:pPr>
            <w:r>
              <w:rPr>
                <w:rFonts w:eastAsia="Times New Roman"/>
                <w:b/>
                <w:bCs/>
                <w:color w:val="000000"/>
                <w:sz w:val="18"/>
                <w:szCs w:val="18"/>
              </w:rPr>
              <w:t>Weighted-Average</w:t>
            </w:r>
            <w:r>
              <w:rPr>
                <w:rFonts w:eastAsia="Times New Roman"/>
                <w:b/>
                <w:bCs/>
                <w:color w:val="000000"/>
                <w:sz w:val="18"/>
                <w:szCs w:val="18"/>
              </w:rPr>
              <w:br/>
              <w:t>Grant Date Fair Value</w:t>
            </w:r>
          </w:p>
        </w:tc>
        <w:tc>
          <w:tcPr>
            <w:tcW w:w="0" w:type="auto"/>
            <w:vAlign w:val="center"/>
            <w:hideMark/>
          </w:tcPr>
          <w:p w14:paraId="05F4ABD0" w14:textId="77777777" w:rsidR="00000000" w:rsidRDefault="009B6C69">
            <w:pPr>
              <w:spacing w:after="100"/>
              <w:jc w:val="center"/>
              <w:rPr>
                <w:rFonts w:eastAsia="Times New Roman"/>
              </w:rPr>
            </w:pPr>
          </w:p>
        </w:tc>
        <w:tc>
          <w:tcPr>
            <w:tcW w:w="0" w:type="auto"/>
            <w:vAlign w:val="center"/>
            <w:hideMark/>
          </w:tcPr>
          <w:p w14:paraId="166FF56D" w14:textId="77777777" w:rsidR="00000000" w:rsidRDefault="009B6C69">
            <w:pPr>
              <w:spacing w:after="100"/>
              <w:rPr>
                <w:rFonts w:eastAsia="Times New Roman"/>
                <w:sz w:val="20"/>
                <w:szCs w:val="20"/>
              </w:rPr>
            </w:pPr>
          </w:p>
        </w:tc>
      </w:tr>
      <w:tr w:rsidR="00000000" w14:paraId="1E90BDF7" w14:textId="77777777">
        <w:trPr>
          <w:divId w:val="1847288598"/>
        </w:trPr>
        <w:tc>
          <w:tcPr>
            <w:tcW w:w="0" w:type="auto"/>
            <w:gridSpan w:val="3"/>
            <w:vAlign w:val="center"/>
            <w:hideMark/>
          </w:tcPr>
          <w:p w14:paraId="5424D34C" w14:textId="77777777" w:rsidR="00000000" w:rsidRDefault="009B6C69">
            <w:pPr>
              <w:spacing w:after="100"/>
              <w:rPr>
                <w:rFonts w:eastAsia="Times New Roman"/>
                <w:sz w:val="20"/>
                <w:szCs w:val="20"/>
              </w:rPr>
            </w:pPr>
          </w:p>
        </w:tc>
        <w:tc>
          <w:tcPr>
            <w:tcW w:w="0" w:type="auto"/>
            <w:gridSpan w:val="3"/>
            <w:vAlign w:val="center"/>
            <w:hideMark/>
          </w:tcPr>
          <w:p w14:paraId="23CAFA7B" w14:textId="77777777" w:rsidR="00000000" w:rsidRDefault="009B6C69">
            <w:pPr>
              <w:spacing w:after="100"/>
              <w:rPr>
                <w:rFonts w:eastAsia="Times New Roman"/>
                <w:sz w:val="20"/>
                <w:szCs w:val="20"/>
              </w:rPr>
            </w:pPr>
          </w:p>
        </w:tc>
        <w:tc>
          <w:tcPr>
            <w:tcW w:w="0" w:type="auto"/>
            <w:gridSpan w:val="3"/>
            <w:vAlign w:val="center"/>
            <w:hideMark/>
          </w:tcPr>
          <w:p w14:paraId="3CF7FB6E" w14:textId="77777777" w:rsidR="00000000" w:rsidRDefault="009B6C69">
            <w:pPr>
              <w:spacing w:after="100"/>
              <w:rPr>
                <w:rFonts w:eastAsia="Times New Roman"/>
                <w:sz w:val="20"/>
                <w:szCs w:val="20"/>
              </w:rPr>
            </w:pPr>
          </w:p>
        </w:tc>
        <w:tc>
          <w:tcPr>
            <w:tcW w:w="0" w:type="auto"/>
            <w:gridSpan w:val="3"/>
            <w:vAlign w:val="center"/>
            <w:hideMark/>
          </w:tcPr>
          <w:p w14:paraId="10756E06" w14:textId="77777777" w:rsidR="00000000" w:rsidRDefault="009B6C69">
            <w:pPr>
              <w:spacing w:after="100"/>
              <w:rPr>
                <w:rFonts w:eastAsia="Times New Roman"/>
                <w:sz w:val="20"/>
                <w:szCs w:val="20"/>
              </w:rPr>
            </w:pPr>
          </w:p>
        </w:tc>
        <w:tc>
          <w:tcPr>
            <w:tcW w:w="0" w:type="auto"/>
            <w:vAlign w:val="center"/>
            <w:hideMark/>
          </w:tcPr>
          <w:p w14:paraId="040AA577" w14:textId="77777777" w:rsidR="00000000" w:rsidRDefault="009B6C69">
            <w:pPr>
              <w:spacing w:after="100"/>
              <w:rPr>
                <w:rFonts w:eastAsia="Times New Roman"/>
                <w:sz w:val="20"/>
                <w:szCs w:val="20"/>
              </w:rPr>
            </w:pPr>
          </w:p>
        </w:tc>
        <w:tc>
          <w:tcPr>
            <w:tcW w:w="0" w:type="auto"/>
            <w:vAlign w:val="center"/>
            <w:hideMark/>
          </w:tcPr>
          <w:p w14:paraId="277A6C12" w14:textId="77777777" w:rsidR="00000000" w:rsidRDefault="009B6C69">
            <w:pPr>
              <w:spacing w:after="100"/>
              <w:rPr>
                <w:rFonts w:eastAsia="Times New Roman"/>
                <w:sz w:val="20"/>
                <w:szCs w:val="20"/>
              </w:rPr>
            </w:pPr>
          </w:p>
        </w:tc>
      </w:tr>
      <w:tr w:rsidR="00000000" w14:paraId="6288E5C9" w14:textId="77777777">
        <w:trPr>
          <w:divId w:val="1847288598"/>
        </w:trPr>
        <w:tc>
          <w:tcPr>
            <w:tcW w:w="0" w:type="auto"/>
            <w:gridSpan w:val="3"/>
            <w:shd w:val="clear" w:color="auto" w:fill="CCEEFF"/>
            <w:tcMar>
              <w:top w:w="30" w:type="dxa"/>
              <w:left w:w="20" w:type="dxa"/>
              <w:bottom w:w="30" w:type="dxa"/>
              <w:right w:w="20" w:type="dxa"/>
            </w:tcMar>
            <w:vAlign w:val="bottom"/>
            <w:hideMark/>
          </w:tcPr>
          <w:p w14:paraId="31D474E3" w14:textId="77777777" w:rsidR="00000000" w:rsidRDefault="009B6C69">
            <w:pPr>
              <w:spacing w:after="100"/>
              <w:rPr>
                <w:rFonts w:eastAsia="Times New Roman"/>
              </w:rPr>
            </w:pPr>
            <w:r>
              <w:rPr>
                <w:rFonts w:eastAsia="Times New Roman"/>
                <w:color w:val="000000"/>
                <w:sz w:val="18"/>
                <w:szCs w:val="18"/>
              </w:rPr>
              <w:t>RSUs outstanding at September 26,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94FF3B" w14:textId="77777777" w:rsidR="00000000" w:rsidRDefault="009B6C69">
            <w:pPr>
              <w:spacing w:after="100"/>
              <w:jc w:val="right"/>
              <w:rPr>
                <w:rFonts w:eastAsia="Times New Roman"/>
              </w:rPr>
            </w:pPr>
            <w:r>
              <w:rPr>
                <w:rFonts w:eastAsia="Times New Roman"/>
                <w:color w:val="000000"/>
                <w:sz w:val="18"/>
                <w:szCs w:val="18"/>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10614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71FC9A"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F45ECE"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E6143F" w14:textId="77777777" w:rsidR="00000000" w:rsidRDefault="009B6C69">
            <w:pPr>
              <w:spacing w:after="100"/>
              <w:jc w:val="right"/>
              <w:rPr>
                <w:rFonts w:eastAsia="Times New Roman"/>
              </w:rPr>
            </w:pPr>
            <w:r>
              <w:rPr>
                <w:rFonts w:eastAsia="Times New Roman"/>
                <w:color w:val="000000"/>
                <w:sz w:val="18"/>
                <w:szCs w:val="18"/>
              </w:rPr>
              <w:t>102.83 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A3A835" w14:textId="77777777" w:rsidR="00000000" w:rsidRDefault="009B6C69">
            <w:pPr>
              <w:spacing w:after="100"/>
              <w:jc w:val="right"/>
              <w:rPr>
                <w:rFonts w:eastAsia="Times New Roman"/>
              </w:rPr>
            </w:pPr>
          </w:p>
        </w:tc>
        <w:tc>
          <w:tcPr>
            <w:tcW w:w="0" w:type="auto"/>
            <w:vAlign w:val="center"/>
            <w:hideMark/>
          </w:tcPr>
          <w:p w14:paraId="7E789B45" w14:textId="77777777" w:rsidR="00000000" w:rsidRDefault="009B6C69">
            <w:pPr>
              <w:spacing w:after="100"/>
              <w:jc w:val="right"/>
              <w:rPr>
                <w:rFonts w:eastAsia="Times New Roman"/>
                <w:sz w:val="20"/>
                <w:szCs w:val="20"/>
              </w:rPr>
            </w:pPr>
          </w:p>
        </w:tc>
        <w:tc>
          <w:tcPr>
            <w:tcW w:w="0" w:type="auto"/>
            <w:vAlign w:val="center"/>
            <w:hideMark/>
          </w:tcPr>
          <w:p w14:paraId="73E991BD" w14:textId="77777777" w:rsidR="00000000" w:rsidRDefault="009B6C69">
            <w:pPr>
              <w:spacing w:after="100"/>
              <w:rPr>
                <w:rFonts w:eastAsia="Times New Roman"/>
                <w:sz w:val="20"/>
                <w:szCs w:val="20"/>
              </w:rPr>
            </w:pPr>
          </w:p>
        </w:tc>
      </w:tr>
      <w:tr w:rsidR="00000000" w14:paraId="15C06BF2" w14:textId="77777777">
        <w:trPr>
          <w:divId w:val="1847288598"/>
        </w:trPr>
        <w:tc>
          <w:tcPr>
            <w:tcW w:w="0" w:type="auto"/>
            <w:gridSpan w:val="3"/>
            <w:shd w:val="clear" w:color="auto" w:fill="FFFFFF"/>
            <w:tcMar>
              <w:top w:w="30" w:type="dxa"/>
              <w:left w:w="155" w:type="dxa"/>
              <w:bottom w:w="30" w:type="dxa"/>
              <w:right w:w="20" w:type="dxa"/>
            </w:tcMar>
            <w:vAlign w:val="bottom"/>
            <w:hideMark/>
          </w:tcPr>
          <w:p w14:paraId="38E4400A" w14:textId="77777777" w:rsidR="00000000" w:rsidRDefault="009B6C69">
            <w:pPr>
              <w:spacing w:after="100"/>
              <w:rPr>
                <w:rFonts w:eastAsia="Times New Roman"/>
              </w:rPr>
            </w:pPr>
            <w:r>
              <w:rPr>
                <w:rFonts w:eastAsia="Times New Roman"/>
                <w:color w:val="000000"/>
                <w:sz w:val="18"/>
                <w:szCs w:val="18"/>
              </w:rPr>
              <w:t>RSUs granted</w:t>
            </w:r>
          </w:p>
        </w:tc>
        <w:tc>
          <w:tcPr>
            <w:tcW w:w="0" w:type="auto"/>
            <w:gridSpan w:val="2"/>
            <w:shd w:val="clear" w:color="auto" w:fill="FFFFFF"/>
            <w:tcMar>
              <w:top w:w="30" w:type="dxa"/>
              <w:left w:w="20" w:type="dxa"/>
              <w:bottom w:w="30" w:type="dxa"/>
              <w:right w:w="0" w:type="dxa"/>
            </w:tcMar>
            <w:vAlign w:val="bottom"/>
            <w:hideMark/>
          </w:tcPr>
          <w:p w14:paraId="27798851" w14:textId="77777777" w:rsidR="00000000" w:rsidRDefault="009B6C69">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bottom"/>
            <w:hideMark/>
          </w:tcPr>
          <w:p w14:paraId="7C6F463E"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E6A8EA"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EB0487" w14:textId="77777777" w:rsidR="00000000" w:rsidRDefault="009B6C69">
            <w:pPr>
              <w:spacing w:after="100"/>
              <w:jc w:val="right"/>
              <w:rPr>
                <w:rFonts w:eastAsia="Times New Roman"/>
              </w:rPr>
            </w:pPr>
            <w:r>
              <w:rPr>
                <w:rFonts w:eastAsia="Times New Roman"/>
                <w:color w:val="000000"/>
                <w:sz w:val="18"/>
                <w:szCs w:val="18"/>
              </w:rPr>
              <w:t>136.09 </w:t>
            </w:r>
          </w:p>
        </w:tc>
        <w:tc>
          <w:tcPr>
            <w:tcW w:w="0" w:type="auto"/>
            <w:shd w:val="clear" w:color="auto" w:fill="FFFFFF"/>
            <w:tcMar>
              <w:top w:w="30" w:type="dxa"/>
              <w:left w:w="0" w:type="dxa"/>
              <w:bottom w:w="30" w:type="dxa"/>
              <w:right w:w="20" w:type="dxa"/>
            </w:tcMar>
            <w:vAlign w:val="bottom"/>
            <w:hideMark/>
          </w:tcPr>
          <w:p w14:paraId="1D19A1FC" w14:textId="77777777" w:rsidR="00000000" w:rsidRDefault="009B6C69">
            <w:pPr>
              <w:spacing w:after="100"/>
              <w:jc w:val="right"/>
              <w:rPr>
                <w:rFonts w:eastAsia="Times New Roman"/>
              </w:rPr>
            </w:pPr>
          </w:p>
        </w:tc>
        <w:tc>
          <w:tcPr>
            <w:tcW w:w="0" w:type="auto"/>
            <w:vAlign w:val="center"/>
            <w:hideMark/>
          </w:tcPr>
          <w:p w14:paraId="7B680C72" w14:textId="77777777" w:rsidR="00000000" w:rsidRDefault="009B6C69">
            <w:pPr>
              <w:spacing w:after="100"/>
              <w:jc w:val="right"/>
              <w:rPr>
                <w:rFonts w:eastAsia="Times New Roman"/>
                <w:sz w:val="20"/>
                <w:szCs w:val="20"/>
              </w:rPr>
            </w:pPr>
          </w:p>
        </w:tc>
        <w:tc>
          <w:tcPr>
            <w:tcW w:w="0" w:type="auto"/>
            <w:vAlign w:val="center"/>
            <w:hideMark/>
          </w:tcPr>
          <w:p w14:paraId="61B271B1" w14:textId="77777777" w:rsidR="00000000" w:rsidRDefault="009B6C69">
            <w:pPr>
              <w:spacing w:after="100"/>
              <w:rPr>
                <w:rFonts w:eastAsia="Times New Roman"/>
                <w:sz w:val="20"/>
                <w:szCs w:val="20"/>
              </w:rPr>
            </w:pPr>
          </w:p>
        </w:tc>
      </w:tr>
      <w:tr w:rsidR="00000000" w14:paraId="29722E55" w14:textId="77777777">
        <w:trPr>
          <w:divId w:val="1847288598"/>
        </w:trPr>
        <w:tc>
          <w:tcPr>
            <w:tcW w:w="0" w:type="auto"/>
            <w:gridSpan w:val="3"/>
            <w:vAlign w:val="center"/>
            <w:hideMark/>
          </w:tcPr>
          <w:p w14:paraId="11F9D1D3" w14:textId="77777777" w:rsidR="00000000" w:rsidRDefault="009B6C69">
            <w:pPr>
              <w:spacing w:after="100"/>
              <w:rPr>
                <w:rFonts w:eastAsia="Times New Roman"/>
                <w:sz w:val="20"/>
                <w:szCs w:val="20"/>
              </w:rPr>
            </w:pPr>
          </w:p>
        </w:tc>
        <w:tc>
          <w:tcPr>
            <w:tcW w:w="0" w:type="auto"/>
            <w:gridSpan w:val="3"/>
            <w:vAlign w:val="center"/>
            <w:hideMark/>
          </w:tcPr>
          <w:p w14:paraId="37F333E4" w14:textId="77777777" w:rsidR="00000000" w:rsidRDefault="009B6C69">
            <w:pPr>
              <w:spacing w:after="100"/>
              <w:rPr>
                <w:rFonts w:eastAsia="Times New Roman"/>
                <w:sz w:val="20"/>
                <w:szCs w:val="20"/>
              </w:rPr>
            </w:pPr>
          </w:p>
        </w:tc>
        <w:tc>
          <w:tcPr>
            <w:tcW w:w="0" w:type="auto"/>
            <w:gridSpan w:val="3"/>
            <w:vAlign w:val="center"/>
            <w:hideMark/>
          </w:tcPr>
          <w:p w14:paraId="081A7A10" w14:textId="77777777" w:rsidR="00000000" w:rsidRDefault="009B6C69">
            <w:pPr>
              <w:spacing w:after="100"/>
              <w:rPr>
                <w:rFonts w:eastAsia="Times New Roman"/>
                <w:sz w:val="20"/>
                <w:szCs w:val="20"/>
              </w:rPr>
            </w:pPr>
          </w:p>
        </w:tc>
        <w:tc>
          <w:tcPr>
            <w:tcW w:w="0" w:type="auto"/>
            <w:gridSpan w:val="3"/>
            <w:vAlign w:val="center"/>
            <w:hideMark/>
          </w:tcPr>
          <w:p w14:paraId="7AC96F2E" w14:textId="77777777" w:rsidR="00000000" w:rsidRDefault="009B6C69">
            <w:pPr>
              <w:spacing w:after="100"/>
              <w:rPr>
                <w:rFonts w:eastAsia="Times New Roman"/>
                <w:sz w:val="20"/>
                <w:szCs w:val="20"/>
              </w:rPr>
            </w:pPr>
          </w:p>
        </w:tc>
        <w:tc>
          <w:tcPr>
            <w:tcW w:w="0" w:type="auto"/>
            <w:vAlign w:val="center"/>
            <w:hideMark/>
          </w:tcPr>
          <w:p w14:paraId="1CBB40D5" w14:textId="77777777" w:rsidR="00000000" w:rsidRDefault="009B6C69">
            <w:pPr>
              <w:spacing w:after="100"/>
              <w:rPr>
                <w:rFonts w:eastAsia="Times New Roman"/>
                <w:sz w:val="20"/>
                <w:szCs w:val="20"/>
              </w:rPr>
            </w:pPr>
          </w:p>
        </w:tc>
        <w:tc>
          <w:tcPr>
            <w:tcW w:w="0" w:type="auto"/>
            <w:vAlign w:val="center"/>
            <w:hideMark/>
          </w:tcPr>
          <w:p w14:paraId="56B2EE70" w14:textId="77777777" w:rsidR="00000000" w:rsidRDefault="009B6C69">
            <w:pPr>
              <w:spacing w:after="100"/>
              <w:rPr>
                <w:rFonts w:eastAsia="Times New Roman"/>
                <w:sz w:val="20"/>
                <w:szCs w:val="20"/>
              </w:rPr>
            </w:pPr>
          </w:p>
        </w:tc>
      </w:tr>
      <w:tr w:rsidR="00000000" w14:paraId="6E4AE4F0" w14:textId="77777777">
        <w:trPr>
          <w:divId w:val="1847288598"/>
        </w:trPr>
        <w:tc>
          <w:tcPr>
            <w:tcW w:w="0" w:type="auto"/>
            <w:gridSpan w:val="3"/>
            <w:shd w:val="clear" w:color="auto" w:fill="CCEEFF"/>
            <w:tcMar>
              <w:top w:w="30" w:type="dxa"/>
              <w:left w:w="155" w:type="dxa"/>
              <w:bottom w:w="30" w:type="dxa"/>
              <w:right w:w="20" w:type="dxa"/>
            </w:tcMar>
            <w:vAlign w:val="bottom"/>
            <w:hideMark/>
          </w:tcPr>
          <w:p w14:paraId="1C683F15" w14:textId="77777777" w:rsidR="00000000" w:rsidRDefault="009B6C69">
            <w:pPr>
              <w:spacing w:after="100"/>
              <w:rPr>
                <w:rFonts w:eastAsia="Times New Roman"/>
              </w:rPr>
            </w:pPr>
            <w:r>
              <w:rPr>
                <w:rFonts w:eastAsia="Times New Roman"/>
                <w:color w:val="000000"/>
                <w:sz w:val="18"/>
                <w:szCs w:val="18"/>
              </w:rPr>
              <w:t>RSUs canceled/forfeited</w:t>
            </w:r>
          </w:p>
        </w:tc>
        <w:tc>
          <w:tcPr>
            <w:tcW w:w="0" w:type="auto"/>
            <w:gridSpan w:val="2"/>
            <w:shd w:val="clear" w:color="auto" w:fill="CCEEFF"/>
            <w:tcMar>
              <w:top w:w="30" w:type="dxa"/>
              <w:left w:w="20" w:type="dxa"/>
              <w:bottom w:w="30" w:type="dxa"/>
              <w:right w:w="0" w:type="dxa"/>
            </w:tcMar>
            <w:vAlign w:val="bottom"/>
            <w:hideMark/>
          </w:tcPr>
          <w:p w14:paraId="6648D80D" w14:textId="77777777" w:rsidR="00000000" w:rsidRDefault="009B6C69">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14:paraId="1395593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8D764A"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FFDBC2" w14:textId="77777777" w:rsidR="00000000" w:rsidRDefault="009B6C69">
            <w:pPr>
              <w:spacing w:after="100"/>
              <w:jc w:val="right"/>
              <w:rPr>
                <w:rFonts w:eastAsia="Times New Roman"/>
              </w:rPr>
            </w:pPr>
            <w:r>
              <w:rPr>
                <w:rFonts w:eastAsia="Times New Roman"/>
                <w:color w:val="000000"/>
                <w:sz w:val="18"/>
                <w:szCs w:val="18"/>
              </w:rPr>
              <w:t>120.94 </w:t>
            </w:r>
          </w:p>
        </w:tc>
        <w:tc>
          <w:tcPr>
            <w:tcW w:w="0" w:type="auto"/>
            <w:shd w:val="clear" w:color="auto" w:fill="CCEEFF"/>
            <w:tcMar>
              <w:top w:w="30" w:type="dxa"/>
              <w:left w:w="0" w:type="dxa"/>
              <w:bottom w:w="30" w:type="dxa"/>
              <w:right w:w="20" w:type="dxa"/>
            </w:tcMar>
            <w:vAlign w:val="bottom"/>
            <w:hideMark/>
          </w:tcPr>
          <w:p w14:paraId="269E8A61" w14:textId="77777777" w:rsidR="00000000" w:rsidRDefault="009B6C69">
            <w:pPr>
              <w:spacing w:after="100"/>
              <w:jc w:val="right"/>
              <w:rPr>
                <w:rFonts w:eastAsia="Times New Roman"/>
              </w:rPr>
            </w:pPr>
          </w:p>
        </w:tc>
        <w:tc>
          <w:tcPr>
            <w:tcW w:w="0" w:type="auto"/>
            <w:vAlign w:val="center"/>
            <w:hideMark/>
          </w:tcPr>
          <w:p w14:paraId="2B2F6A1B" w14:textId="77777777" w:rsidR="00000000" w:rsidRDefault="009B6C69">
            <w:pPr>
              <w:spacing w:after="100"/>
              <w:jc w:val="right"/>
              <w:rPr>
                <w:rFonts w:eastAsia="Times New Roman"/>
                <w:sz w:val="20"/>
                <w:szCs w:val="20"/>
              </w:rPr>
            </w:pPr>
          </w:p>
        </w:tc>
        <w:tc>
          <w:tcPr>
            <w:tcW w:w="0" w:type="auto"/>
            <w:vAlign w:val="center"/>
            <w:hideMark/>
          </w:tcPr>
          <w:p w14:paraId="5506507E" w14:textId="77777777" w:rsidR="00000000" w:rsidRDefault="009B6C69">
            <w:pPr>
              <w:spacing w:after="100"/>
              <w:rPr>
                <w:rFonts w:eastAsia="Times New Roman"/>
                <w:sz w:val="20"/>
                <w:szCs w:val="20"/>
              </w:rPr>
            </w:pPr>
          </w:p>
        </w:tc>
      </w:tr>
      <w:tr w:rsidR="00000000" w14:paraId="3E2918AC" w14:textId="77777777">
        <w:trPr>
          <w:divId w:val="1847288598"/>
        </w:trPr>
        <w:tc>
          <w:tcPr>
            <w:tcW w:w="0" w:type="auto"/>
            <w:gridSpan w:val="3"/>
            <w:shd w:val="clear" w:color="auto" w:fill="FFFFFF"/>
            <w:tcMar>
              <w:top w:w="30" w:type="dxa"/>
              <w:left w:w="155" w:type="dxa"/>
              <w:bottom w:w="30" w:type="dxa"/>
              <w:right w:w="20" w:type="dxa"/>
            </w:tcMar>
            <w:vAlign w:val="bottom"/>
            <w:hideMark/>
          </w:tcPr>
          <w:p w14:paraId="4A3DABFF" w14:textId="77777777" w:rsidR="00000000" w:rsidRDefault="009B6C69">
            <w:pPr>
              <w:spacing w:after="100"/>
              <w:rPr>
                <w:rFonts w:eastAsia="Times New Roman"/>
              </w:rPr>
            </w:pPr>
            <w:r>
              <w:rPr>
                <w:rFonts w:eastAsia="Times New Roman"/>
                <w:color w:val="000000"/>
                <w:sz w:val="18"/>
                <w:szCs w:val="18"/>
              </w:rPr>
              <w:t>RSUs vested</w:t>
            </w:r>
          </w:p>
        </w:tc>
        <w:tc>
          <w:tcPr>
            <w:tcW w:w="0" w:type="auto"/>
            <w:gridSpan w:val="2"/>
            <w:shd w:val="clear" w:color="auto" w:fill="FFFFFF"/>
            <w:tcMar>
              <w:top w:w="30" w:type="dxa"/>
              <w:left w:w="20" w:type="dxa"/>
              <w:bottom w:w="30" w:type="dxa"/>
              <w:right w:w="0" w:type="dxa"/>
            </w:tcMar>
            <w:vAlign w:val="bottom"/>
            <w:hideMark/>
          </w:tcPr>
          <w:p w14:paraId="3AFC2330" w14:textId="77777777" w:rsidR="00000000" w:rsidRDefault="009B6C69">
            <w:pPr>
              <w:spacing w:after="100"/>
              <w:jc w:val="right"/>
              <w:rPr>
                <w:rFonts w:eastAsia="Times New Roman"/>
              </w:rPr>
            </w:pPr>
            <w:r>
              <w:rPr>
                <w:rFonts w:eastAsia="Times New Roman"/>
                <w:color w:val="000000"/>
                <w:sz w:val="18"/>
                <w:szCs w:val="18"/>
              </w:rPr>
              <w:t>(17)</w:t>
            </w:r>
          </w:p>
        </w:tc>
        <w:tc>
          <w:tcPr>
            <w:tcW w:w="0" w:type="auto"/>
            <w:shd w:val="clear" w:color="auto" w:fill="FFFFFF"/>
            <w:tcMar>
              <w:top w:w="30" w:type="dxa"/>
              <w:left w:w="0" w:type="dxa"/>
              <w:bottom w:w="30" w:type="dxa"/>
              <w:right w:w="20" w:type="dxa"/>
            </w:tcMar>
            <w:vAlign w:val="bottom"/>
            <w:hideMark/>
          </w:tcPr>
          <w:p w14:paraId="75DEC233"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CD0F97"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DC17CE" w14:textId="77777777" w:rsidR="00000000" w:rsidRDefault="009B6C69">
            <w:pPr>
              <w:spacing w:after="100"/>
              <w:jc w:val="right"/>
              <w:rPr>
                <w:rFonts w:eastAsia="Times New Roman"/>
              </w:rPr>
            </w:pPr>
            <w:r>
              <w:rPr>
                <w:rFonts w:eastAsia="Times New Roman"/>
                <w:color w:val="000000"/>
                <w:sz w:val="18"/>
                <w:szCs w:val="18"/>
              </w:rPr>
              <w:t>96.02 </w:t>
            </w:r>
          </w:p>
        </w:tc>
        <w:tc>
          <w:tcPr>
            <w:tcW w:w="0" w:type="auto"/>
            <w:shd w:val="clear" w:color="auto" w:fill="FFFFFF"/>
            <w:tcMar>
              <w:top w:w="30" w:type="dxa"/>
              <w:left w:w="0" w:type="dxa"/>
              <w:bottom w:w="30" w:type="dxa"/>
              <w:right w:w="20" w:type="dxa"/>
            </w:tcMar>
            <w:vAlign w:val="bottom"/>
            <w:hideMark/>
          </w:tcPr>
          <w:p w14:paraId="1C8A0EBB" w14:textId="77777777" w:rsidR="00000000" w:rsidRDefault="009B6C69">
            <w:pPr>
              <w:spacing w:after="100"/>
              <w:jc w:val="right"/>
              <w:rPr>
                <w:rFonts w:eastAsia="Times New Roman"/>
              </w:rPr>
            </w:pPr>
          </w:p>
        </w:tc>
        <w:tc>
          <w:tcPr>
            <w:tcW w:w="0" w:type="auto"/>
            <w:vAlign w:val="center"/>
            <w:hideMark/>
          </w:tcPr>
          <w:p w14:paraId="7763EE0D" w14:textId="77777777" w:rsidR="00000000" w:rsidRDefault="009B6C69">
            <w:pPr>
              <w:spacing w:after="100"/>
              <w:jc w:val="right"/>
              <w:rPr>
                <w:rFonts w:eastAsia="Times New Roman"/>
                <w:sz w:val="20"/>
                <w:szCs w:val="20"/>
              </w:rPr>
            </w:pPr>
          </w:p>
        </w:tc>
        <w:tc>
          <w:tcPr>
            <w:tcW w:w="0" w:type="auto"/>
            <w:vAlign w:val="center"/>
            <w:hideMark/>
          </w:tcPr>
          <w:p w14:paraId="4FB06BEC" w14:textId="77777777" w:rsidR="00000000" w:rsidRDefault="009B6C69">
            <w:pPr>
              <w:spacing w:after="100"/>
              <w:rPr>
                <w:rFonts w:eastAsia="Times New Roman"/>
                <w:sz w:val="20"/>
                <w:szCs w:val="20"/>
              </w:rPr>
            </w:pPr>
          </w:p>
        </w:tc>
      </w:tr>
      <w:tr w:rsidR="00000000" w14:paraId="2D15E129" w14:textId="77777777">
        <w:trPr>
          <w:divId w:val="1847288598"/>
        </w:trPr>
        <w:tc>
          <w:tcPr>
            <w:tcW w:w="0" w:type="auto"/>
            <w:gridSpan w:val="3"/>
            <w:shd w:val="clear" w:color="auto" w:fill="CCEEFF"/>
            <w:tcMar>
              <w:top w:w="30" w:type="dxa"/>
              <w:left w:w="20" w:type="dxa"/>
              <w:bottom w:w="30" w:type="dxa"/>
              <w:right w:w="20" w:type="dxa"/>
            </w:tcMar>
            <w:vAlign w:val="bottom"/>
            <w:hideMark/>
          </w:tcPr>
          <w:p w14:paraId="49A45374" w14:textId="77777777" w:rsidR="00000000" w:rsidRDefault="009B6C69">
            <w:pPr>
              <w:spacing w:after="100"/>
              <w:rPr>
                <w:rFonts w:eastAsia="Times New Roman"/>
              </w:rPr>
            </w:pPr>
            <w:r>
              <w:rPr>
                <w:rFonts w:eastAsia="Times New Roman"/>
                <w:color w:val="000000"/>
                <w:sz w:val="18"/>
                <w:szCs w:val="18"/>
              </w:rPr>
              <w:t>RSUs outstanding at September 25,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022623B" w14:textId="77777777" w:rsidR="00000000" w:rsidRDefault="009B6C69">
            <w:pPr>
              <w:spacing w:after="100"/>
              <w:jc w:val="right"/>
              <w:rPr>
                <w:rFonts w:eastAsia="Times New Roman"/>
              </w:rPr>
            </w:pPr>
            <w:r>
              <w:rPr>
                <w:rFonts w:eastAsia="Times New Roman"/>
                <w:color w:val="000000"/>
                <w:sz w:val="18"/>
                <w:szCs w:val="18"/>
              </w:rPr>
              <w:t>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1F4A2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6C700C"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13207B" w14:textId="77777777" w:rsidR="00000000" w:rsidRDefault="009B6C69">
            <w:pPr>
              <w:spacing w:after="100"/>
              <w:jc w:val="right"/>
              <w:rPr>
                <w:rFonts w:eastAsia="Times New Roman"/>
              </w:rPr>
            </w:pPr>
            <w:r>
              <w:rPr>
                <w:rFonts w:eastAsia="Times New Roman"/>
                <w:color w:val="000000"/>
                <w:sz w:val="18"/>
                <w:szCs w:val="18"/>
              </w:rPr>
              <w:t>127.58 </w:t>
            </w:r>
          </w:p>
        </w:tc>
        <w:tc>
          <w:tcPr>
            <w:tcW w:w="0" w:type="auto"/>
            <w:shd w:val="clear" w:color="auto" w:fill="CCEEFF"/>
            <w:tcMar>
              <w:top w:w="30" w:type="dxa"/>
              <w:left w:w="0" w:type="dxa"/>
              <w:bottom w:w="30" w:type="dxa"/>
              <w:right w:w="20" w:type="dxa"/>
            </w:tcMar>
            <w:vAlign w:val="bottom"/>
            <w:hideMark/>
          </w:tcPr>
          <w:p w14:paraId="74D1C7EB" w14:textId="77777777" w:rsidR="00000000" w:rsidRDefault="009B6C69">
            <w:pPr>
              <w:spacing w:after="100"/>
              <w:jc w:val="right"/>
              <w:rPr>
                <w:rFonts w:eastAsia="Times New Roman"/>
              </w:rPr>
            </w:pPr>
          </w:p>
        </w:tc>
        <w:tc>
          <w:tcPr>
            <w:tcW w:w="0" w:type="auto"/>
            <w:vAlign w:val="center"/>
            <w:hideMark/>
          </w:tcPr>
          <w:p w14:paraId="2EEF6AA3" w14:textId="77777777" w:rsidR="00000000" w:rsidRDefault="009B6C69">
            <w:pPr>
              <w:spacing w:after="100"/>
              <w:jc w:val="right"/>
              <w:rPr>
                <w:rFonts w:eastAsia="Times New Roman"/>
                <w:sz w:val="20"/>
                <w:szCs w:val="20"/>
              </w:rPr>
            </w:pPr>
          </w:p>
        </w:tc>
        <w:tc>
          <w:tcPr>
            <w:tcW w:w="0" w:type="auto"/>
            <w:vAlign w:val="center"/>
            <w:hideMark/>
          </w:tcPr>
          <w:p w14:paraId="31DAAC6F" w14:textId="77777777" w:rsidR="00000000" w:rsidRDefault="009B6C69">
            <w:pPr>
              <w:spacing w:after="100"/>
              <w:rPr>
                <w:rFonts w:eastAsia="Times New Roman"/>
                <w:sz w:val="20"/>
                <w:szCs w:val="20"/>
              </w:rPr>
            </w:pPr>
          </w:p>
        </w:tc>
      </w:tr>
    </w:tbl>
    <w:p w14:paraId="3B6BBCA2" w14:textId="77777777" w:rsidR="00000000" w:rsidRDefault="009B6C69">
      <w:pPr>
        <w:ind w:firstLine="360"/>
        <w:divId w:val="1765103940"/>
        <w:rPr>
          <w:rFonts w:eastAsia="Times New Roman"/>
        </w:rPr>
      </w:pPr>
      <w:r>
        <w:rPr>
          <w:rFonts w:eastAsia="Times New Roman"/>
          <w:color w:val="000000"/>
          <w:sz w:val="20"/>
          <w:szCs w:val="20"/>
        </w:rPr>
        <w:t>The weighted-average estimated grant date fair values of employee RSUs under our 2016 Plan that contain only service requirements to vest granted during fiscal 2021 and 2020 were $124.22 and $82.57 per share, respectively. Upon vesting, we issue new shares</w:t>
      </w:r>
      <w:r>
        <w:rPr>
          <w:rFonts w:eastAsia="Times New Roman"/>
          <w:color w:val="000000"/>
          <w:sz w:val="20"/>
          <w:szCs w:val="20"/>
        </w:rPr>
        <w:t xml:space="preserve"> of common stock. For the majority of RSUs, shares are issued on the vesting dates net of the amount of shares needed to satisfy statutory tax withholding requirements to be paid by us on behalf of the employees. As a result, the actual number of shares is</w:t>
      </w:r>
      <w:r>
        <w:rPr>
          <w:rFonts w:eastAsia="Times New Roman"/>
          <w:color w:val="000000"/>
          <w:sz w:val="20"/>
          <w:szCs w:val="20"/>
        </w:rPr>
        <w:t>sued will be fewer than the number of RSUs outstanding. The annual pre-vest forfeiture rate for RSUs was estimated to be approximately 6%, 6% and 7% in fiscal 2022, 2021 and 2020, respectively.</w:t>
      </w:r>
    </w:p>
    <w:p w14:paraId="2F306B6B" w14:textId="77777777" w:rsidR="00000000" w:rsidRDefault="009B6C69">
      <w:pPr>
        <w:ind w:firstLine="360"/>
        <w:divId w:val="498272277"/>
        <w:rPr>
          <w:rFonts w:eastAsia="Times New Roman"/>
        </w:rPr>
      </w:pPr>
      <w:r>
        <w:rPr>
          <w:rFonts w:eastAsia="Times New Roman"/>
          <w:color w:val="000000"/>
          <w:sz w:val="20"/>
          <w:szCs w:val="20"/>
        </w:rPr>
        <w:t>At September 25, 2022, total unrecognized compensation expense</w:t>
      </w:r>
      <w:r>
        <w:rPr>
          <w:rFonts w:eastAsia="Times New Roman"/>
          <w:color w:val="000000"/>
          <w:sz w:val="20"/>
          <w:szCs w:val="20"/>
        </w:rPr>
        <w:t xml:space="preserve"> related to such non-vested RSUs granted prior to that date was $2.6 billion, which is expected to be recognized over a weighted-average period of 1.8 years. The total vest-date fair value of such RSUs that vested during fiscal 2022, 2021 and 2020 was $2.9</w:t>
      </w:r>
      <w:r>
        <w:rPr>
          <w:rFonts w:eastAsia="Times New Roman"/>
          <w:color w:val="000000"/>
          <w:sz w:val="20"/>
          <w:szCs w:val="20"/>
        </w:rPr>
        <w:t xml:space="preserve"> billion, $2.6 billion and $1.3 billion, respectively. The total shares withheld to satisfy statutory tax withholding requirements related to all share-based awards were 5 million, 5 million and 4 million in fiscal 2022, 2021 and 2020, respectively and wer</w:t>
      </w:r>
      <w:r>
        <w:rPr>
          <w:rFonts w:eastAsia="Times New Roman"/>
          <w:color w:val="000000"/>
          <w:sz w:val="20"/>
          <w:szCs w:val="20"/>
        </w:rPr>
        <w:t xml:space="preserve">e based on the value of the awards on their vesting dates as determined by our closing stock price. </w:t>
      </w:r>
    </w:p>
    <w:p w14:paraId="6F95B62B" w14:textId="77777777" w:rsidR="00000000" w:rsidRDefault="009B6C69">
      <w:pPr>
        <w:ind w:firstLine="360"/>
        <w:divId w:val="248856240"/>
        <w:rPr>
          <w:rFonts w:eastAsia="Times New Roman"/>
        </w:rPr>
      </w:pPr>
      <w:r>
        <w:rPr>
          <w:rFonts w:eastAsia="Times New Roman"/>
          <w:color w:val="000000"/>
          <w:sz w:val="20"/>
          <w:szCs w:val="20"/>
        </w:rPr>
        <w:t>The total tax benefits realized, including the excess tax benefits, related to share-based awards during fiscal 2022, 2021 and 2020 were $627 million, $567</w:t>
      </w:r>
      <w:r>
        <w:rPr>
          <w:rFonts w:eastAsia="Times New Roman"/>
          <w:color w:val="000000"/>
          <w:sz w:val="20"/>
          <w:szCs w:val="20"/>
        </w:rPr>
        <w:t xml:space="preserve"> million and $273 million, respectively.</w:t>
      </w:r>
    </w:p>
    <w:p w14:paraId="5D7A88B4" w14:textId="77777777" w:rsidR="00000000" w:rsidRDefault="009B6C69">
      <w:pPr>
        <w:ind w:firstLine="360"/>
        <w:divId w:val="327101880"/>
        <w:rPr>
          <w:rFonts w:eastAsia="Times New Roman"/>
        </w:rPr>
      </w:pPr>
      <w:r>
        <w:rPr>
          <w:rFonts w:eastAsia="Times New Roman"/>
          <w:b/>
          <w:bCs/>
          <w:i/>
          <w:iCs/>
          <w:color w:val="000000"/>
          <w:sz w:val="20"/>
          <w:szCs w:val="20"/>
        </w:rPr>
        <w:t>Employee Stock Purchase Plan.</w:t>
      </w:r>
      <w:r>
        <w:rPr>
          <w:rFonts w:eastAsia="Times New Roman"/>
          <w:color w:val="000000"/>
          <w:sz w:val="20"/>
          <w:szCs w:val="20"/>
        </w:rPr>
        <w:t xml:space="preserve"> We have an employee stock purchase plan for eligible employees to purchase shares of common stock at 85% of the lower of the fair market value on the first or the last day of each offer</w:t>
      </w:r>
      <w:r>
        <w:rPr>
          <w:rFonts w:eastAsia="Times New Roman"/>
          <w:color w:val="000000"/>
          <w:sz w:val="20"/>
          <w:szCs w:val="20"/>
        </w:rPr>
        <w:t>ing period, which is generally six months. Employees may authorize us to withhold up to 15% of their compensation during any offering period, subject to certain limitations. The employee stock purchase plan includes a non-423(b) plan. The shares reserved f</w:t>
      </w:r>
      <w:r>
        <w:rPr>
          <w:rFonts w:eastAsia="Times New Roman"/>
          <w:color w:val="000000"/>
          <w:sz w:val="20"/>
          <w:szCs w:val="20"/>
        </w:rPr>
        <w:t xml:space="preserve">or future issuance under the employee stock purchase plan were 22 million at September 25, 2022. During fiscal 2022, 2021 and 2020, 3 million, 3 million and 5 million shares, respectively, were issued under the plan at an average price of $124.98, $107.48 </w:t>
      </w:r>
      <w:r>
        <w:rPr>
          <w:rFonts w:eastAsia="Times New Roman"/>
          <w:color w:val="000000"/>
          <w:sz w:val="20"/>
          <w:szCs w:val="20"/>
        </w:rPr>
        <w:t>and $66.53 per share, respectively. At September 25, 2022, total unrecognized compensation expense related to non-vested purchase rights granted prior to that date was $44 million. We recorded cash received from the exercise of purchase rights of $355 mill</w:t>
      </w:r>
      <w:r>
        <w:rPr>
          <w:rFonts w:eastAsia="Times New Roman"/>
          <w:color w:val="000000"/>
          <w:sz w:val="20"/>
          <w:szCs w:val="20"/>
        </w:rPr>
        <w:t>ion, $343 million and $306 million during fiscal 2022, 2021 and 2020, respectively.</w:t>
      </w:r>
    </w:p>
    <w:p w14:paraId="40DB4F9C" w14:textId="77777777" w:rsidR="00000000" w:rsidRDefault="009B6C69">
      <w:pPr>
        <w:jc w:val="center"/>
        <w:divId w:val="1940335087"/>
        <w:rPr>
          <w:rFonts w:eastAsia="Times New Roman"/>
        </w:rPr>
      </w:pPr>
      <w:r>
        <w:rPr>
          <w:rFonts w:eastAsia="Times New Roman"/>
          <w:color w:val="000000"/>
          <w:sz w:val="20"/>
          <w:szCs w:val="20"/>
        </w:rPr>
        <w:t>F-22</w:t>
      </w:r>
    </w:p>
    <w:p w14:paraId="3889F4EE" w14:textId="77777777" w:rsidR="00000000" w:rsidRDefault="009B6C69">
      <w:pPr>
        <w:rPr>
          <w:rFonts w:eastAsia="Times New Roman"/>
        </w:rPr>
      </w:pPr>
      <w:r>
        <w:rPr>
          <w:rFonts w:eastAsia="Times New Roman"/>
        </w:rPr>
        <w:pict w14:anchorId="715D2CA8">
          <v:rect id="_x0000_i1102" style="width:0;height:1.5pt" o:hralign="center" o:hrstd="t" o:hr="t" fillcolor="#a0a0a0" stroked="f"/>
        </w:pict>
      </w:r>
    </w:p>
    <w:p w14:paraId="1F861F76" w14:textId="77777777" w:rsidR="00000000" w:rsidRDefault="009B6C69">
      <w:pPr>
        <w:jc w:val="center"/>
        <w:divId w:val="167792164"/>
        <w:rPr>
          <w:rFonts w:eastAsia="Times New Roman"/>
        </w:rPr>
      </w:pPr>
    </w:p>
    <w:p w14:paraId="7771B2E7" w14:textId="77777777" w:rsidR="00000000" w:rsidRDefault="009B6C69">
      <w:pPr>
        <w:jc w:val="center"/>
        <w:divId w:val="167792164"/>
        <w:rPr>
          <w:rFonts w:eastAsia="Times New Roman"/>
        </w:rPr>
      </w:pPr>
      <w:r>
        <w:rPr>
          <w:rFonts w:eastAsia="Times New Roman"/>
          <w:b/>
          <w:bCs/>
          <w:color w:val="000000"/>
          <w:sz w:val="20"/>
          <w:szCs w:val="20"/>
        </w:rPr>
        <w:t>QUALCOMM Incorporated</w:t>
      </w:r>
    </w:p>
    <w:p w14:paraId="5FE93B3B" w14:textId="77777777" w:rsidR="00000000" w:rsidRDefault="009B6C69">
      <w:pPr>
        <w:jc w:val="center"/>
        <w:divId w:val="167792164"/>
        <w:rPr>
          <w:rFonts w:eastAsia="Times New Roman"/>
        </w:rPr>
      </w:pPr>
      <w:r>
        <w:rPr>
          <w:rFonts w:eastAsia="Times New Roman"/>
          <w:b/>
          <w:bCs/>
          <w:color w:val="000000"/>
          <w:sz w:val="20"/>
          <w:szCs w:val="20"/>
        </w:rPr>
        <w:t>NOTES TO CONSOLIDATED FINANCIAL STATEMENTS</w:t>
      </w:r>
    </w:p>
    <w:p w14:paraId="11923541" w14:textId="77777777" w:rsidR="00000000" w:rsidRDefault="009B6C69">
      <w:pPr>
        <w:divId w:val="1528058123"/>
        <w:rPr>
          <w:rFonts w:eastAsia="Times New Roman"/>
        </w:rPr>
      </w:pPr>
      <w:r>
        <w:rPr>
          <w:rFonts w:eastAsia="Times New Roman"/>
          <w:b/>
          <w:bCs/>
          <w:color w:val="000000"/>
          <w:sz w:val="20"/>
          <w:szCs w:val="20"/>
        </w:rPr>
        <w:t>Note 6. Debt</w:t>
      </w:r>
    </w:p>
    <w:p w14:paraId="3111CAE4" w14:textId="77777777" w:rsidR="00000000" w:rsidRDefault="009B6C69">
      <w:pPr>
        <w:ind w:firstLine="360"/>
        <w:divId w:val="765733256"/>
        <w:rPr>
          <w:rFonts w:eastAsia="Times New Roman"/>
        </w:rPr>
      </w:pPr>
      <w:r>
        <w:rPr>
          <w:rFonts w:eastAsia="Times New Roman"/>
          <w:b/>
          <w:bCs/>
          <w:i/>
          <w:iCs/>
          <w:color w:val="000000"/>
          <w:sz w:val="20"/>
          <w:szCs w:val="20"/>
        </w:rPr>
        <w:t xml:space="preserve">Long-term Debt. </w:t>
      </w:r>
      <w:r>
        <w:rPr>
          <w:rFonts w:eastAsia="Times New Roman"/>
          <w:color w:val="000000"/>
          <w:sz w:val="20"/>
          <w:szCs w:val="20"/>
        </w:rPr>
        <w:t>In May 2022, we issued</w:t>
      </w:r>
      <w:r>
        <w:rPr>
          <w:rFonts w:eastAsia="Times New Roman"/>
          <w:color w:val="EE2724"/>
          <w:sz w:val="20"/>
          <w:szCs w:val="20"/>
        </w:rPr>
        <w:t xml:space="preserve"> </w:t>
      </w:r>
      <w:r>
        <w:rPr>
          <w:rFonts w:eastAsia="Times New Roman"/>
          <w:color w:val="000000"/>
          <w:sz w:val="20"/>
          <w:szCs w:val="20"/>
        </w:rPr>
        <w:t>unsecured fixed-rate notes, consisting of $500 million of fixed-rate 4.25% notes and $1.0 billion of fixed-rate 4.50% notes (May 2022 Notes) that mature on May 20, 2032 and May 20, 2052, respectively. The net proceeds from the May 20</w:t>
      </w:r>
      <w:r>
        <w:rPr>
          <w:rFonts w:eastAsia="Times New Roman"/>
          <w:color w:val="000000"/>
          <w:sz w:val="20"/>
          <w:szCs w:val="20"/>
        </w:rPr>
        <w:t>22 Notes, together with cash on hand, were used to repay $1.5 billion of fixed-rate notes that matured in May 2022.</w:t>
      </w:r>
    </w:p>
    <w:p w14:paraId="12A16339" w14:textId="77777777" w:rsidR="00000000" w:rsidRDefault="009B6C69">
      <w:pPr>
        <w:ind w:firstLine="360"/>
        <w:divId w:val="1210996286"/>
        <w:rPr>
          <w:rFonts w:eastAsia="Times New Roman"/>
        </w:rPr>
      </w:pPr>
      <w:r>
        <w:rPr>
          <w:rFonts w:eastAsia="Times New Roman"/>
          <w:color w:val="000000"/>
          <w:sz w:val="20"/>
          <w:szCs w:val="20"/>
        </w:rPr>
        <w:t xml:space="preserve">The following table provides a summary of our long-term debt and current portion of long-term debt: </w:t>
      </w:r>
    </w:p>
    <w:tbl>
      <w:tblPr>
        <w:tblW w:w="5000" w:type="pct"/>
        <w:tblCellMar>
          <w:top w:w="15" w:type="dxa"/>
          <w:left w:w="15" w:type="dxa"/>
          <w:bottom w:w="15" w:type="dxa"/>
          <w:right w:w="15" w:type="dxa"/>
        </w:tblCellMar>
        <w:tblLook w:val="04A0" w:firstRow="1" w:lastRow="0" w:firstColumn="1" w:lastColumn="0" w:noHBand="0" w:noVBand="1"/>
      </w:tblPr>
      <w:tblGrid>
        <w:gridCol w:w="40"/>
        <w:gridCol w:w="2130"/>
        <w:gridCol w:w="38"/>
        <w:gridCol w:w="76"/>
        <w:gridCol w:w="771"/>
        <w:gridCol w:w="36"/>
        <w:gridCol w:w="36"/>
        <w:gridCol w:w="36"/>
        <w:gridCol w:w="36"/>
        <w:gridCol w:w="111"/>
        <w:gridCol w:w="843"/>
        <w:gridCol w:w="37"/>
        <w:gridCol w:w="36"/>
        <w:gridCol w:w="36"/>
        <w:gridCol w:w="36"/>
        <w:gridCol w:w="62"/>
        <w:gridCol w:w="822"/>
        <w:gridCol w:w="36"/>
        <w:gridCol w:w="36"/>
        <w:gridCol w:w="36"/>
        <w:gridCol w:w="36"/>
        <w:gridCol w:w="76"/>
        <w:gridCol w:w="767"/>
        <w:gridCol w:w="36"/>
        <w:gridCol w:w="36"/>
        <w:gridCol w:w="36"/>
        <w:gridCol w:w="36"/>
        <w:gridCol w:w="111"/>
        <w:gridCol w:w="815"/>
        <w:gridCol w:w="37"/>
        <w:gridCol w:w="36"/>
        <w:gridCol w:w="36"/>
        <w:gridCol w:w="36"/>
        <w:gridCol w:w="62"/>
        <w:gridCol w:w="824"/>
        <w:gridCol w:w="36"/>
      </w:tblGrid>
      <w:tr w:rsidR="00000000" w14:paraId="581CF287" w14:textId="77777777">
        <w:trPr>
          <w:divId w:val="1754279950"/>
        </w:trPr>
        <w:tc>
          <w:tcPr>
            <w:tcW w:w="50" w:type="pct"/>
            <w:vAlign w:val="center"/>
            <w:hideMark/>
          </w:tcPr>
          <w:p w14:paraId="546845BE" w14:textId="77777777" w:rsidR="00000000" w:rsidRDefault="009B6C69">
            <w:pPr>
              <w:ind w:firstLine="360"/>
              <w:rPr>
                <w:rFonts w:eastAsia="Times New Roman"/>
              </w:rPr>
            </w:pPr>
          </w:p>
        </w:tc>
        <w:tc>
          <w:tcPr>
            <w:tcW w:w="1306" w:type="pct"/>
            <w:vAlign w:val="center"/>
            <w:hideMark/>
          </w:tcPr>
          <w:p w14:paraId="3F48612A" w14:textId="77777777" w:rsidR="00000000" w:rsidRDefault="009B6C69">
            <w:pPr>
              <w:spacing w:after="100"/>
              <w:rPr>
                <w:rFonts w:eastAsia="Times New Roman"/>
                <w:sz w:val="20"/>
                <w:szCs w:val="20"/>
              </w:rPr>
            </w:pPr>
          </w:p>
        </w:tc>
        <w:tc>
          <w:tcPr>
            <w:tcW w:w="5" w:type="pct"/>
            <w:vAlign w:val="center"/>
            <w:hideMark/>
          </w:tcPr>
          <w:p w14:paraId="56C46B9D" w14:textId="77777777" w:rsidR="00000000" w:rsidRDefault="009B6C69">
            <w:pPr>
              <w:spacing w:after="100"/>
              <w:rPr>
                <w:rFonts w:eastAsia="Times New Roman"/>
                <w:sz w:val="20"/>
                <w:szCs w:val="20"/>
              </w:rPr>
            </w:pPr>
          </w:p>
        </w:tc>
        <w:tc>
          <w:tcPr>
            <w:tcW w:w="50" w:type="pct"/>
            <w:vAlign w:val="center"/>
            <w:hideMark/>
          </w:tcPr>
          <w:p w14:paraId="48613A54" w14:textId="77777777" w:rsidR="00000000" w:rsidRDefault="009B6C69">
            <w:pPr>
              <w:spacing w:after="100"/>
              <w:rPr>
                <w:rFonts w:eastAsia="Times New Roman"/>
                <w:sz w:val="20"/>
                <w:szCs w:val="20"/>
              </w:rPr>
            </w:pPr>
          </w:p>
        </w:tc>
        <w:tc>
          <w:tcPr>
            <w:tcW w:w="510" w:type="pct"/>
            <w:vAlign w:val="center"/>
            <w:hideMark/>
          </w:tcPr>
          <w:p w14:paraId="55078F9E" w14:textId="77777777" w:rsidR="00000000" w:rsidRDefault="009B6C69">
            <w:pPr>
              <w:spacing w:after="100"/>
              <w:rPr>
                <w:rFonts w:eastAsia="Times New Roman"/>
                <w:sz w:val="20"/>
                <w:szCs w:val="20"/>
              </w:rPr>
            </w:pPr>
          </w:p>
        </w:tc>
        <w:tc>
          <w:tcPr>
            <w:tcW w:w="5" w:type="pct"/>
            <w:vAlign w:val="center"/>
            <w:hideMark/>
          </w:tcPr>
          <w:p w14:paraId="1E1D77D8" w14:textId="77777777" w:rsidR="00000000" w:rsidRDefault="009B6C69">
            <w:pPr>
              <w:spacing w:after="100"/>
              <w:rPr>
                <w:rFonts w:eastAsia="Times New Roman"/>
                <w:sz w:val="20"/>
                <w:szCs w:val="20"/>
              </w:rPr>
            </w:pPr>
          </w:p>
        </w:tc>
        <w:tc>
          <w:tcPr>
            <w:tcW w:w="5" w:type="pct"/>
            <w:vAlign w:val="center"/>
            <w:hideMark/>
          </w:tcPr>
          <w:p w14:paraId="6B8B4BF8" w14:textId="77777777" w:rsidR="00000000" w:rsidRDefault="009B6C69">
            <w:pPr>
              <w:spacing w:after="100"/>
              <w:rPr>
                <w:rFonts w:eastAsia="Times New Roman"/>
                <w:sz w:val="20"/>
                <w:szCs w:val="20"/>
              </w:rPr>
            </w:pPr>
          </w:p>
        </w:tc>
        <w:tc>
          <w:tcPr>
            <w:tcW w:w="19" w:type="pct"/>
            <w:vAlign w:val="center"/>
            <w:hideMark/>
          </w:tcPr>
          <w:p w14:paraId="59EE5344" w14:textId="77777777" w:rsidR="00000000" w:rsidRDefault="009B6C69">
            <w:pPr>
              <w:spacing w:after="100"/>
              <w:rPr>
                <w:rFonts w:eastAsia="Times New Roman"/>
                <w:sz w:val="20"/>
                <w:szCs w:val="20"/>
              </w:rPr>
            </w:pPr>
          </w:p>
        </w:tc>
        <w:tc>
          <w:tcPr>
            <w:tcW w:w="5" w:type="pct"/>
            <w:vAlign w:val="center"/>
            <w:hideMark/>
          </w:tcPr>
          <w:p w14:paraId="26FD4061" w14:textId="77777777" w:rsidR="00000000" w:rsidRDefault="009B6C69">
            <w:pPr>
              <w:spacing w:after="100"/>
              <w:rPr>
                <w:rFonts w:eastAsia="Times New Roman"/>
                <w:sz w:val="20"/>
                <w:szCs w:val="20"/>
              </w:rPr>
            </w:pPr>
          </w:p>
        </w:tc>
        <w:tc>
          <w:tcPr>
            <w:tcW w:w="50" w:type="pct"/>
            <w:vAlign w:val="center"/>
            <w:hideMark/>
          </w:tcPr>
          <w:p w14:paraId="5C9B998F" w14:textId="77777777" w:rsidR="00000000" w:rsidRDefault="009B6C69">
            <w:pPr>
              <w:spacing w:after="100"/>
              <w:rPr>
                <w:rFonts w:eastAsia="Times New Roman"/>
                <w:sz w:val="20"/>
                <w:szCs w:val="20"/>
              </w:rPr>
            </w:pPr>
          </w:p>
        </w:tc>
        <w:tc>
          <w:tcPr>
            <w:tcW w:w="532" w:type="pct"/>
            <w:vAlign w:val="center"/>
            <w:hideMark/>
          </w:tcPr>
          <w:p w14:paraId="585EF85C" w14:textId="77777777" w:rsidR="00000000" w:rsidRDefault="009B6C69">
            <w:pPr>
              <w:spacing w:after="100"/>
              <w:rPr>
                <w:rFonts w:eastAsia="Times New Roman"/>
                <w:sz w:val="20"/>
                <w:szCs w:val="20"/>
              </w:rPr>
            </w:pPr>
          </w:p>
        </w:tc>
        <w:tc>
          <w:tcPr>
            <w:tcW w:w="5" w:type="pct"/>
            <w:vAlign w:val="center"/>
            <w:hideMark/>
          </w:tcPr>
          <w:p w14:paraId="4E6AD376" w14:textId="77777777" w:rsidR="00000000" w:rsidRDefault="009B6C69">
            <w:pPr>
              <w:spacing w:after="100"/>
              <w:rPr>
                <w:rFonts w:eastAsia="Times New Roman"/>
                <w:sz w:val="20"/>
                <w:szCs w:val="20"/>
              </w:rPr>
            </w:pPr>
          </w:p>
        </w:tc>
        <w:tc>
          <w:tcPr>
            <w:tcW w:w="5" w:type="pct"/>
            <w:vAlign w:val="center"/>
            <w:hideMark/>
          </w:tcPr>
          <w:p w14:paraId="733F413D" w14:textId="77777777" w:rsidR="00000000" w:rsidRDefault="009B6C69">
            <w:pPr>
              <w:spacing w:after="100"/>
              <w:rPr>
                <w:rFonts w:eastAsia="Times New Roman"/>
                <w:sz w:val="20"/>
                <w:szCs w:val="20"/>
              </w:rPr>
            </w:pPr>
          </w:p>
        </w:tc>
        <w:tc>
          <w:tcPr>
            <w:tcW w:w="19" w:type="pct"/>
            <w:vAlign w:val="center"/>
            <w:hideMark/>
          </w:tcPr>
          <w:p w14:paraId="5CB6A629" w14:textId="77777777" w:rsidR="00000000" w:rsidRDefault="009B6C69">
            <w:pPr>
              <w:spacing w:after="100"/>
              <w:rPr>
                <w:rFonts w:eastAsia="Times New Roman"/>
                <w:sz w:val="20"/>
                <w:szCs w:val="20"/>
              </w:rPr>
            </w:pPr>
          </w:p>
        </w:tc>
        <w:tc>
          <w:tcPr>
            <w:tcW w:w="5" w:type="pct"/>
            <w:vAlign w:val="center"/>
            <w:hideMark/>
          </w:tcPr>
          <w:p w14:paraId="66116D66" w14:textId="77777777" w:rsidR="00000000" w:rsidRDefault="009B6C69">
            <w:pPr>
              <w:spacing w:after="100"/>
              <w:rPr>
                <w:rFonts w:eastAsia="Times New Roman"/>
                <w:sz w:val="20"/>
                <w:szCs w:val="20"/>
              </w:rPr>
            </w:pPr>
          </w:p>
        </w:tc>
        <w:tc>
          <w:tcPr>
            <w:tcW w:w="50" w:type="pct"/>
            <w:vAlign w:val="center"/>
            <w:hideMark/>
          </w:tcPr>
          <w:p w14:paraId="459EE195" w14:textId="77777777" w:rsidR="00000000" w:rsidRDefault="009B6C69">
            <w:pPr>
              <w:spacing w:after="100"/>
              <w:rPr>
                <w:rFonts w:eastAsia="Times New Roman"/>
                <w:sz w:val="20"/>
                <w:szCs w:val="20"/>
              </w:rPr>
            </w:pPr>
          </w:p>
        </w:tc>
        <w:tc>
          <w:tcPr>
            <w:tcW w:w="532" w:type="pct"/>
            <w:vAlign w:val="center"/>
            <w:hideMark/>
          </w:tcPr>
          <w:p w14:paraId="7B40F0CF" w14:textId="77777777" w:rsidR="00000000" w:rsidRDefault="009B6C69">
            <w:pPr>
              <w:spacing w:after="100"/>
              <w:rPr>
                <w:rFonts w:eastAsia="Times New Roman"/>
                <w:sz w:val="20"/>
                <w:szCs w:val="20"/>
              </w:rPr>
            </w:pPr>
          </w:p>
        </w:tc>
        <w:tc>
          <w:tcPr>
            <w:tcW w:w="5" w:type="pct"/>
            <w:vAlign w:val="center"/>
            <w:hideMark/>
          </w:tcPr>
          <w:p w14:paraId="056333AF" w14:textId="77777777" w:rsidR="00000000" w:rsidRDefault="009B6C69">
            <w:pPr>
              <w:spacing w:after="100"/>
              <w:rPr>
                <w:rFonts w:eastAsia="Times New Roman"/>
                <w:sz w:val="20"/>
                <w:szCs w:val="20"/>
              </w:rPr>
            </w:pPr>
          </w:p>
        </w:tc>
        <w:tc>
          <w:tcPr>
            <w:tcW w:w="5" w:type="pct"/>
            <w:vAlign w:val="center"/>
            <w:hideMark/>
          </w:tcPr>
          <w:p w14:paraId="49C26510" w14:textId="77777777" w:rsidR="00000000" w:rsidRDefault="009B6C69">
            <w:pPr>
              <w:spacing w:after="100"/>
              <w:rPr>
                <w:rFonts w:eastAsia="Times New Roman"/>
                <w:sz w:val="20"/>
                <w:szCs w:val="20"/>
              </w:rPr>
            </w:pPr>
          </w:p>
        </w:tc>
        <w:tc>
          <w:tcPr>
            <w:tcW w:w="27" w:type="pct"/>
            <w:vAlign w:val="center"/>
            <w:hideMark/>
          </w:tcPr>
          <w:p w14:paraId="41AC0243" w14:textId="77777777" w:rsidR="00000000" w:rsidRDefault="009B6C69">
            <w:pPr>
              <w:spacing w:after="100"/>
              <w:rPr>
                <w:rFonts w:eastAsia="Times New Roman"/>
                <w:sz w:val="20"/>
                <w:szCs w:val="20"/>
              </w:rPr>
            </w:pPr>
          </w:p>
        </w:tc>
        <w:tc>
          <w:tcPr>
            <w:tcW w:w="5" w:type="pct"/>
            <w:vAlign w:val="center"/>
            <w:hideMark/>
          </w:tcPr>
          <w:p w14:paraId="7EDF89F2" w14:textId="77777777" w:rsidR="00000000" w:rsidRDefault="009B6C69">
            <w:pPr>
              <w:spacing w:after="100"/>
              <w:rPr>
                <w:rFonts w:eastAsia="Times New Roman"/>
                <w:sz w:val="20"/>
                <w:szCs w:val="20"/>
              </w:rPr>
            </w:pPr>
          </w:p>
        </w:tc>
        <w:tc>
          <w:tcPr>
            <w:tcW w:w="50" w:type="pct"/>
            <w:vAlign w:val="center"/>
            <w:hideMark/>
          </w:tcPr>
          <w:p w14:paraId="60BBFF4D" w14:textId="77777777" w:rsidR="00000000" w:rsidRDefault="009B6C69">
            <w:pPr>
              <w:spacing w:after="100"/>
              <w:rPr>
                <w:rFonts w:eastAsia="Times New Roman"/>
                <w:sz w:val="20"/>
                <w:szCs w:val="20"/>
              </w:rPr>
            </w:pPr>
          </w:p>
        </w:tc>
        <w:tc>
          <w:tcPr>
            <w:tcW w:w="510" w:type="pct"/>
            <w:vAlign w:val="center"/>
            <w:hideMark/>
          </w:tcPr>
          <w:p w14:paraId="273E0684" w14:textId="77777777" w:rsidR="00000000" w:rsidRDefault="009B6C69">
            <w:pPr>
              <w:spacing w:after="100"/>
              <w:rPr>
                <w:rFonts w:eastAsia="Times New Roman"/>
                <w:sz w:val="20"/>
                <w:szCs w:val="20"/>
              </w:rPr>
            </w:pPr>
          </w:p>
        </w:tc>
        <w:tc>
          <w:tcPr>
            <w:tcW w:w="5" w:type="pct"/>
            <w:vAlign w:val="center"/>
            <w:hideMark/>
          </w:tcPr>
          <w:p w14:paraId="118CABC1" w14:textId="77777777" w:rsidR="00000000" w:rsidRDefault="009B6C69">
            <w:pPr>
              <w:spacing w:after="100"/>
              <w:rPr>
                <w:rFonts w:eastAsia="Times New Roman"/>
                <w:sz w:val="20"/>
                <w:szCs w:val="20"/>
              </w:rPr>
            </w:pPr>
          </w:p>
        </w:tc>
        <w:tc>
          <w:tcPr>
            <w:tcW w:w="5" w:type="pct"/>
            <w:vAlign w:val="center"/>
            <w:hideMark/>
          </w:tcPr>
          <w:p w14:paraId="5CA5CE9F" w14:textId="77777777" w:rsidR="00000000" w:rsidRDefault="009B6C69">
            <w:pPr>
              <w:spacing w:after="100"/>
              <w:rPr>
                <w:rFonts w:eastAsia="Times New Roman"/>
                <w:sz w:val="20"/>
                <w:szCs w:val="20"/>
              </w:rPr>
            </w:pPr>
          </w:p>
        </w:tc>
        <w:tc>
          <w:tcPr>
            <w:tcW w:w="19" w:type="pct"/>
            <w:vAlign w:val="center"/>
            <w:hideMark/>
          </w:tcPr>
          <w:p w14:paraId="5FF49CDA" w14:textId="77777777" w:rsidR="00000000" w:rsidRDefault="009B6C69">
            <w:pPr>
              <w:spacing w:after="100"/>
              <w:rPr>
                <w:rFonts w:eastAsia="Times New Roman"/>
                <w:sz w:val="20"/>
                <w:szCs w:val="20"/>
              </w:rPr>
            </w:pPr>
          </w:p>
        </w:tc>
        <w:tc>
          <w:tcPr>
            <w:tcW w:w="5" w:type="pct"/>
            <w:vAlign w:val="center"/>
            <w:hideMark/>
          </w:tcPr>
          <w:p w14:paraId="46323109" w14:textId="77777777" w:rsidR="00000000" w:rsidRDefault="009B6C69">
            <w:pPr>
              <w:spacing w:after="100"/>
              <w:rPr>
                <w:rFonts w:eastAsia="Times New Roman"/>
                <w:sz w:val="20"/>
                <w:szCs w:val="20"/>
              </w:rPr>
            </w:pPr>
          </w:p>
        </w:tc>
        <w:tc>
          <w:tcPr>
            <w:tcW w:w="50" w:type="pct"/>
            <w:vAlign w:val="center"/>
            <w:hideMark/>
          </w:tcPr>
          <w:p w14:paraId="0E8FF7F2" w14:textId="77777777" w:rsidR="00000000" w:rsidRDefault="009B6C69">
            <w:pPr>
              <w:spacing w:after="100"/>
              <w:rPr>
                <w:rFonts w:eastAsia="Times New Roman"/>
                <w:sz w:val="20"/>
                <w:szCs w:val="20"/>
              </w:rPr>
            </w:pPr>
          </w:p>
        </w:tc>
        <w:tc>
          <w:tcPr>
            <w:tcW w:w="532" w:type="pct"/>
            <w:vAlign w:val="center"/>
            <w:hideMark/>
          </w:tcPr>
          <w:p w14:paraId="4427B1F1" w14:textId="77777777" w:rsidR="00000000" w:rsidRDefault="009B6C69">
            <w:pPr>
              <w:spacing w:after="100"/>
              <w:rPr>
                <w:rFonts w:eastAsia="Times New Roman"/>
                <w:sz w:val="20"/>
                <w:szCs w:val="20"/>
              </w:rPr>
            </w:pPr>
          </w:p>
        </w:tc>
        <w:tc>
          <w:tcPr>
            <w:tcW w:w="5" w:type="pct"/>
            <w:vAlign w:val="center"/>
            <w:hideMark/>
          </w:tcPr>
          <w:p w14:paraId="41E238C7" w14:textId="77777777" w:rsidR="00000000" w:rsidRDefault="009B6C69">
            <w:pPr>
              <w:spacing w:after="100"/>
              <w:rPr>
                <w:rFonts w:eastAsia="Times New Roman"/>
                <w:sz w:val="20"/>
                <w:szCs w:val="20"/>
              </w:rPr>
            </w:pPr>
          </w:p>
        </w:tc>
        <w:tc>
          <w:tcPr>
            <w:tcW w:w="5" w:type="pct"/>
            <w:vAlign w:val="center"/>
            <w:hideMark/>
          </w:tcPr>
          <w:p w14:paraId="1EA8F60C" w14:textId="77777777" w:rsidR="00000000" w:rsidRDefault="009B6C69">
            <w:pPr>
              <w:spacing w:after="100"/>
              <w:rPr>
                <w:rFonts w:eastAsia="Times New Roman"/>
                <w:sz w:val="20"/>
                <w:szCs w:val="20"/>
              </w:rPr>
            </w:pPr>
          </w:p>
        </w:tc>
        <w:tc>
          <w:tcPr>
            <w:tcW w:w="19" w:type="pct"/>
            <w:vAlign w:val="center"/>
            <w:hideMark/>
          </w:tcPr>
          <w:p w14:paraId="52F3F656" w14:textId="77777777" w:rsidR="00000000" w:rsidRDefault="009B6C69">
            <w:pPr>
              <w:spacing w:after="100"/>
              <w:rPr>
                <w:rFonts w:eastAsia="Times New Roman"/>
                <w:sz w:val="20"/>
                <w:szCs w:val="20"/>
              </w:rPr>
            </w:pPr>
          </w:p>
        </w:tc>
        <w:tc>
          <w:tcPr>
            <w:tcW w:w="5" w:type="pct"/>
            <w:vAlign w:val="center"/>
            <w:hideMark/>
          </w:tcPr>
          <w:p w14:paraId="743E221F" w14:textId="77777777" w:rsidR="00000000" w:rsidRDefault="009B6C69">
            <w:pPr>
              <w:spacing w:after="100"/>
              <w:rPr>
                <w:rFonts w:eastAsia="Times New Roman"/>
                <w:sz w:val="20"/>
                <w:szCs w:val="20"/>
              </w:rPr>
            </w:pPr>
          </w:p>
        </w:tc>
        <w:tc>
          <w:tcPr>
            <w:tcW w:w="50" w:type="pct"/>
            <w:vAlign w:val="center"/>
            <w:hideMark/>
          </w:tcPr>
          <w:p w14:paraId="0EAFFA26" w14:textId="77777777" w:rsidR="00000000" w:rsidRDefault="009B6C69">
            <w:pPr>
              <w:spacing w:after="100"/>
              <w:rPr>
                <w:rFonts w:eastAsia="Times New Roman"/>
                <w:sz w:val="20"/>
                <w:szCs w:val="20"/>
              </w:rPr>
            </w:pPr>
          </w:p>
        </w:tc>
        <w:tc>
          <w:tcPr>
            <w:tcW w:w="533" w:type="pct"/>
            <w:vAlign w:val="center"/>
            <w:hideMark/>
          </w:tcPr>
          <w:p w14:paraId="101C3316" w14:textId="77777777" w:rsidR="00000000" w:rsidRDefault="009B6C69">
            <w:pPr>
              <w:spacing w:after="100"/>
              <w:rPr>
                <w:rFonts w:eastAsia="Times New Roman"/>
                <w:sz w:val="20"/>
                <w:szCs w:val="20"/>
              </w:rPr>
            </w:pPr>
          </w:p>
        </w:tc>
        <w:tc>
          <w:tcPr>
            <w:tcW w:w="5" w:type="pct"/>
            <w:vAlign w:val="center"/>
            <w:hideMark/>
          </w:tcPr>
          <w:p w14:paraId="24E09E13" w14:textId="77777777" w:rsidR="00000000" w:rsidRDefault="009B6C69">
            <w:pPr>
              <w:spacing w:after="100"/>
              <w:rPr>
                <w:rFonts w:eastAsia="Times New Roman"/>
                <w:sz w:val="20"/>
                <w:szCs w:val="20"/>
              </w:rPr>
            </w:pPr>
          </w:p>
        </w:tc>
      </w:tr>
      <w:tr w:rsidR="00000000" w14:paraId="21E7DA5D" w14:textId="77777777">
        <w:trPr>
          <w:divId w:val="1754279950"/>
        </w:trPr>
        <w:tc>
          <w:tcPr>
            <w:tcW w:w="0" w:type="auto"/>
            <w:gridSpan w:val="3"/>
            <w:tcMar>
              <w:top w:w="0" w:type="dxa"/>
              <w:left w:w="20" w:type="dxa"/>
              <w:bottom w:w="0" w:type="dxa"/>
              <w:right w:w="20" w:type="dxa"/>
            </w:tcMar>
            <w:vAlign w:val="center"/>
            <w:hideMark/>
          </w:tcPr>
          <w:p w14:paraId="699104A6" w14:textId="77777777" w:rsidR="00000000" w:rsidRDefault="009B6C69">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7B6C4BD0" w14:textId="77777777" w:rsidR="00000000" w:rsidRDefault="009B6C69">
            <w:pPr>
              <w:spacing w:after="100"/>
              <w:jc w:val="center"/>
              <w:rPr>
                <w:rFonts w:eastAsia="Times New Roman"/>
              </w:rPr>
            </w:pPr>
            <w:r>
              <w:rPr>
                <w:rFonts w:eastAsia="Times New Roman"/>
                <w:b/>
                <w:bCs/>
                <w:color w:val="000000"/>
                <w:sz w:val="18"/>
                <w:szCs w:val="18"/>
              </w:rPr>
              <w:t>September 25, 2022</w:t>
            </w:r>
          </w:p>
        </w:tc>
        <w:tc>
          <w:tcPr>
            <w:tcW w:w="0" w:type="auto"/>
            <w:gridSpan w:val="3"/>
            <w:tcMar>
              <w:top w:w="0" w:type="dxa"/>
              <w:left w:w="20" w:type="dxa"/>
              <w:bottom w:w="0" w:type="dxa"/>
              <w:right w:w="20" w:type="dxa"/>
            </w:tcMar>
            <w:vAlign w:val="center"/>
            <w:hideMark/>
          </w:tcPr>
          <w:p w14:paraId="04A55FE7" w14:textId="77777777" w:rsidR="00000000" w:rsidRDefault="009B6C69">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575CE5C7" w14:textId="77777777" w:rsidR="00000000" w:rsidRDefault="009B6C69">
            <w:pPr>
              <w:spacing w:after="100"/>
              <w:jc w:val="center"/>
              <w:rPr>
                <w:rFonts w:eastAsia="Times New Roman"/>
              </w:rPr>
            </w:pPr>
            <w:r>
              <w:rPr>
                <w:rFonts w:eastAsia="Times New Roman"/>
                <w:b/>
                <w:bCs/>
                <w:color w:val="000000"/>
                <w:sz w:val="18"/>
                <w:szCs w:val="18"/>
              </w:rPr>
              <w:t>September 26, 2021</w:t>
            </w:r>
          </w:p>
        </w:tc>
      </w:tr>
      <w:tr w:rsidR="00000000" w14:paraId="570E4BEB" w14:textId="77777777">
        <w:trPr>
          <w:divId w:val="1754279950"/>
        </w:trPr>
        <w:tc>
          <w:tcPr>
            <w:tcW w:w="0" w:type="auto"/>
            <w:gridSpan w:val="3"/>
            <w:tcMar>
              <w:top w:w="0" w:type="dxa"/>
              <w:left w:w="20" w:type="dxa"/>
              <w:bottom w:w="0" w:type="dxa"/>
              <w:right w:w="20" w:type="dxa"/>
            </w:tcMar>
            <w:vAlign w:val="center"/>
            <w:hideMark/>
          </w:tcPr>
          <w:p w14:paraId="56B0D7CF"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53F89D" w14:textId="77777777" w:rsidR="00000000" w:rsidRDefault="009B6C69">
            <w:pPr>
              <w:spacing w:after="100"/>
              <w:jc w:val="center"/>
              <w:rPr>
                <w:rFonts w:eastAsia="Times New Roman"/>
              </w:rPr>
            </w:pPr>
            <w:r>
              <w:rPr>
                <w:rFonts w:eastAsia="Times New Roman"/>
                <w:b/>
                <w:bCs/>
                <w:color w:val="000000"/>
                <w:sz w:val="18"/>
                <w:szCs w:val="18"/>
              </w:rPr>
              <w:t>Maturities</w:t>
            </w:r>
          </w:p>
        </w:tc>
        <w:tc>
          <w:tcPr>
            <w:tcW w:w="0" w:type="auto"/>
            <w:gridSpan w:val="3"/>
            <w:tcBorders>
              <w:top w:val="single" w:sz="8" w:space="0" w:color="000000"/>
            </w:tcBorders>
            <w:tcMar>
              <w:top w:w="0" w:type="dxa"/>
              <w:left w:w="20" w:type="dxa"/>
              <w:bottom w:w="0" w:type="dxa"/>
              <w:right w:w="20" w:type="dxa"/>
            </w:tcMar>
            <w:vAlign w:val="center"/>
            <w:hideMark/>
          </w:tcPr>
          <w:p w14:paraId="057585C4"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9964CE" w14:textId="77777777" w:rsidR="00000000" w:rsidRDefault="009B6C69">
            <w:pPr>
              <w:spacing w:after="100"/>
              <w:jc w:val="center"/>
              <w:rPr>
                <w:rFonts w:eastAsia="Times New Roman"/>
              </w:rPr>
            </w:pPr>
            <w:r>
              <w:rPr>
                <w:rFonts w:eastAsia="Times New Roman"/>
                <w:b/>
                <w:bCs/>
                <w:color w:val="000000"/>
                <w:sz w:val="18"/>
                <w:szCs w:val="18"/>
              </w:rPr>
              <w:t>Amount</w:t>
            </w:r>
            <w:r>
              <w:rPr>
                <w:rFonts w:eastAsia="Times New Roman"/>
                <w:b/>
                <w:bCs/>
                <w:color w:val="000000"/>
                <w:sz w:val="18"/>
                <w:szCs w:val="18"/>
              </w:rPr>
              <w:br/>
              <w:t>(in millions)</w:t>
            </w:r>
          </w:p>
        </w:tc>
        <w:tc>
          <w:tcPr>
            <w:tcW w:w="0" w:type="auto"/>
            <w:gridSpan w:val="3"/>
            <w:tcBorders>
              <w:top w:val="single" w:sz="8" w:space="0" w:color="000000"/>
            </w:tcBorders>
            <w:tcMar>
              <w:top w:w="0" w:type="dxa"/>
              <w:left w:w="20" w:type="dxa"/>
              <w:bottom w:w="0" w:type="dxa"/>
              <w:right w:w="20" w:type="dxa"/>
            </w:tcMar>
            <w:vAlign w:val="center"/>
            <w:hideMark/>
          </w:tcPr>
          <w:p w14:paraId="7FBCF9F0"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CD7ADB" w14:textId="77777777" w:rsidR="00000000" w:rsidRDefault="009B6C69">
            <w:pPr>
              <w:spacing w:after="100"/>
              <w:jc w:val="center"/>
              <w:rPr>
                <w:rFonts w:eastAsia="Times New Roman"/>
              </w:rPr>
            </w:pPr>
            <w:r>
              <w:rPr>
                <w:rFonts w:eastAsia="Times New Roman"/>
                <w:b/>
                <w:bCs/>
                <w:color w:val="000000"/>
                <w:sz w:val="18"/>
                <w:szCs w:val="18"/>
              </w:rPr>
              <w:t>Effective Rate</w:t>
            </w:r>
          </w:p>
        </w:tc>
        <w:tc>
          <w:tcPr>
            <w:tcW w:w="0" w:type="auto"/>
            <w:gridSpan w:val="3"/>
            <w:tcMar>
              <w:top w:w="0" w:type="dxa"/>
              <w:left w:w="20" w:type="dxa"/>
              <w:bottom w:w="0" w:type="dxa"/>
              <w:right w:w="20" w:type="dxa"/>
            </w:tcMar>
            <w:vAlign w:val="center"/>
            <w:hideMark/>
          </w:tcPr>
          <w:p w14:paraId="58EED10A"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D65049" w14:textId="77777777" w:rsidR="00000000" w:rsidRDefault="009B6C69">
            <w:pPr>
              <w:spacing w:after="100"/>
              <w:jc w:val="center"/>
              <w:rPr>
                <w:rFonts w:eastAsia="Times New Roman"/>
              </w:rPr>
            </w:pPr>
            <w:r>
              <w:rPr>
                <w:rFonts w:eastAsia="Times New Roman"/>
                <w:b/>
                <w:bCs/>
                <w:color w:val="000000"/>
                <w:sz w:val="18"/>
                <w:szCs w:val="18"/>
              </w:rPr>
              <w:t>Maturities</w:t>
            </w:r>
          </w:p>
        </w:tc>
        <w:tc>
          <w:tcPr>
            <w:tcW w:w="0" w:type="auto"/>
            <w:gridSpan w:val="3"/>
            <w:tcBorders>
              <w:top w:val="single" w:sz="8" w:space="0" w:color="000000"/>
            </w:tcBorders>
            <w:tcMar>
              <w:top w:w="0" w:type="dxa"/>
              <w:left w:w="20" w:type="dxa"/>
              <w:bottom w:w="0" w:type="dxa"/>
              <w:right w:w="20" w:type="dxa"/>
            </w:tcMar>
            <w:vAlign w:val="center"/>
            <w:hideMark/>
          </w:tcPr>
          <w:p w14:paraId="24D2F0B0"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68668E" w14:textId="77777777" w:rsidR="00000000" w:rsidRDefault="009B6C69">
            <w:pPr>
              <w:spacing w:after="100"/>
              <w:jc w:val="center"/>
              <w:rPr>
                <w:rFonts w:eastAsia="Times New Roman"/>
              </w:rPr>
            </w:pPr>
            <w:r>
              <w:rPr>
                <w:rFonts w:eastAsia="Times New Roman"/>
                <w:b/>
                <w:bCs/>
                <w:color w:val="000000"/>
                <w:sz w:val="18"/>
                <w:szCs w:val="18"/>
              </w:rPr>
              <w:t>Amount</w:t>
            </w:r>
            <w:r>
              <w:rPr>
                <w:rFonts w:eastAsia="Times New Roman"/>
                <w:b/>
                <w:bCs/>
                <w:color w:val="000000"/>
                <w:sz w:val="18"/>
                <w:szCs w:val="18"/>
              </w:rPr>
              <w:br/>
              <w:t>(in millions)</w:t>
            </w:r>
          </w:p>
        </w:tc>
        <w:tc>
          <w:tcPr>
            <w:tcW w:w="0" w:type="auto"/>
            <w:gridSpan w:val="3"/>
            <w:tcBorders>
              <w:top w:val="single" w:sz="8" w:space="0" w:color="000000"/>
            </w:tcBorders>
            <w:tcMar>
              <w:top w:w="0" w:type="dxa"/>
              <w:left w:w="20" w:type="dxa"/>
              <w:bottom w:w="0" w:type="dxa"/>
              <w:right w:w="20" w:type="dxa"/>
            </w:tcMar>
            <w:vAlign w:val="center"/>
            <w:hideMark/>
          </w:tcPr>
          <w:p w14:paraId="7F332E86" w14:textId="77777777" w:rsidR="00000000" w:rsidRDefault="009B6C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8CBBD2" w14:textId="77777777" w:rsidR="00000000" w:rsidRDefault="009B6C69">
            <w:pPr>
              <w:spacing w:after="100"/>
              <w:jc w:val="center"/>
              <w:rPr>
                <w:rFonts w:eastAsia="Times New Roman"/>
              </w:rPr>
            </w:pPr>
            <w:r>
              <w:rPr>
                <w:rFonts w:eastAsia="Times New Roman"/>
                <w:b/>
                <w:bCs/>
                <w:color w:val="000000"/>
                <w:sz w:val="18"/>
                <w:szCs w:val="18"/>
              </w:rPr>
              <w:t>Effective Rate</w:t>
            </w:r>
          </w:p>
        </w:tc>
      </w:tr>
      <w:tr w:rsidR="00000000" w14:paraId="5B8D92EE" w14:textId="77777777">
        <w:trPr>
          <w:divId w:val="1754279950"/>
        </w:trPr>
        <w:tc>
          <w:tcPr>
            <w:tcW w:w="0" w:type="auto"/>
            <w:gridSpan w:val="3"/>
            <w:shd w:val="clear" w:color="auto" w:fill="CCEEFF"/>
            <w:tcMar>
              <w:top w:w="30" w:type="dxa"/>
              <w:left w:w="20" w:type="dxa"/>
              <w:bottom w:w="30" w:type="dxa"/>
              <w:right w:w="20" w:type="dxa"/>
            </w:tcMar>
            <w:vAlign w:val="bottom"/>
            <w:hideMark/>
          </w:tcPr>
          <w:p w14:paraId="5A834E09" w14:textId="77777777" w:rsidR="00000000" w:rsidRDefault="009B6C69">
            <w:pPr>
              <w:spacing w:after="100"/>
              <w:rPr>
                <w:rFonts w:eastAsia="Times New Roman"/>
              </w:rPr>
            </w:pPr>
            <w:r>
              <w:rPr>
                <w:rFonts w:eastAsia="Times New Roman"/>
                <w:color w:val="000000"/>
                <w:sz w:val="18"/>
                <w:szCs w:val="18"/>
              </w:rPr>
              <w:t>May 2015 Notes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A559D09" w14:textId="77777777" w:rsidR="00000000" w:rsidRDefault="009B6C69">
            <w:pPr>
              <w:spacing w:after="100"/>
              <w:jc w:val="center"/>
              <w:rPr>
                <w:rFonts w:eastAsia="Times New Roman"/>
              </w:rPr>
            </w:pPr>
            <w:r>
              <w:rPr>
                <w:rFonts w:eastAsia="Times New Roman"/>
                <w:color w:val="000000"/>
                <w:sz w:val="18"/>
                <w:szCs w:val="18"/>
              </w:rPr>
              <w:t>2025 - 2045</w:t>
            </w:r>
          </w:p>
        </w:tc>
        <w:tc>
          <w:tcPr>
            <w:tcW w:w="0" w:type="auto"/>
            <w:gridSpan w:val="3"/>
            <w:shd w:val="clear" w:color="auto" w:fill="CCEEFF"/>
            <w:tcMar>
              <w:top w:w="0" w:type="dxa"/>
              <w:left w:w="20" w:type="dxa"/>
              <w:bottom w:w="0" w:type="dxa"/>
              <w:right w:w="20" w:type="dxa"/>
            </w:tcMar>
            <w:vAlign w:val="center"/>
            <w:hideMark/>
          </w:tcPr>
          <w:p w14:paraId="41766671" w14:textId="77777777" w:rsidR="00000000" w:rsidRDefault="009B6C69">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44E6C6"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561F15" w14:textId="77777777" w:rsidR="00000000" w:rsidRDefault="009B6C69">
            <w:pPr>
              <w:spacing w:after="100"/>
              <w:jc w:val="right"/>
              <w:rPr>
                <w:rFonts w:eastAsia="Times New Roman"/>
              </w:rPr>
            </w:pPr>
            <w:r>
              <w:rPr>
                <w:rFonts w:eastAsia="Times New Roman"/>
                <w:color w:val="000000"/>
                <w:sz w:val="18"/>
                <w:szCs w:val="18"/>
              </w:rPr>
              <w:t>3,865 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F34AD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8BB8C7" w14:textId="77777777" w:rsidR="00000000" w:rsidRDefault="009B6C69">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93CA8D8" w14:textId="77777777" w:rsidR="00000000" w:rsidRDefault="009B6C69">
            <w:pPr>
              <w:spacing w:after="100"/>
              <w:jc w:val="center"/>
              <w:rPr>
                <w:rFonts w:eastAsia="Times New Roman"/>
              </w:rPr>
            </w:pPr>
            <w:r>
              <w:rPr>
                <w:rFonts w:eastAsia="Times New Roman"/>
                <w:color w:val="000000"/>
                <w:sz w:val="18"/>
                <w:szCs w:val="18"/>
              </w:rPr>
              <w:t xml:space="preserve">3.46% - </w:t>
            </w:r>
            <w:r>
              <w:rPr>
                <w:rFonts w:eastAsia="Times New Roman"/>
                <w:color w:val="000000"/>
                <w:sz w:val="18"/>
                <w:szCs w:val="18"/>
              </w:rPr>
              <w:t>4.73%</w:t>
            </w:r>
          </w:p>
        </w:tc>
        <w:tc>
          <w:tcPr>
            <w:tcW w:w="0" w:type="auto"/>
            <w:gridSpan w:val="3"/>
            <w:shd w:val="clear" w:color="auto" w:fill="CCEEFF"/>
            <w:tcMar>
              <w:top w:w="0" w:type="dxa"/>
              <w:left w:w="20" w:type="dxa"/>
              <w:bottom w:w="0" w:type="dxa"/>
              <w:right w:w="20" w:type="dxa"/>
            </w:tcMar>
            <w:vAlign w:val="center"/>
            <w:hideMark/>
          </w:tcPr>
          <w:p w14:paraId="57265EBA" w14:textId="77777777" w:rsidR="00000000" w:rsidRDefault="009B6C69">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60CF3DD" w14:textId="77777777" w:rsidR="00000000" w:rsidRDefault="009B6C69">
            <w:pPr>
              <w:spacing w:after="100"/>
              <w:jc w:val="center"/>
              <w:rPr>
                <w:rFonts w:eastAsia="Times New Roman"/>
              </w:rPr>
            </w:pPr>
            <w:r>
              <w:rPr>
                <w:rFonts w:eastAsia="Times New Roman"/>
                <w:color w:val="000000"/>
                <w:sz w:val="18"/>
                <w:szCs w:val="18"/>
              </w:rPr>
              <w:t>2022 - 2045</w:t>
            </w:r>
          </w:p>
        </w:tc>
        <w:tc>
          <w:tcPr>
            <w:tcW w:w="0" w:type="auto"/>
            <w:gridSpan w:val="3"/>
            <w:shd w:val="clear" w:color="auto" w:fill="CCEEFF"/>
            <w:tcMar>
              <w:top w:w="0" w:type="dxa"/>
              <w:left w:w="20" w:type="dxa"/>
              <w:bottom w:w="0" w:type="dxa"/>
              <w:right w:w="20" w:type="dxa"/>
            </w:tcMar>
            <w:vAlign w:val="center"/>
            <w:hideMark/>
          </w:tcPr>
          <w:p w14:paraId="69F44D82" w14:textId="77777777" w:rsidR="00000000" w:rsidRDefault="009B6C69">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4E678A"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E707E0" w14:textId="77777777" w:rsidR="00000000" w:rsidRDefault="009B6C69">
            <w:pPr>
              <w:spacing w:after="100"/>
              <w:jc w:val="right"/>
              <w:rPr>
                <w:rFonts w:eastAsia="Times New Roman"/>
              </w:rPr>
            </w:pPr>
            <w:r>
              <w:rPr>
                <w:rFonts w:eastAsia="Times New Roman"/>
                <w:color w:val="000000"/>
                <w:sz w:val="18"/>
                <w:szCs w:val="18"/>
              </w:rPr>
              <w:t>5,405 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26080C"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0F8EDF" w14:textId="77777777" w:rsidR="00000000" w:rsidRDefault="009B6C69">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DE8EB09" w14:textId="77777777" w:rsidR="00000000" w:rsidRDefault="009B6C69">
            <w:pPr>
              <w:spacing w:after="100"/>
              <w:jc w:val="center"/>
              <w:rPr>
                <w:rFonts w:eastAsia="Times New Roman"/>
              </w:rPr>
            </w:pPr>
            <w:r>
              <w:rPr>
                <w:rFonts w:eastAsia="Times New Roman"/>
                <w:color w:val="000000"/>
                <w:sz w:val="18"/>
                <w:szCs w:val="18"/>
              </w:rPr>
              <w:t>2.63% - 4.73%</w:t>
            </w:r>
          </w:p>
        </w:tc>
      </w:tr>
      <w:tr w:rsidR="00000000" w14:paraId="68C6BB02" w14:textId="77777777">
        <w:trPr>
          <w:divId w:val="1754279950"/>
        </w:trPr>
        <w:tc>
          <w:tcPr>
            <w:tcW w:w="0" w:type="auto"/>
            <w:gridSpan w:val="3"/>
            <w:shd w:val="clear" w:color="auto" w:fill="FFFFFF"/>
            <w:tcMar>
              <w:top w:w="30" w:type="dxa"/>
              <w:left w:w="20" w:type="dxa"/>
              <w:bottom w:w="30" w:type="dxa"/>
              <w:right w:w="20" w:type="dxa"/>
            </w:tcMar>
            <w:vAlign w:val="bottom"/>
            <w:hideMark/>
          </w:tcPr>
          <w:p w14:paraId="614AAC6B" w14:textId="77777777" w:rsidR="00000000" w:rsidRDefault="009B6C69">
            <w:pPr>
              <w:spacing w:after="100"/>
              <w:rPr>
                <w:rFonts w:eastAsia="Times New Roman"/>
              </w:rPr>
            </w:pPr>
            <w:r>
              <w:rPr>
                <w:rFonts w:eastAsia="Times New Roman"/>
                <w:color w:val="000000"/>
                <w:sz w:val="18"/>
                <w:szCs w:val="18"/>
              </w:rPr>
              <w:t>May 2017 Notes</w:t>
            </w:r>
          </w:p>
        </w:tc>
        <w:tc>
          <w:tcPr>
            <w:tcW w:w="0" w:type="auto"/>
            <w:gridSpan w:val="3"/>
            <w:shd w:val="clear" w:color="auto" w:fill="FFFFFF"/>
            <w:tcMar>
              <w:top w:w="30" w:type="dxa"/>
              <w:left w:w="20" w:type="dxa"/>
              <w:bottom w:w="30" w:type="dxa"/>
              <w:right w:w="20" w:type="dxa"/>
            </w:tcMar>
            <w:vAlign w:val="bottom"/>
            <w:hideMark/>
          </w:tcPr>
          <w:p w14:paraId="08C57DA9" w14:textId="77777777" w:rsidR="00000000" w:rsidRDefault="009B6C69">
            <w:pPr>
              <w:spacing w:after="100"/>
              <w:jc w:val="center"/>
              <w:rPr>
                <w:rFonts w:eastAsia="Times New Roman"/>
              </w:rPr>
            </w:pPr>
            <w:r>
              <w:rPr>
                <w:rFonts w:eastAsia="Times New Roman"/>
                <w:color w:val="000000"/>
                <w:sz w:val="18"/>
                <w:szCs w:val="18"/>
              </w:rPr>
              <w:t>2023 - 2047</w:t>
            </w:r>
          </w:p>
        </w:tc>
        <w:tc>
          <w:tcPr>
            <w:tcW w:w="0" w:type="auto"/>
            <w:gridSpan w:val="3"/>
            <w:shd w:val="clear" w:color="auto" w:fill="FFFFFF"/>
            <w:tcMar>
              <w:top w:w="0" w:type="dxa"/>
              <w:left w:w="20" w:type="dxa"/>
              <w:bottom w:w="0" w:type="dxa"/>
              <w:right w:w="20" w:type="dxa"/>
            </w:tcMar>
            <w:vAlign w:val="center"/>
            <w:hideMark/>
          </w:tcPr>
          <w:p w14:paraId="1B726861" w14:textId="77777777" w:rsidR="00000000" w:rsidRDefault="009B6C69">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1B1C9F" w14:textId="77777777" w:rsidR="00000000" w:rsidRDefault="009B6C69">
            <w:pPr>
              <w:spacing w:after="100"/>
              <w:jc w:val="right"/>
              <w:rPr>
                <w:rFonts w:eastAsia="Times New Roman"/>
              </w:rPr>
            </w:pPr>
            <w:r>
              <w:rPr>
                <w:rFonts w:eastAsia="Times New Roman"/>
                <w:color w:val="000000"/>
                <w:sz w:val="18"/>
                <w:szCs w:val="18"/>
              </w:rPr>
              <w:t>5,860 </w:t>
            </w:r>
          </w:p>
        </w:tc>
        <w:tc>
          <w:tcPr>
            <w:tcW w:w="0" w:type="auto"/>
            <w:shd w:val="clear" w:color="auto" w:fill="FFFFFF"/>
            <w:tcMar>
              <w:top w:w="30" w:type="dxa"/>
              <w:left w:w="0" w:type="dxa"/>
              <w:bottom w:w="30" w:type="dxa"/>
              <w:right w:w="20" w:type="dxa"/>
            </w:tcMar>
            <w:vAlign w:val="bottom"/>
            <w:hideMark/>
          </w:tcPr>
          <w:p w14:paraId="1E25A8E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CD4EAE" w14:textId="77777777" w:rsidR="00000000" w:rsidRDefault="009B6C6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0503BDB" w14:textId="77777777" w:rsidR="00000000" w:rsidRDefault="009B6C69">
            <w:pPr>
              <w:spacing w:after="100"/>
              <w:jc w:val="center"/>
              <w:rPr>
                <w:rFonts w:eastAsia="Times New Roman"/>
              </w:rPr>
            </w:pPr>
            <w:r>
              <w:rPr>
                <w:rFonts w:eastAsia="Times New Roman"/>
                <w:color w:val="000000"/>
                <w:sz w:val="18"/>
                <w:szCs w:val="18"/>
              </w:rPr>
              <w:t>2.68% - 4.46%</w:t>
            </w:r>
          </w:p>
        </w:tc>
        <w:tc>
          <w:tcPr>
            <w:tcW w:w="0" w:type="auto"/>
            <w:gridSpan w:val="3"/>
            <w:shd w:val="clear" w:color="auto" w:fill="FFFFFF"/>
            <w:tcMar>
              <w:top w:w="0" w:type="dxa"/>
              <w:left w:w="20" w:type="dxa"/>
              <w:bottom w:w="0" w:type="dxa"/>
              <w:right w:w="20" w:type="dxa"/>
            </w:tcMar>
            <w:vAlign w:val="center"/>
            <w:hideMark/>
          </w:tcPr>
          <w:p w14:paraId="311527D0"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3A51595" w14:textId="77777777" w:rsidR="00000000" w:rsidRDefault="009B6C69">
            <w:pPr>
              <w:spacing w:after="100"/>
              <w:jc w:val="center"/>
              <w:rPr>
                <w:rFonts w:eastAsia="Times New Roman"/>
              </w:rPr>
            </w:pPr>
            <w:r>
              <w:rPr>
                <w:rFonts w:eastAsia="Times New Roman"/>
                <w:color w:val="000000"/>
                <w:sz w:val="18"/>
                <w:szCs w:val="18"/>
              </w:rPr>
              <w:t>2023 - 2047</w:t>
            </w:r>
          </w:p>
        </w:tc>
        <w:tc>
          <w:tcPr>
            <w:tcW w:w="0" w:type="auto"/>
            <w:gridSpan w:val="3"/>
            <w:shd w:val="clear" w:color="auto" w:fill="FFFFFF"/>
            <w:tcMar>
              <w:top w:w="0" w:type="dxa"/>
              <w:left w:w="20" w:type="dxa"/>
              <w:bottom w:w="0" w:type="dxa"/>
              <w:right w:w="20" w:type="dxa"/>
            </w:tcMar>
            <w:vAlign w:val="center"/>
            <w:hideMark/>
          </w:tcPr>
          <w:p w14:paraId="3F399F64" w14:textId="77777777" w:rsidR="00000000" w:rsidRDefault="009B6C69">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A483E4" w14:textId="77777777" w:rsidR="00000000" w:rsidRDefault="009B6C69">
            <w:pPr>
              <w:spacing w:after="100"/>
              <w:jc w:val="right"/>
              <w:rPr>
                <w:rFonts w:eastAsia="Times New Roman"/>
              </w:rPr>
            </w:pPr>
            <w:r>
              <w:rPr>
                <w:rFonts w:eastAsia="Times New Roman"/>
                <w:color w:val="000000"/>
                <w:sz w:val="18"/>
                <w:szCs w:val="18"/>
              </w:rPr>
              <w:t>5,860 </w:t>
            </w:r>
          </w:p>
        </w:tc>
        <w:tc>
          <w:tcPr>
            <w:tcW w:w="0" w:type="auto"/>
            <w:shd w:val="clear" w:color="auto" w:fill="FFFFFF"/>
            <w:tcMar>
              <w:top w:w="30" w:type="dxa"/>
              <w:left w:w="0" w:type="dxa"/>
              <w:bottom w:w="30" w:type="dxa"/>
              <w:right w:w="20" w:type="dxa"/>
            </w:tcMar>
            <w:vAlign w:val="bottom"/>
            <w:hideMark/>
          </w:tcPr>
          <w:p w14:paraId="62647D05"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1D15B0" w14:textId="77777777" w:rsidR="00000000" w:rsidRDefault="009B6C6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AD5D7DB" w14:textId="77777777" w:rsidR="00000000" w:rsidRDefault="009B6C69">
            <w:pPr>
              <w:spacing w:after="100"/>
              <w:jc w:val="center"/>
              <w:rPr>
                <w:rFonts w:eastAsia="Times New Roman"/>
              </w:rPr>
            </w:pPr>
            <w:r>
              <w:rPr>
                <w:rFonts w:eastAsia="Times New Roman"/>
                <w:color w:val="000000"/>
                <w:sz w:val="18"/>
                <w:szCs w:val="18"/>
              </w:rPr>
              <w:t>0.92% - 4.46%</w:t>
            </w:r>
          </w:p>
        </w:tc>
      </w:tr>
      <w:tr w:rsidR="00000000" w14:paraId="3B2201FE" w14:textId="77777777">
        <w:trPr>
          <w:divId w:val="1754279950"/>
        </w:trPr>
        <w:tc>
          <w:tcPr>
            <w:tcW w:w="0" w:type="auto"/>
            <w:gridSpan w:val="3"/>
            <w:shd w:val="clear" w:color="auto" w:fill="CCEEFF"/>
            <w:tcMar>
              <w:top w:w="30" w:type="dxa"/>
              <w:left w:w="20" w:type="dxa"/>
              <w:bottom w:w="30" w:type="dxa"/>
              <w:right w:w="20" w:type="dxa"/>
            </w:tcMar>
            <w:vAlign w:val="bottom"/>
            <w:hideMark/>
          </w:tcPr>
          <w:p w14:paraId="2B011C63" w14:textId="77777777" w:rsidR="00000000" w:rsidRDefault="009B6C69">
            <w:pPr>
              <w:spacing w:after="100"/>
              <w:rPr>
                <w:rFonts w:eastAsia="Times New Roman"/>
              </w:rPr>
            </w:pPr>
            <w:r>
              <w:rPr>
                <w:rFonts w:eastAsia="Times New Roman"/>
                <w:color w:val="000000"/>
                <w:sz w:val="18"/>
                <w:szCs w:val="18"/>
              </w:rPr>
              <w:t>May 2020 Notes</w:t>
            </w:r>
          </w:p>
        </w:tc>
        <w:tc>
          <w:tcPr>
            <w:tcW w:w="0" w:type="auto"/>
            <w:gridSpan w:val="3"/>
            <w:shd w:val="clear" w:color="auto" w:fill="CCEEFF"/>
            <w:tcMar>
              <w:top w:w="30" w:type="dxa"/>
              <w:left w:w="20" w:type="dxa"/>
              <w:bottom w:w="30" w:type="dxa"/>
              <w:right w:w="20" w:type="dxa"/>
            </w:tcMar>
            <w:vAlign w:val="bottom"/>
            <w:hideMark/>
          </w:tcPr>
          <w:p w14:paraId="64AAC194" w14:textId="77777777" w:rsidR="00000000" w:rsidRDefault="009B6C69">
            <w:pPr>
              <w:spacing w:after="100"/>
              <w:jc w:val="center"/>
              <w:rPr>
                <w:rFonts w:eastAsia="Times New Roman"/>
              </w:rPr>
            </w:pPr>
            <w:r>
              <w:rPr>
                <w:rFonts w:eastAsia="Times New Roman"/>
                <w:color w:val="000000"/>
                <w:sz w:val="18"/>
                <w:szCs w:val="18"/>
              </w:rPr>
              <w:t>2030 - 2050</w:t>
            </w:r>
          </w:p>
        </w:tc>
        <w:tc>
          <w:tcPr>
            <w:tcW w:w="0" w:type="auto"/>
            <w:gridSpan w:val="3"/>
            <w:shd w:val="clear" w:color="auto" w:fill="CCEEFF"/>
            <w:tcMar>
              <w:top w:w="0" w:type="dxa"/>
              <w:left w:w="20" w:type="dxa"/>
              <w:bottom w:w="0" w:type="dxa"/>
              <w:right w:w="20" w:type="dxa"/>
            </w:tcMar>
            <w:vAlign w:val="center"/>
            <w:hideMark/>
          </w:tcPr>
          <w:p w14:paraId="05D12CC7" w14:textId="77777777" w:rsidR="00000000" w:rsidRDefault="009B6C69">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AF71E2" w14:textId="77777777" w:rsidR="00000000" w:rsidRDefault="009B6C69">
            <w:pPr>
              <w:spacing w:after="100"/>
              <w:jc w:val="right"/>
              <w:rPr>
                <w:rFonts w:eastAsia="Times New Roman"/>
              </w:rPr>
            </w:pPr>
            <w:r>
              <w:rPr>
                <w:rFonts w:eastAsia="Times New Roman"/>
                <w:color w:val="000000"/>
                <w:sz w:val="18"/>
                <w:szCs w:val="18"/>
              </w:rPr>
              <w:t>2,000 </w:t>
            </w:r>
          </w:p>
        </w:tc>
        <w:tc>
          <w:tcPr>
            <w:tcW w:w="0" w:type="auto"/>
            <w:shd w:val="clear" w:color="auto" w:fill="CCEEFF"/>
            <w:tcMar>
              <w:top w:w="30" w:type="dxa"/>
              <w:left w:w="0" w:type="dxa"/>
              <w:bottom w:w="30" w:type="dxa"/>
              <w:right w:w="20" w:type="dxa"/>
            </w:tcMar>
            <w:vAlign w:val="bottom"/>
            <w:hideMark/>
          </w:tcPr>
          <w:p w14:paraId="19B0CFA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1B30BB" w14:textId="77777777" w:rsidR="00000000" w:rsidRDefault="009B6C6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1294176" w14:textId="77777777" w:rsidR="00000000" w:rsidRDefault="009B6C69">
            <w:pPr>
              <w:spacing w:after="100"/>
              <w:jc w:val="center"/>
              <w:rPr>
                <w:rFonts w:eastAsia="Times New Roman"/>
              </w:rPr>
            </w:pPr>
            <w:r>
              <w:rPr>
                <w:rFonts w:eastAsia="Times New Roman"/>
                <w:color w:val="000000"/>
                <w:sz w:val="18"/>
                <w:szCs w:val="18"/>
              </w:rPr>
              <w:t>2.97% - 3.30%</w:t>
            </w:r>
          </w:p>
        </w:tc>
        <w:tc>
          <w:tcPr>
            <w:tcW w:w="0" w:type="auto"/>
            <w:gridSpan w:val="3"/>
            <w:shd w:val="clear" w:color="auto" w:fill="CCEEFF"/>
            <w:tcMar>
              <w:top w:w="0" w:type="dxa"/>
              <w:left w:w="20" w:type="dxa"/>
              <w:bottom w:w="0" w:type="dxa"/>
              <w:right w:w="20" w:type="dxa"/>
            </w:tcMar>
            <w:vAlign w:val="center"/>
            <w:hideMark/>
          </w:tcPr>
          <w:p w14:paraId="66C1294D" w14:textId="77777777" w:rsidR="00000000" w:rsidRDefault="009B6C6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B5A5C38" w14:textId="77777777" w:rsidR="00000000" w:rsidRDefault="009B6C69">
            <w:pPr>
              <w:spacing w:after="100"/>
              <w:jc w:val="center"/>
              <w:rPr>
                <w:rFonts w:eastAsia="Times New Roman"/>
              </w:rPr>
            </w:pPr>
            <w:r>
              <w:rPr>
                <w:rFonts w:eastAsia="Times New Roman"/>
                <w:color w:val="000000"/>
                <w:sz w:val="18"/>
                <w:szCs w:val="18"/>
              </w:rPr>
              <w:t>2030 - 2050</w:t>
            </w:r>
          </w:p>
        </w:tc>
        <w:tc>
          <w:tcPr>
            <w:tcW w:w="0" w:type="auto"/>
            <w:gridSpan w:val="3"/>
            <w:shd w:val="clear" w:color="auto" w:fill="CCEEFF"/>
            <w:tcMar>
              <w:top w:w="0" w:type="dxa"/>
              <w:left w:w="20" w:type="dxa"/>
              <w:bottom w:w="0" w:type="dxa"/>
              <w:right w:w="20" w:type="dxa"/>
            </w:tcMar>
            <w:vAlign w:val="center"/>
            <w:hideMark/>
          </w:tcPr>
          <w:p w14:paraId="7490A3BC" w14:textId="77777777" w:rsidR="00000000" w:rsidRDefault="009B6C69">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E669DE" w14:textId="77777777" w:rsidR="00000000" w:rsidRDefault="009B6C69">
            <w:pPr>
              <w:spacing w:after="100"/>
              <w:jc w:val="right"/>
              <w:rPr>
                <w:rFonts w:eastAsia="Times New Roman"/>
              </w:rPr>
            </w:pPr>
            <w:r>
              <w:rPr>
                <w:rFonts w:eastAsia="Times New Roman"/>
                <w:color w:val="000000"/>
                <w:sz w:val="18"/>
                <w:szCs w:val="18"/>
              </w:rPr>
              <w:t>2,000 </w:t>
            </w:r>
          </w:p>
        </w:tc>
        <w:tc>
          <w:tcPr>
            <w:tcW w:w="0" w:type="auto"/>
            <w:shd w:val="clear" w:color="auto" w:fill="CCEEFF"/>
            <w:tcMar>
              <w:top w:w="30" w:type="dxa"/>
              <w:left w:w="0" w:type="dxa"/>
              <w:bottom w:w="30" w:type="dxa"/>
              <w:right w:w="20" w:type="dxa"/>
            </w:tcMar>
            <w:vAlign w:val="bottom"/>
            <w:hideMark/>
          </w:tcPr>
          <w:p w14:paraId="01784C2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0F5527" w14:textId="77777777" w:rsidR="00000000" w:rsidRDefault="009B6C6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A42AE36" w14:textId="77777777" w:rsidR="00000000" w:rsidRDefault="009B6C69">
            <w:pPr>
              <w:spacing w:after="100"/>
              <w:jc w:val="center"/>
              <w:rPr>
                <w:rFonts w:eastAsia="Times New Roman"/>
              </w:rPr>
            </w:pPr>
            <w:r>
              <w:rPr>
                <w:rFonts w:eastAsia="Times New Roman"/>
                <w:color w:val="000000"/>
                <w:sz w:val="18"/>
                <w:szCs w:val="18"/>
              </w:rPr>
              <w:t>2.31% - 3.30%</w:t>
            </w:r>
          </w:p>
        </w:tc>
      </w:tr>
      <w:tr w:rsidR="00000000" w14:paraId="7B9C45F6" w14:textId="77777777">
        <w:trPr>
          <w:divId w:val="1754279950"/>
        </w:trPr>
        <w:tc>
          <w:tcPr>
            <w:tcW w:w="0" w:type="auto"/>
            <w:gridSpan w:val="3"/>
            <w:shd w:val="clear" w:color="auto" w:fill="FFFFFF"/>
            <w:tcMar>
              <w:top w:w="30" w:type="dxa"/>
              <w:left w:w="20" w:type="dxa"/>
              <w:bottom w:w="30" w:type="dxa"/>
              <w:right w:w="20" w:type="dxa"/>
            </w:tcMar>
            <w:vAlign w:val="bottom"/>
            <w:hideMark/>
          </w:tcPr>
          <w:p w14:paraId="22B345D7" w14:textId="77777777" w:rsidR="00000000" w:rsidRDefault="009B6C69">
            <w:pPr>
              <w:spacing w:after="100"/>
              <w:rPr>
                <w:rFonts w:eastAsia="Times New Roman"/>
              </w:rPr>
            </w:pPr>
            <w:r>
              <w:rPr>
                <w:rFonts w:eastAsia="Times New Roman"/>
                <w:color w:val="000000"/>
                <w:sz w:val="18"/>
                <w:szCs w:val="18"/>
              </w:rPr>
              <w:t>August 2020 Notes</w:t>
            </w:r>
          </w:p>
        </w:tc>
        <w:tc>
          <w:tcPr>
            <w:tcW w:w="0" w:type="auto"/>
            <w:gridSpan w:val="3"/>
            <w:shd w:val="clear" w:color="auto" w:fill="FFFFFF"/>
            <w:tcMar>
              <w:top w:w="30" w:type="dxa"/>
              <w:left w:w="20" w:type="dxa"/>
              <w:bottom w:w="30" w:type="dxa"/>
              <w:right w:w="20" w:type="dxa"/>
            </w:tcMar>
            <w:vAlign w:val="bottom"/>
            <w:hideMark/>
          </w:tcPr>
          <w:p w14:paraId="528B1768" w14:textId="77777777" w:rsidR="00000000" w:rsidRDefault="009B6C69">
            <w:pPr>
              <w:spacing w:after="100"/>
              <w:jc w:val="center"/>
              <w:rPr>
                <w:rFonts w:eastAsia="Times New Roman"/>
              </w:rPr>
            </w:pPr>
            <w:r>
              <w:rPr>
                <w:rFonts w:eastAsia="Times New Roman"/>
                <w:color w:val="000000"/>
                <w:sz w:val="18"/>
                <w:szCs w:val="18"/>
              </w:rPr>
              <w:t>2028 - 2032</w:t>
            </w:r>
          </w:p>
        </w:tc>
        <w:tc>
          <w:tcPr>
            <w:tcW w:w="0" w:type="auto"/>
            <w:gridSpan w:val="3"/>
            <w:shd w:val="clear" w:color="auto" w:fill="FFFFFF"/>
            <w:tcMar>
              <w:top w:w="0" w:type="dxa"/>
              <w:left w:w="20" w:type="dxa"/>
              <w:bottom w:w="0" w:type="dxa"/>
              <w:right w:w="20" w:type="dxa"/>
            </w:tcMar>
            <w:vAlign w:val="center"/>
            <w:hideMark/>
          </w:tcPr>
          <w:p w14:paraId="3D0DC381" w14:textId="77777777" w:rsidR="00000000" w:rsidRDefault="009B6C69">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11F3B8" w14:textId="77777777" w:rsidR="00000000" w:rsidRDefault="009B6C69">
            <w:pPr>
              <w:spacing w:after="100"/>
              <w:jc w:val="right"/>
              <w:rPr>
                <w:rFonts w:eastAsia="Times New Roman"/>
              </w:rPr>
            </w:pPr>
            <w:r>
              <w:rPr>
                <w:rFonts w:eastAsia="Times New Roman"/>
                <w:color w:val="000000"/>
                <w:sz w:val="18"/>
                <w:szCs w:val="18"/>
              </w:rPr>
              <w:t>2,207 </w:t>
            </w:r>
          </w:p>
        </w:tc>
        <w:tc>
          <w:tcPr>
            <w:tcW w:w="0" w:type="auto"/>
            <w:shd w:val="clear" w:color="auto" w:fill="FFFFFF"/>
            <w:tcMar>
              <w:top w:w="30" w:type="dxa"/>
              <w:left w:w="0" w:type="dxa"/>
              <w:bottom w:w="30" w:type="dxa"/>
              <w:right w:w="20" w:type="dxa"/>
            </w:tcMar>
            <w:vAlign w:val="bottom"/>
            <w:hideMark/>
          </w:tcPr>
          <w:p w14:paraId="4FBFBB1A"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79A572" w14:textId="77777777" w:rsidR="00000000" w:rsidRDefault="009B6C6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ACCC774" w14:textId="77777777" w:rsidR="00000000" w:rsidRDefault="009B6C69">
            <w:pPr>
              <w:spacing w:after="100"/>
              <w:jc w:val="center"/>
              <w:rPr>
                <w:rFonts w:eastAsia="Times New Roman"/>
              </w:rPr>
            </w:pPr>
            <w:r>
              <w:rPr>
                <w:rFonts w:eastAsia="Times New Roman"/>
                <w:color w:val="000000"/>
                <w:sz w:val="18"/>
                <w:szCs w:val="18"/>
              </w:rPr>
              <w:t>2.50% - 3.52%</w:t>
            </w:r>
          </w:p>
        </w:tc>
        <w:tc>
          <w:tcPr>
            <w:tcW w:w="0" w:type="auto"/>
            <w:gridSpan w:val="3"/>
            <w:shd w:val="clear" w:color="auto" w:fill="FFFFFF"/>
            <w:tcMar>
              <w:top w:w="0" w:type="dxa"/>
              <w:left w:w="20" w:type="dxa"/>
              <w:bottom w:w="0" w:type="dxa"/>
              <w:right w:w="20" w:type="dxa"/>
            </w:tcMar>
            <w:vAlign w:val="center"/>
            <w:hideMark/>
          </w:tcPr>
          <w:p w14:paraId="3D0C7A18" w14:textId="77777777" w:rsidR="00000000" w:rsidRDefault="009B6C6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2B4B31A" w14:textId="77777777" w:rsidR="00000000" w:rsidRDefault="009B6C69">
            <w:pPr>
              <w:spacing w:after="100"/>
              <w:jc w:val="center"/>
              <w:rPr>
                <w:rFonts w:eastAsia="Times New Roman"/>
              </w:rPr>
            </w:pPr>
            <w:r>
              <w:rPr>
                <w:rFonts w:eastAsia="Times New Roman"/>
                <w:color w:val="000000"/>
                <w:sz w:val="18"/>
                <w:szCs w:val="18"/>
              </w:rPr>
              <w:t>2028 - 2032</w:t>
            </w:r>
          </w:p>
        </w:tc>
        <w:tc>
          <w:tcPr>
            <w:tcW w:w="0" w:type="auto"/>
            <w:gridSpan w:val="3"/>
            <w:shd w:val="clear" w:color="auto" w:fill="FFFFFF"/>
            <w:tcMar>
              <w:top w:w="0" w:type="dxa"/>
              <w:left w:w="20" w:type="dxa"/>
              <w:bottom w:w="0" w:type="dxa"/>
              <w:right w:w="20" w:type="dxa"/>
            </w:tcMar>
            <w:vAlign w:val="center"/>
            <w:hideMark/>
          </w:tcPr>
          <w:p w14:paraId="0947B1C2" w14:textId="77777777" w:rsidR="00000000" w:rsidRDefault="009B6C69">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7B13A1" w14:textId="77777777" w:rsidR="00000000" w:rsidRDefault="009B6C69">
            <w:pPr>
              <w:spacing w:after="100"/>
              <w:jc w:val="right"/>
              <w:rPr>
                <w:rFonts w:eastAsia="Times New Roman"/>
              </w:rPr>
            </w:pPr>
            <w:r>
              <w:rPr>
                <w:rFonts w:eastAsia="Times New Roman"/>
                <w:color w:val="000000"/>
                <w:sz w:val="18"/>
                <w:szCs w:val="18"/>
              </w:rPr>
              <w:t>2,207 </w:t>
            </w:r>
          </w:p>
        </w:tc>
        <w:tc>
          <w:tcPr>
            <w:tcW w:w="0" w:type="auto"/>
            <w:shd w:val="clear" w:color="auto" w:fill="FFFFFF"/>
            <w:tcMar>
              <w:top w:w="30" w:type="dxa"/>
              <w:left w:w="0" w:type="dxa"/>
              <w:bottom w:w="30" w:type="dxa"/>
              <w:right w:w="20" w:type="dxa"/>
            </w:tcMar>
            <w:vAlign w:val="bottom"/>
            <w:hideMark/>
          </w:tcPr>
          <w:p w14:paraId="72ACCB25"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FA4B77" w14:textId="77777777" w:rsidR="00000000" w:rsidRDefault="009B6C6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22E0C57" w14:textId="77777777" w:rsidR="00000000" w:rsidRDefault="009B6C69">
            <w:pPr>
              <w:spacing w:after="100"/>
              <w:jc w:val="center"/>
              <w:rPr>
                <w:rFonts w:eastAsia="Times New Roman"/>
              </w:rPr>
            </w:pPr>
            <w:r>
              <w:rPr>
                <w:rFonts w:eastAsia="Times New Roman"/>
                <w:color w:val="000000"/>
                <w:sz w:val="18"/>
                <w:szCs w:val="18"/>
              </w:rPr>
              <w:t>1.98% - 2.66%</w:t>
            </w:r>
          </w:p>
        </w:tc>
      </w:tr>
      <w:tr w:rsidR="00000000" w14:paraId="0428C122" w14:textId="77777777">
        <w:trPr>
          <w:divId w:val="1754279950"/>
        </w:trPr>
        <w:tc>
          <w:tcPr>
            <w:tcW w:w="0" w:type="auto"/>
            <w:gridSpan w:val="3"/>
            <w:shd w:val="clear" w:color="auto" w:fill="CCEEFF"/>
            <w:tcMar>
              <w:top w:w="30" w:type="dxa"/>
              <w:left w:w="20" w:type="dxa"/>
              <w:bottom w:w="30" w:type="dxa"/>
              <w:right w:w="20" w:type="dxa"/>
            </w:tcMar>
            <w:vAlign w:val="bottom"/>
            <w:hideMark/>
          </w:tcPr>
          <w:p w14:paraId="3534DED6" w14:textId="77777777" w:rsidR="00000000" w:rsidRDefault="009B6C69">
            <w:pPr>
              <w:spacing w:after="100"/>
              <w:rPr>
                <w:rFonts w:eastAsia="Times New Roman"/>
              </w:rPr>
            </w:pPr>
            <w:r>
              <w:rPr>
                <w:rFonts w:eastAsia="Times New Roman"/>
                <w:color w:val="000000"/>
                <w:sz w:val="18"/>
                <w:szCs w:val="18"/>
              </w:rPr>
              <w:t>May 2022 Notes</w:t>
            </w:r>
          </w:p>
        </w:tc>
        <w:tc>
          <w:tcPr>
            <w:tcW w:w="0" w:type="auto"/>
            <w:gridSpan w:val="3"/>
            <w:shd w:val="clear" w:color="auto" w:fill="CCEEFF"/>
            <w:tcMar>
              <w:top w:w="30" w:type="dxa"/>
              <w:left w:w="20" w:type="dxa"/>
              <w:bottom w:w="30" w:type="dxa"/>
              <w:right w:w="20" w:type="dxa"/>
            </w:tcMar>
            <w:vAlign w:val="bottom"/>
            <w:hideMark/>
          </w:tcPr>
          <w:p w14:paraId="485583F2" w14:textId="77777777" w:rsidR="00000000" w:rsidRDefault="009B6C69">
            <w:pPr>
              <w:spacing w:after="100"/>
              <w:jc w:val="center"/>
              <w:rPr>
                <w:rFonts w:eastAsia="Times New Roman"/>
              </w:rPr>
            </w:pPr>
            <w:r>
              <w:rPr>
                <w:rFonts w:eastAsia="Times New Roman"/>
                <w:color w:val="000000"/>
                <w:sz w:val="18"/>
                <w:szCs w:val="18"/>
              </w:rPr>
              <w:t>2032 - 2052</w:t>
            </w:r>
          </w:p>
        </w:tc>
        <w:tc>
          <w:tcPr>
            <w:tcW w:w="0" w:type="auto"/>
            <w:gridSpan w:val="3"/>
            <w:shd w:val="clear" w:color="auto" w:fill="CCEEFF"/>
            <w:tcMar>
              <w:top w:w="0" w:type="dxa"/>
              <w:left w:w="20" w:type="dxa"/>
              <w:bottom w:w="0" w:type="dxa"/>
              <w:right w:w="20" w:type="dxa"/>
            </w:tcMar>
            <w:vAlign w:val="center"/>
            <w:hideMark/>
          </w:tcPr>
          <w:p w14:paraId="13B3AA57" w14:textId="77777777" w:rsidR="00000000" w:rsidRDefault="009B6C69">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9A93C2" w14:textId="77777777" w:rsidR="00000000" w:rsidRDefault="009B6C69">
            <w:pPr>
              <w:spacing w:after="100"/>
              <w:jc w:val="right"/>
              <w:rPr>
                <w:rFonts w:eastAsia="Times New Roman"/>
              </w:rPr>
            </w:pPr>
            <w:r>
              <w:rPr>
                <w:rFonts w:eastAsia="Times New Roman"/>
                <w:color w:val="000000"/>
                <w:sz w:val="18"/>
                <w:szCs w:val="18"/>
              </w:rPr>
              <w:t>1,500 </w:t>
            </w:r>
          </w:p>
        </w:tc>
        <w:tc>
          <w:tcPr>
            <w:tcW w:w="0" w:type="auto"/>
            <w:shd w:val="clear" w:color="auto" w:fill="CCEEFF"/>
            <w:tcMar>
              <w:top w:w="30" w:type="dxa"/>
              <w:left w:w="0" w:type="dxa"/>
              <w:bottom w:w="30" w:type="dxa"/>
              <w:right w:w="20" w:type="dxa"/>
            </w:tcMar>
            <w:vAlign w:val="bottom"/>
            <w:hideMark/>
          </w:tcPr>
          <w:p w14:paraId="3B23769C"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89FF55" w14:textId="77777777" w:rsidR="00000000" w:rsidRDefault="009B6C6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B1556B6" w14:textId="77777777" w:rsidR="00000000" w:rsidRDefault="009B6C69">
            <w:pPr>
              <w:spacing w:after="100"/>
              <w:jc w:val="center"/>
              <w:rPr>
                <w:rFonts w:eastAsia="Times New Roman"/>
              </w:rPr>
            </w:pPr>
            <w:r>
              <w:rPr>
                <w:rFonts w:eastAsia="Times New Roman"/>
                <w:color w:val="000000"/>
                <w:sz w:val="18"/>
                <w:szCs w:val="18"/>
              </w:rPr>
              <w:t>3.13% - 4.26%</w:t>
            </w:r>
          </w:p>
        </w:tc>
        <w:tc>
          <w:tcPr>
            <w:tcW w:w="0" w:type="auto"/>
            <w:gridSpan w:val="3"/>
            <w:shd w:val="clear" w:color="auto" w:fill="CCEEFF"/>
            <w:tcMar>
              <w:top w:w="0" w:type="dxa"/>
              <w:left w:w="20" w:type="dxa"/>
              <w:bottom w:w="0" w:type="dxa"/>
              <w:right w:w="20" w:type="dxa"/>
            </w:tcMar>
            <w:vAlign w:val="center"/>
            <w:hideMark/>
          </w:tcPr>
          <w:p w14:paraId="7CAC8777" w14:textId="77777777" w:rsidR="00000000" w:rsidRDefault="009B6C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D5CA1C"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B73A9D"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50537B"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D9F7A3C"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211901" w14:textId="77777777" w:rsidR="00000000" w:rsidRDefault="009B6C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C90099" w14:textId="77777777" w:rsidR="00000000" w:rsidRDefault="009B6C69">
            <w:pPr>
              <w:spacing w:after="100"/>
              <w:rPr>
                <w:rFonts w:eastAsia="Times New Roman"/>
                <w:sz w:val="20"/>
                <w:szCs w:val="20"/>
              </w:rPr>
            </w:pPr>
          </w:p>
        </w:tc>
      </w:tr>
      <w:tr w:rsidR="00000000" w14:paraId="3C3F41A1" w14:textId="77777777">
        <w:trPr>
          <w:divId w:val="1754279950"/>
        </w:trPr>
        <w:tc>
          <w:tcPr>
            <w:tcW w:w="0" w:type="auto"/>
            <w:gridSpan w:val="3"/>
            <w:shd w:val="clear" w:color="auto" w:fill="FFFFFF"/>
            <w:tcMar>
              <w:top w:w="30" w:type="dxa"/>
              <w:left w:w="155" w:type="dxa"/>
              <w:bottom w:w="30" w:type="dxa"/>
              <w:right w:w="20" w:type="dxa"/>
            </w:tcMar>
            <w:vAlign w:val="bottom"/>
            <w:hideMark/>
          </w:tcPr>
          <w:p w14:paraId="2A85D6C5" w14:textId="77777777" w:rsidR="00000000" w:rsidRDefault="009B6C69">
            <w:pPr>
              <w:spacing w:after="100"/>
              <w:rPr>
                <w:rFonts w:eastAsia="Times New Roman"/>
              </w:rPr>
            </w:pPr>
            <w:r>
              <w:rPr>
                <w:rFonts w:eastAsia="Times New Roman"/>
                <w:color w:val="000000"/>
                <w:sz w:val="18"/>
                <w:szCs w:val="18"/>
              </w:rPr>
              <w:t>Total principal</w:t>
            </w:r>
          </w:p>
        </w:tc>
        <w:tc>
          <w:tcPr>
            <w:tcW w:w="0" w:type="auto"/>
            <w:gridSpan w:val="3"/>
            <w:shd w:val="clear" w:color="auto" w:fill="FFFFFF"/>
            <w:tcMar>
              <w:top w:w="0" w:type="dxa"/>
              <w:left w:w="20" w:type="dxa"/>
              <w:bottom w:w="0" w:type="dxa"/>
              <w:right w:w="20" w:type="dxa"/>
            </w:tcMar>
            <w:vAlign w:val="center"/>
            <w:hideMark/>
          </w:tcPr>
          <w:p w14:paraId="6B8D1DDA" w14:textId="77777777" w:rsidR="00000000" w:rsidRDefault="009B6C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BF2FAE" w14:textId="77777777" w:rsidR="00000000" w:rsidRDefault="009B6C69">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94E6E1" w14:textId="77777777" w:rsidR="00000000" w:rsidRDefault="009B6C69">
            <w:pPr>
              <w:spacing w:after="100"/>
              <w:jc w:val="right"/>
              <w:rPr>
                <w:rFonts w:eastAsia="Times New Roman"/>
              </w:rPr>
            </w:pPr>
            <w:r>
              <w:rPr>
                <w:rFonts w:eastAsia="Times New Roman"/>
                <w:color w:val="000000"/>
                <w:sz w:val="18"/>
                <w:szCs w:val="18"/>
              </w:rPr>
              <w:t>15,432 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69EFD9"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2334D1" w14:textId="77777777" w:rsidR="00000000" w:rsidRDefault="009B6C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AE1FBA"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03E854"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F4BC7A"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EF659F" w14:textId="77777777" w:rsidR="00000000" w:rsidRDefault="009B6C69">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1A3B4F" w14:textId="77777777" w:rsidR="00000000" w:rsidRDefault="009B6C69">
            <w:pPr>
              <w:spacing w:after="100"/>
              <w:jc w:val="right"/>
              <w:rPr>
                <w:rFonts w:eastAsia="Times New Roman"/>
              </w:rPr>
            </w:pPr>
            <w:r>
              <w:rPr>
                <w:rFonts w:eastAsia="Times New Roman"/>
                <w:color w:val="000000"/>
                <w:sz w:val="18"/>
                <w:szCs w:val="18"/>
              </w:rPr>
              <w:t>15,472 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622888"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B9B349" w14:textId="77777777" w:rsidR="00000000" w:rsidRDefault="009B6C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1FD51C" w14:textId="77777777" w:rsidR="00000000" w:rsidRDefault="009B6C69">
            <w:pPr>
              <w:spacing w:after="100"/>
              <w:rPr>
                <w:rFonts w:eastAsia="Times New Roman"/>
                <w:sz w:val="20"/>
                <w:szCs w:val="20"/>
              </w:rPr>
            </w:pPr>
          </w:p>
        </w:tc>
      </w:tr>
      <w:tr w:rsidR="00000000" w14:paraId="027588AB" w14:textId="77777777">
        <w:trPr>
          <w:divId w:val="1754279950"/>
        </w:trPr>
        <w:tc>
          <w:tcPr>
            <w:tcW w:w="0" w:type="auto"/>
            <w:gridSpan w:val="6"/>
            <w:shd w:val="clear" w:color="auto" w:fill="CCEEFF"/>
            <w:tcMar>
              <w:top w:w="30" w:type="dxa"/>
              <w:left w:w="20" w:type="dxa"/>
              <w:bottom w:w="30" w:type="dxa"/>
              <w:right w:w="20" w:type="dxa"/>
            </w:tcMar>
            <w:vAlign w:val="bottom"/>
            <w:hideMark/>
          </w:tcPr>
          <w:p w14:paraId="61C588A4" w14:textId="77777777" w:rsidR="00000000" w:rsidRDefault="009B6C69">
            <w:pPr>
              <w:spacing w:after="100"/>
              <w:rPr>
                <w:rFonts w:eastAsia="Times New Roman"/>
              </w:rPr>
            </w:pPr>
            <w:r>
              <w:rPr>
                <w:rFonts w:eastAsia="Times New Roman"/>
                <w:color w:val="000000"/>
                <w:sz w:val="18"/>
                <w:szCs w:val="18"/>
              </w:rPr>
              <w:t>Unamortized discount, including debt issuance costs</w:t>
            </w:r>
          </w:p>
        </w:tc>
        <w:tc>
          <w:tcPr>
            <w:tcW w:w="0" w:type="auto"/>
            <w:gridSpan w:val="3"/>
            <w:shd w:val="clear" w:color="auto" w:fill="CCEEFF"/>
            <w:tcMar>
              <w:top w:w="0" w:type="dxa"/>
              <w:left w:w="20" w:type="dxa"/>
              <w:bottom w:w="0" w:type="dxa"/>
              <w:right w:w="20" w:type="dxa"/>
            </w:tcMar>
            <w:vAlign w:val="center"/>
            <w:hideMark/>
          </w:tcPr>
          <w:p w14:paraId="7217DC88" w14:textId="77777777" w:rsidR="00000000" w:rsidRDefault="009B6C6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744F42" w14:textId="77777777" w:rsidR="00000000" w:rsidRDefault="009B6C69">
            <w:pPr>
              <w:spacing w:after="100"/>
              <w:jc w:val="right"/>
              <w:rPr>
                <w:rFonts w:eastAsia="Times New Roman"/>
              </w:rPr>
            </w:pPr>
            <w:r>
              <w:rPr>
                <w:rFonts w:eastAsia="Times New Roman"/>
                <w:color w:val="000000"/>
                <w:sz w:val="18"/>
                <w:szCs w:val="18"/>
              </w:rPr>
              <w:t>(241)</w:t>
            </w:r>
          </w:p>
        </w:tc>
        <w:tc>
          <w:tcPr>
            <w:tcW w:w="0" w:type="auto"/>
            <w:shd w:val="clear" w:color="auto" w:fill="CCEEFF"/>
            <w:tcMar>
              <w:top w:w="30" w:type="dxa"/>
              <w:left w:w="0" w:type="dxa"/>
              <w:bottom w:w="30" w:type="dxa"/>
              <w:right w:w="20" w:type="dxa"/>
            </w:tcMar>
            <w:vAlign w:val="bottom"/>
            <w:hideMark/>
          </w:tcPr>
          <w:p w14:paraId="4111689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E5A1D3" w14:textId="77777777" w:rsidR="00000000" w:rsidRDefault="009B6C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7DEE00"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204161"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78F5BE"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7822CA"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DB4BAA" w14:textId="77777777" w:rsidR="00000000" w:rsidRDefault="009B6C69">
            <w:pPr>
              <w:spacing w:after="100"/>
              <w:jc w:val="right"/>
              <w:rPr>
                <w:rFonts w:eastAsia="Times New Roman"/>
              </w:rPr>
            </w:pPr>
            <w:r>
              <w:rPr>
                <w:rFonts w:eastAsia="Times New Roman"/>
                <w:color w:val="000000"/>
                <w:sz w:val="18"/>
                <w:szCs w:val="18"/>
              </w:rPr>
              <w:t>(234)</w:t>
            </w:r>
          </w:p>
        </w:tc>
        <w:tc>
          <w:tcPr>
            <w:tcW w:w="0" w:type="auto"/>
            <w:shd w:val="clear" w:color="auto" w:fill="CCEEFF"/>
            <w:tcMar>
              <w:top w:w="30" w:type="dxa"/>
              <w:left w:w="0" w:type="dxa"/>
              <w:bottom w:w="30" w:type="dxa"/>
              <w:right w:w="20" w:type="dxa"/>
            </w:tcMar>
            <w:vAlign w:val="bottom"/>
            <w:hideMark/>
          </w:tcPr>
          <w:p w14:paraId="32F2A00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F15242" w14:textId="77777777" w:rsidR="00000000" w:rsidRDefault="009B6C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ED662C" w14:textId="77777777" w:rsidR="00000000" w:rsidRDefault="009B6C69">
            <w:pPr>
              <w:spacing w:after="100"/>
              <w:rPr>
                <w:rFonts w:eastAsia="Times New Roman"/>
                <w:sz w:val="20"/>
                <w:szCs w:val="20"/>
              </w:rPr>
            </w:pPr>
          </w:p>
        </w:tc>
      </w:tr>
      <w:tr w:rsidR="00000000" w14:paraId="2C5F0919" w14:textId="77777777">
        <w:trPr>
          <w:divId w:val="1754279950"/>
        </w:trPr>
        <w:tc>
          <w:tcPr>
            <w:tcW w:w="0" w:type="auto"/>
            <w:gridSpan w:val="6"/>
            <w:shd w:val="clear" w:color="auto" w:fill="FFFFFF"/>
            <w:tcMar>
              <w:top w:w="30" w:type="dxa"/>
              <w:left w:w="20" w:type="dxa"/>
              <w:bottom w:w="30" w:type="dxa"/>
              <w:right w:w="20" w:type="dxa"/>
            </w:tcMar>
            <w:vAlign w:val="bottom"/>
            <w:hideMark/>
          </w:tcPr>
          <w:p w14:paraId="7208C410" w14:textId="77777777" w:rsidR="00000000" w:rsidRDefault="009B6C69">
            <w:pPr>
              <w:spacing w:after="100"/>
              <w:rPr>
                <w:rFonts w:eastAsia="Times New Roman"/>
              </w:rPr>
            </w:pPr>
            <w:r>
              <w:rPr>
                <w:rFonts w:eastAsia="Times New Roman"/>
                <w:color w:val="000000"/>
                <w:sz w:val="18"/>
                <w:szCs w:val="18"/>
              </w:rPr>
              <w:t>Hedge accounting adjustments</w:t>
            </w:r>
          </w:p>
        </w:tc>
        <w:tc>
          <w:tcPr>
            <w:tcW w:w="0" w:type="auto"/>
            <w:gridSpan w:val="3"/>
            <w:shd w:val="clear" w:color="auto" w:fill="FFFFFF"/>
            <w:tcMar>
              <w:top w:w="0" w:type="dxa"/>
              <w:left w:w="20" w:type="dxa"/>
              <w:bottom w:w="0" w:type="dxa"/>
              <w:right w:w="20" w:type="dxa"/>
            </w:tcMar>
            <w:vAlign w:val="center"/>
            <w:hideMark/>
          </w:tcPr>
          <w:p w14:paraId="55567FA4" w14:textId="77777777" w:rsidR="00000000" w:rsidRDefault="009B6C6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6BA1A6" w14:textId="77777777" w:rsidR="00000000" w:rsidRDefault="009B6C69">
            <w:pPr>
              <w:spacing w:after="100"/>
              <w:jc w:val="right"/>
              <w:rPr>
                <w:rFonts w:eastAsia="Times New Roman"/>
              </w:rPr>
            </w:pPr>
            <w:r>
              <w:rPr>
                <w:rFonts w:eastAsia="Times New Roman"/>
                <w:color w:val="000000"/>
                <w:sz w:val="18"/>
                <w:szCs w:val="18"/>
              </w:rPr>
              <w:t>(208)</w:t>
            </w:r>
          </w:p>
        </w:tc>
        <w:tc>
          <w:tcPr>
            <w:tcW w:w="0" w:type="auto"/>
            <w:shd w:val="clear" w:color="auto" w:fill="FFFFFF"/>
            <w:tcMar>
              <w:top w:w="30" w:type="dxa"/>
              <w:left w:w="0" w:type="dxa"/>
              <w:bottom w:w="30" w:type="dxa"/>
              <w:right w:w="20" w:type="dxa"/>
            </w:tcMar>
            <w:vAlign w:val="bottom"/>
            <w:hideMark/>
          </w:tcPr>
          <w:p w14:paraId="26254CCD"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0012BE" w14:textId="77777777" w:rsidR="00000000" w:rsidRDefault="009B6C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DBB454"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A1C1ED"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996655"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F79E6D"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858360" w14:textId="77777777" w:rsidR="00000000" w:rsidRDefault="009B6C69">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bottom"/>
            <w:hideMark/>
          </w:tcPr>
          <w:p w14:paraId="120DFA88"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50E23D" w14:textId="77777777" w:rsidR="00000000" w:rsidRDefault="009B6C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0405CA" w14:textId="77777777" w:rsidR="00000000" w:rsidRDefault="009B6C69">
            <w:pPr>
              <w:spacing w:after="100"/>
              <w:rPr>
                <w:rFonts w:eastAsia="Times New Roman"/>
                <w:sz w:val="20"/>
                <w:szCs w:val="20"/>
              </w:rPr>
            </w:pPr>
          </w:p>
        </w:tc>
      </w:tr>
      <w:tr w:rsidR="00000000" w14:paraId="273DAEB2" w14:textId="77777777">
        <w:trPr>
          <w:divId w:val="1754279950"/>
        </w:trPr>
        <w:tc>
          <w:tcPr>
            <w:tcW w:w="0" w:type="auto"/>
            <w:gridSpan w:val="3"/>
            <w:shd w:val="clear" w:color="auto" w:fill="CCEEFF"/>
            <w:tcMar>
              <w:top w:w="30" w:type="dxa"/>
              <w:left w:w="155" w:type="dxa"/>
              <w:bottom w:w="30" w:type="dxa"/>
              <w:right w:w="20" w:type="dxa"/>
            </w:tcMar>
            <w:vAlign w:val="bottom"/>
            <w:hideMark/>
          </w:tcPr>
          <w:p w14:paraId="54ECE171" w14:textId="77777777" w:rsidR="00000000" w:rsidRDefault="009B6C69">
            <w:pPr>
              <w:spacing w:after="100"/>
              <w:rPr>
                <w:rFonts w:eastAsia="Times New Roman"/>
              </w:rPr>
            </w:pPr>
            <w:r>
              <w:rPr>
                <w:rFonts w:eastAsia="Times New Roman"/>
                <w:color w:val="000000"/>
                <w:sz w:val="18"/>
                <w:szCs w:val="18"/>
              </w:rPr>
              <w:t>Total long-term debt</w:t>
            </w:r>
          </w:p>
        </w:tc>
        <w:tc>
          <w:tcPr>
            <w:tcW w:w="0" w:type="auto"/>
            <w:gridSpan w:val="3"/>
            <w:shd w:val="clear" w:color="auto" w:fill="CCEEFF"/>
            <w:tcMar>
              <w:top w:w="0" w:type="dxa"/>
              <w:left w:w="20" w:type="dxa"/>
              <w:bottom w:w="0" w:type="dxa"/>
              <w:right w:w="20" w:type="dxa"/>
            </w:tcMar>
            <w:vAlign w:val="center"/>
            <w:hideMark/>
          </w:tcPr>
          <w:p w14:paraId="1E919255" w14:textId="77777777" w:rsidR="00000000" w:rsidRDefault="009B6C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A77808"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B4AABE"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06FAB6" w14:textId="77777777" w:rsidR="00000000" w:rsidRDefault="009B6C69">
            <w:pPr>
              <w:spacing w:after="100"/>
              <w:jc w:val="right"/>
              <w:rPr>
                <w:rFonts w:eastAsia="Times New Roman"/>
              </w:rPr>
            </w:pPr>
            <w:r>
              <w:rPr>
                <w:rFonts w:eastAsia="Times New Roman"/>
                <w:color w:val="000000"/>
                <w:sz w:val="18"/>
                <w:szCs w:val="18"/>
              </w:rPr>
              <w:t>14,983 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CD011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AFBB8D" w14:textId="77777777" w:rsidR="00000000" w:rsidRDefault="009B6C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BAF526"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5BA658"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095B67"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046BAA"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A32C27"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E1B460" w14:textId="77777777" w:rsidR="00000000" w:rsidRDefault="009B6C69">
            <w:pPr>
              <w:spacing w:after="100"/>
              <w:jc w:val="right"/>
              <w:rPr>
                <w:rFonts w:eastAsia="Times New Roman"/>
              </w:rPr>
            </w:pPr>
            <w:r>
              <w:rPr>
                <w:rFonts w:eastAsia="Times New Roman"/>
                <w:color w:val="000000"/>
                <w:sz w:val="18"/>
                <w:szCs w:val="18"/>
              </w:rPr>
              <w:t>15,245 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D1A96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5CCF27" w14:textId="77777777" w:rsidR="00000000" w:rsidRDefault="009B6C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83D2E0" w14:textId="77777777" w:rsidR="00000000" w:rsidRDefault="009B6C69">
            <w:pPr>
              <w:spacing w:after="100"/>
              <w:rPr>
                <w:rFonts w:eastAsia="Times New Roman"/>
                <w:sz w:val="20"/>
                <w:szCs w:val="20"/>
              </w:rPr>
            </w:pPr>
          </w:p>
        </w:tc>
      </w:tr>
      <w:tr w:rsidR="00000000" w14:paraId="36E4F010" w14:textId="77777777">
        <w:trPr>
          <w:divId w:val="1754279950"/>
        </w:trPr>
        <w:tc>
          <w:tcPr>
            <w:tcW w:w="0" w:type="auto"/>
            <w:gridSpan w:val="3"/>
            <w:shd w:val="clear" w:color="auto" w:fill="FFFFFF"/>
            <w:tcMar>
              <w:top w:w="30" w:type="dxa"/>
              <w:left w:w="20" w:type="dxa"/>
              <w:bottom w:w="30" w:type="dxa"/>
              <w:right w:w="20" w:type="dxa"/>
            </w:tcMar>
            <w:vAlign w:val="bottom"/>
            <w:hideMark/>
          </w:tcPr>
          <w:p w14:paraId="0463BBE8" w14:textId="77777777" w:rsidR="00000000" w:rsidRDefault="009B6C69">
            <w:pPr>
              <w:spacing w:after="100"/>
              <w:rPr>
                <w:rFonts w:eastAsia="Times New Roman"/>
              </w:rPr>
            </w:pPr>
            <w:r>
              <w:rPr>
                <w:rFonts w:eastAsia="Times New Roman"/>
                <w:b/>
                <w:bCs/>
                <w:color w:val="000000"/>
                <w:sz w:val="18"/>
                <w:szCs w:val="18"/>
              </w:rPr>
              <w:t>Reported as:</w:t>
            </w:r>
          </w:p>
        </w:tc>
        <w:tc>
          <w:tcPr>
            <w:tcW w:w="0" w:type="auto"/>
            <w:gridSpan w:val="3"/>
            <w:shd w:val="clear" w:color="auto" w:fill="FFFFFF"/>
            <w:tcMar>
              <w:top w:w="0" w:type="dxa"/>
              <w:left w:w="20" w:type="dxa"/>
              <w:bottom w:w="0" w:type="dxa"/>
              <w:right w:w="20" w:type="dxa"/>
            </w:tcMar>
            <w:vAlign w:val="center"/>
            <w:hideMark/>
          </w:tcPr>
          <w:p w14:paraId="012C7393" w14:textId="77777777" w:rsidR="00000000" w:rsidRDefault="009B6C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5A7C09" w14:textId="77777777" w:rsidR="00000000" w:rsidRDefault="009B6C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7553080"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326B91"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555954"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50BDD4"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8F22C4"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358E3F" w14:textId="77777777" w:rsidR="00000000" w:rsidRDefault="009B6C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F9EE6F2"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0EA682"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16A5D7" w14:textId="77777777" w:rsidR="00000000" w:rsidRDefault="009B6C69">
            <w:pPr>
              <w:spacing w:after="100"/>
              <w:rPr>
                <w:rFonts w:eastAsia="Times New Roman"/>
                <w:sz w:val="20"/>
                <w:szCs w:val="20"/>
              </w:rPr>
            </w:pPr>
          </w:p>
        </w:tc>
      </w:tr>
      <w:tr w:rsidR="00000000" w14:paraId="31F77104" w14:textId="77777777">
        <w:trPr>
          <w:divId w:val="1754279950"/>
        </w:trPr>
        <w:tc>
          <w:tcPr>
            <w:tcW w:w="0" w:type="auto"/>
            <w:gridSpan w:val="3"/>
            <w:shd w:val="clear" w:color="auto" w:fill="CCEEFF"/>
            <w:tcMar>
              <w:top w:w="30" w:type="dxa"/>
              <w:left w:w="20" w:type="dxa"/>
              <w:bottom w:w="30" w:type="dxa"/>
              <w:right w:w="20" w:type="dxa"/>
            </w:tcMar>
            <w:vAlign w:val="bottom"/>
            <w:hideMark/>
          </w:tcPr>
          <w:p w14:paraId="07DA702E" w14:textId="77777777" w:rsidR="00000000" w:rsidRDefault="009B6C69">
            <w:pPr>
              <w:spacing w:after="100"/>
              <w:rPr>
                <w:rFonts w:eastAsia="Times New Roman"/>
              </w:rPr>
            </w:pPr>
            <w:r>
              <w:rPr>
                <w:rFonts w:eastAsia="Times New Roman"/>
                <w:color w:val="000000"/>
                <w:sz w:val="18"/>
                <w:szCs w:val="18"/>
              </w:rPr>
              <w:t>Short-term debt</w:t>
            </w:r>
          </w:p>
        </w:tc>
        <w:tc>
          <w:tcPr>
            <w:tcW w:w="0" w:type="auto"/>
            <w:gridSpan w:val="3"/>
            <w:shd w:val="clear" w:color="auto" w:fill="CCEEFF"/>
            <w:tcMar>
              <w:top w:w="0" w:type="dxa"/>
              <w:left w:w="20" w:type="dxa"/>
              <w:bottom w:w="0" w:type="dxa"/>
              <w:right w:w="20" w:type="dxa"/>
            </w:tcMar>
            <w:vAlign w:val="center"/>
            <w:hideMark/>
          </w:tcPr>
          <w:p w14:paraId="620E4A6F" w14:textId="77777777" w:rsidR="00000000" w:rsidRDefault="009B6C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A673A" w14:textId="77777777" w:rsidR="00000000" w:rsidRDefault="009B6C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671349"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B5B8AA0" w14:textId="77777777" w:rsidR="00000000" w:rsidRDefault="009B6C69">
            <w:pPr>
              <w:spacing w:after="100"/>
              <w:jc w:val="right"/>
              <w:rPr>
                <w:rFonts w:eastAsia="Times New Roman"/>
              </w:rPr>
            </w:pPr>
            <w:r>
              <w:rPr>
                <w:rFonts w:eastAsia="Times New Roman"/>
                <w:color w:val="000000"/>
                <w:sz w:val="18"/>
                <w:szCs w:val="18"/>
              </w:rPr>
              <w:t>1,446 </w:t>
            </w:r>
          </w:p>
        </w:tc>
        <w:tc>
          <w:tcPr>
            <w:tcW w:w="0" w:type="auto"/>
            <w:shd w:val="clear" w:color="auto" w:fill="CCEEFF"/>
            <w:tcMar>
              <w:top w:w="30" w:type="dxa"/>
              <w:left w:w="0" w:type="dxa"/>
              <w:bottom w:w="30" w:type="dxa"/>
              <w:right w:w="20" w:type="dxa"/>
            </w:tcMar>
            <w:vAlign w:val="bottom"/>
            <w:hideMark/>
          </w:tcPr>
          <w:p w14:paraId="51E1CAF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33E0A2" w14:textId="77777777" w:rsidR="00000000" w:rsidRDefault="009B6C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3D9992"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392D09"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81988B"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C60A61" w14:textId="77777777" w:rsidR="00000000" w:rsidRDefault="009B6C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788E4B5"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9BAD9CF" w14:textId="77777777" w:rsidR="00000000" w:rsidRDefault="009B6C69">
            <w:pPr>
              <w:spacing w:after="100"/>
              <w:jc w:val="right"/>
              <w:rPr>
                <w:rFonts w:eastAsia="Times New Roman"/>
              </w:rPr>
            </w:pPr>
            <w:r>
              <w:rPr>
                <w:rFonts w:eastAsia="Times New Roman"/>
                <w:color w:val="000000"/>
                <w:sz w:val="18"/>
                <w:szCs w:val="18"/>
              </w:rPr>
              <w:t>1,544 </w:t>
            </w:r>
          </w:p>
        </w:tc>
        <w:tc>
          <w:tcPr>
            <w:tcW w:w="0" w:type="auto"/>
            <w:shd w:val="clear" w:color="auto" w:fill="CCEEFF"/>
            <w:tcMar>
              <w:top w:w="30" w:type="dxa"/>
              <w:left w:w="0" w:type="dxa"/>
              <w:bottom w:w="30" w:type="dxa"/>
              <w:right w:w="20" w:type="dxa"/>
            </w:tcMar>
            <w:vAlign w:val="bottom"/>
            <w:hideMark/>
          </w:tcPr>
          <w:p w14:paraId="60429CC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869D65" w14:textId="77777777" w:rsidR="00000000" w:rsidRDefault="009B6C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51109F" w14:textId="77777777" w:rsidR="00000000" w:rsidRDefault="009B6C69">
            <w:pPr>
              <w:spacing w:after="100"/>
              <w:rPr>
                <w:rFonts w:eastAsia="Times New Roman"/>
                <w:sz w:val="20"/>
                <w:szCs w:val="20"/>
              </w:rPr>
            </w:pPr>
          </w:p>
        </w:tc>
      </w:tr>
      <w:tr w:rsidR="00000000" w14:paraId="2A7238E2" w14:textId="77777777">
        <w:trPr>
          <w:divId w:val="1754279950"/>
        </w:trPr>
        <w:tc>
          <w:tcPr>
            <w:tcW w:w="0" w:type="auto"/>
            <w:gridSpan w:val="3"/>
            <w:shd w:val="clear" w:color="auto" w:fill="FFFFFF"/>
            <w:tcMar>
              <w:top w:w="30" w:type="dxa"/>
              <w:left w:w="20" w:type="dxa"/>
              <w:bottom w:w="30" w:type="dxa"/>
              <w:right w:w="20" w:type="dxa"/>
            </w:tcMar>
            <w:vAlign w:val="bottom"/>
            <w:hideMark/>
          </w:tcPr>
          <w:p w14:paraId="7CB76457" w14:textId="77777777" w:rsidR="00000000" w:rsidRDefault="009B6C69">
            <w:pPr>
              <w:spacing w:after="100"/>
              <w:rPr>
                <w:rFonts w:eastAsia="Times New Roman"/>
              </w:rPr>
            </w:pPr>
            <w:r>
              <w:rPr>
                <w:rFonts w:eastAsia="Times New Roman"/>
                <w:color w:val="000000"/>
                <w:sz w:val="18"/>
                <w:szCs w:val="18"/>
              </w:rPr>
              <w:t>Long-term debt</w:t>
            </w:r>
          </w:p>
        </w:tc>
        <w:tc>
          <w:tcPr>
            <w:tcW w:w="0" w:type="auto"/>
            <w:gridSpan w:val="3"/>
            <w:shd w:val="clear" w:color="auto" w:fill="FFFFFF"/>
            <w:tcMar>
              <w:top w:w="0" w:type="dxa"/>
              <w:left w:w="20" w:type="dxa"/>
              <w:bottom w:w="0" w:type="dxa"/>
              <w:right w:w="20" w:type="dxa"/>
            </w:tcMar>
            <w:vAlign w:val="center"/>
            <w:hideMark/>
          </w:tcPr>
          <w:p w14:paraId="22915F29" w14:textId="77777777" w:rsidR="00000000" w:rsidRDefault="009B6C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FC5D9E"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A0594F" w14:textId="77777777" w:rsidR="00000000" w:rsidRDefault="009B6C69">
            <w:pPr>
              <w:spacing w:after="100"/>
              <w:jc w:val="right"/>
              <w:rPr>
                <w:rFonts w:eastAsia="Times New Roman"/>
              </w:rPr>
            </w:pPr>
            <w:r>
              <w:rPr>
                <w:rFonts w:eastAsia="Times New Roman"/>
                <w:color w:val="000000"/>
                <w:sz w:val="18"/>
                <w:szCs w:val="18"/>
              </w:rPr>
              <w:t>13,537 </w:t>
            </w:r>
          </w:p>
        </w:tc>
        <w:tc>
          <w:tcPr>
            <w:tcW w:w="0" w:type="auto"/>
            <w:shd w:val="clear" w:color="auto" w:fill="FFFFFF"/>
            <w:tcMar>
              <w:top w:w="30" w:type="dxa"/>
              <w:left w:w="0" w:type="dxa"/>
              <w:bottom w:w="30" w:type="dxa"/>
              <w:right w:w="20" w:type="dxa"/>
            </w:tcMar>
            <w:vAlign w:val="bottom"/>
            <w:hideMark/>
          </w:tcPr>
          <w:p w14:paraId="438ED62F"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BBA28A" w14:textId="77777777" w:rsidR="00000000" w:rsidRDefault="009B6C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575D54"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A42726"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7EA928"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2C40E5"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C2511A" w14:textId="77777777" w:rsidR="00000000" w:rsidRDefault="009B6C69">
            <w:pPr>
              <w:spacing w:after="100"/>
              <w:jc w:val="right"/>
              <w:rPr>
                <w:rFonts w:eastAsia="Times New Roman"/>
              </w:rPr>
            </w:pPr>
            <w:r>
              <w:rPr>
                <w:rFonts w:eastAsia="Times New Roman"/>
                <w:color w:val="000000"/>
                <w:sz w:val="18"/>
                <w:szCs w:val="18"/>
              </w:rPr>
              <w:t>13,701 </w:t>
            </w:r>
          </w:p>
        </w:tc>
        <w:tc>
          <w:tcPr>
            <w:tcW w:w="0" w:type="auto"/>
            <w:shd w:val="clear" w:color="auto" w:fill="FFFFFF"/>
            <w:tcMar>
              <w:top w:w="30" w:type="dxa"/>
              <w:left w:w="0" w:type="dxa"/>
              <w:bottom w:w="30" w:type="dxa"/>
              <w:right w:w="20" w:type="dxa"/>
            </w:tcMar>
            <w:vAlign w:val="bottom"/>
            <w:hideMark/>
          </w:tcPr>
          <w:p w14:paraId="17AE5054"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4C7711" w14:textId="77777777" w:rsidR="00000000" w:rsidRDefault="009B6C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8084C5" w14:textId="77777777" w:rsidR="00000000" w:rsidRDefault="009B6C69">
            <w:pPr>
              <w:spacing w:after="100"/>
              <w:rPr>
                <w:rFonts w:eastAsia="Times New Roman"/>
                <w:sz w:val="20"/>
                <w:szCs w:val="20"/>
              </w:rPr>
            </w:pPr>
          </w:p>
        </w:tc>
      </w:tr>
      <w:tr w:rsidR="00000000" w14:paraId="7E139287" w14:textId="77777777">
        <w:trPr>
          <w:divId w:val="1754279950"/>
        </w:trPr>
        <w:tc>
          <w:tcPr>
            <w:tcW w:w="0" w:type="auto"/>
            <w:gridSpan w:val="3"/>
            <w:shd w:val="clear" w:color="auto" w:fill="CCEEFF"/>
            <w:tcMar>
              <w:top w:w="30" w:type="dxa"/>
              <w:left w:w="20" w:type="dxa"/>
              <w:bottom w:w="30" w:type="dxa"/>
              <w:right w:w="20" w:type="dxa"/>
            </w:tcMar>
            <w:vAlign w:val="bottom"/>
            <w:hideMark/>
          </w:tcPr>
          <w:p w14:paraId="7AFCFC3B" w14:textId="77777777" w:rsidR="00000000" w:rsidRDefault="009B6C69">
            <w:pPr>
              <w:spacing w:after="100"/>
              <w:rPr>
                <w:rFonts w:eastAsia="Times New Roman"/>
              </w:rPr>
            </w:pPr>
            <w:r>
              <w:rPr>
                <w:rFonts w:eastAsia="Times New Roman"/>
                <w:color w:val="000000"/>
                <w:sz w:val="18"/>
                <w:szCs w:val="18"/>
              </w:rPr>
              <w:t>   Total</w:t>
            </w:r>
          </w:p>
        </w:tc>
        <w:tc>
          <w:tcPr>
            <w:tcW w:w="0" w:type="auto"/>
            <w:gridSpan w:val="3"/>
            <w:shd w:val="clear" w:color="auto" w:fill="CCEEFF"/>
            <w:tcMar>
              <w:top w:w="0" w:type="dxa"/>
              <w:left w:w="20" w:type="dxa"/>
              <w:bottom w:w="0" w:type="dxa"/>
              <w:right w:w="20" w:type="dxa"/>
            </w:tcMar>
            <w:vAlign w:val="center"/>
            <w:hideMark/>
          </w:tcPr>
          <w:p w14:paraId="5665643C" w14:textId="77777777" w:rsidR="00000000" w:rsidRDefault="009B6C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C334EE" w14:textId="77777777" w:rsidR="00000000" w:rsidRDefault="009B6C69">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D24DD9"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801714D" w14:textId="77777777" w:rsidR="00000000" w:rsidRDefault="009B6C69">
            <w:pPr>
              <w:spacing w:after="100"/>
              <w:jc w:val="right"/>
              <w:rPr>
                <w:rFonts w:eastAsia="Times New Roman"/>
              </w:rPr>
            </w:pPr>
            <w:r>
              <w:rPr>
                <w:rFonts w:eastAsia="Times New Roman"/>
                <w:color w:val="000000"/>
                <w:sz w:val="18"/>
                <w:szCs w:val="18"/>
              </w:rPr>
              <w:t>14,983 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64470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04B566" w14:textId="77777777" w:rsidR="00000000" w:rsidRDefault="009B6C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AFE133"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5F1E84"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22A89C"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AB4FD9" w14:textId="77777777" w:rsidR="00000000" w:rsidRDefault="009B6C69">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23163F"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D191D45" w14:textId="77777777" w:rsidR="00000000" w:rsidRDefault="009B6C69">
            <w:pPr>
              <w:spacing w:after="100"/>
              <w:jc w:val="right"/>
              <w:rPr>
                <w:rFonts w:eastAsia="Times New Roman"/>
              </w:rPr>
            </w:pPr>
            <w:r>
              <w:rPr>
                <w:rFonts w:eastAsia="Times New Roman"/>
                <w:color w:val="000000"/>
                <w:sz w:val="18"/>
                <w:szCs w:val="18"/>
              </w:rPr>
              <w:t>15,245 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84A44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9E1053" w14:textId="77777777" w:rsidR="00000000" w:rsidRDefault="009B6C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E541A1" w14:textId="77777777" w:rsidR="00000000" w:rsidRDefault="009B6C69">
            <w:pPr>
              <w:spacing w:after="100"/>
              <w:rPr>
                <w:rFonts w:eastAsia="Times New Roman"/>
                <w:sz w:val="20"/>
                <w:szCs w:val="20"/>
              </w:rPr>
            </w:pPr>
          </w:p>
        </w:tc>
      </w:tr>
    </w:tbl>
    <w:p w14:paraId="4FE94B77" w14:textId="77777777" w:rsidR="00000000" w:rsidRDefault="009B6C69">
      <w:pPr>
        <w:ind w:firstLine="360"/>
        <w:divId w:val="544828581"/>
        <w:rPr>
          <w:rFonts w:eastAsia="Times New Roman"/>
        </w:rPr>
      </w:pPr>
      <w:r>
        <w:rPr>
          <w:rFonts w:eastAsia="Times New Roman"/>
          <w:color w:val="000000"/>
          <w:sz w:val="20"/>
          <w:szCs w:val="20"/>
        </w:rPr>
        <w:t>At September 25, 2022, future principal payments were $1.4 billion in fiscal 2023, $914 million in fiscal 2024, $1.4 billion in fiscal 2025, $2.0 bil</w:t>
      </w:r>
      <w:r>
        <w:rPr>
          <w:rFonts w:eastAsia="Times New Roman"/>
          <w:color w:val="000000"/>
          <w:sz w:val="20"/>
          <w:szCs w:val="20"/>
        </w:rPr>
        <w:t>lion in fiscal 2027 and $9.7 billion after fiscal 2027; no principal payments are due in fiscal 2026. At September 25, 2022, the aggregate fair value of the notes, based on Level 2 inputs, was approximately $14.0 billion.</w:t>
      </w:r>
    </w:p>
    <w:p w14:paraId="4400E8F9" w14:textId="77777777" w:rsidR="00000000" w:rsidRDefault="009B6C69">
      <w:pPr>
        <w:ind w:firstLine="360"/>
        <w:divId w:val="618410715"/>
        <w:rPr>
          <w:rFonts w:eastAsia="Times New Roman"/>
        </w:rPr>
      </w:pPr>
      <w:r>
        <w:rPr>
          <w:rFonts w:eastAsia="Times New Roman"/>
          <w:color w:val="000000"/>
          <w:sz w:val="20"/>
          <w:szCs w:val="20"/>
        </w:rPr>
        <w:t>At September 25, 2022, with the ex</w:t>
      </w:r>
      <w:r>
        <w:rPr>
          <w:rFonts w:eastAsia="Times New Roman"/>
          <w:color w:val="000000"/>
          <w:sz w:val="20"/>
          <w:szCs w:val="20"/>
        </w:rPr>
        <w:t>ception of $500 million of outstanding unsecured floating-rate notes due January 30, 2023, all of our outstanding long-term debt is comprised of unsecured fixed-rate notes. We may redeem the outstanding fixed-rate notes at any time in whole, or from time t</w:t>
      </w:r>
      <w:r>
        <w:rPr>
          <w:rFonts w:eastAsia="Times New Roman"/>
          <w:color w:val="000000"/>
          <w:sz w:val="20"/>
          <w:szCs w:val="20"/>
        </w:rPr>
        <w:t>o time in part, at specified make-whole premiums as defined in the applicable form of note. We may not redeem the outstanding floating-rate notes prior to maturity. The obligations under the notes rank equally in right of payment with all of our other seni</w:t>
      </w:r>
      <w:r>
        <w:rPr>
          <w:rFonts w:eastAsia="Times New Roman"/>
          <w:color w:val="000000"/>
          <w:sz w:val="20"/>
          <w:szCs w:val="20"/>
        </w:rPr>
        <w:t xml:space="preserve">or unsecured indebtedness and will effectively rank junior to all liabilities of our subsidiaries. </w:t>
      </w:r>
    </w:p>
    <w:p w14:paraId="71F68301" w14:textId="77777777" w:rsidR="00000000" w:rsidRDefault="009B6C69">
      <w:pPr>
        <w:ind w:firstLine="360"/>
        <w:divId w:val="405763013"/>
        <w:rPr>
          <w:rFonts w:eastAsia="Times New Roman"/>
        </w:rPr>
      </w:pPr>
      <w:r>
        <w:rPr>
          <w:rFonts w:eastAsia="Times New Roman"/>
          <w:color w:val="000000"/>
          <w:sz w:val="20"/>
          <w:szCs w:val="20"/>
        </w:rPr>
        <w:t>The effective interest rates for the notes include the interest on the notes, amortization of the discount, which includes debt issuance costs, and if appli</w:t>
      </w:r>
      <w:r>
        <w:rPr>
          <w:rFonts w:eastAsia="Times New Roman"/>
          <w:color w:val="000000"/>
          <w:sz w:val="20"/>
          <w:szCs w:val="20"/>
        </w:rPr>
        <w:t>cable, adjustments related to hedging. Interest is payable in arrears quarterly for the floating-rate notes and semi-annually for the fixed-rate notes. Cash interest paid related to our commercial paper program and long-term debt, net of cash received from</w:t>
      </w:r>
      <w:r>
        <w:rPr>
          <w:rFonts w:eastAsia="Times New Roman"/>
          <w:color w:val="000000"/>
          <w:sz w:val="20"/>
          <w:szCs w:val="20"/>
        </w:rPr>
        <w:t xml:space="preserve"> the related interest rate swaps, was $491 million, $477 million and $507 million during fiscal 2022, 2021 and 2020, respectively.</w:t>
      </w:r>
    </w:p>
    <w:p w14:paraId="190CA272" w14:textId="77777777" w:rsidR="00000000" w:rsidRDefault="009B6C69">
      <w:pPr>
        <w:ind w:firstLine="360"/>
        <w:divId w:val="1859276374"/>
        <w:rPr>
          <w:rFonts w:eastAsia="Times New Roman"/>
        </w:rPr>
      </w:pPr>
      <w:r>
        <w:rPr>
          <w:rFonts w:eastAsia="Times New Roman"/>
          <w:b/>
          <w:bCs/>
          <w:i/>
          <w:iCs/>
          <w:color w:val="000000"/>
          <w:sz w:val="20"/>
          <w:szCs w:val="20"/>
        </w:rPr>
        <w:t xml:space="preserve">Interest Rate Swaps. </w:t>
      </w:r>
      <w:r>
        <w:rPr>
          <w:rFonts w:eastAsia="Times New Roman"/>
          <w:color w:val="000000"/>
          <w:sz w:val="20"/>
          <w:szCs w:val="20"/>
        </w:rPr>
        <w:t>At September 25, 2022 and September </w:t>
      </w:r>
      <w:r>
        <w:rPr>
          <w:rFonts w:eastAsia="Times New Roman"/>
          <w:color w:val="000000"/>
          <w:sz w:val="20"/>
          <w:szCs w:val="20"/>
        </w:rPr>
        <w:t>26, 2021, we had outstanding forward-starting interest rate swaps with an aggregate notional amount of $1.6 billion and $2.6 billion, respectively. During the third quarter of fiscal 2022, we terminated $1 billion of swaps associated with our May 2022 Note</w:t>
      </w:r>
      <w:r>
        <w:rPr>
          <w:rFonts w:eastAsia="Times New Roman"/>
          <w:color w:val="000000"/>
          <w:sz w:val="20"/>
          <w:szCs w:val="20"/>
        </w:rPr>
        <w:t>s, and the related gains of $123 million are being reclassified from accumulated comprehensive income as a reduction to</w:t>
      </w:r>
      <w:r>
        <w:rPr>
          <w:rFonts w:eastAsia="Times New Roman"/>
          <w:color w:val="000000"/>
          <w:sz w:val="20"/>
          <w:szCs w:val="20"/>
        </w:rPr>
        <w:t xml:space="preserve"> </w:t>
      </w:r>
      <w:r>
        <w:rPr>
          <w:rFonts w:eastAsia="Times New Roman"/>
          <w:color w:val="000000"/>
          <w:sz w:val="20"/>
          <w:szCs w:val="20"/>
        </w:rPr>
        <w:t>interest expens</w:t>
      </w:r>
      <w:r>
        <w:rPr>
          <w:rFonts w:eastAsia="Times New Roman"/>
          <w:color w:val="000000"/>
          <w:sz w:val="20"/>
          <w:szCs w:val="20"/>
        </w:rPr>
        <w:t>e</w:t>
      </w:r>
      <w:r>
        <w:rPr>
          <w:rFonts w:eastAsia="Times New Roman"/>
          <w:color w:val="000000"/>
          <w:sz w:val="20"/>
          <w:szCs w:val="20"/>
        </w:rPr>
        <w:t xml:space="preserve"> over the terms of the related debt.</w:t>
      </w:r>
    </w:p>
    <w:p w14:paraId="14C0A43E" w14:textId="77777777" w:rsidR="00000000" w:rsidRDefault="009B6C69">
      <w:pPr>
        <w:ind w:firstLine="360"/>
        <w:divId w:val="1187866249"/>
        <w:rPr>
          <w:rFonts w:eastAsia="Times New Roman"/>
        </w:rPr>
      </w:pPr>
      <w:r>
        <w:rPr>
          <w:rFonts w:eastAsia="Times New Roman"/>
          <w:color w:val="000000"/>
          <w:sz w:val="20"/>
          <w:szCs w:val="20"/>
        </w:rPr>
        <w:t>At September 25, 2022, we had outstanding interest rate swaps with an aggregate not</w:t>
      </w:r>
      <w:r>
        <w:rPr>
          <w:rFonts w:eastAsia="Times New Roman"/>
          <w:color w:val="000000"/>
          <w:sz w:val="20"/>
          <w:szCs w:val="20"/>
        </w:rPr>
        <w:t>ional amount of $2.1 billion that are designated as fair value hedges and allow us to effectively convert fixed-rate payments into floating-rate payments on a portion of our outstanding long-term debt.</w:t>
      </w:r>
    </w:p>
    <w:p w14:paraId="3D69942C" w14:textId="77777777" w:rsidR="00000000" w:rsidRDefault="009B6C69">
      <w:pPr>
        <w:ind w:firstLine="360"/>
        <w:divId w:val="841894701"/>
        <w:rPr>
          <w:rFonts w:eastAsia="Times New Roman"/>
        </w:rPr>
      </w:pPr>
      <w:r>
        <w:rPr>
          <w:rFonts w:eastAsia="Times New Roman"/>
          <w:b/>
          <w:bCs/>
          <w:i/>
          <w:iCs/>
          <w:color w:val="000000"/>
          <w:sz w:val="20"/>
          <w:szCs w:val="20"/>
        </w:rPr>
        <w:t>Commercial Paper Program</w:t>
      </w:r>
      <w:r>
        <w:rPr>
          <w:rFonts w:eastAsia="Times New Roman"/>
          <w:b/>
          <w:bCs/>
          <w:color w:val="000000"/>
          <w:sz w:val="20"/>
          <w:szCs w:val="20"/>
        </w:rPr>
        <w:t>.</w:t>
      </w:r>
      <w:r>
        <w:rPr>
          <w:rFonts w:eastAsia="Times New Roman"/>
          <w:color w:val="000000"/>
          <w:sz w:val="20"/>
          <w:szCs w:val="20"/>
        </w:rPr>
        <w:t xml:space="preserve"> We have an unsecured commerc</w:t>
      </w:r>
      <w:r>
        <w:rPr>
          <w:rFonts w:eastAsia="Times New Roman"/>
          <w:color w:val="000000"/>
          <w:sz w:val="20"/>
          <w:szCs w:val="20"/>
        </w:rPr>
        <w:t>ial paper program, which provides for the issuance of up to $4.5 billion. Net proceeds from this program are for general corporate purposes. Maturities of commercial paper can range from 1 to up to 397 days. At September 25, 2022 and September 26, 2021, we</w:t>
      </w:r>
      <w:r>
        <w:rPr>
          <w:rFonts w:eastAsia="Times New Roman"/>
          <w:color w:val="000000"/>
          <w:sz w:val="20"/>
          <w:szCs w:val="20"/>
        </w:rPr>
        <w:t xml:space="preserve"> had $499 million and $500 million, respectively, of outstanding commercial paper recorded as short-term debt with a weighted-average interest rate of 2.69% and 0.13%, respectively, which included fees paid to the commercial paper dealers. At September 25,</w:t>
      </w:r>
      <w:r>
        <w:rPr>
          <w:rFonts w:eastAsia="Times New Roman"/>
          <w:color w:val="000000"/>
          <w:sz w:val="20"/>
          <w:szCs w:val="20"/>
        </w:rPr>
        <w:t xml:space="preserve"> 2022 and September 26, 2021, the weighted-average remaining days to maturity were 27 days and 39 days, respectively. The carrying value of the outstanding commercial paper approximated its estimated fair value at September 25, 2022.</w:t>
      </w:r>
    </w:p>
    <w:p w14:paraId="166637ED" w14:textId="77777777" w:rsidR="00000000" w:rsidRDefault="009B6C69">
      <w:pPr>
        <w:ind w:firstLine="360"/>
        <w:divId w:val="224728617"/>
        <w:rPr>
          <w:rFonts w:eastAsia="Times New Roman"/>
        </w:rPr>
      </w:pPr>
      <w:r>
        <w:rPr>
          <w:rFonts w:eastAsia="Times New Roman"/>
          <w:b/>
          <w:bCs/>
          <w:i/>
          <w:iCs/>
          <w:color w:val="000000"/>
          <w:sz w:val="20"/>
          <w:szCs w:val="20"/>
        </w:rPr>
        <w:t>Revolving Credit Facil</w:t>
      </w:r>
      <w:r>
        <w:rPr>
          <w:rFonts w:eastAsia="Times New Roman"/>
          <w:b/>
          <w:bCs/>
          <w:i/>
          <w:iCs/>
          <w:color w:val="000000"/>
          <w:sz w:val="20"/>
          <w:szCs w:val="20"/>
        </w:rPr>
        <w:t xml:space="preserve">ity. </w:t>
      </w:r>
      <w:r>
        <w:rPr>
          <w:rFonts w:eastAsia="Times New Roman"/>
          <w:color w:val="000000"/>
          <w:sz w:val="20"/>
          <w:szCs w:val="20"/>
        </w:rPr>
        <w:t>We have a Revolving Credit Facility that provides for unsecured revolving facility loans, swing line loans and letters of credit in an aggregate amount of up to $4.5 billion, which expires on December 8, 2025. At September 25, 2022, no amounts were ou</w:t>
      </w:r>
      <w:r>
        <w:rPr>
          <w:rFonts w:eastAsia="Times New Roman"/>
          <w:color w:val="000000"/>
          <w:sz w:val="20"/>
          <w:szCs w:val="20"/>
        </w:rPr>
        <w:t>tstanding under the Revolving Credit Facility.</w:t>
      </w:r>
    </w:p>
    <w:p w14:paraId="6A7C2DB3" w14:textId="77777777" w:rsidR="00000000" w:rsidRDefault="009B6C69">
      <w:pPr>
        <w:jc w:val="center"/>
        <w:divId w:val="606893496"/>
        <w:rPr>
          <w:rFonts w:eastAsia="Times New Roman"/>
        </w:rPr>
      </w:pPr>
      <w:r>
        <w:rPr>
          <w:rFonts w:eastAsia="Times New Roman"/>
          <w:color w:val="000000"/>
          <w:sz w:val="20"/>
          <w:szCs w:val="20"/>
        </w:rPr>
        <w:t>F-23</w:t>
      </w:r>
    </w:p>
    <w:p w14:paraId="38F22B7B" w14:textId="77777777" w:rsidR="00000000" w:rsidRDefault="009B6C69">
      <w:pPr>
        <w:rPr>
          <w:rFonts w:eastAsia="Times New Roman"/>
        </w:rPr>
      </w:pPr>
      <w:r>
        <w:rPr>
          <w:rFonts w:eastAsia="Times New Roman"/>
        </w:rPr>
        <w:pict w14:anchorId="1E870D10">
          <v:rect id="_x0000_i1103" style="width:0;height:1.5pt" o:hralign="center" o:hrstd="t" o:hr="t" fillcolor="#a0a0a0" stroked="f"/>
        </w:pict>
      </w:r>
    </w:p>
    <w:p w14:paraId="3D7AE666" w14:textId="77777777" w:rsidR="00000000" w:rsidRDefault="009B6C69">
      <w:pPr>
        <w:jc w:val="center"/>
        <w:divId w:val="417754420"/>
        <w:rPr>
          <w:rFonts w:eastAsia="Times New Roman"/>
        </w:rPr>
      </w:pPr>
    </w:p>
    <w:p w14:paraId="2EE5B34B" w14:textId="77777777" w:rsidR="00000000" w:rsidRDefault="009B6C69">
      <w:pPr>
        <w:jc w:val="center"/>
        <w:divId w:val="417754420"/>
        <w:rPr>
          <w:rFonts w:eastAsia="Times New Roman"/>
        </w:rPr>
      </w:pPr>
      <w:r>
        <w:rPr>
          <w:rFonts w:eastAsia="Times New Roman"/>
          <w:b/>
          <w:bCs/>
          <w:color w:val="000000"/>
          <w:sz w:val="20"/>
          <w:szCs w:val="20"/>
        </w:rPr>
        <w:t>QUALCOMM Incorporated</w:t>
      </w:r>
    </w:p>
    <w:p w14:paraId="3D1C0EBA" w14:textId="77777777" w:rsidR="00000000" w:rsidRDefault="009B6C69">
      <w:pPr>
        <w:jc w:val="center"/>
        <w:divId w:val="417754420"/>
        <w:rPr>
          <w:rFonts w:eastAsia="Times New Roman"/>
        </w:rPr>
      </w:pPr>
      <w:r>
        <w:rPr>
          <w:rFonts w:eastAsia="Times New Roman"/>
          <w:b/>
          <w:bCs/>
          <w:color w:val="000000"/>
          <w:sz w:val="20"/>
          <w:szCs w:val="20"/>
        </w:rPr>
        <w:t>NOTES TO CONSOLIDATED FINANCIAL STATEMENTS</w:t>
      </w:r>
    </w:p>
    <w:p w14:paraId="786DBE2C" w14:textId="77777777" w:rsidR="00000000" w:rsidRDefault="009B6C69">
      <w:pPr>
        <w:ind w:firstLine="360"/>
        <w:divId w:val="247348657"/>
        <w:rPr>
          <w:rFonts w:eastAsia="Times New Roman"/>
        </w:rPr>
      </w:pPr>
      <w:r>
        <w:rPr>
          <w:rFonts w:eastAsia="Times New Roman"/>
          <w:b/>
          <w:bCs/>
          <w:i/>
          <w:iCs/>
          <w:color w:val="000000"/>
          <w:sz w:val="20"/>
          <w:szCs w:val="20"/>
        </w:rPr>
        <w:t>Debt Covenants.</w:t>
      </w:r>
      <w:r>
        <w:rPr>
          <w:rFonts w:eastAsia="Times New Roman"/>
          <w:color w:val="000000"/>
          <w:sz w:val="20"/>
          <w:szCs w:val="20"/>
        </w:rPr>
        <w:t xml:space="preserve"> The Revolving Credit Facility requires that we comply with certain covenants, includi</w:t>
      </w:r>
      <w:r>
        <w:rPr>
          <w:rFonts w:eastAsia="Times New Roman"/>
          <w:color w:val="000000"/>
          <w:sz w:val="20"/>
          <w:szCs w:val="20"/>
        </w:rPr>
        <w:t>ng that we maintain an interest coverage ratio as defined in the agreement. We are not subject to any financial covenants under the notes nor any covenants that would prohibit us from incurring additional indebtedness ranking equal to the notes, paying div</w:t>
      </w:r>
      <w:r>
        <w:rPr>
          <w:rFonts w:eastAsia="Times New Roman"/>
          <w:color w:val="000000"/>
          <w:sz w:val="20"/>
          <w:szCs w:val="20"/>
        </w:rPr>
        <w:t>idends or issuing securities or repurchasing securities issued by us or our subsidiaries. At September 25, 2022, we were in compliance with the applicable covenants under the Revolving Credit Facility.</w:t>
      </w:r>
    </w:p>
    <w:p w14:paraId="25259E90" w14:textId="77777777" w:rsidR="00000000" w:rsidRDefault="009B6C69">
      <w:pPr>
        <w:divId w:val="1539662996"/>
        <w:rPr>
          <w:rFonts w:eastAsia="Times New Roman"/>
        </w:rPr>
      </w:pPr>
      <w:r>
        <w:rPr>
          <w:rFonts w:eastAsia="Times New Roman"/>
          <w:b/>
          <w:bCs/>
          <w:color w:val="000000"/>
          <w:sz w:val="20"/>
          <w:szCs w:val="20"/>
        </w:rPr>
        <w:t>Note 7. Commitments and Contingencies</w:t>
      </w:r>
    </w:p>
    <w:p w14:paraId="2F40C877" w14:textId="77777777" w:rsidR="00000000" w:rsidRDefault="009B6C69">
      <w:pPr>
        <w:ind w:firstLine="360"/>
        <w:divId w:val="574821731"/>
        <w:rPr>
          <w:rFonts w:eastAsia="Times New Roman"/>
        </w:rPr>
      </w:pPr>
      <w:r>
        <w:rPr>
          <w:rFonts w:eastAsia="Times New Roman"/>
          <w:b/>
          <w:bCs/>
          <w:i/>
          <w:iCs/>
          <w:color w:val="000000"/>
          <w:sz w:val="20"/>
          <w:szCs w:val="20"/>
        </w:rPr>
        <w:t>Legal and Regula</w:t>
      </w:r>
      <w:r>
        <w:rPr>
          <w:rFonts w:eastAsia="Times New Roman"/>
          <w:b/>
          <w:bCs/>
          <w:i/>
          <w:iCs/>
          <w:color w:val="000000"/>
          <w:sz w:val="20"/>
          <w:szCs w:val="20"/>
        </w:rPr>
        <w:t>tory Proceedings.</w:t>
      </w:r>
    </w:p>
    <w:p w14:paraId="63574203" w14:textId="77777777" w:rsidR="00000000" w:rsidRDefault="009B6C69">
      <w:pPr>
        <w:ind w:firstLine="360"/>
        <w:divId w:val="2102678200"/>
        <w:rPr>
          <w:rFonts w:eastAsia="Times New Roman"/>
        </w:rPr>
      </w:pPr>
      <w:r>
        <w:rPr>
          <w:rFonts w:eastAsia="Times New Roman"/>
          <w:i/>
          <w:iCs/>
          <w:color w:val="000000"/>
          <w:sz w:val="20"/>
          <w:szCs w:val="20"/>
        </w:rPr>
        <w:t>Consolidated Securities Class Action Lawsuit:</w:t>
      </w:r>
      <w:r>
        <w:rPr>
          <w:rFonts w:eastAsia="Times New Roman"/>
          <w:color w:val="000000"/>
          <w:sz w:val="20"/>
          <w:szCs w:val="20"/>
        </w:rPr>
        <w:t xml:space="preserve"> On January 23, 2017 and January 26, 2017, securities class action complaints were filed by purported stockholders of us in the United States District Court for the Southern District of Califor</w:t>
      </w:r>
      <w:r>
        <w:rPr>
          <w:rFonts w:eastAsia="Times New Roman"/>
          <w:color w:val="000000"/>
          <w:sz w:val="20"/>
          <w:szCs w:val="20"/>
        </w:rPr>
        <w:t>nia against us and certain of our then current and former officers and directors. The complaints alleged, among other things, that we violated Sections 10(b) and 20(a) of the Securities Exchange Act of 1934, as amended, and Rule 10b-5 thereunder, by making</w:t>
      </w:r>
      <w:r>
        <w:rPr>
          <w:rFonts w:eastAsia="Times New Roman"/>
          <w:color w:val="000000"/>
          <w:sz w:val="20"/>
          <w:szCs w:val="20"/>
        </w:rPr>
        <w:t xml:space="preserve"> false and misleading statements and omissions of material fact in connection with certain allegations that we are or were engaged in anticompetitive conduct. The complaints sought unspecified damages, interest, fees and costs. On May 4, 2017, the court co</w:t>
      </w:r>
      <w:r>
        <w:rPr>
          <w:rFonts w:eastAsia="Times New Roman"/>
          <w:color w:val="000000"/>
          <w:sz w:val="20"/>
          <w:szCs w:val="20"/>
        </w:rPr>
        <w:t>nsolidated the two actions. On July 3, 2017, the plaintiffs filed a consolidated amended complaint asserting the same basic theories of liability and requesting the same basic relief. On September 1, 2017, we filed a motion to dismiss the consolidated amen</w:t>
      </w:r>
      <w:r>
        <w:rPr>
          <w:rFonts w:eastAsia="Times New Roman"/>
          <w:color w:val="000000"/>
          <w:sz w:val="20"/>
          <w:szCs w:val="20"/>
        </w:rPr>
        <w:t>ded complaint, and on March 18, 2019, the court denied our motion. On January 15, 2020, we filed a motion for judgment on the pleadings, which the court denied on February 3, 2022. On May 23, 2022, the plaintiffs filed a motion for class certification, and</w:t>
      </w:r>
      <w:r>
        <w:rPr>
          <w:rFonts w:eastAsia="Times New Roman"/>
          <w:color w:val="000000"/>
          <w:sz w:val="20"/>
          <w:szCs w:val="20"/>
        </w:rPr>
        <w:t xml:space="preserve"> a hearing on the motion was held on October 19, 2022. The court has not yet ruled on the motion. We believe the plaintiffs’ claims are without merit.</w:t>
      </w:r>
    </w:p>
    <w:p w14:paraId="258C638E" w14:textId="77777777" w:rsidR="00000000" w:rsidRDefault="009B6C69">
      <w:pPr>
        <w:ind w:firstLine="360"/>
        <w:divId w:val="239020198"/>
        <w:rPr>
          <w:rFonts w:eastAsia="Times New Roman"/>
        </w:rPr>
      </w:pPr>
      <w:r>
        <w:rPr>
          <w:rFonts w:eastAsia="Times New Roman"/>
          <w:i/>
          <w:iCs/>
          <w:color w:val="000000"/>
          <w:sz w:val="20"/>
          <w:szCs w:val="20"/>
        </w:rPr>
        <w:t>Consumer Class Action Lawsuits:</w:t>
      </w:r>
      <w:r>
        <w:rPr>
          <w:rFonts w:eastAsia="Times New Roman"/>
          <w:color w:val="000000"/>
          <w:sz w:val="20"/>
          <w:szCs w:val="20"/>
        </w:rPr>
        <w:t xml:space="preserve"> Beginning</w:t>
      </w:r>
      <w:r>
        <w:rPr>
          <w:rFonts w:eastAsia="Times New Roman"/>
          <w:i/>
          <w:iCs/>
          <w:color w:val="000000"/>
          <w:sz w:val="20"/>
          <w:szCs w:val="20"/>
        </w:rPr>
        <w:t xml:space="preserve"> </w:t>
      </w:r>
      <w:r>
        <w:rPr>
          <w:rFonts w:eastAsia="Times New Roman"/>
          <w:color w:val="000000"/>
          <w:sz w:val="20"/>
          <w:szCs w:val="20"/>
        </w:rPr>
        <w:t>in January 2017, a number of consumer class action complaints w</w:t>
      </w:r>
      <w:r>
        <w:rPr>
          <w:rFonts w:eastAsia="Times New Roman"/>
          <w:color w:val="000000"/>
          <w:sz w:val="20"/>
          <w:szCs w:val="20"/>
        </w:rPr>
        <w:t>ere filed against us in the United States District Courts for the Southern and Northern Districts of California, each on behalf of a putative class of purchasers of cellular phones and other cellular devices. In April 2017, the Judicial Panel on Multidistr</w:t>
      </w:r>
      <w:r>
        <w:rPr>
          <w:rFonts w:eastAsia="Times New Roman"/>
          <w:color w:val="000000"/>
          <w:sz w:val="20"/>
          <w:szCs w:val="20"/>
        </w:rPr>
        <w:t>ict Litigation transferred the cases that had been filed in the Southern District of California to the Northern District of California. On July 11, 2017, the plaintiffs filed a consolidated amended complaint alleging that we violated California and federal</w:t>
      </w:r>
      <w:r>
        <w:rPr>
          <w:rFonts w:eastAsia="Times New Roman"/>
          <w:color w:val="000000"/>
          <w:sz w:val="20"/>
          <w:szCs w:val="20"/>
        </w:rPr>
        <w:t xml:space="preserve"> antitrust and unfair competition laws by, among other things, refusing to license standard-essential patents to our competitors, conditioning the supply of certain of our baseband chipsets on the purchaser first agreeing to license our entire patent portf</w:t>
      </w:r>
      <w:r>
        <w:rPr>
          <w:rFonts w:eastAsia="Times New Roman"/>
          <w:color w:val="000000"/>
          <w:sz w:val="20"/>
          <w:szCs w:val="20"/>
        </w:rPr>
        <w:t>olio, entering into exclusive deals with companies, including Apple Inc., and charging unreasonably high royalties that do not comply with our commitments to standard setting organizations. The complaint sought unspecified damages and disgorgement and/or r</w:t>
      </w:r>
      <w:r>
        <w:rPr>
          <w:rFonts w:eastAsia="Times New Roman"/>
          <w:color w:val="000000"/>
          <w:sz w:val="20"/>
          <w:szCs w:val="20"/>
        </w:rPr>
        <w:t>estitution, as well as an order that we be enjoined from further unlawful conduct. On July 5, 2018, the plaintiffs filed a motion for class certification, and on September 27, 2018, the court granted that motion. We appealed the district court’s class cert</w:t>
      </w:r>
      <w:r>
        <w:rPr>
          <w:rFonts w:eastAsia="Times New Roman"/>
          <w:color w:val="000000"/>
          <w:sz w:val="20"/>
          <w:szCs w:val="20"/>
        </w:rPr>
        <w:t xml:space="preserve">ification order to the United States Court of Appeals for the Ninth Circuit (Ninth Circuit), and on September 29, 2021, the Ninth Circuit vacated the class certification order, ruling that the district court had failed to correctly assess the propriety of </w:t>
      </w:r>
      <w:r>
        <w:rPr>
          <w:rFonts w:eastAsia="Times New Roman"/>
          <w:color w:val="000000"/>
          <w:sz w:val="20"/>
          <w:szCs w:val="20"/>
        </w:rPr>
        <w:t xml:space="preserve">applying California law to a nationwide class. The Ninth Circuit remanded the case to the district court and instructed the court to consider the effect of </w:t>
      </w:r>
      <w:r>
        <w:rPr>
          <w:rFonts w:eastAsia="Times New Roman"/>
          <w:i/>
          <w:iCs/>
          <w:color w:val="000000"/>
          <w:sz w:val="20"/>
          <w:szCs w:val="20"/>
        </w:rPr>
        <w:t>United States Federal Trade Commission (FTC) v. QUALCOMM Incorporated</w:t>
      </w:r>
      <w:r>
        <w:rPr>
          <w:rFonts w:eastAsia="Times New Roman"/>
          <w:color w:val="000000"/>
          <w:sz w:val="20"/>
          <w:szCs w:val="20"/>
        </w:rPr>
        <w:t xml:space="preserve"> (which the Ninth Circuit decid</w:t>
      </w:r>
      <w:r>
        <w:rPr>
          <w:rFonts w:eastAsia="Times New Roman"/>
          <w:color w:val="000000"/>
          <w:sz w:val="20"/>
          <w:szCs w:val="20"/>
        </w:rPr>
        <w:t>ed in favor of Qualcomm in August 2020) on this case. On June 10, 2022, the plaintiffs filed an amended complaint, limiting the proposed class to California residents rather than a nationwide class, and on August 1, 2022, we filed a motion to dismiss the a</w:t>
      </w:r>
      <w:r>
        <w:rPr>
          <w:rFonts w:eastAsia="Times New Roman"/>
          <w:color w:val="000000"/>
          <w:sz w:val="20"/>
          <w:szCs w:val="20"/>
        </w:rPr>
        <w:t>mended complaint. A hearing on our motion is scheduled for November 15, 2022. We believe the plaintiffs’ claims are without merit. </w:t>
      </w:r>
    </w:p>
    <w:p w14:paraId="15D3F8BC" w14:textId="77777777" w:rsidR="00000000" w:rsidRDefault="009B6C69">
      <w:pPr>
        <w:ind w:firstLine="360"/>
        <w:divId w:val="1827742726"/>
        <w:rPr>
          <w:rFonts w:eastAsia="Times New Roman"/>
        </w:rPr>
      </w:pPr>
      <w:r>
        <w:rPr>
          <w:rFonts w:eastAsia="Times New Roman"/>
          <w:color w:val="000000"/>
          <w:sz w:val="20"/>
          <w:szCs w:val="20"/>
        </w:rPr>
        <w:t>Since November 2017, several other consumer class action complaints have been filed against us in Canada (in the Supreme Cou</w:t>
      </w:r>
      <w:r>
        <w:rPr>
          <w:rFonts w:eastAsia="Times New Roman"/>
          <w:color w:val="000000"/>
          <w:sz w:val="20"/>
          <w:szCs w:val="20"/>
        </w:rPr>
        <w:t>rt of British Columbia and the Quebec Superior Court), Israel (in the Haifa District Court) and the United Kingdom (in the Competition Appeal Tribunal), each on behalf of a putative class of purchasers of cellular phones and other cellular devices, allegin</w:t>
      </w:r>
      <w:r>
        <w:rPr>
          <w:rFonts w:eastAsia="Times New Roman"/>
          <w:color w:val="000000"/>
          <w:sz w:val="20"/>
          <w:szCs w:val="20"/>
        </w:rPr>
        <w:t>g violations of certain of those countries’ competition and consumer protection laws. The claims in these complaints are similar to those in the U.S. consumer class action complaints. The complaints seek damages. We believe the plaintiffs’ claims are witho</w:t>
      </w:r>
      <w:r>
        <w:rPr>
          <w:rFonts w:eastAsia="Times New Roman"/>
          <w:color w:val="000000"/>
          <w:sz w:val="20"/>
          <w:szCs w:val="20"/>
        </w:rPr>
        <w:t>ut merit.</w:t>
      </w:r>
    </w:p>
    <w:p w14:paraId="7FF9F5F9" w14:textId="77777777" w:rsidR="00000000" w:rsidRDefault="009B6C69">
      <w:pPr>
        <w:ind w:firstLine="360"/>
        <w:divId w:val="510946409"/>
        <w:rPr>
          <w:rFonts w:eastAsia="Times New Roman"/>
        </w:rPr>
      </w:pPr>
      <w:r>
        <w:rPr>
          <w:rFonts w:eastAsia="Times New Roman"/>
          <w:i/>
          <w:iCs/>
          <w:color w:val="000000"/>
          <w:sz w:val="20"/>
          <w:szCs w:val="20"/>
        </w:rPr>
        <w:t xml:space="preserve">ParkerVision, Inc. v. QUALCOMM Incorporated: </w:t>
      </w:r>
      <w:r>
        <w:rPr>
          <w:rFonts w:eastAsia="Times New Roman"/>
          <w:color w:val="000000"/>
          <w:sz w:val="20"/>
          <w:szCs w:val="20"/>
        </w:rPr>
        <w:t>On May 1, 2014, ParkerVision filed a complaint against us in the United States District Court for the Middle District of Florida alleging that certain of our products infringed seven ParkerVision paten</w:t>
      </w:r>
      <w:r>
        <w:rPr>
          <w:rFonts w:eastAsia="Times New Roman"/>
          <w:color w:val="000000"/>
          <w:sz w:val="20"/>
          <w:szCs w:val="20"/>
        </w:rPr>
        <w:t>ts. On August 21, 2014, ParkerVision amended the complaint, alleging that we infringed 11 ParkerVision patents and sought damages and injunctive and other relief. ParkerVision subsequently reduced the number of patents asserted to three. The asserted paten</w:t>
      </w:r>
      <w:r>
        <w:rPr>
          <w:rFonts w:eastAsia="Times New Roman"/>
          <w:color w:val="000000"/>
          <w:sz w:val="20"/>
          <w:szCs w:val="20"/>
        </w:rPr>
        <w:t>ts are now expired, and injunctive relief is no longer available. ParkerVision continues to seek damages related to the sale of many of our radio frequency (RF) products sold between 2008 and 2018. On March 23, 2022, the court entered judgment in our favor</w:t>
      </w:r>
      <w:r>
        <w:rPr>
          <w:rFonts w:eastAsia="Times New Roman"/>
          <w:color w:val="000000"/>
          <w:sz w:val="20"/>
          <w:szCs w:val="20"/>
        </w:rPr>
        <w:t xml:space="preserve"> on all claims and closed the case. On April 20, 2022, ParkerVision filed a notice of appeal to the United States Court of Appeals for the Federal Circuit. We believe ParkerVision’s claims are without merit.</w:t>
      </w:r>
    </w:p>
    <w:p w14:paraId="335E3BB5" w14:textId="77777777" w:rsidR="00000000" w:rsidRDefault="009B6C69">
      <w:pPr>
        <w:ind w:firstLine="360"/>
        <w:divId w:val="722994473"/>
        <w:rPr>
          <w:rFonts w:eastAsia="Times New Roman"/>
        </w:rPr>
      </w:pPr>
      <w:r>
        <w:rPr>
          <w:rFonts w:eastAsia="Times New Roman"/>
          <w:i/>
          <w:iCs/>
          <w:color w:val="000000"/>
          <w:sz w:val="20"/>
          <w:szCs w:val="20"/>
        </w:rPr>
        <w:t>Arm Ltd. v. QUALCOMM Incorporated:</w:t>
      </w:r>
      <w:r>
        <w:rPr>
          <w:rFonts w:eastAsia="Times New Roman"/>
          <w:color w:val="000000"/>
          <w:sz w:val="20"/>
          <w:szCs w:val="20"/>
        </w:rPr>
        <w:t xml:space="preserve"> </w:t>
      </w:r>
      <w:r>
        <w:rPr>
          <w:rFonts w:eastAsia="Times New Roman"/>
          <w:color w:val="000000"/>
          <w:sz w:val="20"/>
          <w:szCs w:val="20"/>
        </w:rPr>
        <w:t xml:space="preserve">On August 31, 2022, Arm Ltd. (ARM) filed a complaint against us in the United States District Court for the District of Delaware. Our subsidiaries, Qualcomm Technologies, Inc. and NuVia, Inc. (Nuvia), are also named in the complaint. The complaint alleges </w:t>
      </w:r>
      <w:r>
        <w:rPr>
          <w:rFonts w:eastAsia="Times New Roman"/>
          <w:color w:val="000000"/>
          <w:sz w:val="20"/>
          <w:szCs w:val="20"/>
        </w:rPr>
        <w:t>that following our acquisition of Nuvia, we and Nuvia breached Nuvia’s Architecture License Agreement with ARM (the Nuvia ALA) by failing to comply with the termination obligations under the Nuvia ALA. The complaint seeks specific performance, including th</w:t>
      </w:r>
      <w:r>
        <w:rPr>
          <w:rFonts w:eastAsia="Times New Roman"/>
          <w:color w:val="000000"/>
          <w:sz w:val="20"/>
          <w:szCs w:val="20"/>
        </w:rPr>
        <w:t>at we cease all use of and destroy any technology that was developed under the Nuvia ALA, including processor core technology. ARM also contends that we violated the Lanham Act through trademark infringement and false designation of origin through unauthor</w:t>
      </w:r>
      <w:r>
        <w:rPr>
          <w:rFonts w:eastAsia="Times New Roman"/>
          <w:color w:val="000000"/>
          <w:sz w:val="20"/>
          <w:szCs w:val="20"/>
        </w:rPr>
        <w:t xml:space="preserve">ized use of ARM’s </w:t>
      </w:r>
    </w:p>
    <w:p w14:paraId="4125581C" w14:textId="77777777" w:rsidR="00000000" w:rsidRDefault="009B6C69">
      <w:pPr>
        <w:jc w:val="center"/>
        <w:divId w:val="256377429"/>
        <w:rPr>
          <w:rFonts w:eastAsia="Times New Roman"/>
        </w:rPr>
      </w:pPr>
      <w:r>
        <w:rPr>
          <w:rFonts w:eastAsia="Times New Roman"/>
          <w:color w:val="000000"/>
          <w:sz w:val="20"/>
          <w:szCs w:val="20"/>
        </w:rPr>
        <w:t>F-24</w:t>
      </w:r>
    </w:p>
    <w:p w14:paraId="50B1FD57" w14:textId="77777777" w:rsidR="00000000" w:rsidRDefault="009B6C69">
      <w:pPr>
        <w:rPr>
          <w:rFonts w:eastAsia="Times New Roman"/>
        </w:rPr>
      </w:pPr>
      <w:r>
        <w:rPr>
          <w:rFonts w:eastAsia="Times New Roman"/>
        </w:rPr>
        <w:pict w14:anchorId="3E0CE52C">
          <v:rect id="_x0000_i1104" style="width:0;height:1.5pt" o:hralign="center" o:hrstd="t" o:hr="t" fillcolor="#a0a0a0" stroked="f"/>
        </w:pict>
      </w:r>
    </w:p>
    <w:p w14:paraId="5750E445" w14:textId="77777777" w:rsidR="00000000" w:rsidRDefault="009B6C69">
      <w:pPr>
        <w:jc w:val="center"/>
        <w:divId w:val="819612000"/>
        <w:rPr>
          <w:rFonts w:eastAsia="Times New Roman"/>
        </w:rPr>
      </w:pPr>
    </w:p>
    <w:p w14:paraId="555219F6" w14:textId="77777777" w:rsidR="00000000" w:rsidRDefault="009B6C69">
      <w:pPr>
        <w:jc w:val="center"/>
        <w:divId w:val="819612000"/>
        <w:rPr>
          <w:rFonts w:eastAsia="Times New Roman"/>
        </w:rPr>
      </w:pPr>
      <w:r>
        <w:rPr>
          <w:rFonts w:eastAsia="Times New Roman"/>
          <w:b/>
          <w:bCs/>
          <w:color w:val="000000"/>
          <w:sz w:val="20"/>
          <w:szCs w:val="20"/>
        </w:rPr>
        <w:t>QUALCOMM Incorporated</w:t>
      </w:r>
    </w:p>
    <w:p w14:paraId="49BAC59D" w14:textId="77777777" w:rsidR="00000000" w:rsidRDefault="009B6C69">
      <w:pPr>
        <w:jc w:val="center"/>
        <w:divId w:val="819612000"/>
        <w:rPr>
          <w:rFonts w:eastAsia="Times New Roman"/>
        </w:rPr>
      </w:pPr>
      <w:r>
        <w:rPr>
          <w:rFonts w:eastAsia="Times New Roman"/>
          <w:b/>
          <w:bCs/>
          <w:color w:val="000000"/>
          <w:sz w:val="20"/>
          <w:szCs w:val="20"/>
        </w:rPr>
        <w:t>NOTES TO CONSOLIDATED FINANCIAL STATEMENTS</w:t>
      </w:r>
    </w:p>
    <w:p w14:paraId="1D3BEA4F" w14:textId="77777777" w:rsidR="00000000" w:rsidRDefault="009B6C69">
      <w:pPr>
        <w:divId w:val="196352770"/>
        <w:rPr>
          <w:rFonts w:eastAsia="Times New Roman"/>
        </w:rPr>
      </w:pPr>
      <w:r>
        <w:rPr>
          <w:rFonts w:eastAsia="Times New Roman"/>
          <w:color w:val="000000"/>
          <w:sz w:val="20"/>
          <w:szCs w:val="20"/>
        </w:rPr>
        <w:t>trademarks and seeks associated injunctive and declaratory relief. ARM further seeks exemplary or punitive damages, costs, expens</w:t>
      </w:r>
      <w:r>
        <w:rPr>
          <w:rFonts w:eastAsia="Times New Roman"/>
          <w:color w:val="000000"/>
          <w:sz w:val="20"/>
          <w:szCs w:val="20"/>
        </w:rPr>
        <w:t>es and reasonable attorney’s fees, and equitable relief addressing any infringement occurring after entry of judgment. We believe ARM’s claims are without merit.</w:t>
      </w:r>
    </w:p>
    <w:p w14:paraId="1E989D1C" w14:textId="77777777" w:rsidR="00000000" w:rsidRDefault="009B6C69">
      <w:pPr>
        <w:ind w:firstLine="360"/>
        <w:divId w:val="572156524"/>
        <w:rPr>
          <w:rFonts w:eastAsia="Times New Roman"/>
        </w:rPr>
      </w:pPr>
      <w:r>
        <w:rPr>
          <w:rFonts w:eastAsia="Times New Roman"/>
          <w:color w:val="000000"/>
          <w:sz w:val="20"/>
          <w:szCs w:val="20"/>
        </w:rPr>
        <w:t>On September 30, 2022, we filed our Answer and Counterclaim in response to ARM’s complaint den</w:t>
      </w:r>
      <w:r>
        <w:rPr>
          <w:rFonts w:eastAsia="Times New Roman"/>
          <w:color w:val="000000"/>
          <w:sz w:val="20"/>
          <w:szCs w:val="20"/>
        </w:rPr>
        <w:t>ying ARM’s claims. Our counterclaim seeks a declaratory judgment that we did not breach the Nuvia ALA or the Technology License Agreement between Nuvia and ARM and that, following the acquisition of Nuvia, our architected cores (including all further devel</w:t>
      </w:r>
      <w:r>
        <w:rPr>
          <w:rFonts w:eastAsia="Times New Roman"/>
          <w:color w:val="000000"/>
          <w:sz w:val="20"/>
          <w:szCs w:val="20"/>
        </w:rPr>
        <w:t>opments, iterations or instantiations of the technology we acquired from Nuvia), server System-on-Chip (SoC) and compute SoC are fully licensed under our existing Architecture License Agreement and Technology License Agreement with ARM (the ARM-Qualcomm Ag</w:t>
      </w:r>
      <w:r>
        <w:rPr>
          <w:rFonts w:eastAsia="Times New Roman"/>
          <w:color w:val="000000"/>
          <w:sz w:val="20"/>
          <w:szCs w:val="20"/>
        </w:rPr>
        <w:t>reements). We further seek an order enjoining ARM from making any claim that our products are not licensed under the ARM-Qualcomm Agreements, are not ARM-compliant or that we are prohibited from using ARM’s marks in the marketing of any such products. On O</w:t>
      </w:r>
      <w:r>
        <w:rPr>
          <w:rFonts w:eastAsia="Times New Roman"/>
          <w:color w:val="000000"/>
          <w:sz w:val="20"/>
          <w:szCs w:val="20"/>
        </w:rPr>
        <w:t>ctober 26, 2022, we filed an Amended Counterclaim seeking additional declaratory relief that certain statements ARM is making in the marketplace concerning our rights under the ARM-Qualcomm Agreements are false, and that ARM has no right to prevent us from</w:t>
      </w:r>
      <w:r>
        <w:rPr>
          <w:rFonts w:eastAsia="Times New Roman"/>
          <w:color w:val="000000"/>
          <w:sz w:val="20"/>
          <w:szCs w:val="20"/>
        </w:rPr>
        <w:t xml:space="preserve"> shipping our products, which are validly licensed.</w:t>
      </w:r>
    </w:p>
    <w:p w14:paraId="5FD00ECA" w14:textId="77777777" w:rsidR="00000000" w:rsidRDefault="009B6C69">
      <w:pPr>
        <w:ind w:firstLine="360"/>
        <w:divId w:val="1176575199"/>
        <w:rPr>
          <w:rFonts w:eastAsia="Times New Roman"/>
        </w:rPr>
      </w:pPr>
      <w:r>
        <w:rPr>
          <w:rFonts w:eastAsia="Times New Roman"/>
          <w:i/>
          <w:iCs/>
          <w:color w:val="000000"/>
          <w:sz w:val="20"/>
          <w:szCs w:val="20"/>
        </w:rPr>
        <w:t>Korea Fair Trade Commission (KFTC) Investigation (2015):</w:t>
      </w:r>
      <w:r>
        <w:rPr>
          <w:rFonts w:eastAsia="Times New Roman"/>
          <w:color w:val="000000"/>
          <w:sz w:val="20"/>
          <w:szCs w:val="20"/>
        </w:rPr>
        <w:t xml:space="preserve"> On March 17, 2015, the KFTC notified us that it was conducting an investigation of us relating to the Korean Monopoly Regulation and Fair Trade Act</w:t>
      </w:r>
      <w:r>
        <w:rPr>
          <w:rFonts w:eastAsia="Times New Roman"/>
          <w:color w:val="000000"/>
          <w:sz w:val="20"/>
          <w:szCs w:val="20"/>
        </w:rPr>
        <w:t xml:space="preserve"> (MRFTA). On December 27, 2016, the KFTC announced that it had reached a decision in the investigation, finding that we violated provisions of the MRFTA. On January 22, 2017, we received the KFTC’s formal written decision, which found that the following co</w:t>
      </w:r>
      <w:r>
        <w:rPr>
          <w:rFonts w:eastAsia="Times New Roman"/>
          <w:color w:val="000000"/>
          <w:sz w:val="20"/>
          <w:szCs w:val="20"/>
        </w:rPr>
        <w:t>nducts violate the MRFTA: (i) refusing to license, or imposing restrictions on licenses for, cellular communications standard-essential patents with competing modem chipset makers; (ii) conditioning the supply of modem chipsets to handset suppliers on thei</w:t>
      </w:r>
      <w:r>
        <w:rPr>
          <w:rFonts w:eastAsia="Times New Roman"/>
          <w:color w:val="000000"/>
          <w:sz w:val="20"/>
          <w:szCs w:val="20"/>
        </w:rPr>
        <w:t>r execution and performance of license agreements with us; and (iii) coercing agreement terms including portfolio license terms, royalty terms and free cross-grant terms in executing patent license agreements with handset makers. The KFTC’s decision orders</w:t>
      </w:r>
      <w:r>
        <w:rPr>
          <w:rFonts w:eastAsia="Times New Roman"/>
          <w:color w:val="000000"/>
          <w:sz w:val="20"/>
          <w:szCs w:val="20"/>
        </w:rPr>
        <w:t xml:space="preserve"> us to: (a) upon request by modem chipset companies, engage in good-faith negotiations for patent license agreements, without offering unjustifiable conditions, and if necessary submit to a determination of terms by an independent third party; (b) not dema</w:t>
      </w:r>
      <w:r>
        <w:rPr>
          <w:rFonts w:eastAsia="Times New Roman"/>
          <w:color w:val="000000"/>
          <w:sz w:val="20"/>
          <w:szCs w:val="20"/>
        </w:rPr>
        <w:t xml:space="preserve">nd that handset companies execute and perform under patent license agreements as a precondition for purchasing modem chipsets; (c) not demand unjustifiable conditions in our license agreements with handset companies and, upon request, renegotiate existing </w:t>
      </w:r>
      <w:r>
        <w:rPr>
          <w:rFonts w:eastAsia="Times New Roman"/>
          <w:color w:val="000000"/>
          <w:sz w:val="20"/>
          <w:szCs w:val="20"/>
        </w:rPr>
        <w:t>patent license agreements; and (d) notify modem chipset companies and handset companies of the decision and order imposed on us and report to the KFTC new or amended agreements. According to the KFTC’s decision, the foregoing will apply to transactions bet</w:t>
      </w:r>
      <w:r>
        <w:rPr>
          <w:rFonts w:eastAsia="Times New Roman"/>
          <w:color w:val="000000"/>
          <w:sz w:val="20"/>
          <w:szCs w:val="20"/>
        </w:rPr>
        <w:t>ween us and the following enterprises: (1) handset manufacturers headquartered in Korea and their affiliate companies; (2) enterprises that sell handsets in or to Korea and their affiliate companies; (3) enterprises that supply handsets to companies referr</w:t>
      </w:r>
      <w:r>
        <w:rPr>
          <w:rFonts w:eastAsia="Times New Roman"/>
          <w:color w:val="000000"/>
          <w:sz w:val="20"/>
          <w:szCs w:val="20"/>
        </w:rPr>
        <w:t>ed to in (2) above and the affiliate companies of such enterprises; (4) modem chipset manufacturers headquartered in Korea and their affiliate companies; and (5) enterprises that supply modem chipsets to companies referred to in (1), (2) or (3) above and t</w:t>
      </w:r>
      <w:r>
        <w:rPr>
          <w:rFonts w:eastAsia="Times New Roman"/>
          <w:color w:val="000000"/>
          <w:sz w:val="20"/>
          <w:szCs w:val="20"/>
        </w:rPr>
        <w:t xml:space="preserve">he affiliate companies of such enterprises. The KFTC’s decision also imposed a fine of 1.03 trillion Korean won (approximately $927 million), which we paid on March 30, 2017. </w:t>
      </w:r>
    </w:p>
    <w:p w14:paraId="4BD4507F" w14:textId="77777777" w:rsidR="00000000" w:rsidRDefault="009B6C69">
      <w:pPr>
        <w:ind w:firstLine="360"/>
        <w:divId w:val="363289713"/>
        <w:rPr>
          <w:rFonts w:eastAsia="Times New Roman"/>
        </w:rPr>
      </w:pPr>
      <w:r>
        <w:rPr>
          <w:rFonts w:eastAsia="Times New Roman"/>
          <w:color w:val="000000"/>
          <w:sz w:val="20"/>
          <w:szCs w:val="20"/>
        </w:rPr>
        <w:t>On February 21, 2017, we filed an action in the Seoul High Court to cancel the K</w:t>
      </w:r>
      <w:r>
        <w:rPr>
          <w:rFonts w:eastAsia="Times New Roman"/>
          <w:color w:val="000000"/>
          <w:sz w:val="20"/>
          <w:szCs w:val="20"/>
        </w:rPr>
        <w:t>FTC’s decision. The Seoul High Court held hearings concluding on August 14, 2019, and on December 4, 2019, announced its judgment affirming certain portions of the KFTC’s decision and finding other portions of the KFTC’s decision unlawful. The Seoul High C</w:t>
      </w:r>
      <w:r>
        <w:rPr>
          <w:rFonts w:eastAsia="Times New Roman"/>
          <w:color w:val="000000"/>
          <w:sz w:val="20"/>
          <w:szCs w:val="20"/>
        </w:rPr>
        <w:t>ourt cancelled the KFTC’s remedial orders described in (c) above, and solely insofar as they correspond thereto, the Seoul High Court cancelled the KFTC’s remedial orders described in (d) above. The Seoul High Court dismissed the remainder of our action to</w:t>
      </w:r>
      <w:r>
        <w:rPr>
          <w:rFonts w:eastAsia="Times New Roman"/>
          <w:color w:val="000000"/>
          <w:sz w:val="20"/>
          <w:szCs w:val="20"/>
        </w:rPr>
        <w:t xml:space="preserve"> cancel the KFTC’s decision. On December 19, 2019, we filed a notice of appeal to the Korea Supreme Court challenging those portions of the Seoul High Court decision that are not in our favor. The KFTC filed a notice of appeal to the Korea Supreme Court ch</w:t>
      </w:r>
      <w:r>
        <w:rPr>
          <w:rFonts w:eastAsia="Times New Roman"/>
          <w:color w:val="000000"/>
          <w:sz w:val="20"/>
          <w:szCs w:val="20"/>
        </w:rPr>
        <w:t xml:space="preserve">allenging the portions of the Seoul High Court decision that are not in its favor. </w:t>
      </w:r>
      <w:r>
        <w:rPr>
          <w:rFonts w:eastAsia="Times New Roman"/>
          <w:color w:val="000000"/>
          <w:sz w:val="20"/>
          <w:szCs w:val="20"/>
          <w:shd w:val="clear" w:color="auto" w:fill="FFFFFF"/>
        </w:rPr>
        <w:t>Both we and the KFTC have filed briefs on the merits. T</w:t>
      </w:r>
      <w:r>
        <w:rPr>
          <w:rFonts w:eastAsia="Times New Roman"/>
          <w:color w:val="000000"/>
          <w:sz w:val="20"/>
          <w:szCs w:val="20"/>
        </w:rPr>
        <w:t xml:space="preserve">he Korea Supreme Court has not yet ruled on our appeal or that of the KFTC. We believe that our business practices do </w:t>
      </w:r>
      <w:r>
        <w:rPr>
          <w:rFonts w:eastAsia="Times New Roman"/>
          <w:color w:val="000000"/>
          <w:sz w:val="20"/>
          <w:szCs w:val="20"/>
        </w:rPr>
        <w:t xml:space="preserve">not violate the MRFTA. </w:t>
      </w:r>
    </w:p>
    <w:p w14:paraId="2B20EE4E" w14:textId="77777777" w:rsidR="00000000" w:rsidRDefault="009B6C69">
      <w:pPr>
        <w:ind w:firstLine="360"/>
        <w:divId w:val="71706169"/>
        <w:rPr>
          <w:rFonts w:eastAsia="Times New Roman"/>
        </w:rPr>
      </w:pPr>
      <w:r>
        <w:rPr>
          <w:rFonts w:eastAsia="Times New Roman"/>
          <w:i/>
          <w:iCs/>
          <w:color w:val="000000"/>
          <w:sz w:val="20"/>
          <w:szCs w:val="20"/>
        </w:rPr>
        <w:t>Korea Fair Trade Commission (KFTC) Investigation (2020)</w:t>
      </w:r>
      <w:r>
        <w:rPr>
          <w:rFonts w:eastAsia="Times New Roman"/>
          <w:color w:val="000000"/>
          <w:sz w:val="20"/>
          <w:szCs w:val="20"/>
        </w:rPr>
        <w:t>: On June 8, 2020, the KFTC informed us that it was conducting an investigation of us relating to the MRFTA. The KFTC has not provided a formal notice on the scope of its invest</w:t>
      </w:r>
      <w:r>
        <w:rPr>
          <w:rFonts w:eastAsia="Times New Roman"/>
          <w:color w:val="000000"/>
          <w:sz w:val="20"/>
          <w:szCs w:val="20"/>
        </w:rPr>
        <w:t xml:space="preserve">igation, but we believe it concerns our business practices in connection with our sale of RFFE components. We continue to cooperate with the KFTC as it conducts its investigation. If a violation is found, a broad range of remedies is potentially available </w:t>
      </w:r>
      <w:r>
        <w:rPr>
          <w:rFonts w:eastAsia="Times New Roman"/>
          <w:color w:val="000000"/>
          <w:sz w:val="20"/>
          <w:szCs w:val="20"/>
        </w:rPr>
        <w:t xml:space="preserve">to the KFTC, including imposing a fine (of up to 3% of our sales in the relevant markets during the alleged period of violation) and/or injunctive relief prohibiting or restricting certain business practices. It is difficult to predict the outcome of this </w:t>
      </w:r>
      <w:r>
        <w:rPr>
          <w:rFonts w:eastAsia="Times New Roman"/>
          <w:color w:val="000000"/>
          <w:sz w:val="20"/>
          <w:szCs w:val="20"/>
        </w:rPr>
        <w:t>matter or what remedies, if any, may be imposed by the KFTC. We believe that our business practices do not violate the MRFTA.</w:t>
      </w:r>
    </w:p>
    <w:p w14:paraId="2962FBD5" w14:textId="77777777" w:rsidR="00000000" w:rsidRDefault="009B6C69">
      <w:pPr>
        <w:ind w:firstLine="360"/>
        <w:divId w:val="1970162670"/>
        <w:rPr>
          <w:rFonts w:eastAsia="Times New Roman"/>
        </w:rPr>
      </w:pPr>
      <w:r>
        <w:rPr>
          <w:rFonts w:eastAsia="Times New Roman"/>
          <w:i/>
          <w:iCs/>
          <w:color w:val="000000"/>
          <w:sz w:val="20"/>
          <w:szCs w:val="20"/>
        </w:rPr>
        <w:t xml:space="preserve">Icera Complaint to the European Commission (EC): </w:t>
      </w:r>
      <w:r>
        <w:rPr>
          <w:rFonts w:eastAsia="Times New Roman"/>
          <w:color w:val="000000"/>
          <w:sz w:val="20"/>
          <w:szCs w:val="20"/>
        </w:rPr>
        <w:t>On June 7, 2010, the EC notified and provided us with a redacted copy of a compla</w:t>
      </w:r>
      <w:r>
        <w:rPr>
          <w:rFonts w:eastAsia="Times New Roman"/>
          <w:color w:val="000000"/>
          <w:sz w:val="20"/>
          <w:szCs w:val="20"/>
        </w:rPr>
        <w:t xml:space="preserve">int filed with the EC by Icera, Inc. (subsequently acquired by Nvidia Corporation) alleging that we were engaged in anticompetitive activity. On July 16, 2015, the EC announced that it had initiated formal proceedings in this matter. On July 18, 2019, the </w:t>
      </w:r>
      <w:r>
        <w:rPr>
          <w:rFonts w:eastAsia="Times New Roman"/>
          <w:color w:val="000000"/>
          <w:sz w:val="20"/>
          <w:szCs w:val="20"/>
        </w:rPr>
        <w:t xml:space="preserve">EC issued a decision finding that between 2009 and 2011, we engaged in predatory pricing by selling certain baseband chipsets to two customers at prices below cost with the intention of hindering competition and imposed a fine of approximately 242 million </w:t>
      </w:r>
      <w:r>
        <w:rPr>
          <w:rFonts w:eastAsia="Times New Roman"/>
          <w:color w:val="000000"/>
          <w:sz w:val="20"/>
          <w:szCs w:val="20"/>
        </w:rPr>
        <w:t>euros. On October 1, 2019, we filed an appeal of the EC’s decision with the General Court of the European Union. The court has not yet ruled on our appeal. We believe that our business practices do not violate the European Union (EU) competition rules.</w:t>
      </w:r>
    </w:p>
    <w:p w14:paraId="5563D785" w14:textId="77777777" w:rsidR="00000000" w:rsidRDefault="009B6C69">
      <w:pPr>
        <w:jc w:val="center"/>
        <w:divId w:val="2095085276"/>
        <w:rPr>
          <w:rFonts w:eastAsia="Times New Roman"/>
        </w:rPr>
      </w:pPr>
      <w:r>
        <w:rPr>
          <w:rFonts w:eastAsia="Times New Roman"/>
          <w:color w:val="000000"/>
          <w:sz w:val="20"/>
          <w:szCs w:val="20"/>
        </w:rPr>
        <w:t>F-25</w:t>
      </w:r>
    </w:p>
    <w:p w14:paraId="724FEB8B" w14:textId="77777777" w:rsidR="00000000" w:rsidRDefault="009B6C69">
      <w:pPr>
        <w:rPr>
          <w:rFonts w:eastAsia="Times New Roman"/>
        </w:rPr>
      </w:pPr>
      <w:r>
        <w:rPr>
          <w:rFonts w:eastAsia="Times New Roman"/>
        </w:rPr>
        <w:pict w14:anchorId="0FC091F8">
          <v:rect id="_x0000_i1105" style="width:0;height:1.5pt" o:hralign="center" o:hrstd="t" o:hr="t" fillcolor="#a0a0a0" stroked="f"/>
        </w:pict>
      </w:r>
    </w:p>
    <w:p w14:paraId="7F0C38B7" w14:textId="77777777" w:rsidR="00000000" w:rsidRDefault="009B6C69">
      <w:pPr>
        <w:jc w:val="center"/>
        <w:divId w:val="338850590"/>
        <w:rPr>
          <w:rFonts w:eastAsia="Times New Roman"/>
        </w:rPr>
      </w:pPr>
    </w:p>
    <w:p w14:paraId="12E8C330" w14:textId="77777777" w:rsidR="00000000" w:rsidRDefault="009B6C69">
      <w:pPr>
        <w:jc w:val="center"/>
        <w:divId w:val="338850590"/>
        <w:rPr>
          <w:rFonts w:eastAsia="Times New Roman"/>
        </w:rPr>
      </w:pPr>
      <w:r>
        <w:rPr>
          <w:rFonts w:eastAsia="Times New Roman"/>
          <w:b/>
          <w:bCs/>
          <w:color w:val="000000"/>
          <w:sz w:val="20"/>
          <w:szCs w:val="20"/>
        </w:rPr>
        <w:t>QUALCOMM Incorporated</w:t>
      </w:r>
    </w:p>
    <w:p w14:paraId="0694C1E9" w14:textId="77777777" w:rsidR="00000000" w:rsidRDefault="009B6C69">
      <w:pPr>
        <w:jc w:val="center"/>
        <w:divId w:val="338850590"/>
        <w:rPr>
          <w:rFonts w:eastAsia="Times New Roman"/>
        </w:rPr>
      </w:pPr>
      <w:r>
        <w:rPr>
          <w:rFonts w:eastAsia="Times New Roman"/>
          <w:b/>
          <w:bCs/>
          <w:color w:val="000000"/>
          <w:sz w:val="20"/>
          <w:szCs w:val="20"/>
        </w:rPr>
        <w:t>NOTES TO CONSOLIDATED FINANCIAL STATEMENTS</w:t>
      </w:r>
    </w:p>
    <w:p w14:paraId="13DFC756" w14:textId="77777777" w:rsidR="00000000" w:rsidRDefault="009B6C69">
      <w:pPr>
        <w:ind w:firstLine="360"/>
        <w:divId w:val="2018993192"/>
        <w:rPr>
          <w:rFonts w:eastAsia="Times New Roman"/>
        </w:rPr>
      </w:pPr>
      <w:r>
        <w:rPr>
          <w:rFonts w:eastAsia="Times New Roman"/>
          <w:color w:val="000000"/>
          <w:sz w:val="20"/>
          <w:szCs w:val="20"/>
        </w:rPr>
        <w:t>In the third quarter of fiscal 2019, we recorded a charge of $275 million to other expenses related to this EC fine. We provided a financial guaran</w:t>
      </w:r>
      <w:r>
        <w:rPr>
          <w:rFonts w:eastAsia="Times New Roman"/>
          <w:color w:val="000000"/>
          <w:sz w:val="20"/>
          <w:szCs w:val="20"/>
        </w:rPr>
        <w:t>tee in the first quarter of fiscal 2020 to satisfy the obligation in lieu of cash payment while we appeal the EC’s decision. The fine is accruing interest at a rate of 1.50% per annum while it is outstanding and included in other current liabilities.</w:t>
      </w:r>
    </w:p>
    <w:p w14:paraId="0AEEF0DB" w14:textId="77777777" w:rsidR="00000000" w:rsidRDefault="009B6C69">
      <w:pPr>
        <w:ind w:firstLine="360"/>
        <w:divId w:val="1726489341"/>
        <w:rPr>
          <w:rFonts w:eastAsia="Times New Roman"/>
        </w:rPr>
      </w:pPr>
      <w:r>
        <w:rPr>
          <w:rFonts w:eastAsia="Times New Roman"/>
          <w:i/>
          <w:iCs/>
          <w:color w:val="000000"/>
          <w:sz w:val="20"/>
          <w:szCs w:val="20"/>
        </w:rPr>
        <w:t>Europ</w:t>
      </w:r>
      <w:r>
        <w:rPr>
          <w:rFonts w:eastAsia="Times New Roman"/>
          <w:i/>
          <w:iCs/>
          <w:color w:val="000000"/>
          <w:sz w:val="20"/>
          <w:szCs w:val="20"/>
        </w:rPr>
        <w:t>ean Commission (EC) Investigation:</w:t>
      </w:r>
      <w:r>
        <w:rPr>
          <w:rFonts w:eastAsia="Times New Roman"/>
          <w:color w:val="000000"/>
          <w:sz w:val="20"/>
          <w:szCs w:val="20"/>
        </w:rPr>
        <w:t xml:space="preserve"> On October 15, 2014, the EC notified us that it was conducting an investigation of us relating to Articles 101 and/or 102 of the Treaty on the Functioning of the European Union (TFEU). On January 24, 2018, the EC issued a</w:t>
      </w:r>
      <w:r>
        <w:rPr>
          <w:rFonts w:eastAsia="Times New Roman"/>
          <w:color w:val="000000"/>
          <w:sz w:val="20"/>
          <w:szCs w:val="20"/>
        </w:rPr>
        <w:t xml:space="preserve"> decision finding that pursuant to an agreement with Apple Inc. we paid significant amounts to Apple on the condition that it exclusively use our baseband chipsets in its smartphones and tablets, reducing Apple’s incentives to source baseband chipsets from</w:t>
      </w:r>
      <w:r>
        <w:rPr>
          <w:rFonts w:eastAsia="Times New Roman"/>
          <w:color w:val="000000"/>
          <w:sz w:val="20"/>
          <w:szCs w:val="20"/>
        </w:rPr>
        <w:t xml:space="preserve"> our competitors and harming competition and innovation for certain baseband chipsets, and imposed a fine of 997 million euros. On April 6, 2018, we filed an appeal of the EC’s decision with the General Court of the European Union. From May 4, 2021 to May </w:t>
      </w:r>
      <w:r>
        <w:rPr>
          <w:rFonts w:eastAsia="Times New Roman"/>
          <w:color w:val="000000"/>
          <w:sz w:val="20"/>
          <w:szCs w:val="20"/>
        </w:rPr>
        <w:t xml:space="preserve">6, 2021, a hearing on our appeal was held before the court. On June 15, 2022, the court issued a ruling annulling the EC’s decision in its entirety. The deadline for the EC to appeal the General Court’s decision to the European Court of Justice expired in </w:t>
      </w:r>
      <w:r>
        <w:rPr>
          <w:rFonts w:eastAsia="Times New Roman"/>
          <w:color w:val="000000"/>
          <w:sz w:val="20"/>
          <w:szCs w:val="20"/>
        </w:rPr>
        <w:t>August 2022. Consequently, the case is now over.</w:t>
      </w:r>
    </w:p>
    <w:p w14:paraId="0B9AC765" w14:textId="77777777" w:rsidR="00000000" w:rsidRDefault="009B6C69">
      <w:pPr>
        <w:ind w:firstLine="360"/>
        <w:divId w:val="1705666788"/>
        <w:rPr>
          <w:rFonts w:eastAsia="Times New Roman"/>
        </w:rPr>
      </w:pPr>
      <w:r>
        <w:rPr>
          <w:rFonts w:eastAsia="Times New Roman"/>
          <w:color w:val="000000"/>
          <w:sz w:val="20"/>
          <w:szCs w:val="20"/>
        </w:rPr>
        <w:t>In the first quarter of fiscal 2018, we recorded a charge of $1.2 billion to other expenses related to this EC fine. We provided financial guarantees in the third quarter of fiscal 2018 to satisfy the obliga</w:t>
      </w:r>
      <w:r>
        <w:rPr>
          <w:rFonts w:eastAsia="Times New Roman"/>
          <w:color w:val="000000"/>
          <w:sz w:val="20"/>
          <w:szCs w:val="20"/>
        </w:rPr>
        <w:t xml:space="preserve">tion in lieu of cash payment while we appealed the EC’s decision. The fine accrued interest at a rate of 1.50% per annum while it was outstanding. In the first quarter of fiscal 2019, we designated the liability as a hedge of our net investment in certain </w:t>
      </w:r>
      <w:r>
        <w:rPr>
          <w:rFonts w:eastAsia="Times New Roman"/>
          <w:color w:val="000000"/>
          <w:sz w:val="20"/>
          <w:szCs w:val="20"/>
        </w:rPr>
        <w:t>foreign subsidiaries, with gains and losses recorded in accumulated other comprehensive income (loss) as a component of the foreign currency translation adjustment. As a result of the General Court’s ruling, in the third quarter of fiscal 2022, we recorded</w:t>
      </w:r>
      <w:r>
        <w:rPr>
          <w:rFonts w:eastAsia="Times New Roman"/>
          <w:color w:val="000000"/>
          <w:sz w:val="20"/>
          <w:szCs w:val="20"/>
        </w:rPr>
        <w:t xml:space="preserve"> a $1.1 billion benefit in other income and a $62 million reduction in interest expense resulting from the reversal of the accrued fine and the associated interest previously recorded. </w:t>
      </w:r>
    </w:p>
    <w:p w14:paraId="4BE02C42" w14:textId="77777777" w:rsidR="00000000" w:rsidRDefault="009B6C69">
      <w:pPr>
        <w:ind w:firstLine="360"/>
        <w:divId w:val="378629613"/>
        <w:rPr>
          <w:rFonts w:eastAsia="Times New Roman"/>
        </w:rPr>
      </w:pPr>
      <w:r>
        <w:rPr>
          <w:rFonts w:eastAsia="Times New Roman"/>
          <w:i/>
          <w:iCs/>
          <w:color w:val="000000"/>
          <w:sz w:val="20"/>
          <w:szCs w:val="20"/>
        </w:rPr>
        <w:t>Contingent Losses and Other Considerations:</w:t>
      </w:r>
      <w:r>
        <w:rPr>
          <w:rFonts w:eastAsia="Times New Roman"/>
          <w:color w:val="000000"/>
          <w:sz w:val="20"/>
          <w:szCs w:val="20"/>
        </w:rPr>
        <w:t xml:space="preserve"> We will continue to vigoro</w:t>
      </w:r>
      <w:r>
        <w:rPr>
          <w:rFonts w:eastAsia="Times New Roman"/>
          <w:color w:val="000000"/>
          <w:sz w:val="20"/>
          <w:szCs w:val="20"/>
        </w:rPr>
        <w:t>usly defend ourselves in the foregoing matters. However, litigation and investigations are inherently uncertain, and we face difficulties in evaluating or estimating likely outcomes or ranges of possible loss, particularly in antitrust and trade regulation</w:t>
      </w:r>
      <w:r>
        <w:rPr>
          <w:rFonts w:eastAsia="Times New Roman"/>
          <w:color w:val="000000"/>
          <w:sz w:val="20"/>
          <w:szCs w:val="20"/>
        </w:rPr>
        <w:t xml:space="preserve"> investigations. Other than with respect to the EC fine related to the Icera Complaint to the European Commission, we have not recorded any accrual at September 25, 2022 for contingent losses associated with these matters based on our belief that losses, w</w:t>
      </w:r>
      <w:r>
        <w:rPr>
          <w:rFonts w:eastAsia="Times New Roman"/>
          <w:color w:val="000000"/>
          <w:sz w:val="20"/>
          <w:szCs w:val="20"/>
        </w:rPr>
        <w:t xml:space="preserve">hile reasonably possible, are not probable. Further, any possible amount or range of loss cannot be reasonably estimated at this time. The unfavorable resolution of one or more of these matters could have a material adverse effect on our business, results </w:t>
      </w:r>
      <w:r>
        <w:rPr>
          <w:rFonts w:eastAsia="Times New Roman"/>
          <w:color w:val="000000"/>
          <w:sz w:val="20"/>
          <w:szCs w:val="20"/>
        </w:rPr>
        <w:t>of operations, financial condition or cash flows. We are engaged in numerous other legal actions not described above arising in the ordinary course of our business (for example, proceedings relating to employment matters or the initiation or defense of pro</w:t>
      </w:r>
      <w:r>
        <w:rPr>
          <w:rFonts w:eastAsia="Times New Roman"/>
          <w:color w:val="000000"/>
          <w:sz w:val="20"/>
          <w:szCs w:val="20"/>
        </w:rPr>
        <w:t>ceedings relating to intellectual property rights) and, while there can be no assurance, we believe that the ultimate outcome of these other legal actions will not have a material adverse effect on our business, results of operations, financial condition o</w:t>
      </w:r>
      <w:r>
        <w:rPr>
          <w:rFonts w:eastAsia="Times New Roman"/>
          <w:color w:val="000000"/>
          <w:sz w:val="20"/>
          <w:szCs w:val="20"/>
        </w:rPr>
        <w:t>r cash flows.</w:t>
      </w:r>
    </w:p>
    <w:p w14:paraId="720EAD26" w14:textId="77777777" w:rsidR="00000000" w:rsidRDefault="009B6C69">
      <w:pPr>
        <w:ind w:firstLine="360"/>
        <w:divId w:val="1309163733"/>
        <w:rPr>
          <w:rFonts w:eastAsia="Times New Roman"/>
        </w:rPr>
      </w:pPr>
      <w:r>
        <w:rPr>
          <w:rFonts w:eastAsia="Times New Roman"/>
          <w:b/>
          <w:bCs/>
          <w:i/>
          <w:iCs/>
          <w:color w:val="000000"/>
          <w:sz w:val="20"/>
          <w:szCs w:val="20"/>
        </w:rPr>
        <w:t>Indemnifications</w:t>
      </w:r>
      <w:r>
        <w:rPr>
          <w:rFonts w:eastAsia="Times New Roman"/>
          <w:b/>
          <w:bCs/>
          <w:color w:val="000000"/>
          <w:sz w:val="20"/>
          <w:szCs w:val="20"/>
        </w:rPr>
        <w:t>.</w:t>
      </w:r>
      <w:r>
        <w:rPr>
          <w:rFonts w:eastAsia="Times New Roman"/>
          <w:color w:val="000000"/>
          <w:sz w:val="20"/>
          <w:szCs w:val="20"/>
        </w:rPr>
        <w:t xml:space="preserve"> We generally do not indemnify our customers, licensees and suppliers for losses sustained from infringement of third-party intellectual property rights. However, we are contingently liable under certain agreements to defend </w:t>
      </w:r>
      <w:r>
        <w:rPr>
          <w:rFonts w:eastAsia="Times New Roman"/>
          <w:color w:val="000000"/>
          <w:sz w:val="20"/>
          <w:szCs w:val="20"/>
        </w:rPr>
        <w:t xml:space="preserve">and/or indemnify certain customers, licensees and suppliers against certain types of liability and/or damages arising from the infringement of third-party intellectual property rights. Our obligations under these agreements may be limited in terms of time </w:t>
      </w:r>
      <w:r>
        <w:rPr>
          <w:rFonts w:eastAsia="Times New Roman"/>
          <w:color w:val="000000"/>
          <w:sz w:val="20"/>
          <w:szCs w:val="20"/>
        </w:rPr>
        <w:t>and/or amount, and in some instances, we may have recourse against third parties for certain payments made by us. Claims and reimbursements under indemnification arrangements have not been material to our consolidated financial statements. We have not reco</w:t>
      </w:r>
      <w:r>
        <w:rPr>
          <w:rFonts w:eastAsia="Times New Roman"/>
          <w:color w:val="000000"/>
          <w:sz w:val="20"/>
          <w:szCs w:val="20"/>
        </w:rPr>
        <w:t>rded accruals for certain claims under indemnification arrangements based on our belief that additional liabilities, while possible, are not probable. Further, any possible range of loss cannot be reasonably estimated at this time.</w:t>
      </w:r>
    </w:p>
    <w:p w14:paraId="38158E74" w14:textId="77777777" w:rsidR="00000000" w:rsidRDefault="009B6C69">
      <w:pPr>
        <w:ind w:firstLine="360"/>
        <w:divId w:val="1045301221"/>
        <w:rPr>
          <w:rFonts w:eastAsia="Times New Roman"/>
        </w:rPr>
      </w:pPr>
      <w:r>
        <w:rPr>
          <w:rFonts w:eastAsia="Times New Roman"/>
          <w:b/>
          <w:bCs/>
          <w:i/>
          <w:iCs/>
          <w:color w:val="000000"/>
          <w:sz w:val="20"/>
          <w:szCs w:val="20"/>
        </w:rPr>
        <w:t>Purchase Obligations</w:t>
      </w:r>
      <w:r>
        <w:rPr>
          <w:rFonts w:eastAsia="Times New Roman"/>
          <w:b/>
          <w:bCs/>
          <w:color w:val="000000"/>
          <w:sz w:val="20"/>
          <w:szCs w:val="20"/>
        </w:rPr>
        <w:t>.</w:t>
      </w:r>
      <w:r>
        <w:rPr>
          <w:rFonts w:eastAsia="Times New Roman"/>
          <w:color w:val="000000"/>
          <w:sz w:val="20"/>
          <w:szCs w:val="20"/>
        </w:rPr>
        <w:t xml:space="preserve"> We</w:t>
      </w:r>
      <w:r>
        <w:rPr>
          <w:rFonts w:eastAsia="Times New Roman"/>
          <w:color w:val="000000"/>
          <w:sz w:val="20"/>
          <w:szCs w:val="20"/>
        </w:rPr>
        <w:t xml:space="preserve"> have agreements with suppliers and other parties to purchase inventory, other goods and services and long-lived assets. Such agreements include multi-year capacity purchase commitments with certain suppliers of our integrated circuit products. Total advan</w:t>
      </w:r>
      <w:r>
        <w:rPr>
          <w:rFonts w:eastAsia="Times New Roman"/>
          <w:color w:val="000000"/>
          <w:sz w:val="20"/>
          <w:szCs w:val="20"/>
        </w:rPr>
        <w:t>ce payments related to multi-year capacity commitments recorded on the consolidated balance sheets at September 25, 2022 and September 26, 2021 were $3.8 billion and $1.7 billion, respectively, of which $701 million and $90 million were recorded in other c</w:t>
      </w:r>
      <w:r>
        <w:rPr>
          <w:rFonts w:eastAsia="Times New Roman"/>
          <w:color w:val="000000"/>
          <w:sz w:val="20"/>
          <w:szCs w:val="20"/>
        </w:rPr>
        <w:t>urrent assets, respectively, and $3.1 billion and $1.6 billion were recorded in other assets, respectively. Integrated circuit product inventory obligations represent purchase commitments (including those under multi-year capacity purchase commitments to t</w:t>
      </w:r>
      <w:r>
        <w:rPr>
          <w:rFonts w:eastAsia="Times New Roman"/>
          <w:color w:val="000000"/>
          <w:sz w:val="20"/>
          <w:szCs w:val="20"/>
        </w:rPr>
        <w:t>he extent such minimum amounts are both fixed and determinable) for raw materials, semiconductor die, finished goods and manufacturing services, such as wafer bump, probe, assembly and final test. Under our manufacturing relationships with our foundry supp</w:t>
      </w:r>
      <w:r>
        <w:rPr>
          <w:rFonts w:eastAsia="Times New Roman"/>
          <w:color w:val="000000"/>
          <w:sz w:val="20"/>
          <w:szCs w:val="20"/>
        </w:rPr>
        <w:t>liers and assembly and test service providers, cancellation of outstanding purchase commitments is generally allowed but may result in the payment of costs incurred through the date of cancellation, and in some cases, incremental fees and/or the loss of am</w:t>
      </w:r>
      <w:r>
        <w:rPr>
          <w:rFonts w:eastAsia="Times New Roman"/>
          <w:color w:val="000000"/>
          <w:sz w:val="20"/>
          <w:szCs w:val="20"/>
        </w:rPr>
        <w:t>ounts paid in advance related to capacity underutilization and the failure to meet future minimum purchase volumes under multi-year capacity purchase commitments. Obligations under our purchase agreements, which primarily relate to integrated circuit produ</w:t>
      </w:r>
      <w:r>
        <w:rPr>
          <w:rFonts w:eastAsia="Times New Roman"/>
          <w:color w:val="000000"/>
          <w:sz w:val="20"/>
          <w:szCs w:val="20"/>
        </w:rPr>
        <w:t>ct inventory obligations, at September 25, 2022 totaled $24.5 billion of which, $13.3 billion is expected to be paid in the next 12 months.</w:t>
      </w:r>
    </w:p>
    <w:p w14:paraId="2E06D787" w14:textId="77777777" w:rsidR="00000000" w:rsidRDefault="009B6C69">
      <w:pPr>
        <w:ind w:firstLine="360"/>
        <w:divId w:val="1907716344"/>
        <w:rPr>
          <w:rFonts w:eastAsia="Times New Roman"/>
        </w:rPr>
      </w:pPr>
      <w:r>
        <w:rPr>
          <w:rFonts w:eastAsia="Times New Roman"/>
          <w:b/>
          <w:bCs/>
          <w:i/>
          <w:iCs/>
          <w:color w:val="000000"/>
          <w:sz w:val="20"/>
          <w:szCs w:val="20"/>
        </w:rPr>
        <w:t xml:space="preserve">Operating Leases. </w:t>
      </w:r>
      <w:r>
        <w:rPr>
          <w:rFonts w:eastAsia="Times New Roman"/>
          <w:color w:val="000000"/>
          <w:sz w:val="20"/>
          <w:szCs w:val="20"/>
        </w:rPr>
        <w:t xml:space="preserve">We lease certain of our land, facilities and equipment under operating leases, with terms ranging </w:t>
      </w:r>
      <w:r>
        <w:rPr>
          <w:rFonts w:eastAsia="Times New Roman"/>
          <w:color w:val="000000"/>
          <w:sz w:val="20"/>
          <w:szCs w:val="20"/>
        </w:rPr>
        <w:t>from less than one year to 20 years, some of which include options to extend for up to 20 years. At September 25, 2022 and September 26, 2021, the weighted-average remaining lease term for operating leases were eight years and seven years, respectively. Op</w:t>
      </w:r>
      <w:r>
        <w:rPr>
          <w:rFonts w:eastAsia="Times New Roman"/>
          <w:color w:val="000000"/>
          <w:sz w:val="20"/>
          <w:szCs w:val="20"/>
        </w:rPr>
        <w:t xml:space="preserve">erating lease expense for fiscal 2022, 2021 and 2020 was $207 million, $203 million and $181 million, </w:t>
      </w:r>
    </w:p>
    <w:p w14:paraId="57871249" w14:textId="77777777" w:rsidR="00000000" w:rsidRDefault="009B6C69">
      <w:pPr>
        <w:jc w:val="center"/>
        <w:divId w:val="378482711"/>
        <w:rPr>
          <w:rFonts w:eastAsia="Times New Roman"/>
        </w:rPr>
      </w:pPr>
      <w:r>
        <w:rPr>
          <w:rFonts w:eastAsia="Times New Roman"/>
          <w:color w:val="000000"/>
          <w:sz w:val="20"/>
          <w:szCs w:val="20"/>
        </w:rPr>
        <w:t>F-26</w:t>
      </w:r>
    </w:p>
    <w:p w14:paraId="73D555DB" w14:textId="77777777" w:rsidR="00000000" w:rsidRDefault="009B6C69">
      <w:pPr>
        <w:rPr>
          <w:rFonts w:eastAsia="Times New Roman"/>
        </w:rPr>
      </w:pPr>
      <w:r>
        <w:rPr>
          <w:rFonts w:eastAsia="Times New Roman"/>
        </w:rPr>
        <w:pict w14:anchorId="69AC876C">
          <v:rect id="_x0000_i1106" style="width:0;height:1.5pt" o:hralign="center" o:hrstd="t" o:hr="t" fillcolor="#a0a0a0" stroked="f"/>
        </w:pict>
      </w:r>
    </w:p>
    <w:p w14:paraId="5A4B9C82" w14:textId="77777777" w:rsidR="00000000" w:rsidRDefault="009B6C69">
      <w:pPr>
        <w:jc w:val="center"/>
        <w:divId w:val="245725929"/>
        <w:rPr>
          <w:rFonts w:eastAsia="Times New Roman"/>
        </w:rPr>
      </w:pPr>
    </w:p>
    <w:p w14:paraId="21BFFB13" w14:textId="77777777" w:rsidR="00000000" w:rsidRDefault="009B6C69">
      <w:pPr>
        <w:jc w:val="center"/>
        <w:divId w:val="245725929"/>
        <w:rPr>
          <w:rFonts w:eastAsia="Times New Roman"/>
        </w:rPr>
      </w:pPr>
      <w:r>
        <w:rPr>
          <w:rFonts w:eastAsia="Times New Roman"/>
          <w:b/>
          <w:bCs/>
          <w:color w:val="000000"/>
          <w:sz w:val="20"/>
          <w:szCs w:val="20"/>
        </w:rPr>
        <w:t>QUALCOMM Incorporated</w:t>
      </w:r>
    </w:p>
    <w:p w14:paraId="5D0FC531" w14:textId="77777777" w:rsidR="00000000" w:rsidRDefault="009B6C69">
      <w:pPr>
        <w:jc w:val="center"/>
        <w:divId w:val="245725929"/>
        <w:rPr>
          <w:rFonts w:eastAsia="Times New Roman"/>
        </w:rPr>
      </w:pPr>
      <w:r>
        <w:rPr>
          <w:rFonts w:eastAsia="Times New Roman"/>
          <w:b/>
          <w:bCs/>
          <w:color w:val="000000"/>
          <w:sz w:val="20"/>
          <w:szCs w:val="20"/>
        </w:rPr>
        <w:t>NOTES TO CONSOLIDATED FINANCIAL STATEMENTS</w:t>
      </w:r>
    </w:p>
    <w:p w14:paraId="410CD8F8" w14:textId="77777777" w:rsidR="00000000" w:rsidRDefault="009B6C69">
      <w:pPr>
        <w:divId w:val="1533228382"/>
        <w:rPr>
          <w:rFonts w:eastAsia="Times New Roman"/>
        </w:rPr>
      </w:pPr>
      <w:r>
        <w:rPr>
          <w:rFonts w:eastAsia="Times New Roman"/>
          <w:color w:val="000000"/>
          <w:sz w:val="20"/>
          <w:szCs w:val="20"/>
        </w:rPr>
        <w:t>respectively. At September 25, 2022,</w:t>
      </w:r>
      <w:r>
        <w:rPr>
          <w:rFonts w:eastAsia="Times New Roman"/>
          <w:color w:val="000000"/>
          <w:sz w:val="20"/>
          <w:szCs w:val="20"/>
        </w:rPr>
        <w:t xml:space="preserve"> </w:t>
      </w:r>
      <w:r>
        <w:rPr>
          <w:rFonts w:eastAsia="Times New Roman"/>
          <w:color w:val="000000"/>
          <w:sz w:val="20"/>
          <w:szCs w:val="20"/>
        </w:rPr>
        <w:t>other asset</w:t>
      </w:r>
      <w:r>
        <w:rPr>
          <w:rFonts w:eastAsia="Times New Roman"/>
          <w:color w:val="000000"/>
          <w:sz w:val="20"/>
          <w:szCs w:val="20"/>
        </w:rPr>
        <w:t>s</w:t>
      </w:r>
      <w:r>
        <w:rPr>
          <w:rFonts w:eastAsia="Times New Roman"/>
          <w:color w:val="000000"/>
          <w:sz w:val="20"/>
          <w:szCs w:val="20"/>
        </w:rPr>
        <w:t xml:space="preserve"> included $631 million of operating lease assets, with corresponding lease liabilities of $104 million recorded in</w:t>
      </w:r>
      <w:r>
        <w:rPr>
          <w:rFonts w:eastAsia="Times New Roman"/>
          <w:color w:val="000000"/>
          <w:sz w:val="20"/>
          <w:szCs w:val="20"/>
        </w:rPr>
        <w:t xml:space="preserve"> </w:t>
      </w:r>
      <w:r>
        <w:rPr>
          <w:rFonts w:eastAsia="Times New Roman"/>
          <w:color w:val="000000"/>
          <w:sz w:val="20"/>
          <w:szCs w:val="20"/>
        </w:rPr>
        <w:t>other current liabilitie</w:t>
      </w:r>
      <w:r>
        <w:rPr>
          <w:rFonts w:eastAsia="Times New Roman"/>
          <w:color w:val="000000"/>
          <w:sz w:val="20"/>
          <w:szCs w:val="20"/>
        </w:rPr>
        <w:t>s</w:t>
      </w:r>
      <w:r>
        <w:rPr>
          <w:rFonts w:eastAsia="Times New Roman"/>
          <w:color w:val="000000"/>
          <w:sz w:val="20"/>
          <w:szCs w:val="20"/>
        </w:rPr>
        <w:t xml:space="preserve"> and $573 million recorded in</w:t>
      </w:r>
      <w:r>
        <w:rPr>
          <w:rFonts w:eastAsia="Times New Roman"/>
          <w:color w:val="000000"/>
          <w:sz w:val="20"/>
          <w:szCs w:val="20"/>
        </w:rPr>
        <w:t xml:space="preserve"> </w:t>
      </w:r>
      <w:r>
        <w:rPr>
          <w:rFonts w:eastAsia="Times New Roman"/>
          <w:color w:val="000000"/>
          <w:sz w:val="20"/>
          <w:szCs w:val="20"/>
        </w:rPr>
        <w:t>other liabilitie</w:t>
      </w:r>
      <w:r>
        <w:rPr>
          <w:rFonts w:eastAsia="Times New Roman"/>
          <w:color w:val="000000"/>
          <w:sz w:val="20"/>
          <w:szCs w:val="20"/>
        </w:rPr>
        <w:t>s</w:t>
      </w:r>
      <w:r>
        <w:rPr>
          <w:rFonts w:eastAsia="Times New Roman"/>
          <w:color w:val="000000"/>
          <w:sz w:val="20"/>
          <w:szCs w:val="20"/>
        </w:rPr>
        <w:t>. At September 26, 2</w:t>
      </w:r>
      <w:r>
        <w:rPr>
          <w:rFonts w:eastAsia="Times New Roman"/>
          <w:color w:val="000000"/>
          <w:sz w:val="20"/>
          <w:szCs w:val="20"/>
        </w:rPr>
        <w:t xml:space="preserve">021, other assets included $513 million of operating lease assets, with corresponding lease liabilities of $126 million recorded in other current liabilities and $428 million recorded in other liabilities. </w:t>
      </w:r>
    </w:p>
    <w:p w14:paraId="24EC78B6" w14:textId="77777777" w:rsidR="00000000" w:rsidRDefault="009B6C69">
      <w:pPr>
        <w:ind w:firstLine="360"/>
        <w:divId w:val="1688872276"/>
        <w:rPr>
          <w:rFonts w:eastAsia="Times New Roman"/>
        </w:rPr>
      </w:pPr>
      <w:r>
        <w:rPr>
          <w:rFonts w:eastAsia="Times New Roman"/>
          <w:color w:val="000000"/>
          <w:sz w:val="20"/>
          <w:szCs w:val="20"/>
        </w:rPr>
        <w:t>At September 25, 2022, future lease payments unde</w:t>
      </w:r>
      <w:r>
        <w:rPr>
          <w:rFonts w:eastAsia="Times New Roman"/>
          <w:color w:val="000000"/>
          <w:sz w:val="20"/>
          <w:szCs w:val="20"/>
        </w:rPr>
        <w:t>r our operating leases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4"/>
        <w:gridCol w:w="6952"/>
        <w:gridCol w:w="36"/>
        <w:gridCol w:w="36"/>
        <w:gridCol w:w="36"/>
        <w:gridCol w:w="111"/>
        <w:gridCol w:w="1045"/>
        <w:gridCol w:w="36"/>
      </w:tblGrid>
      <w:tr w:rsidR="00000000" w14:paraId="73533BDC" w14:textId="77777777">
        <w:trPr>
          <w:divId w:val="1466007488"/>
        </w:trPr>
        <w:tc>
          <w:tcPr>
            <w:tcW w:w="50" w:type="pct"/>
            <w:vAlign w:val="center"/>
            <w:hideMark/>
          </w:tcPr>
          <w:p w14:paraId="1EDFB70F" w14:textId="77777777" w:rsidR="00000000" w:rsidRDefault="009B6C69">
            <w:pPr>
              <w:ind w:firstLine="360"/>
              <w:rPr>
                <w:rFonts w:eastAsia="Times New Roman"/>
              </w:rPr>
            </w:pPr>
          </w:p>
        </w:tc>
        <w:tc>
          <w:tcPr>
            <w:tcW w:w="4238" w:type="pct"/>
            <w:vAlign w:val="center"/>
            <w:hideMark/>
          </w:tcPr>
          <w:p w14:paraId="077E853B" w14:textId="77777777" w:rsidR="00000000" w:rsidRDefault="009B6C69">
            <w:pPr>
              <w:spacing w:after="100"/>
              <w:rPr>
                <w:rFonts w:eastAsia="Times New Roman"/>
                <w:sz w:val="20"/>
                <w:szCs w:val="20"/>
              </w:rPr>
            </w:pPr>
          </w:p>
        </w:tc>
        <w:tc>
          <w:tcPr>
            <w:tcW w:w="5" w:type="pct"/>
            <w:vAlign w:val="center"/>
            <w:hideMark/>
          </w:tcPr>
          <w:p w14:paraId="1BC9E68D" w14:textId="77777777" w:rsidR="00000000" w:rsidRDefault="009B6C69">
            <w:pPr>
              <w:spacing w:after="100"/>
              <w:rPr>
                <w:rFonts w:eastAsia="Times New Roman"/>
                <w:sz w:val="20"/>
                <w:szCs w:val="20"/>
              </w:rPr>
            </w:pPr>
          </w:p>
        </w:tc>
        <w:tc>
          <w:tcPr>
            <w:tcW w:w="0" w:type="auto"/>
            <w:vAlign w:val="center"/>
            <w:hideMark/>
          </w:tcPr>
          <w:p w14:paraId="2B9E78F4" w14:textId="77777777" w:rsidR="00000000" w:rsidRDefault="009B6C69">
            <w:pPr>
              <w:spacing w:after="100"/>
              <w:rPr>
                <w:rFonts w:eastAsia="Times New Roman"/>
                <w:sz w:val="20"/>
                <w:szCs w:val="20"/>
              </w:rPr>
            </w:pPr>
          </w:p>
        </w:tc>
        <w:tc>
          <w:tcPr>
            <w:tcW w:w="0" w:type="auto"/>
            <w:vAlign w:val="center"/>
            <w:hideMark/>
          </w:tcPr>
          <w:p w14:paraId="7992F849" w14:textId="77777777" w:rsidR="00000000" w:rsidRDefault="009B6C69">
            <w:pPr>
              <w:spacing w:after="100"/>
              <w:rPr>
                <w:rFonts w:eastAsia="Times New Roman"/>
                <w:sz w:val="20"/>
                <w:szCs w:val="20"/>
              </w:rPr>
            </w:pPr>
          </w:p>
        </w:tc>
        <w:tc>
          <w:tcPr>
            <w:tcW w:w="50" w:type="pct"/>
            <w:vAlign w:val="center"/>
            <w:hideMark/>
          </w:tcPr>
          <w:p w14:paraId="164C0BF2" w14:textId="77777777" w:rsidR="00000000" w:rsidRDefault="009B6C69">
            <w:pPr>
              <w:spacing w:after="100"/>
              <w:rPr>
                <w:rFonts w:eastAsia="Times New Roman"/>
                <w:sz w:val="20"/>
                <w:szCs w:val="20"/>
              </w:rPr>
            </w:pPr>
          </w:p>
        </w:tc>
        <w:tc>
          <w:tcPr>
            <w:tcW w:w="651" w:type="pct"/>
            <w:vAlign w:val="center"/>
            <w:hideMark/>
          </w:tcPr>
          <w:p w14:paraId="7E730D77" w14:textId="77777777" w:rsidR="00000000" w:rsidRDefault="009B6C69">
            <w:pPr>
              <w:spacing w:after="100"/>
              <w:rPr>
                <w:rFonts w:eastAsia="Times New Roman"/>
                <w:sz w:val="20"/>
                <w:szCs w:val="20"/>
              </w:rPr>
            </w:pPr>
          </w:p>
        </w:tc>
        <w:tc>
          <w:tcPr>
            <w:tcW w:w="5" w:type="pct"/>
            <w:vAlign w:val="center"/>
            <w:hideMark/>
          </w:tcPr>
          <w:p w14:paraId="1ED8842C" w14:textId="77777777" w:rsidR="00000000" w:rsidRDefault="009B6C69">
            <w:pPr>
              <w:spacing w:after="100"/>
              <w:rPr>
                <w:rFonts w:eastAsia="Times New Roman"/>
                <w:sz w:val="20"/>
                <w:szCs w:val="20"/>
              </w:rPr>
            </w:pPr>
          </w:p>
        </w:tc>
      </w:tr>
      <w:tr w:rsidR="00000000" w14:paraId="4FA87224" w14:textId="77777777">
        <w:trPr>
          <w:divId w:val="1466007488"/>
        </w:trPr>
        <w:tc>
          <w:tcPr>
            <w:tcW w:w="0" w:type="auto"/>
            <w:gridSpan w:val="3"/>
            <w:tcMar>
              <w:top w:w="0" w:type="dxa"/>
              <w:left w:w="20" w:type="dxa"/>
              <w:bottom w:w="0" w:type="dxa"/>
              <w:right w:w="20" w:type="dxa"/>
            </w:tcMar>
            <w:vAlign w:val="center"/>
            <w:hideMark/>
          </w:tcPr>
          <w:p w14:paraId="5B2C69BF" w14:textId="77777777" w:rsidR="00000000" w:rsidRDefault="009B6C69">
            <w:pPr>
              <w:spacing w:after="100"/>
              <w:rPr>
                <w:rFonts w:eastAsia="Times New Roman"/>
                <w:sz w:val="20"/>
                <w:szCs w:val="20"/>
              </w:rPr>
            </w:pPr>
          </w:p>
        </w:tc>
        <w:tc>
          <w:tcPr>
            <w:tcW w:w="0" w:type="auto"/>
            <w:vAlign w:val="center"/>
            <w:hideMark/>
          </w:tcPr>
          <w:p w14:paraId="51E1A3EB" w14:textId="77777777" w:rsidR="00000000" w:rsidRDefault="009B6C69">
            <w:pPr>
              <w:spacing w:after="100"/>
              <w:rPr>
                <w:rFonts w:eastAsia="Times New Roman"/>
                <w:sz w:val="20"/>
                <w:szCs w:val="20"/>
              </w:rPr>
            </w:pPr>
          </w:p>
        </w:tc>
        <w:tc>
          <w:tcPr>
            <w:tcW w:w="0" w:type="auto"/>
            <w:vAlign w:val="center"/>
            <w:hideMark/>
          </w:tcPr>
          <w:p w14:paraId="585A5EEA"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DF80A1B" w14:textId="77777777" w:rsidR="00000000" w:rsidRDefault="009B6C69">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r>
      <w:tr w:rsidR="00000000" w14:paraId="270CAB18" w14:textId="77777777">
        <w:trPr>
          <w:divId w:val="1466007488"/>
        </w:trPr>
        <w:tc>
          <w:tcPr>
            <w:tcW w:w="0" w:type="auto"/>
            <w:gridSpan w:val="3"/>
            <w:shd w:val="clear" w:color="auto" w:fill="CCEEFF"/>
            <w:tcMar>
              <w:top w:w="30" w:type="dxa"/>
              <w:left w:w="20" w:type="dxa"/>
              <w:bottom w:w="30" w:type="dxa"/>
              <w:right w:w="20" w:type="dxa"/>
            </w:tcMar>
            <w:vAlign w:val="bottom"/>
            <w:hideMark/>
          </w:tcPr>
          <w:p w14:paraId="0C2FC219" w14:textId="77777777" w:rsidR="00000000" w:rsidRDefault="009B6C69">
            <w:pPr>
              <w:spacing w:after="100"/>
              <w:rPr>
                <w:rFonts w:eastAsia="Times New Roman"/>
              </w:rPr>
            </w:pPr>
            <w:r>
              <w:rPr>
                <w:rFonts w:eastAsia="Times New Roman"/>
                <w:color w:val="000000"/>
                <w:sz w:val="18"/>
                <w:szCs w:val="18"/>
              </w:rPr>
              <w:t>2023</w:t>
            </w:r>
          </w:p>
        </w:tc>
        <w:tc>
          <w:tcPr>
            <w:tcW w:w="0" w:type="auto"/>
            <w:vAlign w:val="center"/>
            <w:hideMark/>
          </w:tcPr>
          <w:p w14:paraId="1F35E597" w14:textId="77777777" w:rsidR="00000000" w:rsidRDefault="009B6C69">
            <w:pPr>
              <w:spacing w:after="100"/>
              <w:rPr>
                <w:rFonts w:eastAsia="Times New Roman"/>
              </w:rPr>
            </w:pPr>
          </w:p>
        </w:tc>
        <w:tc>
          <w:tcPr>
            <w:tcW w:w="0" w:type="auto"/>
            <w:vAlign w:val="center"/>
            <w:hideMark/>
          </w:tcPr>
          <w:p w14:paraId="71B5A7A5"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ED6451"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2E6F8A" w14:textId="77777777" w:rsidR="00000000" w:rsidRDefault="009B6C69">
            <w:pPr>
              <w:spacing w:after="100"/>
              <w:jc w:val="right"/>
              <w:rPr>
                <w:rFonts w:eastAsia="Times New Roman"/>
              </w:rPr>
            </w:pPr>
            <w:r>
              <w:rPr>
                <w:rFonts w:eastAsia="Times New Roman"/>
                <w:color w:val="000000"/>
                <w:sz w:val="18"/>
                <w:szCs w:val="18"/>
              </w:rPr>
              <w:t>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79BB21" w14:textId="77777777" w:rsidR="00000000" w:rsidRDefault="009B6C69">
            <w:pPr>
              <w:spacing w:after="100"/>
              <w:jc w:val="right"/>
              <w:rPr>
                <w:rFonts w:eastAsia="Times New Roman"/>
              </w:rPr>
            </w:pPr>
          </w:p>
        </w:tc>
      </w:tr>
      <w:tr w:rsidR="00000000" w14:paraId="3988BA4B" w14:textId="77777777">
        <w:trPr>
          <w:divId w:val="1466007488"/>
        </w:trPr>
        <w:tc>
          <w:tcPr>
            <w:tcW w:w="0" w:type="auto"/>
            <w:gridSpan w:val="3"/>
            <w:shd w:val="clear" w:color="auto" w:fill="FFFFFF"/>
            <w:tcMar>
              <w:top w:w="30" w:type="dxa"/>
              <w:left w:w="20" w:type="dxa"/>
              <w:bottom w:w="30" w:type="dxa"/>
              <w:right w:w="20" w:type="dxa"/>
            </w:tcMar>
            <w:vAlign w:val="bottom"/>
            <w:hideMark/>
          </w:tcPr>
          <w:p w14:paraId="2C0C83D9" w14:textId="77777777" w:rsidR="00000000" w:rsidRDefault="009B6C69">
            <w:pPr>
              <w:spacing w:after="100"/>
              <w:rPr>
                <w:rFonts w:eastAsia="Times New Roman"/>
              </w:rPr>
            </w:pPr>
            <w:r>
              <w:rPr>
                <w:rFonts w:eastAsia="Times New Roman"/>
                <w:color w:val="000000"/>
                <w:sz w:val="18"/>
                <w:szCs w:val="18"/>
              </w:rPr>
              <w:t>2024</w:t>
            </w:r>
          </w:p>
        </w:tc>
        <w:tc>
          <w:tcPr>
            <w:tcW w:w="0" w:type="auto"/>
            <w:vAlign w:val="center"/>
            <w:hideMark/>
          </w:tcPr>
          <w:p w14:paraId="772AE449" w14:textId="77777777" w:rsidR="00000000" w:rsidRDefault="009B6C69">
            <w:pPr>
              <w:spacing w:after="100"/>
              <w:rPr>
                <w:rFonts w:eastAsia="Times New Roman"/>
              </w:rPr>
            </w:pPr>
          </w:p>
        </w:tc>
        <w:tc>
          <w:tcPr>
            <w:tcW w:w="0" w:type="auto"/>
            <w:vAlign w:val="center"/>
            <w:hideMark/>
          </w:tcPr>
          <w:p w14:paraId="4384B729"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737670" w14:textId="77777777" w:rsidR="00000000" w:rsidRDefault="009B6C69">
            <w:pPr>
              <w:spacing w:after="100"/>
              <w:jc w:val="right"/>
              <w:rPr>
                <w:rFonts w:eastAsia="Times New Roman"/>
              </w:rPr>
            </w:pPr>
            <w:r>
              <w:rPr>
                <w:rFonts w:eastAsia="Times New Roman"/>
                <w:color w:val="000000"/>
                <w:sz w:val="18"/>
                <w:szCs w:val="18"/>
              </w:rPr>
              <w:t>114 </w:t>
            </w:r>
          </w:p>
        </w:tc>
        <w:tc>
          <w:tcPr>
            <w:tcW w:w="0" w:type="auto"/>
            <w:shd w:val="clear" w:color="auto" w:fill="FFFFFF"/>
            <w:tcMar>
              <w:top w:w="30" w:type="dxa"/>
              <w:left w:w="0" w:type="dxa"/>
              <w:bottom w:w="30" w:type="dxa"/>
              <w:right w:w="20" w:type="dxa"/>
            </w:tcMar>
            <w:vAlign w:val="bottom"/>
            <w:hideMark/>
          </w:tcPr>
          <w:p w14:paraId="499378A9" w14:textId="77777777" w:rsidR="00000000" w:rsidRDefault="009B6C69">
            <w:pPr>
              <w:spacing w:after="100"/>
              <w:jc w:val="right"/>
              <w:rPr>
                <w:rFonts w:eastAsia="Times New Roman"/>
              </w:rPr>
            </w:pPr>
          </w:p>
        </w:tc>
      </w:tr>
      <w:tr w:rsidR="00000000" w14:paraId="5D524856" w14:textId="77777777">
        <w:trPr>
          <w:divId w:val="1466007488"/>
        </w:trPr>
        <w:tc>
          <w:tcPr>
            <w:tcW w:w="0" w:type="auto"/>
            <w:gridSpan w:val="3"/>
            <w:shd w:val="clear" w:color="auto" w:fill="CCEEFF"/>
            <w:tcMar>
              <w:top w:w="30" w:type="dxa"/>
              <w:left w:w="20" w:type="dxa"/>
              <w:bottom w:w="30" w:type="dxa"/>
              <w:right w:w="20" w:type="dxa"/>
            </w:tcMar>
            <w:vAlign w:val="bottom"/>
            <w:hideMark/>
          </w:tcPr>
          <w:p w14:paraId="4D5FB35A" w14:textId="77777777" w:rsidR="00000000" w:rsidRDefault="009B6C69">
            <w:pPr>
              <w:spacing w:after="100"/>
              <w:rPr>
                <w:rFonts w:eastAsia="Times New Roman"/>
              </w:rPr>
            </w:pPr>
            <w:r>
              <w:rPr>
                <w:rFonts w:eastAsia="Times New Roman"/>
                <w:color w:val="000000"/>
                <w:sz w:val="18"/>
                <w:szCs w:val="18"/>
              </w:rPr>
              <w:t>2025</w:t>
            </w:r>
          </w:p>
        </w:tc>
        <w:tc>
          <w:tcPr>
            <w:tcW w:w="0" w:type="auto"/>
            <w:vAlign w:val="center"/>
            <w:hideMark/>
          </w:tcPr>
          <w:p w14:paraId="6B7050F2" w14:textId="77777777" w:rsidR="00000000" w:rsidRDefault="009B6C69">
            <w:pPr>
              <w:spacing w:after="100"/>
              <w:rPr>
                <w:rFonts w:eastAsia="Times New Roman"/>
              </w:rPr>
            </w:pPr>
          </w:p>
        </w:tc>
        <w:tc>
          <w:tcPr>
            <w:tcW w:w="0" w:type="auto"/>
            <w:vAlign w:val="center"/>
            <w:hideMark/>
          </w:tcPr>
          <w:p w14:paraId="4EDE382B"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1DA4F6" w14:textId="77777777" w:rsidR="00000000" w:rsidRDefault="009B6C69">
            <w:pPr>
              <w:spacing w:after="100"/>
              <w:jc w:val="right"/>
              <w:rPr>
                <w:rFonts w:eastAsia="Times New Roman"/>
              </w:rPr>
            </w:pPr>
            <w:r>
              <w:rPr>
                <w:rFonts w:eastAsia="Times New Roman"/>
                <w:color w:val="000000"/>
                <w:sz w:val="18"/>
                <w:szCs w:val="18"/>
              </w:rPr>
              <w:t>92 </w:t>
            </w:r>
          </w:p>
        </w:tc>
        <w:tc>
          <w:tcPr>
            <w:tcW w:w="0" w:type="auto"/>
            <w:shd w:val="clear" w:color="auto" w:fill="CCEEFF"/>
            <w:tcMar>
              <w:top w:w="30" w:type="dxa"/>
              <w:left w:w="0" w:type="dxa"/>
              <w:bottom w:w="30" w:type="dxa"/>
              <w:right w:w="20" w:type="dxa"/>
            </w:tcMar>
            <w:vAlign w:val="bottom"/>
            <w:hideMark/>
          </w:tcPr>
          <w:p w14:paraId="124E34F5" w14:textId="77777777" w:rsidR="00000000" w:rsidRDefault="009B6C69">
            <w:pPr>
              <w:spacing w:after="100"/>
              <w:jc w:val="right"/>
              <w:rPr>
                <w:rFonts w:eastAsia="Times New Roman"/>
              </w:rPr>
            </w:pPr>
          </w:p>
        </w:tc>
      </w:tr>
      <w:tr w:rsidR="00000000" w14:paraId="0799E1CF" w14:textId="77777777">
        <w:trPr>
          <w:divId w:val="1466007488"/>
        </w:trPr>
        <w:tc>
          <w:tcPr>
            <w:tcW w:w="0" w:type="auto"/>
            <w:gridSpan w:val="3"/>
            <w:shd w:val="clear" w:color="auto" w:fill="FFFFFF"/>
            <w:tcMar>
              <w:top w:w="30" w:type="dxa"/>
              <w:left w:w="20" w:type="dxa"/>
              <w:bottom w:w="30" w:type="dxa"/>
              <w:right w:w="20" w:type="dxa"/>
            </w:tcMar>
            <w:vAlign w:val="bottom"/>
            <w:hideMark/>
          </w:tcPr>
          <w:p w14:paraId="38ADE0F6" w14:textId="77777777" w:rsidR="00000000" w:rsidRDefault="009B6C69">
            <w:pPr>
              <w:spacing w:after="100"/>
              <w:rPr>
                <w:rFonts w:eastAsia="Times New Roman"/>
              </w:rPr>
            </w:pPr>
            <w:r>
              <w:rPr>
                <w:rFonts w:eastAsia="Times New Roman"/>
                <w:color w:val="000000"/>
                <w:sz w:val="18"/>
                <w:szCs w:val="18"/>
              </w:rPr>
              <w:t>2026</w:t>
            </w:r>
          </w:p>
        </w:tc>
        <w:tc>
          <w:tcPr>
            <w:tcW w:w="0" w:type="auto"/>
            <w:vAlign w:val="center"/>
            <w:hideMark/>
          </w:tcPr>
          <w:p w14:paraId="019C0F6B" w14:textId="77777777" w:rsidR="00000000" w:rsidRDefault="009B6C69">
            <w:pPr>
              <w:spacing w:after="100"/>
              <w:rPr>
                <w:rFonts w:eastAsia="Times New Roman"/>
              </w:rPr>
            </w:pPr>
          </w:p>
        </w:tc>
        <w:tc>
          <w:tcPr>
            <w:tcW w:w="0" w:type="auto"/>
            <w:vAlign w:val="center"/>
            <w:hideMark/>
          </w:tcPr>
          <w:p w14:paraId="5B082B60"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74E1DC" w14:textId="77777777" w:rsidR="00000000" w:rsidRDefault="009B6C69">
            <w:pPr>
              <w:spacing w:after="100"/>
              <w:jc w:val="right"/>
              <w:rPr>
                <w:rFonts w:eastAsia="Times New Roman"/>
              </w:rPr>
            </w:pPr>
            <w:r>
              <w:rPr>
                <w:rFonts w:eastAsia="Times New Roman"/>
                <w:color w:val="000000"/>
                <w:sz w:val="18"/>
                <w:szCs w:val="18"/>
              </w:rPr>
              <w:t>87 </w:t>
            </w:r>
          </w:p>
        </w:tc>
        <w:tc>
          <w:tcPr>
            <w:tcW w:w="0" w:type="auto"/>
            <w:shd w:val="clear" w:color="auto" w:fill="FFFFFF"/>
            <w:tcMar>
              <w:top w:w="30" w:type="dxa"/>
              <w:left w:w="0" w:type="dxa"/>
              <w:bottom w:w="30" w:type="dxa"/>
              <w:right w:w="20" w:type="dxa"/>
            </w:tcMar>
            <w:vAlign w:val="bottom"/>
            <w:hideMark/>
          </w:tcPr>
          <w:p w14:paraId="16098E04" w14:textId="77777777" w:rsidR="00000000" w:rsidRDefault="009B6C69">
            <w:pPr>
              <w:spacing w:after="100"/>
              <w:jc w:val="right"/>
              <w:rPr>
                <w:rFonts w:eastAsia="Times New Roman"/>
              </w:rPr>
            </w:pPr>
          </w:p>
        </w:tc>
      </w:tr>
      <w:tr w:rsidR="00000000" w14:paraId="49AA4F2C" w14:textId="77777777">
        <w:trPr>
          <w:divId w:val="1466007488"/>
        </w:trPr>
        <w:tc>
          <w:tcPr>
            <w:tcW w:w="0" w:type="auto"/>
            <w:gridSpan w:val="3"/>
            <w:shd w:val="clear" w:color="auto" w:fill="CCEEFF"/>
            <w:tcMar>
              <w:top w:w="30" w:type="dxa"/>
              <w:left w:w="20" w:type="dxa"/>
              <w:bottom w:w="30" w:type="dxa"/>
              <w:right w:w="20" w:type="dxa"/>
            </w:tcMar>
            <w:vAlign w:val="bottom"/>
            <w:hideMark/>
          </w:tcPr>
          <w:p w14:paraId="35787813" w14:textId="77777777" w:rsidR="00000000" w:rsidRDefault="009B6C69">
            <w:pPr>
              <w:spacing w:after="100"/>
              <w:rPr>
                <w:rFonts w:eastAsia="Times New Roman"/>
              </w:rPr>
            </w:pPr>
            <w:r>
              <w:rPr>
                <w:rFonts w:eastAsia="Times New Roman"/>
                <w:color w:val="000000"/>
                <w:sz w:val="18"/>
                <w:szCs w:val="18"/>
              </w:rPr>
              <w:t>2027</w:t>
            </w:r>
          </w:p>
        </w:tc>
        <w:tc>
          <w:tcPr>
            <w:tcW w:w="0" w:type="auto"/>
            <w:vAlign w:val="center"/>
            <w:hideMark/>
          </w:tcPr>
          <w:p w14:paraId="69A33B61" w14:textId="77777777" w:rsidR="00000000" w:rsidRDefault="009B6C69">
            <w:pPr>
              <w:spacing w:after="100"/>
              <w:rPr>
                <w:rFonts w:eastAsia="Times New Roman"/>
              </w:rPr>
            </w:pPr>
          </w:p>
        </w:tc>
        <w:tc>
          <w:tcPr>
            <w:tcW w:w="0" w:type="auto"/>
            <w:vAlign w:val="center"/>
            <w:hideMark/>
          </w:tcPr>
          <w:p w14:paraId="3629E735"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97B679" w14:textId="77777777" w:rsidR="00000000" w:rsidRDefault="009B6C69">
            <w:pPr>
              <w:spacing w:after="100"/>
              <w:jc w:val="right"/>
              <w:rPr>
                <w:rFonts w:eastAsia="Times New Roman"/>
              </w:rPr>
            </w:pPr>
            <w:r>
              <w:rPr>
                <w:rFonts w:eastAsia="Times New Roman"/>
                <w:color w:val="000000"/>
                <w:sz w:val="18"/>
                <w:szCs w:val="18"/>
              </w:rPr>
              <w:t>83 </w:t>
            </w:r>
          </w:p>
        </w:tc>
        <w:tc>
          <w:tcPr>
            <w:tcW w:w="0" w:type="auto"/>
            <w:shd w:val="clear" w:color="auto" w:fill="CCEEFF"/>
            <w:tcMar>
              <w:top w:w="30" w:type="dxa"/>
              <w:left w:w="0" w:type="dxa"/>
              <w:bottom w:w="30" w:type="dxa"/>
              <w:right w:w="20" w:type="dxa"/>
            </w:tcMar>
            <w:vAlign w:val="bottom"/>
            <w:hideMark/>
          </w:tcPr>
          <w:p w14:paraId="573FE7BE" w14:textId="77777777" w:rsidR="00000000" w:rsidRDefault="009B6C69">
            <w:pPr>
              <w:spacing w:after="100"/>
              <w:jc w:val="right"/>
              <w:rPr>
                <w:rFonts w:eastAsia="Times New Roman"/>
              </w:rPr>
            </w:pPr>
          </w:p>
        </w:tc>
      </w:tr>
      <w:tr w:rsidR="00000000" w14:paraId="445F1A32" w14:textId="77777777">
        <w:trPr>
          <w:divId w:val="1466007488"/>
        </w:trPr>
        <w:tc>
          <w:tcPr>
            <w:tcW w:w="0" w:type="auto"/>
            <w:gridSpan w:val="3"/>
            <w:shd w:val="clear" w:color="auto" w:fill="FFFFFF"/>
            <w:tcMar>
              <w:top w:w="30" w:type="dxa"/>
              <w:left w:w="20" w:type="dxa"/>
              <w:bottom w:w="30" w:type="dxa"/>
              <w:right w:w="20" w:type="dxa"/>
            </w:tcMar>
            <w:vAlign w:val="bottom"/>
            <w:hideMark/>
          </w:tcPr>
          <w:p w14:paraId="25AC268C" w14:textId="77777777" w:rsidR="00000000" w:rsidRDefault="009B6C69">
            <w:pPr>
              <w:spacing w:after="100"/>
              <w:rPr>
                <w:rFonts w:eastAsia="Times New Roman"/>
              </w:rPr>
            </w:pPr>
            <w:r>
              <w:rPr>
                <w:rFonts w:eastAsia="Times New Roman"/>
                <w:color w:val="000000"/>
                <w:sz w:val="18"/>
                <w:szCs w:val="18"/>
              </w:rPr>
              <w:t>Thereafter</w:t>
            </w:r>
          </w:p>
        </w:tc>
        <w:tc>
          <w:tcPr>
            <w:tcW w:w="0" w:type="auto"/>
            <w:vAlign w:val="center"/>
            <w:hideMark/>
          </w:tcPr>
          <w:p w14:paraId="584FA159" w14:textId="77777777" w:rsidR="00000000" w:rsidRDefault="009B6C69">
            <w:pPr>
              <w:spacing w:after="100"/>
              <w:rPr>
                <w:rFonts w:eastAsia="Times New Roman"/>
              </w:rPr>
            </w:pPr>
          </w:p>
        </w:tc>
        <w:tc>
          <w:tcPr>
            <w:tcW w:w="0" w:type="auto"/>
            <w:vAlign w:val="center"/>
            <w:hideMark/>
          </w:tcPr>
          <w:p w14:paraId="01EDC108"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130063" w14:textId="77777777" w:rsidR="00000000" w:rsidRDefault="009B6C69">
            <w:pPr>
              <w:spacing w:after="100"/>
              <w:jc w:val="right"/>
              <w:rPr>
                <w:rFonts w:eastAsia="Times New Roman"/>
              </w:rPr>
            </w:pPr>
            <w:r>
              <w:rPr>
                <w:rFonts w:eastAsia="Times New Roman"/>
                <w:color w:val="000000"/>
                <w:sz w:val="18"/>
                <w:szCs w:val="18"/>
              </w:rPr>
              <w:t>358 </w:t>
            </w:r>
          </w:p>
        </w:tc>
        <w:tc>
          <w:tcPr>
            <w:tcW w:w="0" w:type="auto"/>
            <w:shd w:val="clear" w:color="auto" w:fill="FFFFFF"/>
            <w:tcMar>
              <w:top w:w="30" w:type="dxa"/>
              <w:left w:w="0" w:type="dxa"/>
              <w:bottom w:w="30" w:type="dxa"/>
              <w:right w:w="20" w:type="dxa"/>
            </w:tcMar>
            <w:vAlign w:val="bottom"/>
            <w:hideMark/>
          </w:tcPr>
          <w:p w14:paraId="09029D74" w14:textId="77777777" w:rsidR="00000000" w:rsidRDefault="009B6C69">
            <w:pPr>
              <w:spacing w:after="100"/>
              <w:jc w:val="right"/>
              <w:rPr>
                <w:rFonts w:eastAsia="Times New Roman"/>
              </w:rPr>
            </w:pPr>
          </w:p>
        </w:tc>
      </w:tr>
      <w:tr w:rsidR="00000000" w14:paraId="144B1C91" w14:textId="77777777">
        <w:trPr>
          <w:divId w:val="1466007488"/>
        </w:trPr>
        <w:tc>
          <w:tcPr>
            <w:tcW w:w="0" w:type="auto"/>
            <w:gridSpan w:val="3"/>
            <w:shd w:val="clear" w:color="auto" w:fill="CCEEFF"/>
            <w:tcMar>
              <w:top w:w="30" w:type="dxa"/>
              <w:left w:w="155" w:type="dxa"/>
              <w:bottom w:w="30" w:type="dxa"/>
              <w:right w:w="20" w:type="dxa"/>
            </w:tcMar>
            <w:vAlign w:val="bottom"/>
            <w:hideMark/>
          </w:tcPr>
          <w:p w14:paraId="0F7CCCB4" w14:textId="77777777" w:rsidR="00000000" w:rsidRDefault="009B6C69">
            <w:pPr>
              <w:spacing w:after="100"/>
              <w:rPr>
                <w:rFonts w:eastAsia="Times New Roman"/>
              </w:rPr>
            </w:pPr>
            <w:r>
              <w:rPr>
                <w:rFonts w:eastAsia="Times New Roman"/>
                <w:color w:val="000000"/>
                <w:sz w:val="18"/>
                <w:szCs w:val="18"/>
              </w:rPr>
              <w:t>Total future lease payments</w:t>
            </w:r>
          </w:p>
        </w:tc>
        <w:tc>
          <w:tcPr>
            <w:tcW w:w="0" w:type="auto"/>
            <w:vAlign w:val="center"/>
            <w:hideMark/>
          </w:tcPr>
          <w:p w14:paraId="41C5D561" w14:textId="77777777" w:rsidR="00000000" w:rsidRDefault="009B6C69">
            <w:pPr>
              <w:spacing w:after="100"/>
              <w:rPr>
                <w:rFonts w:eastAsia="Times New Roman"/>
              </w:rPr>
            </w:pPr>
          </w:p>
        </w:tc>
        <w:tc>
          <w:tcPr>
            <w:tcW w:w="0" w:type="auto"/>
            <w:vAlign w:val="center"/>
            <w:hideMark/>
          </w:tcPr>
          <w:p w14:paraId="5D97C8B9" w14:textId="77777777" w:rsidR="00000000" w:rsidRDefault="009B6C69">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FC3CEC" w14:textId="77777777" w:rsidR="00000000" w:rsidRDefault="009B6C69">
            <w:pPr>
              <w:spacing w:after="100"/>
              <w:jc w:val="right"/>
              <w:rPr>
                <w:rFonts w:eastAsia="Times New Roman"/>
              </w:rPr>
            </w:pPr>
            <w:r>
              <w:rPr>
                <w:rFonts w:eastAsia="Times New Roman"/>
                <w:color w:val="000000"/>
                <w:sz w:val="18"/>
                <w:szCs w:val="18"/>
              </w:rPr>
              <w:t>863 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B9E9CC" w14:textId="77777777" w:rsidR="00000000" w:rsidRDefault="009B6C69">
            <w:pPr>
              <w:spacing w:after="100"/>
              <w:jc w:val="right"/>
              <w:rPr>
                <w:rFonts w:eastAsia="Times New Roman"/>
              </w:rPr>
            </w:pPr>
          </w:p>
        </w:tc>
      </w:tr>
      <w:tr w:rsidR="00000000" w14:paraId="1CBC77EB" w14:textId="77777777">
        <w:trPr>
          <w:divId w:val="1466007488"/>
        </w:trPr>
        <w:tc>
          <w:tcPr>
            <w:tcW w:w="0" w:type="auto"/>
            <w:gridSpan w:val="3"/>
            <w:shd w:val="clear" w:color="auto" w:fill="FFFFFF"/>
            <w:tcMar>
              <w:top w:w="30" w:type="dxa"/>
              <w:left w:w="20" w:type="dxa"/>
              <w:bottom w:w="30" w:type="dxa"/>
              <w:right w:w="20" w:type="dxa"/>
            </w:tcMar>
            <w:vAlign w:val="bottom"/>
            <w:hideMark/>
          </w:tcPr>
          <w:p w14:paraId="209397E8" w14:textId="77777777" w:rsidR="00000000" w:rsidRDefault="009B6C69">
            <w:pPr>
              <w:spacing w:after="100"/>
              <w:rPr>
                <w:rFonts w:eastAsia="Times New Roman"/>
              </w:rPr>
            </w:pPr>
            <w:r>
              <w:rPr>
                <w:rFonts w:eastAsia="Times New Roman"/>
                <w:color w:val="000000"/>
                <w:sz w:val="18"/>
                <w:szCs w:val="18"/>
              </w:rPr>
              <w:t>Imputed interest</w:t>
            </w:r>
          </w:p>
        </w:tc>
        <w:tc>
          <w:tcPr>
            <w:tcW w:w="0" w:type="auto"/>
            <w:vAlign w:val="center"/>
            <w:hideMark/>
          </w:tcPr>
          <w:p w14:paraId="59375FB8" w14:textId="77777777" w:rsidR="00000000" w:rsidRDefault="009B6C69">
            <w:pPr>
              <w:spacing w:after="100"/>
              <w:rPr>
                <w:rFonts w:eastAsia="Times New Roman"/>
              </w:rPr>
            </w:pPr>
          </w:p>
        </w:tc>
        <w:tc>
          <w:tcPr>
            <w:tcW w:w="0" w:type="auto"/>
            <w:vAlign w:val="center"/>
            <w:hideMark/>
          </w:tcPr>
          <w:p w14:paraId="3C5FF7C7"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B15047" w14:textId="77777777" w:rsidR="00000000" w:rsidRDefault="009B6C69">
            <w:pPr>
              <w:spacing w:after="100"/>
              <w:jc w:val="right"/>
              <w:rPr>
                <w:rFonts w:eastAsia="Times New Roman"/>
              </w:rPr>
            </w:pPr>
            <w:r>
              <w:rPr>
                <w:rFonts w:eastAsia="Times New Roman"/>
                <w:color w:val="000000"/>
                <w:sz w:val="18"/>
                <w:szCs w:val="18"/>
              </w:rPr>
              <w:t>(186)</w:t>
            </w:r>
          </w:p>
        </w:tc>
        <w:tc>
          <w:tcPr>
            <w:tcW w:w="0" w:type="auto"/>
            <w:shd w:val="clear" w:color="auto" w:fill="FFFFFF"/>
            <w:tcMar>
              <w:top w:w="30" w:type="dxa"/>
              <w:left w:w="0" w:type="dxa"/>
              <w:bottom w:w="30" w:type="dxa"/>
              <w:right w:w="20" w:type="dxa"/>
            </w:tcMar>
            <w:vAlign w:val="bottom"/>
            <w:hideMark/>
          </w:tcPr>
          <w:p w14:paraId="55619C78" w14:textId="77777777" w:rsidR="00000000" w:rsidRDefault="009B6C69">
            <w:pPr>
              <w:spacing w:after="100"/>
              <w:jc w:val="right"/>
              <w:rPr>
                <w:rFonts w:eastAsia="Times New Roman"/>
              </w:rPr>
            </w:pPr>
          </w:p>
        </w:tc>
      </w:tr>
      <w:tr w:rsidR="00000000" w14:paraId="23142326" w14:textId="77777777">
        <w:trPr>
          <w:divId w:val="1466007488"/>
        </w:trPr>
        <w:tc>
          <w:tcPr>
            <w:tcW w:w="0" w:type="auto"/>
            <w:gridSpan w:val="3"/>
            <w:shd w:val="clear" w:color="auto" w:fill="CCEEFF"/>
            <w:tcMar>
              <w:top w:w="30" w:type="dxa"/>
              <w:left w:w="155" w:type="dxa"/>
              <w:bottom w:w="30" w:type="dxa"/>
              <w:right w:w="20" w:type="dxa"/>
            </w:tcMar>
            <w:vAlign w:val="bottom"/>
            <w:hideMark/>
          </w:tcPr>
          <w:p w14:paraId="0551416D" w14:textId="77777777" w:rsidR="00000000" w:rsidRDefault="009B6C69">
            <w:pPr>
              <w:spacing w:after="100"/>
              <w:rPr>
                <w:rFonts w:eastAsia="Times New Roman"/>
              </w:rPr>
            </w:pPr>
            <w:r>
              <w:rPr>
                <w:rFonts w:eastAsia="Times New Roman"/>
                <w:color w:val="000000"/>
                <w:sz w:val="18"/>
                <w:szCs w:val="18"/>
              </w:rPr>
              <w:t>Total lease liability balance</w:t>
            </w:r>
          </w:p>
        </w:tc>
        <w:tc>
          <w:tcPr>
            <w:tcW w:w="0" w:type="auto"/>
            <w:vAlign w:val="center"/>
            <w:hideMark/>
          </w:tcPr>
          <w:p w14:paraId="194797EA" w14:textId="77777777" w:rsidR="00000000" w:rsidRDefault="009B6C69">
            <w:pPr>
              <w:spacing w:after="100"/>
              <w:rPr>
                <w:rFonts w:eastAsia="Times New Roman"/>
              </w:rPr>
            </w:pPr>
          </w:p>
        </w:tc>
        <w:tc>
          <w:tcPr>
            <w:tcW w:w="0" w:type="auto"/>
            <w:vAlign w:val="center"/>
            <w:hideMark/>
          </w:tcPr>
          <w:p w14:paraId="6A9BB104" w14:textId="77777777" w:rsidR="00000000" w:rsidRDefault="009B6C69">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1E2CB74"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4A41BA6" w14:textId="77777777" w:rsidR="00000000" w:rsidRDefault="009B6C69">
            <w:pPr>
              <w:spacing w:after="100"/>
              <w:jc w:val="right"/>
              <w:rPr>
                <w:rFonts w:eastAsia="Times New Roman"/>
              </w:rPr>
            </w:pPr>
            <w:r>
              <w:rPr>
                <w:rFonts w:eastAsia="Times New Roman"/>
                <w:color w:val="000000"/>
                <w:sz w:val="18"/>
                <w:szCs w:val="18"/>
              </w:rPr>
              <w:t>677 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C5888B" w14:textId="77777777" w:rsidR="00000000" w:rsidRDefault="009B6C69">
            <w:pPr>
              <w:spacing w:after="100"/>
              <w:jc w:val="right"/>
              <w:rPr>
                <w:rFonts w:eastAsia="Times New Roman"/>
              </w:rPr>
            </w:pPr>
          </w:p>
        </w:tc>
      </w:tr>
    </w:tbl>
    <w:p w14:paraId="56953CCC" w14:textId="77777777" w:rsidR="00000000" w:rsidRDefault="009B6C69">
      <w:pPr>
        <w:divId w:val="634679549"/>
        <w:rPr>
          <w:rFonts w:eastAsia="Times New Roman"/>
        </w:rPr>
      </w:pPr>
      <w:r>
        <w:rPr>
          <w:rFonts w:eastAsia="Times New Roman"/>
          <w:b/>
          <w:bCs/>
          <w:color w:val="000000"/>
          <w:sz w:val="20"/>
          <w:szCs w:val="20"/>
        </w:rPr>
        <w:t>Note 8. Segment Information</w:t>
      </w:r>
    </w:p>
    <w:p w14:paraId="364A4FB4" w14:textId="77777777" w:rsidR="00000000" w:rsidRDefault="009B6C69">
      <w:pPr>
        <w:ind w:firstLine="360"/>
        <w:divId w:val="1069811012"/>
        <w:rPr>
          <w:rFonts w:eastAsia="Times New Roman"/>
        </w:rPr>
      </w:pPr>
      <w:r>
        <w:rPr>
          <w:rFonts w:eastAsia="Times New Roman"/>
          <w:color w:val="000000"/>
          <w:sz w:val="20"/>
          <w:szCs w:val="20"/>
        </w:rPr>
        <w:t>We are organized on the basis of products and services and have three reportable segments. Our operating segments reflect the way our businesses and management/reporting structure are organized internally and the way our Chief Operating Decision Maker (COD</w:t>
      </w:r>
      <w:r>
        <w:rPr>
          <w:rFonts w:eastAsia="Times New Roman"/>
          <w:color w:val="000000"/>
          <w:sz w:val="20"/>
          <w:szCs w:val="20"/>
        </w:rPr>
        <w:t>M), who is our CEO, reviews financial information, makes operating decisions and assesses business performance. We also consider, among other items, the way budgets and forecasts are prepared and reviewed and the basis on which executive compensation is de</w:t>
      </w:r>
      <w:r>
        <w:rPr>
          <w:rFonts w:eastAsia="Times New Roman"/>
          <w:color w:val="000000"/>
          <w:sz w:val="20"/>
          <w:szCs w:val="20"/>
        </w:rPr>
        <w:t>termined, as well as the similarities and the level of centralized resource planning within our operating segments, such as the nature of products, the level of shared products, technology and other resources, production processes and customer base. We con</w:t>
      </w:r>
      <w:r>
        <w:rPr>
          <w:rFonts w:eastAsia="Times New Roman"/>
          <w:color w:val="000000"/>
          <w:sz w:val="20"/>
          <w:szCs w:val="20"/>
        </w:rPr>
        <w:t>duct business primarily through our QCT semiconductor business and our QTL licensing business. QCT develops and supplies integrated circuits and system software based on 3G/4G/5G and other technologies, including RFFE, for use in mobile devices; automotive</w:t>
      </w:r>
      <w:r>
        <w:rPr>
          <w:rFonts w:eastAsia="Times New Roman"/>
          <w:color w:val="000000"/>
          <w:sz w:val="20"/>
          <w:szCs w:val="20"/>
        </w:rPr>
        <w:t xml:space="preserve"> systems for connectivity, digital cockpit and ADAS/AD; and IoT including consumer electronic devices; industrial devices; and edge networking products. QTL grants licenses or otherwise provides rights to use portions of our intellectual property portfolio</w:t>
      </w:r>
      <w:r>
        <w:rPr>
          <w:rFonts w:eastAsia="Times New Roman"/>
          <w:color w:val="000000"/>
          <w:sz w:val="20"/>
          <w:szCs w:val="20"/>
        </w:rPr>
        <w:t>, which includes certain patent rights essential to and/or useful in the manufacture and sale of certain wireless products. Our QSI (Qualcomm Strategic Initiatives) reportable segment makes strategic investments. We also have nonreportable segments, includ</w:t>
      </w:r>
      <w:r>
        <w:rPr>
          <w:rFonts w:eastAsia="Times New Roman"/>
          <w:color w:val="000000"/>
          <w:sz w:val="20"/>
          <w:szCs w:val="20"/>
        </w:rPr>
        <w:t>ing QGOV (Qualcomm Government Technologies) and our cloud AI inference processing initiative.</w:t>
      </w:r>
    </w:p>
    <w:p w14:paraId="5BE06DF4" w14:textId="77777777" w:rsidR="00000000" w:rsidRDefault="009B6C69">
      <w:pPr>
        <w:ind w:firstLine="360"/>
        <w:divId w:val="2040813148"/>
        <w:rPr>
          <w:rFonts w:eastAsia="Times New Roman"/>
        </w:rPr>
      </w:pPr>
      <w:r>
        <w:rPr>
          <w:rFonts w:eastAsia="Times New Roman"/>
          <w:color w:val="000000"/>
          <w:sz w:val="20"/>
          <w:szCs w:val="20"/>
        </w:rPr>
        <w:t>Our CODM allocates resources to and evaluates the performance of our segments based on revenues and earnings (loss) before income taxes (EBT). Segment EBT include</w:t>
      </w:r>
      <w:r>
        <w:rPr>
          <w:rFonts w:eastAsia="Times New Roman"/>
          <w:color w:val="000000"/>
          <w:sz w:val="20"/>
          <w:szCs w:val="20"/>
        </w:rPr>
        <w:t>s the allocation of certain corporate expenses to the segments, including depreciation and amortization expense related to unallocated corporate assets. Certain income and charges are not allocated to segments in our management reports because they are not</w:t>
      </w:r>
      <w:r>
        <w:rPr>
          <w:rFonts w:eastAsia="Times New Roman"/>
          <w:color w:val="000000"/>
          <w:sz w:val="20"/>
          <w:szCs w:val="20"/>
        </w:rPr>
        <w:t xml:space="preserve"> considered in evaluating the segments’ operating performance. Unallocated income and charges include certain interest expense, certain net investment income, certain share-based compensation, gains and losses on our deferred compensation plan liabilities </w:t>
      </w:r>
      <w:r>
        <w:rPr>
          <w:rFonts w:eastAsia="Times New Roman"/>
          <w:color w:val="000000"/>
          <w:sz w:val="20"/>
          <w:szCs w:val="20"/>
        </w:rPr>
        <w:t>and related assets and certain research and development expenses, certain selling, general and administrative expenses and other expenses or income that were deemed to be not directly related to the businesses of the segments. Additionally, unallocated cha</w:t>
      </w:r>
      <w:r>
        <w:rPr>
          <w:rFonts w:eastAsia="Times New Roman"/>
          <w:color w:val="000000"/>
          <w:sz w:val="20"/>
          <w:szCs w:val="20"/>
        </w:rPr>
        <w:t>rges include recognition of the step-up of inventories and property, plant and equipment to fair value, amortization of certain intangible assets and certain other acquisition-related charges, third-party acquisition and integration services costs and cert</w:t>
      </w:r>
      <w:r>
        <w:rPr>
          <w:rFonts w:eastAsia="Times New Roman"/>
          <w:color w:val="000000"/>
          <w:sz w:val="20"/>
          <w:szCs w:val="20"/>
        </w:rPr>
        <w:t>ain other items, which may include major restructuring and restructuring-related costs, asset impairment charges and awards, settlements and/or damages arising from legal or regulatory matters. Our CODM does not evaluate our operating segments using discre</w:t>
      </w:r>
      <w:r>
        <w:rPr>
          <w:rFonts w:eastAsia="Times New Roman"/>
          <w:color w:val="000000"/>
          <w:sz w:val="20"/>
          <w:szCs w:val="20"/>
        </w:rPr>
        <w:t>te asset information.</w:t>
      </w:r>
    </w:p>
    <w:p w14:paraId="4BE70102" w14:textId="77777777" w:rsidR="00000000" w:rsidRDefault="009B6C69">
      <w:pPr>
        <w:jc w:val="center"/>
        <w:divId w:val="853375819"/>
        <w:rPr>
          <w:rFonts w:eastAsia="Times New Roman"/>
        </w:rPr>
      </w:pPr>
      <w:r>
        <w:rPr>
          <w:rFonts w:eastAsia="Times New Roman"/>
          <w:color w:val="000000"/>
          <w:sz w:val="20"/>
          <w:szCs w:val="20"/>
        </w:rPr>
        <w:t>F-27</w:t>
      </w:r>
    </w:p>
    <w:p w14:paraId="781E7B9F" w14:textId="77777777" w:rsidR="00000000" w:rsidRDefault="009B6C69">
      <w:pPr>
        <w:rPr>
          <w:rFonts w:eastAsia="Times New Roman"/>
        </w:rPr>
      </w:pPr>
      <w:r>
        <w:rPr>
          <w:rFonts w:eastAsia="Times New Roman"/>
        </w:rPr>
        <w:pict w14:anchorId="1AD41A25">
          <v:rect id="_x0000_i1107" style="width:0;height:1.5pt" o:hralign="center" o:hrstd="t" o:hr="t" fillcolor="#a0a0a0" stroked="f"/>
        </w:pict>
      </w:r>
    </w:p>
    <w:p w14:paraId="4479710E" w14:textId="77777777" w:rsidR="00000000" w:rsidRDefault="009B6C69">
      <w:pPr>
        <w:jc w:val="center"/>
        <w:divId w:val="370888230"/>
        <w:rPr>
          <w:rFonts w:eastAsia="Times New Roman"/>
        </w:rPr>
      </w:pPr>
    </w:p>
    <w:p w14:paraId="01F30E51" w14:textId="77777777" w:rsidR="00000000" w:rsidRDefault="009B6C69">
      <w:pPr>
        <w:jc w:val="center"/>
        <w:divId w:val="370888230"/>
        <w:rPr>
          <w:rFonts w:eastAsia="Times New Roman"/>
        </w:rPr>
      </w:pPr>
      <w:r>
        <w:rPr>
          <w:rFonts w:eastAsia="Times New Roman"/>
          <w:b/>
          <w:bCs/>
          <w:color w:val="000000"/>
          <w:sz w:val="20"/>
          <w:szCs w:val="20"/>
        </w:rPr>
        <w:t>QUALCOMM Incorporated</w:t>
      </w:r>
    </w:p>
    <w:p w14:paraId="6478DFF0" w14:textId="77777777" w:rsidR="00000000" w:rsidRDefault="009B6C69">
      <w:pPr>
        <w:jc w:val="center"/>
        <w:divId w:val="370888230"/>
        <w:rPr>
          <w:rFonts w:eastAsia="Times New Roman"/>
        </w:rPr>
      </w:pPr>
      <w:r>
        <w:rPr>
          <w:rFonts w:eastAsia="Times New Roman"/>
          <w:b/>
          <w:bCs/>
          <w:color w:val="000000"/>
          <w:sz w:val="20"/>
          <w:szCs w:val="20"/>
        </w:rPr>
        <w:t>NOTES TO CONSOLIDATED FINANCIAL STATEMENTS</w:t>
      </w:r>
    </w:p>
    <w:p w14:paraId="0C33E1F8" w14:textId="77777777" w:rsidR="00000000" w:rsidRDefault="009B6C69">
      <w:pPr>
        <w:ind w:firstLine="360"/>
        <w:divId w:val="421032022"/>
        <w:rPr>
          <w:rFonts w:eastAsia="Times New Roman"/>
        </w:rPr>
      </w:pPr>
      <w:r>
        <w:rPr>
          <w:rFonts w:eastAsia="Times New Roman"/>
          <w:color w:val="000000"/>
          <w:sz w:val="20"/>
          <w:szCs w:val="20"/>
        </w:rPr>
        <w:t>The table below presents revenues and EBT for reportable segments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5022"/>
        <w:gridCol w:w="36"/>
        <w:gridCol w:w="110"/>
        <w:gridCol w:w="866"/>
        <w:gridCol w:w="36"/>
        <w:gridCol w:w="36"/>
        <w:gridCol w:w="36"/>
        <w:gridCol w:w="36"/>
        <w:gridCol w:w="110"/>
        <w:gridCol w:w="832"/>
        <w:gridCol w:w="36"/>
        <w:gridCol w:w="36"/>
        <w:gridCol w:w="36"/>
        <w:gridCol w:w="36"/>
        <w:gridCol w:w="110"/>
        <w:gridCol w:w="832"/>
        <w:gridCol w:w="36"/>
      </w:tblGrid>
      <w:tr w:rsidR="00000000" w14:paraId="0A738A0D" w14:textId="77777777">
        <w:trPr>
          <w:divId w:val="1270435386"/>
        </w:trPr>
        <w:tc>
          <w:tcPr>
            <w:tcW w:w="50" w:type="pct"/>
            <w:vAlign w:val="center"/>
            <w:hideMark/>
          </w:tcPr>
          <w:p w14:paraId="3D70A12A" w14:textId="77777777" w:rsidR="00000000" w:rsidRDefault="009B6C69">
            <w:pPr>
              <w:ind w:firstLine="360"/>
              <w:rPr>
                <w:rFonts w:eastAsia="Times New Roman"/>
              </w:rPr>
            </w:pPr>
          </w:p>
        </w:tc>
        <w:tc>
          <w:tcPr>
            <w:tcW w:w="3056" w:type="pct"/>
            <w:vAlign w:val="center"/>
            <w:hideMark/>
          </w:tcPr>
          <w:p w14:paraId="24E39955" w14:textId="77777777" w:rsidR="00000000" w:rsidRDefault="009B6C69">
            <w:pPr>
              <w:spacing w:after="100"/>
              <w:rPr>
                <w:rFonts w:eastAsia="Times New Roman"/>
                <w:sz w:val="20"/>
                <w:szCs w:val="20"/>
              </w:rPr>
            </w:pPr>
          </w:p>
        </w:tc>
        <w:tc>
          <w:tcPr>
            <w:tcW w:w="5" w:type="pct"/>
            <w:vAlign w:val="center"/>
            <w:hideMark/>
          </w:tcPr>
          <w:p w14:paraId="4A7E19E2" w14:textId="77777777" w:rsidR="00000000" w:rsidRDefault="009B6C69">
            <w:pPr>
              <w:spacing w:after="100"/>
              <w:rPr>
                <w:rFonts w:eastAsia="Times New Roman"/>
                <w:sz w:val="20"/>
                <w:szCs w:val="20"/>
              </w:rPr>
            </w:pPr>
          </w:p>
        </w:tc>
        <w:tc>
          <w:tcPr>
            <w:tcW w:w="50" w:type="pct"/>
            <w:vAlign w:val="center"/>
            <w:hideMark/>
          </w:tcPr>
          <w:p w14:paraId="62B3E24B" w14:textId="77777777" w:rsidR="00000000" w:rsidRDefault="009B6C69">
            <w:pPr>
              <w:spacing w:after="100"/>
              <w:rPr>
                <w:rFonts w:eastAsia="Times New Roman"/>
                <w:sz w:val="20"/>
                <w:szCs w:val="20"/>
              </w:rPr>
            </w:pPr>
          </w:p>
        </w:tc>
        <w:tc>
          <w:tcPr>
            <w:tcW w:w="549" w:type="pct"/>
            <w:vAlign w:val="center"/>
            <w:hideMark/>
          </w:tcPr>
          <w:p w14:paraId="29FD465E" w14:textId="77777777" w:rsidR="00000000" w:rsidRDefault="009B6C69">
            <w:pPr>
              <w:spacing w:after="100"/>
              <w:rPr>
                <w:rFonts w:eastAsia="Times New Roman"/>
                <w:sz w:val="20"/>
                <w:szCs w:val="20"/>
              </w:rPr>
            </w:pPr>
          </w:p>
        </w:tc>
        <w:tc>
          <w:tcPr>
            <w:tcW w:w="5" w:type="pct"/>
            <w:vAlign w:val="center"/>
            <w:hideMark/>
          </w:tcPr>
          <w:p w14:paraId="748145EF" w14:textId="77777777" w:rsidR="00000000" w:rsidRDefault="009B6C69">
            <w:pPr>
              <w:spacing w:after="100"/>
              <w:rPr>
                <w:rFonts w:eastAsia="Times New Roman"/>
                <w:sz w:val="20"/>
                <w:szCs w:val="20"/>
              </w:rPr>
            </w:pPr>
          </w:p>
        </w:tc>
        <w:tc>
          <w:tcPr>
            <w:tcW w:w="5" w:type="pct"/>
            <w:vAlign w:val="center"/>
            <w:hideMark/>
          </w:tcPr>
          <w:p w14:paraId="1E64CE19" w14:textId="77777777" w:rsidR="00000000" w:rsidRDefault="009B6C69">
            <w:pPr>
              <w:spacing w:after="100"/>
              <w:rPr>
                <w:rFonts w:eastAsia="Times New Roman"/>
                <w:sz w:val="20"/>
                <w:szCs w:val="20"/>
              </w:rPr>
            </w:pPr>
          </w:p>
        </w:tc>
        <w:tc>
          <w:tcPr>
            <w:tcW w:w="27" w:type="pct"/>
            <w:vAlign w:val="center"/>
            <w:hideMark/>
          </w:tcPr>
          <w:p w14:paraId="1C435AB1" w14:textId="77777777" w:rsidR="00000000" w:rsidRDefault="009B6C69">
            <w:pPr>
              <w:spacing w:after="100"/>
              <w:rPr>
                <w:rFonts w:eastAsia="Times New Roman"/>
                <w:sz w:val="20"/>
                <w:szCs w:val="20"/>
              </w:rPr>
            </w:pPr>
          </w:p>
        </w:tc>
        <w:tc>
          <w:tcPr>
            <w:tcW w:w="5" w:type="pct"/>
            <w:vAlign w:val="center"/>
            <w:hideMark/>
          </w:tcPr>
          <w:p w14:paraId="5EFB0853" w14:textId="77777777" w:rsidR="00000000" w:rsidRDefault="009B6C69">
            <w:pPr>
              <w:spacing w:after="100"/>
              <w:rPr>
                <w:rFonts w:eastAsia="Times New Roman"/>
                <w:sz w:val="20"/>
                <w:szCs w:val="20"/>
              </w:rPr>
            </w:pPr>
          </w:p>
        </w:tc>
        <w:tc>
          <w:tcPr>
            <w:tcW w:w="50" w:type="pct"/>
            <w:vAlign w:val="center"/>
            <w:hideMark/>
          </w:tcPr>
          <w:p w14:paraId="5F7B31B1" w14:textId="77777777" w:rsidR="00000000" w:rsidRDefault="009B6C69">
            <w:pPr>
              <w:spacing w:after="100"/>
              <w:rPr>
                <w:rFonts w:eastAsia="Times New Roman"/>
                <w:sz w:val="20"/>
                <w:szCs w:val="20"/>
              </w:rPr>
            </w:pPr>
          </w:p>
        </w:tc>
        <w:tc>
          <w:tcPr>
            <w:tcW w:w="549" w:type="pct"/>
            <w:vAlign w:val="center"/>
            <w:hideMark/>
          </w:tcPr>
          <w:p w14:paraId="142E2F77" w14:textId="77777777" w:rsidR="00000000" w:rsidRDefault="009B6C69">
            <w:pPr>
              <w:spacing w:after="100"/>
              <w:rPr>
                <w:rFonts w:eastAsia="Times New Roman"/>
                <w:sz w:val="20"/>
                <w:szCs w:val="20"/>
              </w:rPr>
            </w:pPr>
          </w:p>
        </w:tc>
        <w:tc>
          <w:tcPr>
            <w:tcW w:w="5" w:type="pct"/>
            <w:vAlign w:val="center"/>
            <w:hideMark/>
          </w:tcPr>
          <w:p w14:paraId="4ADFABBE" w14:textId="77777777" w:rsidR="00000000" w:rsidRDefault="009B6C69">
            <w:pPr>
              <w:spacing w:after="100"/>
              <w:rPr>
                <w:rFonts w:eastAsia="Times New Roman"/>
                <w:sz w:val="20"/>
                <w:szCs w:val="20"/>
              </w:rPr>
            </w:pPr>
          </w:p>
        </w:tc>
        <w:tc>
          <w:tcPr>
            <w:tcW w:w="5" w:type="pct"/>
            <w:vAlign w:val="center"/>
            <w:hideMark/>
          </w:tcPr>
          <w:p w14:paraId="01CC64C1" w14:textId="77777777" w:rsidR="00000000" w:rsidRDefault="009B6C69">
            <w:pPr>
              <w:spacing w:after="100"/>
              <w:rPr>
                <w:rFonts w:eastAsia="Times New Roman"/>
                <w:sz w:val="20"/>
                <w:szCs w:val="20"/>
              </w:rPr>
            </w:pPr>
          </w:p>
        </w:tc>
        <w:tc>
          <w:tcPr>
            <w:tcW w:w="27" w:type="pct"/>
            <w:vAlign w:val="center"/>
            <w:hideMark/>
          </w:tcPr>
          <w:p w14:paraId="1941F397" w14:textId="77777777" w:rsidR="00000000" w:rsidRDefault="009B6C69">
            <w:pPr>
              <w:spacing w:after="100"/>
              <w:rPr>
                <w:rFonts w:eastAsia="Times New Roman"/>
                <w:sz w:val="20"/>
                <w:szCs w:val="20"/>
              </w:rPr>
            </w:pPr>
          </w:p>
        </w:tc>
        <w:tc>
          <w:tcPr>
            <w:tcW w:w="5" w:type="pct"/>
            <w:vAlign w:val="center"/>
            <w:hideMark/>
          </w:tcPr>
          <w:p w14:paraId="122AB988" w14:textId="77777777" w:rsidR="00000000" w:rsidRDefault="009B6C69">
            <w:pPr>
              <w:spacing w:after="100"/>
              <w:rPr>
                <w:rFonts w:eastAsia="Times New Roman"/>
                <w:sz w:val="20"/>
                <w:szCs w:val="20"/>
              </w:rPr>
            </w:pPr>
          </w:p>
        </w:tc>
        <w:tc>
          <w:tcPr>
            <w:tcW w:w="50" w:type="pct"/>
            <w:vAlign w:val="center"/>
            <w:hideMark/>
          </w:tcPr>
          <w:p w14:paraId="0C1C6070" w14:textId="77777777" w:rsidR="00000000" w:rsidRDefault="009B6C69">
            <w:pPr>
              <w:spacing w:after="100"/>
              <w:rPr>
                <w:rFonts w:eastAsia="Times New Roman"/>
                <w:sz w:val="20"/>
                <w:szCs w:val="20"/>
              </w:rPr>
            </w:pPr>
          </w:p>
        </w:tc>
        <w:tc>
          <w:tcPr>
            <w:tcW w:w="549" w:type="pct"/>
            <w:vAlign w:val="center"/>
            <w:hideMark/>
          </w:tcPr>
          <w:p w14:paraId="37AC6DD9" w14:textId="77777777" w:rsidR="00000000" w:rsidRDefault="009B6C69">
            <w:pPr>
              <w:spacing w:after="100"/>
              <w:rPr>
                <w:rFonts w:eastAsia="Times New Roman"/>
                <w:sz w:val="20"/>
                <w:szCs w:val="20"/>
              </w:rPr>
            </w:pPr>
          </w:p>
        </w:tc>
        <w:tc>
          <w:tcPr>
            <w:tcW w:w="5" w:type="pct"/>
            <w:vAlign w:val="center"/>
            <w:hideMark/>
          </w:tcPr>
          <w:p w14:paraId="6CFEEA68" w14:textId="77777777" w:rsidR="00000000" w:rsidRDefault="009B6C69">
            <w:pPr>
              <w:spacing w:after="100"/>
              <w:rPr>
                <w:rFonts w:eastAsia="Times New Roman"/>
                <w:sz w:val="20"/>
                <w:szCs w:val="20"/>
              </w:rPr>
            </w:pPr>
          </w:p>
        </w:tc>
      </w:tr>
      <w:tr w:rsidR="00000000" w14:paraId="09933931" w14:textId="77777777">
        <w:trPr>
          <w:divId w:val="1270435386"/>
        </w:trPr>
        <w:tc>
          <w:tcPr>
            <w:tcW w:w="0" w:type="auto"/>
            <w:gridSpan w:val="3"/>
            <w:tcMar>
              <w:top w:w="0" w:type="dxa"/>
              <w:left w:w="20" w:type="dxa"/>
              <w:bottom w:w="0" w:type="dxa"/>
              <w:right w:w="20" w:type="dxa"/>
            </w:tcMar>
            <w:vAlign w:val="center"/>
            <w:hideMark/>
          </w:tcPr>
          <w:p w14:paraId="0D83C85A"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3A9DDF2"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14:paraId="76B437B2"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AC99D00"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2398F439"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DDE05D9" w14:textId="77777777" w:rsidR="00000000" w:rsidRDefault="009B6C69">
            <w:pPr>
              <w:spacing w:after="100"/>
              <w:jc w:val="center"/>
              <w:rPr>
                <w:rFonts w:eastAsia="Times New Roman"/>
              </w:rPr>
            </w:pPr>
            <w:r>
              <w:rPr>
                <w:rFonts w:eastAsia="Times New Roman"/>
                <w:b/>
                <w:bCs/>
                <w:color w:val="000000"/>
                <w:sz w:val="18"/>
                <w:szCs w:val="18"/>
              </w:rPr>
              <w:t>2020</w:t>
            </w:r>
          </w:p>
        </w:tc>
      </w:tr>
      <w:tr w:rsidR="00000000" w14:paraId="2F37BFF7" w14:textId="77777777">
        <w:trPr>
          <w:divId w:val="1270435386"/>
        </w:trPr>
        <w:tc>
          <w:tcPr>
            <w:tcW w:w="0" w:type="auto"/>
            <w:gridSpan w:val="3"/>
            <w:shd w:val="clear" w:color="auto" w:fill="FFFFFF"/>
            <w:tcMar>
              <w:top w:w="30" w:type="dxa"/>
              <w:left w:w="20" w:type="dxa"/>
              <w:bottom w:w="30" w:type="dxa"/>
              <w:right w:w="20" w:type="dxa"/>
            </w:tcMar>
            <w:vAlign w:val="bottom"/>
            <w:hideMark/>
          </w:tcPr>
          <w:p w14:paraId="7005BABB" w14:textId="77777777" w:rsidR="00000000" w:rsidRDefault="009B6C69">
            <w:pPr>
              <w:spacing w:after="100"/>
              <w:rPr>
                <w:rFonts w:eastAsia="Times New Roman"/>
              </w:rPr>
            </w:pPr>
            <w:r>
              <w:rPr>
                <w:rFonts w:eastAsia="Times New Roman"/>
                <w:b/>
                <w:bCs/>
                <w:color w:val="000000"/>
                <w:sz w:val="18"/>
                <w:szCs w:val="18"/>
              </w:rPr>
              <w:t>Revenues: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D97F09" w14:textId="77777777" w:rsidR="00000000" w:rsidRDefault="009B6C69">
            <w:pPr>
              <w:spacing w:after="100"/>
              <w:rPr>
                <w:rFonts w:eastAsia="Times New Roman"/>
              </w:rPr>
            </w:pPr>
          </w:p>
        </w:tc>
        <w:tc>
          <w:tcPr>
            <w:tcW w:w="0" w:type="auto"/>
            <w:gridSpan w:val="3"/>
            <w:tcMar>
              <w:top w:w="0" w:type="dxa"/>
              <w:left w:w="20" w:type="dxa"/>
              <w:bottom w:w="0" w:type="dxa"/>
              <w:right w:w="20" w:type="dxa"/>
            </w:tcMar>
            <w:vAlign w:val="center"/>
            <w:hideMark/>
          </w:tcPr>
          <w:p w14:paraId="00EB53B7" w14:textId="77777777" w:rsidR="00000000" w:rsidRDefault="009B6C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EF745FB"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44985C" w14:textId="77777777" w:rsidR="00000000" w:rsidRDefault="009B6C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595CF20" w14:textId="77777777" w:rsidR="00000000" w:rsidRDefault="009B6C69">
            <w:pPr>
              <w:spacing w:after="100"/>
              <w:rPr>
                <w:rFonts w:eastAsia="Times New Roman"/>
                <w:sz w:val="20"/>
                <w:szCs w:val="20"/>
              </w:rPr>
            </w:pPr>
          </w:p>
        </w:tc>
      </w:tr>
      <w:tr w:rsidR="00000000" w14:paraId="654D0314" w14:textId="77777777">
        <w:trPr>
          <w:divId w:val="1270435386"/>
        </w:trPr>
        <w:tc>
          <w:tcPr>
            <w:tcW w:w="0" w:type="auto"/>
            <w:gridSpan w:val="3"/>
            <w:shd w:val="clear" w:color="auto" w:fill="CCEEFF"/>
            <w:tcMar>
              <w:top w:w="30" w:type="dxa"/>
              <w:left w:w="155" w:type="dxa"/>
              <w:bottom w:w="30" w:type="dxa"/>
              <w:right w:w="20" w:type="dxa"/>
            </w:tcMar>
            <w:vAlign w:val="bottom"/>
            <w:hideMark/>
          </w:tcPr>
          <w:p w14:paraId="08CC2932" w14:textId="77777777" w:rsidR="00000000" w:rsidRDefault="009B6C69">
            <w:pPr>
              <w:spacing w:after="100"/>
              <w:rPr>
                <w:rFonts w:eastAsia="Times New Roman"/>
              </w:rPr>
            </w:pPr>
            <w:r>
              <w:rPr>
                <w:rFonts w:eastAsia="Times New Roman"/>
                <w:color w:val="000000"/>
                <w:sz w:val="18"/>
                <w:szCs w:val="18"/>
              </w:rPr>
              <w:t>QCT</w:t>
            </w:r>
          </w:p>
        </w:tc>
        <w:tc>
          <w:tcPr>
            <w:tcW w:w="0" w:type="auto"/>
            <w:shd w:val="clear" w:color="auto" w:fill="CCEEFF"/>
            <w:tcMar>
              <w:top w:w="30" w:type="dxa"/>
              <w:left w:w="20" w:type="dxa"/>
              <w:bottom w:w="30" w:type="dxa"/>
              <w:right w:w="0" w:type="dxa"/>
            </w:tcMar>
            <w:vAlign w:val="bottom"/>
            <w:hideMark/>
          </w:tcPr>
          <w:p w14:paraId="1B551B10"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AFBFB9F" w14:textId="77777777" w:rsidR="00000000" w:rsidRDefault="009B6C69">
            <w:pPr>
              <w:spacing w:after="100"/>
              <w:jc w:val="right"/>
              <w:rPr>
                <w:rFonts w:eastAsia="Times New Roman"/>
              </w:rPr>
            </w:pPr>
            <w:r>
              <w:rPr>
                <w:rFonts w:eastAsia="Times New Roman"/>
                <w:color w:val="000000"/>
                <w:sz w:val="18"/>
                <w:szCs w:val="18"/>
              </w:rPr>
              <w:t>37,677 </w:t>
            </w:r>
          </w:p>
        </w:tc>
        <w:tc>
          <w:tcPr>
            <w:tcW w:w="0" w:type="auto"/>
            <w:shd w:val="clear" w:color="auto" w:fill="CCEEFF"/>
            <w:tcMar>
              <w:top w:w="30" w:type="dxa"/>
              <w:left w:w="0" w:type="dxa"/>
              <w:bottom w:w="30" w:type="dxa"/>
              <w:right w:w="20" w:type="dxa"/>
            </w:tcMar>
            <w:vAlign w:val="bottom"/>
            <w:hideMark/>
          </w:tcPr>
          <w:p w14:paraId="1FF0CF3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4948C3"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A79695C"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ECBC676" w14:textId="77777777" w:rsidR="00000000" w:rsidRDefault="009B6C69">
            <w:pPr>
              <w:spacing w:after="100"/>
              <w:jc w:val="right"/>
              <w:rPr>
                <w:rFonts w:eastAsia="Times New Roman"/>
              </w:rPr>
            </w:pPr>
            <w:r>
              <w:rPr>
                <w:rFonts w:eastAsia="Times New Roman"/>
                <w:color w:val="000000"/>
                <w:sz w:val="18"/>
                <w:szCs w:val="18"/>
              </w:rPr>
              <w:t>27,019 </w:t>
            </w:r>
          </w:p>
        </w:tc>
        <w:tc>
          <w:tcPr>
            <w:tcW w:w="0" w:type="auto"/>
            <w:shd w:val="clear" w:color="auto" w:fill="CCEEFF"/>
            <w:tcMar>
              <w:top w:w="30" w:type="dxa"/>
              <w:left w:w="0" w:type="dxa"/>
              <w:bottom w:w="30" w:type="dxa"/>
              <w:right w:w="20" w:type="dxa"/>
            </w:tcMar>
            <w:vAlign w:val="bottom"/>
            <w:hideMark/>
          </w:tcPr>
          <w:p w14:paraId="4A89871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11531B"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ADF80B"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511918A" w14:textId="77777777" w:rsidR="00000000" w:rsidRDefault="009B6C69">
            <w:pPr>
              <w:spacing w:after="100"/>
              <w:jc w:val="right"/>
              <w:rPr>
                <w:rFonts w:eastAsia="Times New Roman"/>
              </w:rPr>
            </w:pPr>
            <w:r>
              <w:rPr>
                <w:rFonts w:eastAsia="Times New Roman"/>
                <w:color w:val="000000"/>
                <w:sz w:val="18"/>
                <w:szCs w:val="18"/>
              </w:rPr>
              <w:t>16,493 </w:t>
            </w:r>
          </w:p>
        </w:tc>
        <w:tc>
          <w:tcPr>
            <w:tcW w:w="0" w:type="auto"/>
            <w:shd w:val="clear" w:color="auto" w:fill="CCEEFF"/>
            <w:tcMar>
              <w:top w:w="30" w:type="dxa"/>
              <w:left w:w="0" w:type="dxa"/>
              <w:bottom w:w="30" w:type="dxa"/>
              <w:right w:w="20" w:type="dxa"/>
            </w:tcMar>
            <w:vAlign w:val="bottom"/>
            <w:hideMark/>
          </w:tcPr>
          <w:p w14:paraId="1E094948" w14:textId="77777777" w:rsidR="00000000" w:rsidRDefault="009B6C69">
            <w:pPr>
              <w:spacing w:after="100"/>
              <w:jc w:val="right"/>
              <w:rPr>
                <w:rFonts w:eastAsia="Times New Roman"/>
              </w:rPr>
            </w:pPr>
          </w:p>
        </w:tc>
      </w:tr>
      <w:tr w:rsidR="00000000" w14:paraId="42499B80" w14:textId="77777777">
        <w:trPr>
          <w:divId w:val="1270435386"/>
        </w:trPr>
        <w:tc>
          <w:tcPr>
            <w:tcW w:w="0" w:type="auto"/>
            <w:gridSpan w:val="3"/>
            <w:shd w:val="clear" w:color="auto" w:fill="FFFFFF"/>
            <w:tcMar>
              <w:top w:w="30" w:type="dxa"/>
              <w:left w:w="155" w:type="dxa"/>
              <w:bottom w:w="30" w:type="dxa"/>
              <w:right w:w="20" w:type="dxa"/>
            </w:tcMar>
            <w:vAlign w:val="bottom"/>
            <w:hideMark/>
          </w:tcPr>
          <w:p w14:paraId="567C11BF" w14:textId="77777777" w:rsidR="00000000" w:rsidRDefault="009B6C69">
            <w:pPr>
              <w:spacing w:after="100"/>
              <w:rPr>
                <w:rFonts w:eastAsia="Times New Roman"/>
              </w:rPr>
            </w:pPr>
            <w:r>
              <w:rPr>
                <w:rFonts w:eastAsia="Times New Roman"/>
                <w:color w:val="000000"/>
                <w:sz w:val="18"/>
                <w:szCs w:val="18"/>
              </w:rPr>
              <w:t>QTL</w:t>
            </w:r>
          </w:p>
        </w:tc>
        <w:tc>
          <w:tcPr>
            <w:tcW w:w="0" w:type="auto"/>
            <w:gridSpan w:val="2"/>
            <w:shd w:val="clear" w:color="auto" w:fill="FFFFFF"/>
            <w:tcMar>
              <w:top w:w="30" w:type="dxa"/>
              <w:left w:w="20" w:type="dxa"/>
              <w:bottom w:w="30" w:type="dxa"/>
              <w:right w:w="0" w:type="dxa"/>
            </w:tcMar>
            <w:vAlign w:val="bottom"/>
            <w:hideMark/>
          </w:tcPr>
          <w:p w14:paraId="70C1B369" w14:textId="77777777" w:rsidR="00000000" w:rsidRDefault="009B6C69">
            <w:pPr>
              <w:spacing w:after="100"/>
              <w:jc w:val="right"/>
              <w:rPr>
                <w:rFonts w:eastAsia="Times New Roman"/>
              </w:rPr>
            </w:pPr>
            <w:r>
              <w:rPr>
                <w:rFonts w:eastAsia="Times New Roman"/>
                <w:color w:val="000000"/>
                <w:sz w:val="18"/>
                <w:szCs w:val="18"/>
              </w:rPr>
              <w:t>6,358 </w:t>
            </w:r>
          </w:p>
        </w:tc>
        <w:tc>
          <w:tcPr>
            <w:tcW w:w="0" w:type="auto"/>
            <w:shd w:val="clear" w:color="auto" w:fill="FFFFFF"/>
            <w:tcMar>
              <w:top w:w="30" w:type="dxa"/>
              <w:left w:w="0" w:type="dxa"/>
              <w:bottom w:w="30" w:type="dxa"/>
              <w:right w:w="20" w:type="dxa"/>
            </w:tcMar>
            <w:vAlign w:val="bottom"/>
            <w:hideMark/>
          </w:tcPr>
          <w:p w14:paraId="520CB9FB" w14:textId="77777777" w:rsidR="00000000" w:rsidRDefault="009B6C6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D47AF52"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1DAE29" w14:textId="77777777" w:rsidR="00000000" w:rsidRDefault="009B6C69">
            <w:pPr>
              <w:spacing w:after="100"/>
              <w:jc w:val="right"/>
              <w:rPr>
                <w:rFonts w:eastAsia="Times New Roman"/>
              </w:rPr>
            </w:pPr>
            <w:r>
              <w:rPr>
                <w:rFonts w:eastAsia="Times New Roman"/>
                <w:color w:val="000000"/>
                <w:sz w:val="18"/>
                <w:szCs w:val="18"/>
              </w:rPr>
              <w:t>6,320 </w:t>
            </w:r>
          </w:p>
        </w:tc>
        <w:tc>
          <w:tcPr>
            <w:tcW w:w="0" w:type="auto"/>
            <w:shd w:val="clear" w:color="auto" w:fill="FFFFFF"/>
            <w:tcMar>
              <w:top w:w="30" w:type="dxa"/>
              <w:left w:w="0" w:type="dxa"/>
              <w:bottom w:w="30" w:type="dxa"/>
              <w:right w:w="20" w:type="dxa"/>
            </w:tcMar>
            <w:vAlign w:val="bottom"/>
            <w:hideMark/>
          </w:tcPr>
          <w:p w14:paraId="57AF3EC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0810A3"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732DD5" w14:textId="77777777" w:rsidR="00000000" w:rsidRDefault="009B6C69">
            <w:pPr>
              <w:spacing w:after="100"/>
              <w:jc w:val="right"/>
              <w:rPr>
                <w:rFonts w:eastAsia="Times New Roman"/>
              </w:rPr>
            </w:pPr>
            <w:r>
              <w:rPr>
                <w:rFonts w:eastAsia="Times New Roman"/>
                <w:color w:val="000000"/>
                <w:sz w:val="18"/>
                <w:szCs w:val="18"/>
              </w:rPr>
              <w:t>5,028 </w:t>
            </w:r>
          </w:p>
        </w:tc>
        <w:tc>
          <w:tcPr>
            <w:tcW w:w="0" w:type="auto"/>
            <w:shd w:val="clear" w:color="auto" w:fill="FFFFFF"/>
            <w:tcMar>
              <w:top w:w="30" w:type="dxa"/>
              <w:left w:w="0" w:type="dxa"/>
              <w:bottom w:w="30" w:type="dxa"/>
              <w:right w:w="20" w:type="dxa"/>
            </w:tcMar>
            <w:vAlign w:val="bottom"/>
            <w:hideMark/>
          </w:tcPr>
          <w:p w14:paraId="6EB21E84" w14:textId="77777777" w:rsidR="00000000" w:rsidRDefault="009B6C69">
            <w:pPr>
              <w:spacing w:after="100"/>
              <w:jc w:val="right"/>
              <w:rPr>
                <w:rFonts w:eastAsia="Times New Roman"/>
              </w:rPr>
            </w:pPr>
          </w:p>
        </w:tc>
      </w:tr>
      <w:tr w:rsidR="00000000" w14:paraId="0BC9E0CF" w14:textId="77777777">
        <w:trPr>
          <w:divId w:val="1270435386"/>
        </w:trPr>
        <w:tc>
          <w:tcPr>
            <w:tcW w:w="0" w:type="auto"/>
            <w:gridSpan w:val="3"/>
            <w:shd w:val="clear" w:color="auto" w:fill="CCEEFF"/>
            <w:tcMar>
              <w:top w:w="30" w:type="dxa"/>
              <w:left w:w="155" w:type="dxa"/>
              <w:bottom w:w="30" w:type="dxa"/>
              <w:right w:w="20" w:type="dxa"/>
            </w:tcMar>
            <w:vAlign w:val="bottom"/>
            <w:hideMark/>
          </w:tcPr>
          <w:p w14:paraId="1CDF468F" w14:textId="77777777" w:rsidR="00000000" w:rsidRDefault="009B6C69">
            <w:pPr>
              <w:spacing w:after="100"/>
              <w:rPr>
                <w:rFonts w:eastAsia="Times New Roman"/>
              </w:rPr>
            </w:pPr>
            <w:r>
              <w:rPr>
                <w:rFonts w:eastAsia="Times New Roman"/>
                <w:color w:val="000000"/>
                <w:sz w:val="18"/>
                <w:szCs w:val="18"/>
              </w:rPr>
              <w:t>QSI</w:t>
            </w:r>
          </w:p>
        </w:tc>
        <w:tc>
          <w:tcPr>
            <w:tcW w:w="0" w:type="auto"/>
            <w:gridSpan w:val="2"/>
            <w:shd w:val="clear" w:color="auto" w:fill="CCEEFF"/>
            <w:tcMar>
              <w:top w:w="30" w:type="dxa"/>
              <w:left w:w="20" w:type="dxa"/>
              <w:bottom w:w="30" w:type="dxa"/>
              <w:right w:w="0" w:type="dxa"/>
            </w:tcMar>
            <w:vAlign w:val="bottom"/>
            <w:hideMark/>
          </w:tcPr>
          <w:p w14:paraId="3CA2933F" w14:textId="77777777" w:rsidR="00000000" w:rsidRDefault="009B6C69">
            <w:pPr>
              <w:spacing w:after="100"/>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bottom"/>
            <w:hideMark/>
          </w:tcPr>
          <w:p w14:paraId="43F7B3A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B4BAE2"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722B13" w14:textId="77777777" w:rsidR="00000000" w:rsidRDefault="009B6C69">
            <w:pPr>
              <w:spacing w:after="100"/>
              <w:jc w:val="right"/>
              <w:rPr>
                <w:rFonts w:eastAsia="Times New Roman"/>
              </w:rPr>
            </w:pPr>
            <w:r>
              <w:rPr>
                <w:rFonts w:eastAsia="Times New Roman"/>
                <w:color w:val="000000"/>
                <w:sz w:val="18"/>
                <w:szCs w:val="18"/>
              </w:rPr>
              <w:t>45 </w:t>
            </w:r>
          </w:p>
        </w:tc>
        <w:tc>
          <w:tcPr>
            <w:tcW w:w="0" w:type="auto"/>
            <w:shd w:val="clear" w:color="auto" w:fill="CCEEFF"/>
            <w:tcMar>
              <w:top w:w="30" w:type="dxa"/>
              <w:left w:w="0" w:type="dxa"/>
              <w:bottom w:w="30" w:type="dxa"/>
              <w:right w:w="20" w:type="dxa"/>
            </w:tcMar>
            <w:vAlign w:val="bottom"/>
            <w:hideMark/>
          </w:tcPr>
          <w:p w14:paraId="36EB298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A41D24"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FEED3C" w14:textId="77777777" w:rsidR="00000000" w:rsidRDefault="009B6C69">
            <w:pPr>
              <w:spacing w:after="100"/>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bottom"/>
            <w:hideMark/>
          </w:tcPr>
          <w:p w14:paraId="1EDFD3B7" w14:textId="77777777" w:rsidR="00000000" w:rsidRDefault="009B6C69">
            <w:pPr>
              <w:spacing w:after="100"/>
              <w:jc w:val="right"/>
              <w:rPr>
                <w:rFonts w:eastAsia="Times New Roman"/>
              </w:rPr>
            </w:pPr>
          </w:p>
        </w:tc>
      </w:tr>
      <w:tr w:rsidR="00000000" w14:paraId="5989C797" w14:textId="77777777">
        <w:trPr>
          <w:divId w:val="1270435386"/>
        </w:trPr>
        <w:tc>
          <w:tcPr>
            <w:tcW w:w="0" w:type="auto"/>
            <w:gridSpan w:val="3"/>
            <w:shd w:val="clear" w:color="auto" w:fill="FFFFFF"/>
            <w:tcMar>
              <w:top w:w="30" w:type="dxa"/>
              <w:left w:w="155" w:type="dxa"/>
              <w:bottom w:w="30" w:type="dxa"/>
              <w:right w:w="20" w:type="dxa"/>
            </w:tcMar>
            <w:vAlign w:val="bottom"/>
            <w:hideMark/>
          </w:tcPr>
          <w:p w14:paraId="5AC22A0F" w14:textId="77777777" w:rsidR="00000000" w:rsidRDefault="009B6C69">
            <w:pPr>
              <w:spacing w:after="100"/>
              <w:rPr>
                <w:rFonts w:eastAsia="Times New Roman"/>
              </w:rPr>
            </w:pPr>
            <w:r>
              <w:rPr>
                <w:rFonts w:eastAsia="Times New Roman"/>
                <w:color w:val="000000"/>
                <w:sz w:val="18"/>
                <w:szCs w:val="18"/>
              </w:rPr>
              <w:t>Reconciling items</w:t>
            </w:r>
          </w:p>
        </w:tc>
        <w:tc>
          <w:tcPr>
            <w:tcW w:w="0" w:type="auto"/>
            <w:gridSpan w:val="2"/>
            <w:shd w:val="clear" w:color="auto" w:fill="FFFFFF"/>
            <w:tcMar>
              <w:top w:w="30" w:type="dxa"/>
              <w:left w:w="20" w:type="dxa"/>
              <w:bottom w:w="30" w:type="dxa"/>
              <w:right w:w="0" w:type="dxa"/>
            </w:tcMar>
            <w:vAlign w:val="bottom"/>
            <w:hideMark/>
          </w:tcPr>
          <w:p w14:paraId="65D45884" w14:textId="77777777" w:rsidR="00000000" w:rsidRDefault="009B6C69">
            <w:pPr>
              <w:spacing w:after="100"/>
              <w:jc w:val="right"/>
              <w:rPr>
                <w:rFonts w:eastAsia="Times New Roman"/>
              </w:rPr>
            </w:pPr>
            <w:r>
              <w:rPr>
                <w:rFonts w:eastAsia="Times New Roman"/>
                <w:color w:val="000000"/>
                <w:sz w:val="18"/>
                <w:szCs w:val="18"/>
              </w:rPr>
              <w:t>134 </w:t>
            </w:r>
          </w:p>
        </w:tc>
        <w:tc>
          <w:tcPr>
            <w:tcW w:w="0" w:type="auto"/>
            <w:shd w:val="clear" w:color="auto" w:fill="FFFFFF"/>
            <w:tcMar>
              <w:top w:w="30" w:type="dxa"/>
              <w:left w:w="0" w:type="dxa"/>
              <w:bottom w:w="30" w:type="dxa"/>
              <w:right w:w="20" w:type="dxa"/>
            </w:tcMar>
            <w:vAlign w:val="bottom"/>
            <w:hideMark/>
          </w:tcPr>
          <w:p w14:paraId="1E549C58" w14:textId="77777777" w:rsidR="00000000" w:rsidRDefault="009B6C6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EFE8E06"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9B3C8A" w14:textId="77777777" w:rsidR="00000000" w:rsidRDefault="009B6C69">
            <w:pPr>
              <w:spacing w:after="100"/>
              <w:jc w:val="right"/>
              <w:rPr>
                <w:rFonts w:eastAsia="Times New Roman"/>
              </w:rPr>
            </w:pPr>
            <w:r>
              <w:rPr>
                <w:rFonts w:eastAsia="Times New Roman"/>
                <w:color w:val="000000"/>
                <w:sz w:val="18"/>
                <w:szCs w:val="18"/>
              </w:rPr>
              <w:t>182 </w:t>
            </w:r>
          </w:p>
        </w:tc>
        <w:tc>
          <w:tcPr>
            <w:tcW w:w="0" w:type="auto"/>
            <w:shd w:val="clear" w:color="auto" w:fill="FFFFFF"/>
            <w:tcMar>
              <w:top w:w="30" w:type="dxa"/>
              <w:left w:w="0" w:type="dxa"/>
              <w:bottom w:w="30" w:type="dxa"/>
              <w:right w:w="20" w:type="dxa"/>
            </w:tcMar>
            <w:vAlign w:val="bottom"/>
            <w:hideMark/>
          </w:tcPr>
          <w:p w14:paraId="3C6E7B7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83251F"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340C80" w14:textId="77777777" w:rsidR="00000000" w:rsidRDefault="009B6C69">
            <w:pPr>
              <w:spacing w:after="100"/>
              <w:jc w:val="right"/>
              <w:rPr>
                <w:rFonts w:eastAsia="Times New Roman"/>
              </w:rPr>
            </w:pPr>
            <w:r>
              <w:rPr>
                <w:rFonts w:eastAsia="Times New Roman"/>
                <w:color w:val="000000"/>
                <w:sz w:val="18"/>
                <w:szCs w:val="18"/>
              </w:rPr>
              <w:t>1,974 </w:t>
            </w:r>
          </w:p>
        </w:tc>
        <w:tc>
          <w:tcPr>
            <w:tcW w:w="0" w:type="auto"/>
            <w:shd w:val="clear" w:color="auto" w:fill="FFFFFF"/>
            <w:tcMar>
              <w:top w:w="30" w:type="dxa"/>
              <w:left w:w="0" w:type="dxa"/>
              <w:bottom w:w="30" w:type="dxa"/>
              <w:right w:w="20" w:type="dxa"/>
            </w:tcMar>
            <w:vAlign w:val="bottom"/>
            <w:hideMark/>
          </w:tcPr>
          <w:p w14:paraId="3ED05641" w14:textId="77777777" w:rsidR="00000000" w:rsidRDefault="009B6C69">
            <w:pPr>
              <w:spacing w:after="100"/>
              <w:jc w:val="right"/>
              <w:rPr>
                <w:rFonts w:eastAsia="Times New Roman"/>
              </w:rPr>
            </w:pPr>
          </w:p>
        </w:tc>
      </w:tr>
      <w:tr w:rsidR="00000000" w14:paraId="7C0C8052" w14:textId="77777777">
        <w:trPr>
          <w:divId w:val="1270435386"/>
        </w:trPr>
        <w:tc>
          <w:tcPr>
            <w:tcW w:w="0" w:type="auto"/>
            <w:gridSpan w:val="3"/>
            <w:shd w:val="clear" w:color="auto" w:fill="CCEEFF"/>
            <w:tcMar>
              <w:top w:w="30" w:type="dxa"/>
              <w:left w:w="245" w:type="dxa"/>
              <w:bottom w:w="30" w:type="dxa"/>
              <w:right w:w="20" w:type="dxa"/>
            </w:tcMar>
            <w:vAlign w:val="bottom"/>
            <w:hideMark/>
          </w:tcPr>
          <w:p w14:paraId="15BACCBE" w14:textId="77777777" w:rsidR="00000000" w:rsidRDefault="009B6C69">
            <w:pPr>
              <w:spacing w:after="100"/>
              <w:rPr>
                <w:rFonts w:eastAsia="Times New Roman"/>
              </w:rPr>
            </w:pPr>
            <w:r>
              <w:rPr>
                <w:rFonts w:eastAsia="Times New Roman"/>
                <w:color w:val="000000"/>
                <w:sz w:val="18"/>
                <w:szCs w:val="18"/>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4D432E"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17115B" w14:textId="77777777" w:rsidR="00000000" w:rsidRDefault="009B6C69">
            <w:pPr>
              <w:spacing w:after="100"/>
              <w:jc w:val="right"/>
              <w:rPr>
                <w:rFonts w:eastAsia="Times New Roman"/>
              </w:rPr>
            </w:pPr>
            <w:r>
              <w:rPr>
                <w:rFonts w:eastAsia="Times New Roman"/>
                <w:color w:val="000000"/>
                <w:sz w:val="18"/>
                <w:szCs w:val="18"/>
              </w:rPr>
              <w:t>44,200 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019B2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A967B4"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FC4400"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C98526" w14:textId="77777777" w:rsidR="00000000" w:rsidRDefault="009B6C69">
            <w:pPr>
              <w:spacing w:after="100"/>
              <w:jc w:val="right"/>
              <w:rPr>
                <w:rFonts w:eastAsia="Times New Roman"/>
              </w:rPr>
            </w:pPr>
            <w:r>
              <w:rPr>
                <w:rFonts w:eastAsia="Times New Roman"/>
                <w:color w:val="000000"/>
                <w:sz w:val="18"/>
                <w:szCs w:val="18"/>
              </w:rPr>
              <w:t>33,566 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05D1C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4DAA5D"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8DA147"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71056D" w14:textId="77777777" w:rsidR="00000000" w:rsidRDefault="009B6C69">
            <w:pPr>
              <w:spacing w:after="100"/>
              <w:jc w:val="right"/>
              <w:rPr>
                <w:rFonts w:eastAsia="Times New Roman"/>
              </w:rPr>
            </w:pPr>
            <w:r>
              <w:rPr>
                <w:rFonts w:eastAsia="Times New Roman"/>
                <w:color w:val="000000"/>
                <w:sz w:val="18"/>
                <w:szCs w:val="18"/>
              </w:rPr>
              <w:t>23,531 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E9D7E6" w14:textId="77777777" w:rsidR="00000000" w:rsidRDefault="009B6C69">
            <w:pPr>
              <w:spacing w:after="100"/>
              <w:jc w:val="right"/>
              <w:rPr>
                <w:rFonts w:eastAsia="Times New Roman"/>
              </w:rPr>
            </w:pPr>
          </w:p>
        </w:tc>
      </w:tr>
      <w:tr w:rsidR="00000000" w14:paraId="28786284" w14:textId="77777777">
        <w:trPr>
          <w:divId w:val="1270435386"/>
        </w:trPr>
        <w:tc>
          <w:tcPr>
            <w:tcW w:w="0" w:type="auto"/>
            <w:gridSpan w:val="3"/>
            <w:shd w:val="clear" w:color="auto" w:fill="FFFFFF"/>
            <w:tcMar>
              <w:top w:w="30" w:type="dxa"/>
              <w:left w:w="20" w:type="dxa"/>
              <w:bottom w:w="30" w:type="dxa"/>
              <w:right w:w="20" w:type="dxa"/>
            </w:tcMar>
            <w:vAlign w:val="bottom"/>
            <w:hideMark/>
          </w:tcPr>
          <w:p w14:paraId="06A3CDF7" w14:textId="77777777" w:rsidR="00000000" w:rsidRDefault="009B6C69">
            <w:pPr>
              <w:spacing w:after="100"/>
              <w:rPr>
                <w:rFonts w:eastAsia="Times New Roman"/>
              </w:rPr>
            </w:pPr>
            <w:r>
              <w:rPr>
                <w:rFonts w:eastAsia="Times New Roman"/>
                <w:b/>
                <w:bCs/>
                <w:color w:val="000000"/>
                <w:sz w:val="18"/>
                <w:szCs w:val="18"/>
              </w:rPr>
              <w:t>EBT: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5214017" w14:textId="77777777" w:rsidR="00000000" w:rsidRDefault="009B6C69">
            <w:pPr>
              <w:spacing w:after="100"/>
              <w:rPr>
                <w:rFonts w:eastAsia="Times New Roman"/>
              </w:rPr>
            </w:pPr>
          </w:p>
        </w:tc>
        <w:tc>
          <w:tcPr>
            <w:tcW w:w="0" w:type="auto"/>
            <w:gridSpan w:val="3"/>
            <w:tcMar>
              <w:top w:w="0" w:type="dxa"/>
              <w:left w:w="20" w:type="dxa"/>
              <w:bottom w:w="0" w:type="dxa"/>
              <w:right w:w="20" w:type="dxa"/>
            </w:tcMar>
            <w:vAlign w:val="center"/>
            <w:hideMark/>
          </w:tcPr>
          <w:p w14:paraId="77A49781" w14:textId="77777777" w:rsidR="00000000" w:rsidRDefault="009B6C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0553850"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5DFFB2" w14:textId="77777777" w:rsidR="00000000" w:rsidRDefault="009B6C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1273712" w14:textId="77777777" w:rsidR="00000000" w:rsidRDefault="009B6C69">
            <w:pPr>
              <w:spacing w:after="100"/>
              <w:rPr>
                <w:rFonts w:eastAsia="Times New Roman"/>
                <w:sz w:val="20"/>
                <w:szCs w:val="20"/>
              </w:rPr>
            </w:pPr>
          </w:p>
        </w:tc>
      </w:tr>
      <w:tr w:rsidR="00000000" w14:paraId="2E772E53" w14:textId="77777777">
        <w:trPr>
          <w:divId w:val="1270435386"/>
        </w:trPr>
        <w:tc>
          <w:tcPr>
            <w:tcW w:w="0" w:type="auto"/>
            <w:gridSpan w:val="3"/>
            <w:shd w:val="clear" w:color="auto" w:fill="CCEEFF"/>
            <w:tcMar>
              <w:top w:w="30" w:type="dxa"/>
              <w:left w:w="155" w:type="dxa"/>
              <w:bottom w:w="30" w:type="dxa"/>
              <w:right w:w="20" w:type="dxa"/>
            </w:tcMar>
            <w:vAlign w:val="bottom"/>
            <w:hideMark/>
          </w:tcPr>
          <w:p w14:paraId="2D68258A" w14:textId="77777777" w:rsidR="00000000" w:rsidRDefault="009B6C69">
            <w:pPr>
              <w:spacing w:after="100"/>
              <w:rPr>
                <w:rFonts w:eastAsia="Times New Roman"/>
              </w:rPr>
            </w:pPr>
            <w:r>
              <w:rPr>
                <w:rFonts w:eastAsia="Times New Roman"/>
                <w:color w:val="000000"/>
                <w:sz w:val="18"/>
                <w:szCs w:val="18"/>
              </w:rPr>
              <w:t>QCT</w:t>
            </w:r>
          </w:p>
        </w:tc>
        <w:tc>
          <w:tcPr>
            <w:tcW w:w="0" w:type="auto"/>
            <w:shd w:val="clear" w:color="auto" w:fill="CCEEFF"/>
            <w:tcMar>
              <w:top w:w="30" w:type="dxa"/>
              <w:left w:w="20" w:type="dxa"/>
              <w:bottom w:w="30" w:type="dxa"/>
              <w:right w:w="0" w:type="dxa"/>
            </w:tcMar>
            <w:vAlign w:val="bottom"/>
            <w:hideMark/>
          </w:tcPr>
          <w:p w14:paraId="0F74F2D5"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49484BD" w14:textId="77777777" w:rsidR="00000000" w:rsidRDefault="009B6C69">
            <w:pPr>
              <w:spacing w:after="100"/>
              <w:jc w:val="right"/>
              <w:rPr>
                <w:rFonts w:eastAsia="Times New Roman"/>
              </w:rPr>
            </w:pPr>
            <w:r>
              <w:rPr>
                <w:rFonts w:eastAsia="Times New Roman"/>
                <w:color w:val="000000"/>
                <w:sz w:val="18"/>
                <w:szCs w:val="18"/>
              </w:rPr>
              <w:t>12,837 </w:t>
            </w:r>
          </w:p>
        </w:tc>
        <w:tc>
          <w:tcPr>
            <w:tcW w:w="0" w:type="auto"/>
            <w:shd w:val="clear" w:color="auto" w:fill="CCEEFF"/>
            <w:tcMar>
              <w:top w:w="30" w:type="dxa"/>
              <w:left w:w="0" w:type="dxa"/>
              <w:bottom w:w="30" w:type="dxa"/>
              <w:right w:w="20" w:type="dxa"/>
            </w:tcMar>
            <w:vAlign w:val="bottom"/>
            <w:hideMark/>
          </w:tcPr>
          <w:p w14:paraId="20B4F25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C1EFD6"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1AC4BA"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4F9E132" w14:textId="77777777" w:rsidR="00000000" w:rsidRDefault="009B6C69">
            <w:pPr>
              <w:spacing w:after="100"/>
              <w:jc w:val="right"/>
              <w:rPr>
                <w:rFonts w:eastAsia="Times New Roman"/>
              </w:rPr>
            </w:pPr>
            <w:r>
              <w:rPr>
                <w:rFonts w:eastAsia="Times New Roman"/>
                <w:color w:val="000000"/>
                <w:sz w:val="18"/>
                <w:szCs w:val="18"/>
              </w:rPr>
              <w:t>7,763 </w:t>
            </w:r>
          </w:p>
        </w:tc>
        <w:tc>
          <w:tcPr>
            <w:tcW w:w="0" w:type="auto"/>
            <w:shd w:val="clear" w:color="auto" w:fill="CCEEFF"/>
            <w:tcMar>
              <w:top w:w="30" w:type="dxa"/>
              <w:left w:w="0" w:type="dxa"/>
              <w:bottom w:w="30" w:type="dxa"/>
              <w:right w:w="20" w:type="dxa"/>
            </w:tcMar>
            <w:vAlign w:val="bottom"/>
            <w:hideMark/>
          </w:tcPr>
          <w:p w14:paraId="11411BE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D80D24"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7CD59A"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01B3F47" w14:textId="77777777" w:rsidR="00000000" w:rsidRDefault="009B6C69">
            <w:pPr>
              <w:spacing w:after="100"/>
              <w:jc w:val="right"/>
              <w:rPr>
                <w:rFonts w:eastAsia="Times New Roman"/>
              </w:rPr>
            </w:pPr>
            <w:r>
              <w:rPr>
                <w:rFonts w:eastAsia="Times New Roman"/>
                <w:color w:val="000000"/>
                <w:sz w:val="18"/>
                <w:szCs w:val="18"/>
              </w:rPr>
              <w:t>2,763 </w:t>
            </w:r>
          </w:p>
        </w:tc>
        <w:tc>
          <w:tcPr>
            <w:tcW w:w="0" w:type="auto"/>
            <w:shd w:val="clear" w:color="auto" w:fill="CCEEFF"/>
            <w:tcMar>
              <w:top w:w="30" w:type="dxa"/>
              <w:left w:w="0" w:type="dxa"/>
              <w:bottom w:w="30" w:type="dxa"/>
              <w:right w:w="20" w:type="dxa"/>
            </w:tcMar>
            <w:vAlign w:val="bottom"/>
            <w:hideMark/>
          </w:tcPr>
          <w:p w14:paraId="00574177" w14:textId="77777777" w:rsidR="00000000" w:rsidRDefault="009B6C69">
            <w:pPr>
              <w:spacing w:after="100"/>
              <w:jc w:val="right"/>
              <w:rPr>
                <w:rFonts w:eastAsia="Times New Roman"/>
              </w:rPr>
            </w:pPr>
          </w:p>
        </w:tc>
      </w:tr>
      <w:tr w:rsidR="00000000" w14:paraId="2AE2F666" w14:textId="77777777">
        <w:trPr>
          <w:divId w:val="1270435386"/>
        </w:trPr>
        <w:tc>
          <w:tcPr>
            <w:tcW w:w="0" w:type="auto"/>
            <w:gridSpan w:val="3"/>
            <w:shd w:val="clear" w:color="auto" w:fill="FFFFFF"/>
            <w:tcMar>
              <w:top w:w="30" w:type="dxa"/>
              <w:left w:w="155" w:type="dxa"/>
              <w:bottom w:w="30" w:type="dxa"/>
              <w:right w:w="20" w:type="dxa"/>
            </w:tcMar>
            <w:vAlign w:val="bottom"/>
            <w:hideMark/>
          </w:tcPr>
          <w:p w14:paraId="2D38F38E" w14:textId="77777777" w:rsidR="00000000" w:rsidRDefault="009B6C69">
            <w:pPr>
              <w:spacing w:after="100"/>
              <w:rPr>
                <w:rFonts w:eastAsia="Times New Roman"/>
              </w:rPr>
            </w:pPr>
            <w:r>
              <w:rPr>
                <w:rFonts w:eastAsia="Times New Roman"/>
                <w:color w:val="000000"/>
                <w:sz w:val="18"/>
                <w:szCs w:val="18"/>
              </w:rPr>
              <w:t>QTL</w:t>
            </w:r>
          </w:p>
        </w:tc>
        <w:tc>
          <w:tcPr>
            <w:tcW w:w="0" w:type="auto"/>
            <w:gridSpan w:val="2"/>
            <w:shd w:val="clear" w:color="auto" w:fill="FFFFFF"/>
            <w:tcMar>
              <w:top w:w="30" w:type="dxa"/>
              <w:left w:w="20" w:type="dxa"/>
              <w:bottom w:w="30" w:type="dxa"/>
              <w:right w:w="0" w:type="dxa"/>
            </w:tcMar>
            <w:vAlign w:val="bottom"/>
            <w:hideMark/>
          </w:tcPr>
          <w:p w14:paraId="7CE468CC" w14:textId="77777777" w:rsidR="00000000" w:rsidRDefault="009B6C69">
            <w:pPr>
              <w:spacing w:after="100"/>
              <w:jc w:val="right"/>
              <w:rPr>
                <w:rFonts w:eastAsia="Times New Roman"/>
              </w:rPr>
            </w:pPr>
            <w:r>
              <w:rPr>
                <w:rFonts w:eastAsia="Times New Roman"/>
                <w:color w:val="000000"/>
                <w:sz w:val="18"/>
                <w:szCs w:val="18"/>
              </w:rPr>
              <w:t>4,628 </w:t>
            </w:r>
          </w:p>
        </w:tc>
        <w:tc>
          <w:tcPr>
            <w:tcW w:w="0" w:type="auto"/>
            <w:shd w:val="clear" w:color="auto" w:fill="FFFFFF"/>
            <w:tcMar>
              <w:top w:w="30" w:type="dxa"/>
              <w:left w:w="0" w:type="dxa"/>
              <w:bottom w:w="30" w:type="dxa"/>
              <w:right w:w="20" w:type="dxa"/>
            </w:tcMar>
            <w:vAlign w:val="bottom"/>
            <w:hideMark/>
          </w:tcPr>
          <w:p w14:paraId="61954E9F" w14:textId="77777777" w:rsidR="00000000" w:rsidRDefault="009B6C6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7F614FC"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8FDE9C" w14:textId="77777777" w:rsidR="00000000" w:rsidRDefault="009B6C69">
            <w:pPr>
              <w:spacing w:after="100"/>
              <w:jc w:val="right"/>
              <w:rPr>
                <w:rFonts w:eastAsia="Times New Roman"/>
              </w:rPr>
            </w:pPr>
            <w:r>
              <w:rPr>
                <w:rFonts w:eastAsia="Times New Roman"/>
                <w:color w:val="000000"/>
                <w:sz w:val="18"/>
                <w:szCs w:val="18"/>
              </w:rPr>
              <w:t>4,627 </w:t>
            </w:r>
          </w:p>
        </w:tc>
        <w:tc>
          <w:tcPr>
            <w:tcW w:w="0" w:type="auto"/>
            <w:shd w:val="clear" w:color="auto" w:fill="FFFFFF"/>
            <w:tcMar>
              <w:top w:w="30" w:type="dxa"/>
              <w:left w:w="0" w:type="dxa"/>
              <w:bottom w:w="30" w:type="dxa"/>
              <w:right w:w="20" w:type="dxa"/>
            </w:tcMar>
            <w:vAlign w:val="bottom"/>
            <w:hideMark/>
          </w:tcPr>
          <w:p w14:paraId="085C096D"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E24CB9"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A642E6" w14:textId="77777777" w:rsidR="00000000" w:rsidRDefault="009B6C69">
            <w:pPr>
              <w:spacing w:after="100"/>
              <w:jc w:val="right"/>
              <w:rPr>
                <w:rFonts w:eastAsia="Times New Roman"/>
              </w:rPr>
            </w:pPr>
            <w:r>
              <w:rPr>
                <w:rFonts w:eastAsia="Times New Roman"/>
                <w:color w:val="000000"/>
                <w:sz w:val="18"/>
                <w:szCs w:val="18"/>
              </w:rPr>
              <w:t>3,442 </w:t>
            </w:r>
          </w:p>
        </w:tc>
        <w:tc>
          <w:tcPr>
            <w:tcW w:w="0" w:type="auto"/>
            <w:shd w:val="clear" w:color="auto" w:fill="FFFFFF"/>
            <w:tcMar>
              <w:top w:w="30" w:type="dxa"/>
              <w:left w:w="0" w:type="dxa"/>
              <w:bottom w:w="30" w:type="dxa"/>
              <w:right w:w="20" w:type="dxa"/>
            </w:tcMar>
            <w:vAlign w:val="bottom"/>
            <w:hideMark/>
          </w:tcPr>
          <w:p w14:paraId="6E616EC2" w14:textId="77777777" w:rsidR="00000000" w:rsidRDefault="009B6C69">
            <w:pPr>
              <w:spacing w:after="100"/>
              <w:jc w:val="right"/>
              <w:rPr>
                <w:rFonts w:eastAsia="Times New Roman"/>
              </w:rPr>
            </w:pPr>
          </w:p>
        </w:tc>
      </w:tr>
      <w:tr w:rsidR="00000000" w14:paraId="2867A655" w14:textId="77777777">
        <w:trPr>
          <w:divId w:val="1270435386"/>
        </w:trPr>
        <w:tc>
          <w:tcPr>
            <w:tcW w:w="0" w:type="auto"/>
            <w:gridSpan w:val="3"/>
            <w:shd w:val="clear" w:color="auto" w:fill="CCEEFF"/>
            <w:tcMar>
              <w:top w:w="30" w:type="dxa"/>
              <w:left w:w="155" w:type="dxa"/>
              <w:bottom w:w="30" w:type="dxa"/>
              <w:right w:w="20" w:type="dxa"/>
            </w:tcMar>
            <w:vAlign w:val="bottom"/>
            <w:hideMark/>
          </w:tcPr>
          <w:p w14:paraId="60136C83" w14:textId="77777777" w:rsidR="00000000" w:rsidRDefault="009B6C69">
            <w:pPr>
              <w:spacing w:after="100"/>
              <w:rPr>
                <w:rFonts w:eastAsia="Times New Roman"/>
              </w:rPr>
            </w:pPr>
            <w:r>
              <w:rPr>
                <w:rFonts w:eastAsia="Times New Roman"/>
                <w:color w:val="000000"/>
                <w:sz w:val="18"/>
                <w:szCs w:val="18"/>
              </w:rPr>
              <w:t>QSI</w:t>
            </w:r>
          </w:p>
        </w:tc>
        <w:tc>
          <w:tcPr>
            <w:tcW w:w="0" w:type="auto"/>
            <w:gridSpan w:val="2"/>
            <w:shd w:val="clear" w:color="auto" w:fill="CCEEFF"/>
            <w:tcMar>
              <w:top w:w="30" w:type="dxa"/>
              <w:left w:w="20" w:type="dxa"/>
              <w:bottom w:w="30" w:type="dxa"/>
              <w:right w:w="0" w:type="dxa"/>
            </w:tcMar>
            <w:vAlign w:val="bottom"/>
            <w:hideMark/>
          </w:tcPr>
          <w:p w14:paraId="6436C60A" w14:textId="77777777" w:rsidR="00000000" w:rsidRDefault="009B6C69">
            <w:pPr>
              <w:spacing w:after="100"/>
              <w:jc w:val="right"/>
              <w:rPr>
                <w:rFonts w:eastAsia="Times New Roman"/>
              </w:rPr>
            </w:pPr>
            <w:r>
              <w:rPr>
                <w:rFonts w:eastAsia="Times New Roman"/>
                <w:color w:val="000000"/>
                <w:sz w:val="18"/>
                <w:szCs w:val="18"/>
              </w:rPr>
              <w:t>(279)</w:t>
            </w:r>
          </w:p>
        </w:tc>
        <w:tc>
          <w:tcPr>
            <w:tcW w:w="0" w:type="auto"/>
            <w:shd w:val="clear" w:color="auto" w:fill="CCEEFF"/>
            <w:tcMar>
              <w:top w:w="30" w:type="dxa"/>
              <w:left w:w="0" w:type="dxa"/>
              <w:bottom w:w="30" w:type="dxa"/>
              <w:right w:w="20" w:type="dxa"/>
            </w:tcMar>
            <w:vAlign w:val="bottom"/>
            <w:hideMark/>
          </w:tcPr>
          <w:p w14:paraId="24584F6B"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EB70EB"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57D849" w14:textId="77777777" w:rsidR="00000000" w:rsidRDefault="009B6C69">
            <w:pPr>
              <w:spacing w:after="100"/>
              <w:jc w:val="right"/>
              <w:rPr>
                <w:rFonts w:eastAsia="Times New Roman"/>
              </w:rPr>
            </w:pPr>
            <w:r>
              <w:rPr>
                <w:rFonts w:eastAsia="Times New Roman"/>
                <w:color w:val="000000"/>
                <w:sz w:val="18"/>
                <w:szCs w:val="18"/>
              </w:rPr>
              <w:t>916 </w:t>
            </w:r>
          </w:p>
        </w:tc>
        <w:tc>
          <w:tcPr>
            <w:tcW w:w="0" w:type="auto"/>
            <w:shd w:val="clear" w:color="auto" w:fill="CCEEFF"/>
            <w:tcMar>
              <w:top w:w="30" w:type="dxa"/>
              <w:left w:w="0" w:type="dxa"/>
              <w:bottom w:w="30" w:type="dxa"/>
              <w:right w:w="20" w:type="dxa"/>
            </w:tcMar>
            <w:vAlign w:val="bottom"/>
            <w:hideMark/>
          </w:tcPr>
          <w:p w14:paraId="76115E8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646478"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6F1A27" w14:textId="77777777" w:rsidR="00000000" w:rsidRDefault="009B6C69">
            <w:pPr>
              <w:spacing w:after="100"/>
              <w:jc w:val="right"/>
              <w:rPr>
                <w:rFonts w:eastAsia="Times New Roman"/>
              </w:rPr>
            </w:pPr>
            <w:r>
              <w:rPr>
                <w:rFonts w:eastAsia="Times New Roman"/>
                <w:color w:val="000000"/>
                <w:sz w:val="18"/>
                <w:szCs w:val="18"/>
              </w:rPr>
              <w:t>(</w:t>
            </w: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bottom"/>
            <w:hideMark/>
          </w:tcPr>
          <w:p w14:paraId="7A4AF360" w14:textId="77777777" w:rsidR="00000000" w:rsidRDefault="009B6C69">
            <w:pPr>
              <w:spacing w:after="100"/>
              <w:jc w:val="right"/>
              <w:rPr>
                <w:rFonts w:eastAsia="Times New Roman"/>
              </w:rPr>
            </w:pPr>
          </w:p>
        </w:tc>
      </w:tr>
      <w:tr w:rsidR="00000000" w14:paraId="194D7336" w14:textId="77777777">
        <w:trPr>
          <w:divId w:val="1270435386"/>
        </w:trPr>
        <w:tc>
          <w:tcPr>
            <w:tcW w:w="0" w:type="auto"/>
            <w:gridSpan w:val="3"/>
            <w:shd w:val="clear" w:color="auto" w:fill="FFFFFF"/>
            <w:tcMar>
              <w:top w:w="30" w:type="dxa"/>
              <w:left w:w="155" w:type="dxa"/>
              <w:bottom w:w="30" w:type="dxa"/>
              <w:right w:w="20" w:type="dxa"/>
            </w:tcMar>
            <w:vAlign w:val="bottom"/>
            <w:hideMark/>
          </w:tcPr>
          <w:p w14:paraId="2B64D97B" w14:textId="77777777" w:rsidR="00000000" w:rsidRDefault="009B6C69">
            <w:pPr>
              <w:spacing w:after="100"/>
              <w:rPr>
                <w:rFonts w:eastAsia="Times New Roman"/>
              </w:rPr>
            </w:pPr>
            <w:r>
              <w:rPr>
                <w:rFonts w:eastAsia="Times New Roman"/>
                <w:color w:val="000000"/>
                <w:sz w:val="18"/>
                <w:szCs w:val="18"/>
              </w:rPr>
              <w:t>Reconciling items</w:t>
            </w:r>
          </w:p>
        </w:tc>
        <w:tc>
          <w:tcPr>
            <w:tcW w:w="0" w:type="auto"/>
            <w:gridSpan w:val="2"/>
            <w:shd w:val="clear" w:color="auto" w:fill="FFFFFF"/>
            <w:tcMar>
              <w:top w:w="30" w:type="dxa"/>
              <w:left w:w="20" w:type="dxa"/>
              <w:bottom w:w="30" w:type="dxa"/>
              <w:right w:w="0" w:type="dxa"/>
            </w:tcMar>
            <w:vAlign w:val="bottom"/>
            <w:hideMark/>
          </w:tcPr>
          <w:p w14:paraId="56F80BEA" w14:textId="77777777" w:rsidR="00000000" w:rsidRDefault="009B6C69">
            <w:pPr>
              <w:spacing w:after="100"/>
              <w:jc w:val="right"/>
              <w:rPr>
                <w:rFonts w:eastAsia="Times New Roman"/>
              </w:rPr>
            </w:pPr>
            <w:r>
              <w:rPr>
                <w:rFonts w:eastAsia="Times New Roman"/>
                <w:color w:val="000000"/>
                <w:sz w:val="18"/>
                <w:szCs w:val="18"/>
              </w:rPr>
              <w:t>(2,188)</w:t>
            </w:r>
          </w:p>
        </w:tc>
        <w:tc>
          <w:tcPr>
            <w:tcW w:w="0" w:type="auto"/>
            <w:shd w:val="clear" w:color="auto" w:fill="FFFFFF"/>
            <w:tcMar>
              <w:top w:w="30" w:type="dxa"/>
              <w:left w:w="0" w:type="dxa"/>
              <w:bottom w:w="30" w:type="dxa"/>
              <w:right w:w="20" w:type="dxa"/>
            </w:tcMar>
            <w:vAlign w:val="bottom"/>
            <w:hideMark/>
          </w:tcPr>
          <w:p w14:paraId="04EDEDBF" w14:textId="77777777" w:rsidR="00000000" w:rsidRDefault="009B6C6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6C674C8"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7ADF90" w14:textId="77777777" w:rsidR="00000000" w:rsidRDefault="009B6C69">
            <w:pPr>
              <w:spacing w:after="100"/>
              <w:jc w:val="right"/>
              <w:rPr>
                <w:rFonts w:eastAsia="Times New Roman"/>
              </w:rPr>
            </w:pPr>
            <w:r>
              <w:rPr>
                <w:rFonts w:eastAsia="Times New Roman"/>
                <w:color w:val="000000"/>
                <w:sz w:val="18"/>
                <w:szCs w:val="18"/>
              </w:rPr>
              <w:t>(3,032)</w:t>
            </w:r>
          </w:p>
        </w:tc>
        <w:tc>
          <w:tcPr>
            <w:tcW w:w="0" w:type="auto"/>
            <w:shd w:val="clear" w:color="auto" w:fill="FFFFFF"/>
            <w:tcMar>
              <w:top w:w="30" w:type="dxa"/>
              <w:left w:w="0" w:type="dxa"/>
              <w:bottom w:w="30" w:type="dxa"/>
              <w:right w:w="20" w:type="dxa"/>
            </w:tcMar>
            <w:vAlign w:val="bottom"/>
            <w:hideMark/>
          </w:tcPr>
          <w:p w14:paraId="62DF9F6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F2470C"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9C6608" w14:textId="77777777" w:rsidR="00000000" w:rsidRDefault="009B6C69">
            <w:pPr>
              <w:spacing w:after="100"/>
              <w:jc w:val="right"/>
              <w:rPr>
                <w:rFonts w:eastAsia="Times New Roman"/>
              </w:rPr>
            </w:pPr>
            <w:r>
              <w:rPr>
                <w:rFonts w:eastAsia="Times New Roman"/>
                <w:color w:val="000000"/>
                <w:sz w:val="18"/>
                <w:szCs w:val="18"/>
              </w:rPr>
              <w:t>(475)</w:t>
            </w:r>
          </w:p>
        </w:tc>
        <w:tc>
          <w:tcPr>
            <w:tcW w:w="0" w:type="auto"/>
            <w:shd w:val="clear" w:color="auto" w:fill="FFFFFF"/>
            <w:tcMar>
              <w:top w:w="30" w:type="dxa"/>
              <w:left w:w="0" w:type="dxa"/>
              <w:bottom w:w="30" w:type="dxa"/>
              <w:right w:w="20" w:type="dxa"/>
            </w:tcMar>
            <w:vAlign w:val="bottom"/>
            <w:hideMark/>
          </w:tcPr>
          <w:p w14:paraId="5F033678" w14:textId="77777777" w:rsidR="00000000" w:rsidRDefault="009B6C69">
            <w:pPr>
              <w:spacing w:after="100"/>
              <w:jc w:val="right"/>
              <w:rPr>
                <w:rFonts w:eastAsia="Times New Roman"/>
              </w:rPr>
            </w:pPr>
          </w:p>
        </w:tc>
      </w:tr>
      <w:tr w:rsidR="00000000" w14:paraId="3A3ACBF2" w14:textId="77777777">
        <w:trPr>
          <w:divId w:val="1270435386"/>
        </w:trPr>
        <w:tc>
          <w:tcPr>
            <w:tcW w:w="0" w:type="auto"/>
            <w:gridSpan w:val="3"/>
            <w:shd w:val="clear" w:color="auto" w:fill="CCEEFF"/>
            <w:tcMar>
              <w:top w:w="30" w:type="dxa"/>
              <w:left w:w="245" w:type="dxa"/>
              <w:bottom w:w="30" w:type="dxa"/>
              <w:right w:w="20" w:type="dxa"/>
            </w:tcMar>
            <w:vAlign w:val="bottom"/>
            <w:hideMark/>
          </w:tcPr>
          <w:p w14:paraId="4B499B62" w14:textId="77777777" w:rsidR="00000000" w:rsidRDefault="009B6C69">
            <w:pPr>
              <w:spacing w:after="100"/>
              <w:rPr>
                <w:rFonts w:eastAsia="Times New Roman"/>
              </w:rPr>
            </w:pPr>
            <w:r>
              <w:rPr>
                <w:rFonts w:eastAsia="Times New Roman"/>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1DAE45A"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5774429" w14:textId="77777777" w:rsidR="00000000" w:rsidRDefault="009B6C69">
            <w:pPr>
              <w:spacing w:after="100"/>
              <w:jc w:val="right"/>
              <w:rPr>
                <w:rFonts w:eastAsia="Times New Roman"/>
              </w:rPr>
            </w:pPr>
            <w:r>
              <w:rPr>
                <w:rFonts w:eastAsia="Times New Roman"/>
                <w:color w:val="000000"/>
                <w:sz w:val="18"/>
                <w:szCs w:val="18"/>
              </w:rPr>
              <w:t>14,998 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7EAF3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148E0B"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D9A3DB3"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13DBFAF" w14:textId="77777777" w:rsidR="00000000" w:rsidRDefault="009B6C69">
            <w:pPr>
              <w:spacing w:after="100"/>
              <w:jc w:val="right"/>
              <w:rPr>
                <w:rFonts w:eastAsia="Times New Roman"/>
              </w:rPr>
            </w:pPr>
            <w:r>
              <w:rPr>
                <w:rFonts w:eastAsia="Times New Roman"/>
                <w:color w:val="000000"/>
                <w:sz w:val="18"/>
                <w:szCs w:val="18"/>
              </w:rPr>
              <w:t>10,274 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EF9D99"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7DEEB1"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93ADCA9"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2300980" w14:textId="77777777" w:rsidR="00000000" w:rsidRDefault="009B6C69">
            <w:pPr>
              <w:spacing w:after="100"/>
              <w:jc w:val="right"/>
              <w:rPr>
                <w:rFonts w:eastAsia="Times New Roman"/>
              </w:rPr>
            </w:pPr>
            <w:r>
              <w:rPr>
                <w:rFonts w:eastAsia="Times New Roman"/>
                <w:color w:val="000000"/>
                <w:sz w:val="18"/>
                <w:szCs w:val="18"/>
              </w:rPr>
              <w:t>5,719 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7E93FA1" w14:textId="77777777" w:rsidR="00000000" w:rsidRDefault="009B6C69">
            <w:pPr>
              <w:spacing w:after="100"/>
              <w:jc w:val="right"/>
              <w:rPr>
                <w:rFonts w:eastAsia="Times New Roman"/>
              </w:rPr>
            </w:pPr>
          </w:p>
        </w:tc>
      </w:tr>
      <w:tr w:rsidR="00000000" w14:paraId="697D6281" w14:textId="77777777">
        <w:trPr>
          <w:divId w:val="1270435386"/>
        </w:trPr>
        <w:tc>
          <w:tcPr>
            <w:tcW w:w="0" w:type="auto"/>
            <w:gridSpan w:val="3"/>
            <w:vAlign w:val="center"/>
            <w:hideMark/>
          </w:tcPr>
          <w:p w14:paraId="7CAECF30" w14:textId="77777777" w:rsidR="00000000" w:rsidRDefault="009B6C69">
            <w:pPr>
              <w:spacing w:after="100"/>
              <w:jc w:val="right"/>
              <w:rPr>
                <w:rFonts w:eastAsia="Times New Roman"/>
                <w:sz w:val="20"/>
                <w:szCs w:val="20"/>
              </w:rPr>
            </w:pPr>
          </w:p>
        </w:tc>
        <w:tc>
          <w:tcPr>
            <w:tcW w:w="0" w:type="auto"/>
            <w:gridSpan w:val="3"/>
            <w:vAlign w:val="center"/>
            <w:hideMark/>
          </w:tcPr>
          <w:p w14:paraId="594F6131" w14:textId="77777777" w:rsidR="00000000" w:rsidRDefault="009B6C69">
            <w:pPr>
              <w:spacing w:after="100"/>
              <w:rPr>
                <w:rFonts w:eastAsia="Times New Roman"/>
                <w:sz w:val="20"/>
                <w:szCs w:val="20"/>
              </w:rPr>
            </w:pPr>
          </w:p>
        </w:tc>
        <w:tc>
          <w:tcPr>
            <w:tcW w:w="0" w:type="auto"/>
            <w:gridSpan w:val="3"/>
            <w:vAlign w:val="center"/>
            <w:hideMark/>
          </w:tcPr>
          <w:p w14:paraId="55507F46" w14:textId="77777777" w:rsidR="00000000" w:rsidRDefault="009B6C69">
            <w:pPr>
              <w:spacing w:after="100"/>
              <w:rPr>
                <w:rFonts w:eastAsia="Times New Roman"/>
                <w:sz w:val="20"/>
                <w:szCs w:val="20"/>
              </w:rPr>
            </w:pPr>
          </w:p>
        </w:tc>
        <w:tc>
          <w:tcPr>
            <w:tcW w:w="0" w:type="auto"/>
            <w:gridSpan w:val="3"/>
            <w:vAlign w:val="center"/>
            <w:hideMark/>
          </w:tcPr>
          <w:p w14:paraId="0C2F7E8B" w14:textId="77777777" w:rsidR="00000000" w:rsidRDefault="009B6C69">
            <w:pPr>
              <w:spacing w:after="100"/>
              <w:rPr>
                <w:rFonts w:eastAsia="Times New Roman"/>
                <w:sz w:val="20"/>
                <w:szCs w:val="20"/>
              </w:rPr>
            </w:pPr>
          </w:p>
        </w:tc>
        <w:tc>
          <w:tcPr>
            <w:tcW w:w="0" w:type="auto"/>
            <w:gridSpan w:val="3"/>
            <w:vAlign w:val="center"/>
            <w:hideMark/>
          </w:tcPr>
          <w:p w14:paraId="1516535F" w14:textId="77777777" w:rsidR="00000000" w:rsidRDefault="009B6C69">
            <w:pPr>
              <w:spacing w:after="100"/>
              <w:rPr>
                <w:rFonts w:eastAsia="Times New Roman"/>
                <w:sz w:val="20"/>
                <w:szCs w:val="20"/>
              </w:rPr>
            </w:pPr>
          </w:p>
        </w:tc>
        <w:tc>
          <w:tcPr>
            <w:tcW w:w="0" w:type="auto"/>
            <w:gridSpan w:val="3"/>
            <w:vAlign w:val="center"/>
            <w:hideMark/>
          </w:tcPr>
          <w:p w14:paraId="148911D2" w14:textId="77777777" w:rsidR="00000000" w:rsidRDefault="009B6C69">
            <w:pPr>
              <w:spacing w:after="100"/>
              <w:rPr>
                <w:rFonts w:eastAsia="Times New Roman"/>
                <w:sz w:val="20"/>
                <w:szCs w:val="20"/>
              </w:rPr>
            </w:pPr>
          </w:p>
        </w:tc>
      </w:tr>
      <w:tr w:rsidR="00000000" w14:paraId="1392C191" w14:textId="77777777">
        <w:trPr>
          <w:divId w:val="1270435386"/>
        </w:trPr>
        <w:tc>
          <w:tcPr>
            <w:tcW w:w="0" w:type="auto"/>
            <w:gridSpan w:val="3"/>
            <w:vAlign w:val="center"/>
            <w:hideMark/>
          </w:tcPr>
          <w:p w14:paraId="0A38D811" w14:textId="77777777" w:rsidR="00000000" w:rsidRDefault="009B6C69">
            <w:pPr>
              <w:spacing w:after="100"/>
              <w:rPr>
                <w:rFonts w:eastAsia="Times New Roman"/>
                <w:sz w:val="20"/>
                <w:szCs w:val="20"/>
              </w:rPr>
            </w:pPr>
          </w:p>
        </w:tc>
        <w:tc>
          <w:tcPr>
            <w:tcW w:w="0" w:type="auto"/>
            <w:gridSpan w:val="3"/>
            <w:vAlign w:val="center"/>
            <w:hideMark/>
          </w:tcPr>
          <w:p w14:paraId="41C5B88D" w14:textId="77777777" w:rsidR="00000000" w:rsidRDefault="009B6C69">
            <w:pPr>
              <w:spacing w:after="100"/>
              <w:rPr>
                <w:rFonts w:eastAsia="Times New Roman"/>
                <w:sz w:val="20"/>
                <w:szCs w:val="20"/>
              </w:rPr>
            </w:pPr>
          </w:p>
        </w:tc>
        <w:tc>
          <w:tcPr>
            <w:tcW w:w="0" w:type="auto"/>
            <w:gridSpan w:val="3"/>
            <w:vAlign w:val="center"/>
            <w:hideMark/>
          </w:tcPr>
          <w:p w14:paraId="5945D1C9" w14:textId="77777777" w:rsidR="00000000" w:rsidRDefault="009B6C69">
            <w:pPr>
              <w:spacing w:after="100"/>
              <w:rPr>
                <w:rFonts w:eastAsia="Times New Roman"/>
                <w:sz w:val="20"/>
                <w:szCs w:val="20"/>
              </w:rPr>
            </w:pPr>
          </w:p>
        </w:tc>
        <w:tc>
          <w:tcPr>
            <w:tcW w:w="0" w:type="auto"/>
            <w:gridSpan w:val="3"/>
            <w:vAlign w:val="center"/>
            <w:hideMark/>
          </w:tcPr>
          <w:p w14:paraId="668E00AE" w14:textId="77777777" w:rsidR="00000000" w:rsidRDefault="009B6C69">
            <w:pPr>
              <w:spacing w:after="100"/>
              <w:rPr>
                <w:rFonts w:eastAsia="Times New Roman"/>
                <w:sz w:val="20"/>
                <w:szCs w:val="20"/>
              </w:rPr>
            </w:pPr>
          </w:p>
        </w:tc>
        <w:tc>
          <w:tcPr>
            <w:tcW w:w="0" w:type="auto"/>
            <w:gridSpan w:val="3"/>
            <w:vAlign w:val="center"/>
            <w:hideMark/>
          </w:tcPr>
          <w:p w14:paraId="70BD0C4B" w14:textId="77777777" w:rsidR="00000000" w:rsidRDefault="009B6C69">
            <w:pPr>
              <w:spacing w:after="100"/>
              <w:rPr>
                <w:rFonts w:eastAsia="Times New Roman"/>
                <w:sz w:val="20"/>
                <w:szCs w:val="20"/>
              </w:rPr>
            </w:pPr>
          </w:p>
        </w:tc>
        <w:tc>
          <w:tcPr>
            <w:tcW w:w="0" w:type="auto"/>
            <w:gridSpan w:val="3"/>
            <w:vAlign w:val="center"/>
            <w:hideMark/>
          </w:tcPr>
          <w:p w14:paraId="1F8D8778" w14:textId="77777777" w:rsidR="00000000" w:rsidRDefault="009B6C69">
            <w:pPr>
              <w:spacing w:after="100"/>
              <w:rPr>
                <w:rFonts w:eastAsia="Times New Roman"/>
                <w:sz w:val="20"/>
                <w:szCs w:val="20"/>
              </w:rPr>
            </w:pPr>
          </w:p>
        </w:tc>
      </w:tr>
      <w:tr w:rsidR="00000000" w14:paraId="51C59018" w14:textId="77777777">
        <w:trPr>
          <w:divId w:val="1270435386"/>
        </w:trPr>
        <w:tc>
          <w:tcPr>
            <w:tcW w:w="0" w:type="auto"/>
            <w:gridSpan w:val="3"/>
            <w:vAlign w:val="center"/>
            <w:hideMark/>
          </w:tcPr>
          <w:p w14:paraId="00188948" w14:textId="77777777" w:rsidR="00000000" w:rsidRDefault="009B6C69">
            <w:pPr>
              <w:spacing w:after="100"/>
              <w:rPr>
                <w:rFonts w:eastAsia="Times New Roman"/>
                <w:sz w:val="20"/>
                <w:szCs w:val="20"/>
              </w:rPr>
            </w:pPr>
          </w:p>
        </w:tc>
        <w:tc>
          <w:tcPr>
            <w:tcW w:w="0" w:type="auto"/>
            <w:gridSpan w:val="3"/>
            <w:vAlign w:val="center"/>
            <w:hideMark/>
          </w:tcPr>
          <w:p w14:paraId="48574C13" w14:textId="77777777" w:rsidR="00000000" w:rsidRDefault="009B6C69">
            <w:pPr>
              <w:spacing w:after="100"/>
              <w:rPr>
                <w:rFonts w:eastAsia="Times New Roman"/>
                <w:sz w:val="20"/>
                <w:szCs w:val="20"/>
              </w:rPr>
            </w:pPr>
          </w:p>
        </w:tc>
        <w:tc>
          <w:tcPr>
            <w:tcW w:w="0" w:type="auto"/>
            <w:gridSpan w:val="3"/>
            <w:vAlign w:val="center"/>
            <w:hideMark/>
          </w:tcPr>
          <w:p w14:paraId="580E423B" w14:textId="77777777" w:rsidR="00000000" w:rsidRDefault="009B6C69">
            <w:pPr>
              <w:spacing w:after="100"/>
              <w:rPr>
                <w:rFonts w:eastAsia="Times New Roman"/>
                <w:sz w:val="20"/>
                <w:szCs w:val="20"/>
              </w:rPr>
            </w:pPr>
          </w:p>
        </w:tc>
        <w:tc>
          <w:tcPr>
            <w:tcW w:w="0" w:type="auto"/>
            <w:gridSpan w:val="3"/>
            <w:vAlign w:val="center"/>
            <w:hideMark/>
          </w:tcPr>
          <w:p w14:paraId="360FA3EE" w14:textId="77777777" w:rsidR="00000000" w:rsidRDefault="009B6C69">
            <w:pPr>
              <w:spacing w:after="100"/>
              <w:rPr>
                <w:rFonts w:eastAsia="Times New Roman"/>
                <w:sz w:val="20"/>
                <w:szCs w:val="20"/>
              </w:rPr>
            </w:pPr>
          </w:p>
        </w:tc>
        <w:tc>
          <w:tcPr>
            <w:tcW w:w="0" w:type="auto"/>
            <w:gridSpan w:val="3"/>
            <w:vAlign w:val="center"/>
            <w:hideMark/>
          </w:tcPr>
          <w:p w14:paraId="1110BAC7" w14:textId="77777777" w:rsidR="00000000" w:rsidRDefault="009B6C69">
            <w:pPr>
              <w:spacing w:after="100"/>
              <w:rPr>
                <w:rFonts w:eastAsia="Times New Roman"/>
                <w:sz w:val="20"/>
                <w:szCs w:val="20"/>
              </w:rPr>
            </w:pPr>
          </w:p>
        </w:tc>
        <w:tc>
          <w:tcPr>
            <w:tcW w:w="0" w:type="auto"/>
            <w:gridSpan w:val="3"/>
            <w:vAlign w:val="center"/>
            <w:hideMark/>
          </w:tcPr>
          <w:p w14:paraId="49DA2B8D" w14:textId="77777777" w:rsidR="00000000" w:rsidRDefault="009B6C69">
            <w:pPr>
              <w:spacing w:after="100"/>
              <w:rPr>
                <w:rFonts w:eastAsia="Times New Roman"/>
                <w:sz w:val="20"/>
                <w:szCs w:val="20"/>
              </w:rPr>
            </w:pPr>
          </w:p>
        </w:tc>
      </w:tr>
      <w:tr w:rsidR="00000000" w14:paraId="228BE9F3" w14:textId="77777777">
        <w:trPr>
          <w:divId w:val="1270435386"/>
        </w:trPr>
        <w:tc>
          <w:tcPr>
            <w:tcW w:w="0" w:type="auto"/>
            <w:gridSpan w:val="3"/>
            <w:vAlign w:val="center"/>
            <w:hideMark/>
          </w:tcPr>
          <w:p w14:paraId="2335DAB0" w14:textId="77777777" w:rsidR="00000000" w:rsidRDefault="009B6C69">
            <w:pPr>
              <w:spacing w:after="100"/>
              <w:rPr>
                <w:rFonts w:eastAsia="Times New Roman"/>
                <w:sz w:val="20"/>
                <w:szCs w:val="20"/>
              </w:rPr>
            </w:pPr>
          </w:p>
        </w:tc>
        <w:tc>
          <w:tcPr>
            <w:tcW w:w="0" w:type="auto"/>
            <w:gridSpan w:val="3"/>
            <w:vAlign w:val="center"/>
            <w:hideMark/>
          </w:tcPr>
          <w:p w14:paraId="64134FFA" w14:textId="77777777" w:rsidR="00000000" w:rsidRDefault="009B6C69">
            <w:pPr>
              <w:spacing w:after="100"/>
              <w:rPr>
                <w:rFonts w:eastAsia="Times New Roman"/>
                <w:sz w:val="20"/>
                <w:szCs w:val="20"/>
              </w:rPr>
            </w:pPr>
          </w:p>
        </w:tc>
        <w:tc>
          <w:tcPr>
            <w:tcW w:w="0" w:type="auto"/>
            <w:gridSpan w:val="3"/>
            <w:vAlign w:val="center"/>
            <w:hideMark/>
          </w:tcPr>
          <w:p w14:paraId="53F012F2" w14:textId="77777777" w:rsidR="00000000" w:rsidRDefault="009B6C69">
            <w:pPr>
              <w:spacing w:after="100"/>
              <w:rPr>
                <w:rFonts w:eastAsia="Times New Roman"/>
                <w:sz w:val="20"/>
                <w:szCs w:val="20"/>
              </w:rPr>
            </w:pPr>
          </w:p>
        </w:tc>
        <w:tc>
          <w:tcPr>
            <w:tcW w:w="0" w:type="auto"/>
            <w:gridSpan w:val="3"/>
            <w:vAlign w:val="center"/>
            <w:hideMark/>
          </w:tcPr>
          <w:p w14:paraId="3C13A1AF" w14:textId="77777777" w:rsidR="00000000" w:rsidRDefault="009B6C69">
            <w:pPr>
              <w:spacing w:after="100"/>
              <w:rPr>
                <w:rFonts w:eastAsia="Times New Roman"/>
                <w:sz w:val="20"/>
                <w:szCs w:val="20"/>
              </w:rPr>
            </w:pPr>
          </w:p>
        </w:tc>
        <w:tc>
          <w:tcPr>
            <w:tcW w:w="0" w:type="auto"/>
            <w:gridSpan w:val="3"/>
            <w:vAlign w:val="center"/>
            <w:hideMark/>
          </w:tcPr>
          <w:p w14:paraId="582E9342" w14:textId="77777777" w:rsidR="00000000" w:rsidRDefault="009B6C69">
            <w:pPr>
              <w:spacing w:after="100"/>
              <w:rPr>
                <w:rFonts w:eastAsia="Times New Roman"/>
                <w:sz w:val="20"/>
                <w:szCs w:val="20"/>
              </w:rPr>
            </w:pPr>
          </w:p>
        </w:tc>
        <w:tc>
          <w:tcPr>
            <w:tcW w:w="0" w:type="auto"/>
            <w:gridSpan w:val="3"/>
            <w:vAlign w:val="center"/>
            <w:hideMark/>
          </w:tcPr>
          <w:p w14:paraId="0DD43F45" w14:textId="77777777" w:rsidR="00000000" w:rsidRDefault="009B6C69">
            <w:pPr>
              <w:spacing w:after="100"/>
              <w:rPr>
                <w:rFonts w:eastAsia="Times New Roman"/>
                <w:sz w:val="20"/>
                <w:szCs w:val="20"/>
              </w:rPr>
            </w:pPr>
          </w:p>
        </w:tc>
      </w:tr>
      <w:tr w:rsidR="00000000" w14:paraId="59E8F9DE" w14:textId="77777777">
        <w:trPr>
          <w:divId w:val="1270435386"/>
        </w:trPr>
        <w:tc>
          <w:tcPr>
            <w:tcW w:w="0" w:type="auto"/>
            <w:gridSpan w:val="3"/>
            <w:vAlign w:val="center"/>
            <w:hideMark/>
          </w:tcPr>
          <w:p w14:paraId="6C9AC560" w14:textId="77777777" w:rsidR="00000000" w:rsidRDefault="009B6C69">
            <w:pPr>
              <w:spacing w:after="100"/>
              <w:rPr>
                <w:rFonts w:eastAsia="Times New Roman"/>
                <w:sz w:val="20"/>
                <w:szCs w:val="20"/>
              </w:rPr>
            </w:pPr>
          </w:p>
        </w:tc>
        <w:tc>
          <w:tcPr>
            <w:tcW w:w="0" w:type="auto"/>
            <w:gridSpan w:val="3"/>
            <w:vAlign w:val="center"/>
            <w:hideMark/>
          </w:tcPr>
          <w:p w14:paraId="0892D343" w14:textId="77777777" w:rsidR="00000000" w:rsidRDefault="009B6C69">
            <w:pPr>
              <w:spacing w:after="100"/>
              <w:rPr>
                <w:rFonts w:eastAsia="Times New Roman"/>
                <w:sz w:val="20"/>
                <w:szCs w:val="20"/>
              </w:rPr>
            </w:pPr>
          </w:p>
        </w:tc>
        <w:tc>
          <w:tcPr>
            <w:tcW w:w="0" w:type="auto"/>
            <w:gridSpan w:val="3"/>
            <w:vAlign w:val="center"/>
            <w:hideMark/>
          </w:tcPr>
          <w:p w14:paraId="03BF6DA9" w14:textId="77777777" w:rsidR="00000000" w:rsidRDefault="009B6C69">
            <w:pPr>
              <w:spacing w:after="100"/>
              <w:rPr>
                <w:rFonts w:eastAsia="Times New Roman"/>
                <w:sz w:val="20"/>
                <w:szCs w:val="20"/>
              </w:rPr>
            </w:pPr>
          </w:p>
        </w:tc>
        <w:tc>
          <w:tcPr>
            <w:tcW w:w="0" w:type="auto"/>
            <w:gridSpan w:val="3"/>
            <w:vAlign w:val="center"/>
            <w:hideMark/>
          </w:tcPr>
          <w:p w14:paraId="61DEA856" w14:textId="77777777" w:rsidR="00000000" w:rsidRDefault="009B6C69">
            <w:pPr>
              <w:spacing w:after="100"/>
              <w:rPr>
                <w:rFonts w:eastAsia="Times New Roman"/>
                <w:sz w:val="20"/>
                <w:szCs w:val="20"/>
              </w:rPr>
            </w:pPr>
          </w:p>
        </w:tc>
        <w:tc>
          <w:tcPr>
            <w:tcW w:w="0" w:type="auto"/>
            <w:gridSpan w:val="3"/>
            <w:vAlign w:val="center"/>
            <w:hideMark/>
          </w:tcPr>
          <w:p w14:paraId="35ECD112" w14:textId="77777777" w:rsidR="00000000" w:rsidRDefault="009B6C69">
            <w:pPr>
              <w:spacing w:after="100"/>
              <w:rPr>
                <w:rFonts w:eastAsia="Times New Roman"/>
                <w:sz w:val="20"/>
                <w:szCs w:val="20"/>
              </w:rPr>
            </w:pPr>
          </w:p>
        </w:tc>
        <w:tc>
          <w:tcPr>
            <w:tcW w:w="0" w:type="auto"/>
            <w:gridSpan w:val="3"/>
            <w:vAlign w:val="center"/>
            <w:hideMark/>
          </w:tcPr>
          <w:p w14:paraId="591D739B" w14:textId="77777777" w:rsidR="00000000" w:rsidRDefault="009B6C69">
            <w:pPr>
              <w:spacing w:after="100"/>
              <w:rPr>
                <w:rFonts w:eastAsia="Times New Roman"/>
                <w:sz w:val="20"/>
                <w:szCs w:val="20"/>
              </w:rPr>
            </w:pPr>
          </w:p>
        </w:tc>
      </w:tr>
      <w:tr w:rsidR="00000000" w14:paraId="75C5D3FE" w14:textId="77777777">
        <w:trPr>
          <w:divId w:val="1270435386"/>
        </w:trPr>
        <w:tc>
          <w:tcPr>
            <w:tcW w:w="0" w:type="auto"/>
            <w:gridSpan w:val="3"/>
            <w:vAlign w:val="center"/>
            <w:hideMark/>
          </w:tcPr>
          <w:p w14:paraId="59C69D74" w14:textId="77777777" w:rsidR="00000000" w:rsidRDefault="009B6C69">
            <w:pPr>
              <w:spacing w:after="100"/>
              <w:rPr>
                <w:rFonts w:eastAsia="Times New Roman"/>
                <w:sz w:val="20"/>
                <w:szCs w:val="20"/>
              </w:rPr>
            </w:pPr>
          </w:p>
        </w:tc>
        <w:tc>
          <w:tcPr>
            <w:tcW w:w="0" w:type="auto"/>
            <w:gridSpan w:val="3"/>
            <w:vAlign w:val="center"/>
            <w:hideMark/>
          </w:tcPr>
          <w:p w14:paraId="339342E2" w14:textId="77777777" w:rsidR="00000000" w:rsidRDefault="009B6C69">
            <w:pPr>
              <w:spacing w:after="100"/>
              <w:rPr>
                <w:rFonts w:eastAsia="Times New Roman"/>
                <w:sz w:val="20"/>
                <w:szCs w:val="20"/>
              </w:rPr>
            </w:pPr>
          </w:p>
        </w:tc>
        <w:tc>
          <w:tcPr>
            <w:tcW w:w="0" w:type="auto"/>
            <w:gridSpan w:val="3"/>
            <w:vAlign w:val="center"/>
            <w:hideMark/>
          </w:tcPr>
          <w:p w14:paraId="3379A67A" w14:textId="77777777" w:rsidR="00000000" w:rsidRDefault="009B6C69">
            <w:pPr>
              <w:spacing w:after="100"/>
              <w:rPr>
                <w:rFonts w:eastAsia="Times New Roman"/>
                <w:sz w:val="20"/>
                <w:szCs w:val="20"/>
              </w:rPr>
            </w:pPr>
          </w:p>
        </w:tc>
        <w:tc>
          <w:tcPr>
            <w:tcW w:w="0" w:type="auto"/>
            <w:gridSpan w:val="3"/>
            <w:vAlign w:val="center"/>
            <w:hideMark/>
          </w:tcPr>
          <w:p w14:paraId="5CF47002" w14:textId="77777777" w:rsidR="00000000" w:rsidRDefault="009B6C69">
            <w:pPr>
              <w:spacing w:after="100"/>
              <w:rPr>
                <w:rFonts w:eastAsia="Times New Roman"/>
                <w:sz w:val="20"/>
                <w:szCs w:val="20"/>
              </w:rPr>
            </w:pPr>
          </w:p>
        </w:tc>
        <w:tc>
          <w:tcPr>
            <w:tcW w:w="0" w:type="auto"/>
            <w:gridSpan w:val="3"/>
            <w:vAlign w:val="center"/>
            <w:hideMark/>
          </w:tcPr>
          <w:p w14:paraId="2879E6D4" w14:textId="77777777" w:rsidR="00000000" w:rsidRDefault="009B6C69">
            <w:pPr>
              <w:spacing w:after="100"/>
              <w:rPr>
                <w:rFonts w:eastAsia="Times New Roman"/>
                <w:sz w:val="20"/>
                <w:szCs w:val="20"/>
              </w:rPr>
            </w:pPr>
          </w:p>
        </w:tc>
        <w:tc>
          <w:tcPr>
            <w:tcW w:w="0" w:type="auto"/>
            <w:gridSpan w:val="3"/>
            <w:vAlign w:val="center"/>
            <w:hideMark/>
          </w:tcPr>
          <w:p w14:paraId="67990E48" w14:textId="77777777" w:rsidR="00000000" w:rsidRDefault="009B6C69">
            <w:pPr>
              <w:spacing w:after="100"/>
              <w:rPr>
                <w:rFonts w:eastAsia="Times New Roman"/>
                <w:sz w:val="20"/>
                <w:szCs w:val="20"/>
              </w:rPr>
            </w:pPr>
          </w:p>
        </w:tc>
      </w:tr>
    </w:tbl>
    <w:p w14:paraId="4162B06F" w14:textId="77777777" w:rsidR="00000000" w:rsidRDefault="009B6C69">
      <w:pPr>
        <w:ind w:firstLine="360"/>
        <w:divId w:val="725564487"/>
        <w:rPr>
          <w:rFonts w:eastAsia="Times New Roman"/>
        </w:rPr>
      </w:pPr>
      <w:r>
        <w:rPr>
          <w:rFonts w:eastAsia="Times New Roman"/>
          <w:color w:val="000000"/>
          <w:sz w:val="20"/>
          <w:szCs w:val="20"/>
        </w:rPr>
        <w:t>The net book value of long-lived tangible assets located outside of the U.S. was $3.5 billion and $2.9 billion at September 25, 2022 and September </w:t>
      </w:r>
      <w:r>
        <w:rPr>
          <w:rFonts w:eastAsia="Times New Roman"/>
          <w:color w:val="000000"/>
          <w:sz w:val="20"/>
          <w:szCs w:val="20"/>
        </w:rPr>
        <w:t>26, 2021, respectively. The net book value of long-lived tangible assets located in the U.S. was $2.3 billion and $2.2 billion at September 25, 2022 and September 26, 2021, respectively.</w:t>
      </w:r>
    </w:p>
    <w:p w14:paraId="0217613A" w14:textId="77777777" w:rsidR="00000000" w:rsidRDefault="009B6C69">
      <w:pPr>
        <w:ind w:firstLine="360"/>
        <w:divId w:val="122505992"/>
        <w:rPr>
          <w:rFonts w:eastAsia="Times New Roman"/>
        </w:rPr>
      </w:pPr>
      <w:r>
        <w:rPr>
          <w:rFonts w:eastAsia="Times New Roman"/>
          <w:color w:val="000000"/>
          <w:sz w:val="20"/>
          <w:szCs w:val="20"/>
        </w:rPr>
        <w:t>We report revenues from external customers by country based on the lo</w:t>
      </w:r>
      <w:r>
        <w:rPr>
          <w:rFonts w:eastAsia="Times New Roman"/>
          <w:color w:val="000000"/>
          <w:sz w:val="20"/>
          <w:szCs w:val="20"/>
        </w:rPr>
        <w:t>cation to which our products or services are delivered, which for QCT is generally the country in which our customers manufacture their products, and for licensing revenues, the invoiced addresses of our licensees. As a result, the revenues by country pres</w:t>
      </w:r>
      <w:r>
        <w:rPr>
          <w:rFonts w:eastAsia="Times New Roman"/>
          <w:color w:val="000000"/>
          <w:sz w:val="20"/>
          <w:szCs w:val="20"/>
        </w:rPr>
        <w:t xml:space="preserve">ented herein are not necessarily indicative of either the country in which the devices containing our products and/or intellectual property are ultimately sold to consumers or the country in which the companies that sell the devices are headquartered. For </w:t>
      </w:r>
      <w:r>
        <w:rPr>
          <w:rFonts w:eastAsia="Times New Roman"/>
          <w:color w:val="000000"/>
          <w:sz w:val="20"/>
          <w:szCs w:val="20"/>
        </w:rPr>
        <w:t>example, China revenues could include revenues related to shipments of integrated circuits for a company that is headquartered in South Korea but that manufactures devices in China, which devices are then sold to consumers in Europe and/or the United State</w:t>
      </w:r>
      <w:r>
        <w:rPr>
          <w:rFonts w:eastAsia="Times New Roman"/>
          <w:color w:val="000000"/>
          <w:sz w:val="20"/>
          <w:szCs w:val="20"/>
        </w:rPr>
        <w:t>s. Revenues by country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5022"/>
        <w:gridCol w:w="36"/>
        <w:gridCol w:w="110"/>
        <w:gridCol w:w="866"/>
        <w:gridCol w:w="36"/>
        <w:gridCol w:w="36"/>
        <w:gridCol w:w="36"/>
        <w:gridCol w:w="36"/>
        <w:gridCol w:w="110"/>
        <w:gridCol w:w="832"/>
        <w:gridCol w:w="36"/>
        <w:gridCol w:w="36"/>
        <w:gridCol w:w="36"/>
        <w:gridCol w:w="36"/>
        <w:gridCol w:w="110"/>
        <w:gridCol w:w="832"/>
        <w:gridCol w:w="36"/>
      </w:tblGrid>
      <w:tr w:rsidR="00000000" w14:paraId="0435790E" w14:textId="77777777">
        <w:trPr>
          <w:divId w:val="2057267063"/>
        </w:trPr>
        <w:tc>
          <w:tcPr>
            <w:tcW w:w="50" w:type="pct"/>
            <w:vAlign w:val="center"/>
            <w:hideMark/>
          </w:tcPr>
          <w:p w14:paraId="55F9ABCF" w14:textId="77777777" w:rsidR="00000000" w:rsidRDefault="009B6C69">
            <w:pPr>
              <w:ind w:firstLine="360"/>
              <w:rPr>
                <w:rFonts w:eastAsia="Times New Roman"/>
              </w:rPr>
            </w:pPr>
          </w:p>
        </w:tc>
        <w:tc>
          <w:tcPr>
            <w:tcW w:w="3056" w:type="pct"/>
            <w:vAlign w:val="center"/>
            <w:hideMark/>
          </w:tcPr>
          <w:p w14:paraId="664117D0" w14:textId="77777777" w:rsidR="00000000" w:rsidRDefault="009B6C69">
            <w:pPr>
              <w:spacing w:after="100"/>
              <w:rPr>
                <w:rFonts w:eastAsia="Times New Roman"/>
                <w:sz w:val="20"/>
                <w:szCs w:val="20"/>
              </w:rPr>
            </w:pPr>
          </w:p>
        </w:tc>
        <w:tc>
          <w:tcPr>
            <w:tcW w:w="5" w:type="pct"/>
            <w:vAlign w:val="center"/>
            <w:hideMark/>
          </w:tcPr>
          <w:p w14:paraId="6A3B81D1" w14:textId="77777777" w:rsidR="00000000" w:rsidRDefault="009B6C69">
            <w:pPr>
              <w:spacing w:after="100"/>
              <w:rPr>
                <w:rFonts w:eastAsia="Times New Roman"/>
                <w:sz w:val="20"/>
                <w:szCs w:val="20"/>
              </w:rPr>
            </w:pPr>
          </w:p>
        </w:tc>
        <w:tc>
          <w:tcPr>
            <w:tcW w:w="50" w:type="pct"/>
            <w:vAlign w:val="center"/>
            <w:hideMark/>
          </w:tcPr>
          <w:p w14:paraId="07F0276A" w14:textId="77777777" w:rsidR="00000000" w:rsidRDefault="009B6C69">
            <w:pPr>
              <w:spacing w:after="100"/>
              <w:rPr>
                <w:rFonts w:eastAsia="Times New Roman"/>
                <w:sz w:val="20"/>
                <w:szCs w:val="20"/>
              </w:rPr>
            </w:pPr>
          </w:p>
        </w:tc>
        <w:tc>
          <w:tcPr>
            <w:tcW w:w="549" w:type="pct"/>
            <w:vAlign w:val="center"/>
            <w:hideMark/>
          </w:tcPr>
          <w:p w14:paraId="2324C3FC" w14:textId="77777777" w:rsidR="00000000" w:rsidRDefault="009B6C69">
            <w:pPr>
              <w:spacing w:after="100"/>
              <w:rPr>
                <w:rFonts w:eastAsia="Times New Roman"/>
                <w:sz w:val="20"/>
                <w:szCs w:val="20"/>
              </w:rPr>
            </w:pPr>
          </w:p>
        </w:tc>
        <w:tc>
          <w:tcPr>
            <w:tcW w:w="5" w:type="pct"/>
            <w:vAlign w:val="center"/>
            <w:hideMark/>
          </w:tcPr>
          <w:p w14:paraId="547F500B" w14:textId="77777777" w:rsidR="00000000" w:rsidRDefault="009B6C69">
            <w:pPr>
              <w:spacing w:after="100"/>
              <w:rPr>
                <w:rFonts w:eastAsia="Times New Roman"/>
                <w:sz w:val="20"/>
                <w:szCs w:val="20"/>
              </w:rPr>
            </w:pPr>
          </w:p>
        </w:tc>
        <w:tc>
          <w:tcPr>
            <w:tcW w:w="5" w:type="pct"/>
            <w:vAlign w:val="center"/>
            <w:hideMark/>
          </w:tcPr>
          <w:p w14:paraId="332EAA5C" w14:textId="77777777" w:rsidR="00000000" w:rsidRDefault="009B6C69">
            <w:pPr>
              <w:spacing w:after="100"/>
              <w:rPr>
                <w:rFonts w:eastAsia="Times New Roman"/>
                <w:sz w:val="20"/>
                <w:szCs w:val="20"/>
              </w:rPr>
            </w:pPr>
          </w:p>
        </w:tc>
        <w:tc>
          <w:tcPr>
            <w:tcW w:w="27" w:type="pct"/>
            <w:vAlign w:val="center"/>
            <w:hideMark/>
          </w:tcPr>
          <w:p w14:paraId="204A68A3" w14:textId="77777777" w:rsidR="00000000" w:rsidRDefault="009B6C69">
            <w:pPr>
              <w:spacing w:after="100"/>
              <w:rPr>
                <w:rFonts w:eastAsia="Times New Roman"/>
                <w:sz w:val="20"/>
                <w:szCs w:val="20"/>
              </w:rPr>
            </w:pPr>
          </w:p>
        </w:tc>
        <w:tc>
          <w:tcPr>
            <w:tcW w:w="5" w:type="pct"/>
            <w:vAlign w:val="center"/>
            <w:hideMark/>
          </w:tcPr>
          <w:p w14:paraId="619CE731" w14:textId="77777777" w:rsidR="00000000" w:rsidRDefault="009B6C69">
            <w:pPr>
              <w:spacing w:after="100"/>
              <w:rPr>
                <w:rFonts w:eastAsia="Times New Roman"/>
                <w:sz w:val="20"/>
                <w:szCs w:val="20"/>
              </w:rPr>
            </w:pPr>
          </w:p>
        </w:tc>
        <w:tc>
          <w:tcPr>
            <w:tcW w:w="50" w:type="pct"/>
            <w:vAlign w:val="center"/>
            <w:hideMark/>
          </w:tcPr>
          <w:p w14:paraId="5B5E228F" w14:textId="77777777" w:rsidR="00000000" w:rsidRDefault="009B6C69">
            <w:pPr>
              <w:spacing w:after="100"/>
              <w:rPr>
                <w:rFonts w:eastAsia="Times New Roman"/>
                <w:sz w:val="20"/>
                <w:szCs w:val="20"/>
              </w:rPr>
            </w:pPr>
          </w:p>
        </w:tc>
        <w:tc>
          <w:tcPr>
            <w:tcW w:w="549" w:type="pct"/>
            <w:vAlign w:val="center"/>
            <w:hideMark/>
          </w:tcPr>
          <w:p w14:paraId="4560A709" w14:textId="77777777" w:rsidR="00000000" w:rsidRDefault="009B6C69">
            <w:pPr>
              <w:spacing w:after="100"/>
              <w:rPr>
                <w:rFonts w:eastAsia="Times New Roman"/>
                <w:sz w:val="20"/>
                <w:szCs w:val="20"/>
              </w:rPr>
            </w:pPr>
          </w:p>
        </w:tc>
        <w:tc>
          <w:tcPr>
            <w:tcW w:w="5" w:type="pct"/>
            <w:vAlign w:val="center"/>
            <w:hideMark/>
          </w:tcPr>
          <w:p w14:paraId="27F4CB01" w14:textId="77777777" w:rsidR="00000000" w:rsidRDefault="009B6C69">
            <w:pPr>
              <w:spacing w:after="100"/>
              <w:rPr>
                <w:rFonts w:eastAsia="Times New Roman"/>
                <w:sz w:val="20"/>
                <w:szCs w:val="20"/>
              </w:rPr>
            </w:pPr>
          </w:p>
        </w:tc>
        <w:tc>
          <w:tcPr>
            <w:tcW w:w="5" w:type="pct"/>
            <w:vAlign w:val="center"/>
            <w:hideMark/>
          </w:tcPr>
          <w:p w14:paraId="751CAAD2" w14:textId="77777777" w:rsidR="00000000" w:rsidRDefault="009B6C69">
            <w:pPr>
              <w:spacing w:after="100"/>
              <w:rPr>
                <w:rFonts w:eastAsia="Times New Roman"/>
                <w:sz w:val="20"/>
                <w:szCs w:val="20"/>
              </w:rPr>
            </w:pPr>
          </w:p>
        </w:tc>
        <w:tc>
          <w:tcPr>
            <w:tcW w:w="27" w:type="pct"/>
            <w:vAlign w:val="center"/>
            <w:hideMark/>
          </w:tcPr>
          <w:p w14:paraId="67D222BD" w14:textId="77777777" w:rsidR="00000000" w:rsidRDefault="009B6C69">
            <w:pPr>
              <w:spacing w:after="100"/>
              <w:rPr>
                <w:rFonts w:eastAsia="Times New Roman"/>
                <w:sz w:val="20"/>
                <w:szCs w:val="20"/>
              </w:rPr>
            </w:pPr>
          </w:p>
        </w:tc>
        <w:tc>
          <w:tcPr>
            <w:tcW w:w="5" w:type="pct"/>
            <w:vAlign w:val="center"/>
            <w:hideMark/>
          </w:tcPr>
          <w:p w14:paraId="038B8E98" w14:textId="77777777" w:rsidR="00000000" w:rsidRDefault="009B6C69">
            <w:pPr>
              <w:spacing w:after="100"/>
              <w:rPr>
                <w:rFonts w:eastAsia="Times New Roman"/>
                <w:sz w:val="20"/>
                <w:szCs w:val="20"/>
              </w:rPr>
            </w:pPr>
          </w:p>
        </w:tc>
        <w:tc>
          <w:tcPr>
            <w:tcW w:w="50" w:type="pct"/>
            <w:vAlign w:val="center"/>
            <w:hideMark/>
          </w:tcPr>
          <w:p w14:paraId="1BEA2035" w14:textId="77777777" w:rsidR="00000000" w:rsidRDefault="009B6C69">
            <w:pPr>
              <w:spacing w:after="100"/>
              <w:rPr>
                <w:rFonts w:eastAsia="Times New Roman"/>
                <w:sz w:val="20"/>
                <w:szCs w:val="20"/>
              </w:rPr>
            </w:pPr>
          </w:p>
        </w:tc>
        <w:tc>
          <w:tcPr>
            <w:tcW w:w="549" w:type="pct"/>
            <w:vAlign w:val="center"/>
            <w:hideMark/>
          </w:tcPr>
          <w:p w14:paraId="7FE25390" w14:textId="77777777" w:rsidR="00000000" w:rsidRDefault="009B6C69">
            <w:pPr>
              <w:spacing w:after="100"/>
              <w:rPr>
                <w:rFonts w:eastAsia="Times New Roman"/>
                <w:sz w:val="20"/>
                <w:szCs w:val="20"/>
              </w:rPr>
            </w:pPr>
          </w:p>
        </w:tc>
        <w:tc>
          <w:tcPr>
            <w:tcW w:w="5" w:type="pct"/>
            <w:vAlign w:val="center"/>
            <w:hideMark/>
          </w:tcPr>
          <w:p w14:paraId="28ACB200" w14:textId="77777777" w:rsidR="00000000" w:rsidRDefault="009B6C69">
            <w:pPr>
              <w:spacing w:after="100"/>
              <w:rPr>
                <w:rFonts w:eastAsia="Times New Roman"/>
                <w:sz w:val="20"/>
                <w:szCs w:val="20"/>
              </w:rPr>
            </w:pPr>
          </w:p>
        </w:tc>
      </w:tr>
      <w:tr w:rsidR="00000000" w14:paraId="57B7D1DB" w14:textId="77777777">
        <w:trPr>
          <w:divId w:val="2057267063"/>
        </w:trPr>
        <w:tc>
          <w:tcPr>
            <w:tcW w:w="0" w:type="auto"/>
            <w:gridSpan w:val="3"/>
            <w:tcMar>
              <w:top w:w="0" w:type="dxa"/>
              <w:left w:w="20" w:type="dxa"/>
              <w:bottom w:w="0" w:type="dxa"/>
              <w:right w:w="20" w:type="dxa"/>
            </w:tcMar>
            <w:vAlign w:val="center"/>
            <w:hideMark/>
          </w:tcPr>
          <w:p w14:paraId="1271B367"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EFC3B6E"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14:paraId="1D80A99A"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BF74D16"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09554486"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7328227" w14:textId="77777777" w:rsidR="00000000" w:rsidRDefault="009B6C69">
            <w:pPr>
              <w:spacing w:after="100"/>
              <w:jc w:val="center"/>
              <w:rPr>
                <w:rFonts w:eastAsia="Times New Roman"/>
              </w:rPr>
            </w:pPr>
            <w:r>
              <w:rPr>
                <w:rFonts w:eastAsia="Times New Roman"/>
                <w:b/>
                <w:bCs/>
                <w:color w:val="000000"/>
                <w:sz w:val="18"/>
                <w:szCs w:val="18"/>
              </w:rPr>
              <w:t>2020</w:t>
            </w:r>
          </w:p>
        </w:tc>
      </w:tr>
      <w:tr w:rsidR="00000000" w14:paraId="6625EA2F" w14:textId="77777777">
        <w:trPr>
          <w:divId w:val="2057267063"/>
        </w:trPr>
        <w:tc>
          <w:tcPr>
            <w:tcW w:w="0" w:type="auto"/>
            <w:gridSpan w:val="3"/>
            <w:shd w:val="clear" w:color="auto" w:fill="CCEEFF"/>
            <w:tcMar>
              <w:top w:w="30" w:type="dxa"/>
              <w:left w:w="20" w:type="dxa"/>
              <w:bottom w:w="30" w:type="dxa"/>
              <w:right w:w="20" w:type="dxa"/>
            </w:tcMar>
            <w:vAlign w:val="bottom"/>
            <w:hideMark/>
          </w:tcPr>
          <w:p w14:paraId="41FAA789" w14:textId="77777777" w:rsidR="00000000" w:rsidRDefault="009B6C69">
            <w:pPr>
              <w:spacing w:after="100"/>
              <w:rPr>
                <w:rFonts w:eastAsia="Times New Roman"/>
              </w:rPr>
            </w:pPr>
            <w:r>
              <w:rPr>
                <w:rFonts w:eastAsia="Times New Roman"/>
                <w:color w:val="000000"/>
                <w:sz w:val="18"/>
                <w:szCs w:val="18"/>
              </w:rPr>
              <w:t>China (including Hong Kong)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F9F89A"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C310DF" w14:textId="77777777" w:rsidR="00000000" w:rsidRDefault="009B6C69">
            <w:pPr>
              <w:spacing w:after="100"/>
              <w:jc w:val="right"/>
              <w:rPr>
                <w:rFonts w:eastAsia="Times New Roman"/>
              </w:rPr>
            </w:pPr>
            <w:r>
              <w:rPr>
                <w:rFonts w:eastAsia="Times New Roman"/>
                <w:color w:val="000000"/>
                <w:sz w:val="18"/>
                <w:szCs w:val="18"/>
              </w:rPr>
              <w:t>28,119 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6B2E8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E5B482"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4ABE8A"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7C6968" w14:textId="77777777" w:rsidR="00000000" w:rsidRDefault="009B6C69">
            <w:pPr>
              <w:spacing w:after="100"/>
              <w:jc w:val="right"/>
              <w:rPr>
                <w:rFonts w:eastAsia="Times New Roman"/>
              </w:rPr>
            </w:pPr>
            <w:r>
              <w:rPr>
                <w:rFonts w:eastAsia="Times New Roman"/>
                <w:color w:val="000000"/>
                <w:sz w:val="18"/>
                <w:szCs w:val="18"/>
              </w:rPr>
              <w:t>22,512 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E49A3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FDFFBB"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48A684"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28D9EA" w14:textId="77777777" w:rsidR="00000000" w:rsidRDefault="009B6C69">
            <w:pPr>
              <w:spacing w:after="100"/>
              <w:jc w:val="right"/>
              <w:rPr>
                <w:rFonts w:eastAsia="Times New Roman"/>
              </w:rPr>
            </w:pPr>
            <w:r>
              <w:rPr>
                <w:rFonts w:eastAsia="Times New Roman"/>
                <w:color w:val="000000"/>
                <w:sz w:val="18"/>
                <w:szCs w:val="18"/>
              </w:rPr>
              <w:t>14,001 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3CB62E" w14:textId="77777777" w:rsidR="00000000" w:rsidRDefault="009B6C69">
            <w:pPr>
              <w:spacing w:after="100"/>
              <w:jc w:val="right"/>
              <w:rPr>
                <w:rFonts w:eastAsia="Times New Roman"/>
              </w:rPr>
            </w:pPr>
          </w:p>
        </w:tc>
      </w:tr>
      <w:tr w:rsidR="00000000" w14:paraId="4FBDDEC9" w14:textId="77777777">
        <w:trPr>
          <w:divId w:val="2057267063"/>
        </w:trPr>
        <w:tc>
          <w:tcPr>
            <w:tcW w:w="0" w:type="auto"/>
            <w:gridSpan w:val="3"/>
            <w:shd w:val="clear" w:color="auto" w:fill="FFFFFF"/>
            <w:tcMar>
              <w:top w:w="30" w:type="dxa"/>
              <w:left w:w="20" w:type="dxa"/>
              <w:bottom w:w="30" w:type="dxa"/>
              <w:right w:w="20" w:type="dxa"/>
            </w:tcMar>
            <w:vAlign w:val="bottom"/>
            <w:hideMark/>
          </w:tcPr>
          <w:p w14:paraId="5796075B" w14:textId="77777777" w:rsidR="00000000" w:rsidRDefault="009B6C69">
            <w:pPr>
              <w:spacing w:after="100"/>
              <w:rPr>
                <w:rFonts w:eastAsia="Times New Roman"/>
              </w:rPr>
            </w:pPr>
            <w:r>
              <w:rPr>
                <w:rFonts w:eastAsia="Times New Roman"/>
                <w:color w:val="000000"/>
                <w:sz w:val="18"/>
                <w:szCs w:val="18"/>
              </w:rPr>
              <w:t>Vietnam</w:t>
            </w:r>
          </w:p>
        </w:tc>
        <w:tc>
          <w:tcPr>
            <w:tcW w:w="0" w:type="auto"/>
            <w:gridSpan w:val="2"/>
            <w:shd w:val="clear" w:color="auto" w:fill="FFFFFF"/>
            <w:tcMar>
              <w:top w:w="30" w:type="dxa"/>
              <w:left w:w="20" w:type="dxa"/>
              <w:bottom w:w="30" w:type="dxa"/>
              <w:right w:w="0" w:type="dxa"/>
            </w:tcMar>
            <w:vAlign w:val="bottom"/>
            <w:hideMark/>
          </w:tcPr>
          <w:p w14:paraId="31A518AF" w14:textId="77777777" w:rsidR="00000000" w:rsidRDefault="009B6C69">
            <w:pPr>
              <w:spacing w:after="100"/>
              <w:jc w:val="right"/>
              <w:rPr>
                <w:rFonts w:eastAsia="Times New Roman"/>
              </w:rPr>
            </w:pPr>
            <w:r>
              <w:rPr>
                <w:rFonts w:eastAsia="Times New Roman"/>
                <w:color w:val="000000"/>
                <w:sz w:val="18"/>
                <w:szCs w:val="18"/>
              </w:rPr>
              <w:t>6,063 </w:t>
            </w:r>
          </w:p>
        </w:tc>
        <w:tc>
          <w:tcPr>
            <w:tcW w:w="0" w:type="auto"/>
            <w:shd w:val="clear" w:color="auto" w:fill="FFFFFF"/>
            <w:tcMar>
              <w:top w:w="30" w:type="dxa"/>
              <w:left w:w="0" w:type="dxa"/>
              <w:bottom w:w="30" w:type="dxa"/>
              <w:right w:w="20" w:type="dxa"/>
            </w:tcMar>
            <w:vAlign w:val="bottom"/>
            <w:hideMark/>
          </w:tcPr>
          <w:p w14:paraId="25B0B742"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7335F9"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EA4083" w14:textId="77777777" w:rsidR="00000000" w:rsidRDefault="009B6C69">
            <w:pPr>
              <w:spacing w:after="100"/>
              <w:jc w:val="right"/>
              <w:rPr>
                <w:rFonts w:eastAsia="Times New Roman"/>
              </w:rPr>
            </w:pPr>
            <w:r>
              <w:rPr>
                <w:rFonts w:eastAsia="Times New Roman"/>
                <w:color w:val="000000"/>
                <w:sz w:val="18"/>
                <w:szCs w:val="18"/>
              </w:rPr>
              <w:t>3,114 </w:t>
            </w:r>
          </w:p>
        </w:tc>
        <w:tc>
          <w:tcPr>
            <w:tcW w:w="0" w:type="auto"/>
            <w:shd w:val="clear" w:color="auto" w:fill="FFFFFF"/>
            <w:tcMar>
              <w:top w:w="30" w:type="dxa"/>
              <w:left w:w="0" w:type="dxa"/>
              <w:bottom w:w="30" w:type="dxa"/>
              <w:right w:w="20" w:type="dxa"/>
            </w:tcMar>
            <w:vAlign w:val="bottom"/>
            <w:hideMark/>
          </w:tcPr>
          <w:p w14:paraId="5AB9BE20"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BFB7FB"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01D04E" w14:textId="77777777" w:rsidR="00000000" w:rsidRDefault="009B6C69">
            <w:pPr>
              <w:spacing w:after="100"/>
              <w:jc w:val="right"/>
              <w:rPr>
                <w:rFonts w:eastAsia="Times New Roman"/>
              </w:rPr>
            </w:pPr>
            <w:r>
              <w:rPr>
                <w:rFonts w:eastAsia="Times New Roman"/>
                <w:color w:val="000000"/>
                <w:sz w:val="18"/>
                <w:szCs w:val="18"/>
              </w:rPr>
              <w:t>2,212 </w:t>
            </w:r>
          </w:p>
        </w:tc>
        <w:tc>
          <w:tcPr>
            <w:tcW w:w="0" w:type="auto"/>
            <w:shd w:val="clear" w:color="auto" w:fill="FFFFFF"/>
            <w:tcMar>
              <w:top w:w="30" w:type="dxa"/>
              <w:left w:w="0" w:type="dxa"/>
              <w:bottom w:w="30" w:type="dxa"/>
              <w:right w:w="20" w:type="dxa"/>
            </w:tcMar>
            <w:vAlign w:val="bottom"/>
            <w:hideMark/>
          </w:tcPr>
          <w:p w14:paraId="50A11C0C" w14:textId="77777777" w:rsidR="00000000" w:rsidRDefault="009B6C69">
            <w:pPr>
              <w:spacing w:after="100"/>
              <w:jc w:val="right"/>
              <w:rPr>
                <w:rFonts w:eastAsia="Times New Roman"/>
              </w:rPr>
            </w:pPr>
          </w:p>
        </w:tc>
      </w:tr>
      <w:tr w:rsidR="00000000" w14:paraId="0C03F6EB" w14:textId="77777777">
        <w:trPr>
          <w:divId w:val="2057267063"/>
        </w:trPr>
        <w:tc>
          <w:tcPr>
            <w:tcW w:w="0" w:type="auto"/>
            <w:gridSpan w:val="3"/>
            <w:shd w:val="clear" w:color="auto" w:fill="CCEEFF"/>
            <w:tcMar>
              <w:top w:w="30" w:type="dxa"/>
              <w:left w:w="20" w:type="dxa"/>
              <w:bottom w:w="30" w:type="dxa"/>
              <w:right w:w="20" w:type="dxa"/>
            </w:tcMar>
            <w:vAlign w:val="bottom"/>
            <w:hideMark/>
          </w:tcPr>
          <w:p w14:paraId="4218AA79" w14:textId="77777777" w:rsidR="00000000" w:rsidRDefault="009B6C69">
            <w:pPr>
              <w:spacing w:after="100"/>
              <w:rPr>
                <w:rFonts w:eastAsia="Times New Roman"/>
              </w:rPr>
            </w:pPr>
            <w:r>
              <w:rPr>
                <w:rFonts w:eastAsia="Times New Roman"/>
                <w:color w:val="000000"/>
                <w:sz w:val="18"/>
                <w:szCs w:val="18"/>
              </w:rPr>
              <w:t>South Korea</w:t>
            </w:r>
          </w:p>
        </w:tc>
        <w:tc>
          <w:tcPr>
            <w:tcW w:w="0" w:type="auto"/>
            <w:gridSpan w:val="2"/>
            <w:shd w:val="clear" w:color="auto" w:fill="CCEEFF"/>
            <w:tcMar>
              <w:top w:w="30" w:type="dxa"/>
              <w:left w:w="20" w:type="dxa"/>
              <w:bottom w:w="30" w:type="dxa"/>
              <w:right w:w="0" w:type="dxa"/>
            </w:tcMar>
            <w:vAlign w:val="bottom"/>
            <w:hideMark/>
          </w:tcPr>
          <w:p w14:paraId="4750BB8C" w14:textId="77777777" w:rsidR="00000000" w:rsidRDefault="009B6C69">
            <w:pPr>
              <w:spacing w:after="100"/>
              <w:jc w:val="right"/>
              <w:rPr>
                <w:rFonts w:eastAsia="Times New Roman"/>
              </w:rPr>
            </w:pPr>
            <w:r>
              <w:rPr>
                <w:rFonts w:eastAsia="Times New Roman"/>
                <w:color w:val="000000"/>
                <w:sz w:val="18"/>
                <w:szCs w:val="18"/>
              </w:rPr>
              <w:t>3,164 </w:t>
            </w:r>
          </w:p>
        </w:tc>
        <w:tc>
          <w:tcPr>
            <w:tcW w:w="0" w:type="auto"/>
            <w:shd w:val="clear" w:color="auto" w:fill="CCEEFF"/>
            <w:tcMar>
              <w:top w:w="30" w:type="dxa"/>
              <w:left w:w="0" w:type="dxa"/>
              <w:bottom w:w="30" w:type="dxa"/>
              <w:right w:w="20" w:type="dxa"/>
            </w:tcMar>
            <w:vAlign w:val="bottom"/>
            <w:hideMark/>
          </w:tcPr>
          <w:p w14:paraId="7F37D0A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4CC554"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3AEA93" w14:textId="77777777" w:rsidR="00000000" w:rsidRDefault="009B6C69">
            <w:pPr>
              <w:spacing w:after="100"/>
              <w:jc w:val="right"/>
              <w:rPr>
                <w:rFonts w:eastAsia="Times New Roman"/>
              </w:rPr>
            </w:pPr>
            <w:r>
              <w:rPr>
                <w:rFonts w:eastAsia="Times New Roman"/>
                <w:color w:val="000000"/>
                <w:sz w:val="18"/>
                <w:szCs w:val="18"/>
              </w:rPr>
              <w:t>2,368 </w:t>
            </w:r>
          </w:p>
        </w:tc>
        <w:tc>
          <w:tcPr>
            <w:tcW w:w="0" w:type="auto"/>
            <w:shd w:val="clear" w:color="auto" w:fill="CCEEFF"/>
            <w:tcMar>
              <w:top w:w="30" w:type="dxa"/>
              <w:left w:w="0" w:type="dxa"/>
              <w:bottom w:w="30" w:type="dxa"/>
              <w:right w:w="20" w:type="dxa"/>
            </w:tcMar>
            <w:vAlign w:val="bottom"/>
            <w:hideMark/>
          </w:tcPr>
          <w:p w14:paraId="4E45F90C"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700DB5"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CADC79" w14:textId="77777777" w:rsidR="00000000" w:rsidRDefault="009B6C69">
            <w:pPr>
              <w:spacing w:after="100"/>
              <w:jc w:val="right"/>
              <w:rPr>
                <w:rFonts w:eastAsia="Times New Roman"/>
              </w:rPr>
            </w:pPr>
            <w:r>
              <w:rPr>
                <w:rFonts w:eastAsia="Times New Roman"/>
                <w:color w:val="000000"/>
                <w:sz w:val="18"/>
                <w:szCs w:val="18"/>
              </w:rPr>
              <w:t>2,964 </w:t>
            </w:r>
          </w:p>
        </w:tc>
        <w:tc>
          <w:tcPr>
            <w:tcW w:w="0" w:type="auto"/>
            <w:shd w:val="clear" w:color="auto" w:fill="CCEEFF"/>
            <w:tcMar>
              <w:top w:w="30" w:type="dxa"/>
              <w:left w:w="0" w:type="dxa"/>
              <w:bottom w:w="30" w:type="dxa"/>
              <w:right w:w="20" w:type="dxa"/>
            </w:tcMar>
            <w:vAlign w:val="bottom"/>
            <w:hideMark/>
          </w:tcPr>
          <w:p w14:paraId="47791ABF" w14:textId="77777777" w:rsidR="00000000" w:rsidRDefault="009B6C69">
            <w:pPr>
              <w:spacing w:after="100"/>
              <w:jc w:val="right"/>
              <w:rPr>
                <w:rFonts w:eastAsia="Times New Roman"/>
              </w:rPr>
            </w:pPr>
          </w:p>
        </w:tc>
      </w:tr>
      <w:tr w:rsidR="00000000" w14:paraId="77A65CCD" w14:textId="77777777">
        <w:trPr>
          <w:divId w:val="2057267063"/>
        </w:trPr>
        <w:tc>
          <w:tcPr>
            <w:tcW w:w="0" w:type="auto"/>
            <w:gridSpan w:val="3"/>
            <w:shd w:val="clear" w:color="auto" w:fill="FFFFFF"/>
            <w:tcMar>
              <w:top w:w="30" w:type="dxa"/>
              <w:left w:w="20" w:type="dxa"/>
              <w:bottom w:w="30" w:type="dxa"/>
              <w:right w:w="20" w:type="dxa"/>
            </w:tcMar>
            <w:vAlign w:val="bottom"/>
            <w:hideMark/>
          </w:tcPr>
          <w:p w14:paraId="0F244D92" w14:textId="77777777" w:rsidR="00000000" w:rsidRDefault="009B6C69">
            <w:pPr>
              <w:spacing w:after="100"/>
              <w:rPr>
                <w:rFonts w:eastAsia="Times New Roman"/>
              </w:rPr>
            </w:pPr>
            <w:r>
              <w:rPr>
                <w:rFonts w:eastAsia="Times New Roman"/>
                <w:color w:val="000000"/>
                <w:sz w:val="18"/>
                <w:szCs w:val="18"/>
              </w:rPr>
              <w:t>United States</w:t>
            </w:r>
          </w:p>
        </w:tc>
        <w:tc>
          <w:tcPr>
            <w:tcW w:w="0" w:type="auto"/>
            <w:gridSpan w:val="2"/>
            <w:shd w:val="clear" w:color="auto" w:fill="FFFFFF"/>
            <w:tcMar>
              <w:top w:w="30" w:type="dxa"/>
              <w:left w:w="20" w:type="dxa"/>
              <w:bottom w:w="30" w:type="dxa"/>
              <w:right w:w="0" w:type="dxa"/>
            </w:tcMar>
            <w:vAlign w:val="bottom"/>
            <w:hideMark/>
          </w:tcPr>
          <w:p w14:paraId="7EC0965A" w14:textId="77777777" w:rsidR="00000000" w:rsidRDefault="009B6C69">
            <w:pPr>
              <w:spacing w:after="100"/>
              <w:jc w:val="right"/>
              <w:rPr>
                <w:rFonts w:eastAsia="Times New Roman"/>
              </w:rPr>
            </w:pPr>
            <w:r>
              <w:rPr>
                <w:rFonts w:eastAsia="Times New Roman"/>
                <w:color w:val="000000"/>
                <w:sz w:val="18"/>
                <w:szCs w:val="18"/>
              </w:rPr>
              <w:t>1,482 </w:t>
            </w:r>
          </w:p>
        </w:tc>
        <w:tc>
          <w:tcPr>
            <w:tcW w:w="0" w:type="auto"/>
            <w:shd w:val="clear" w:color="auto" w:fill="FFFFFF"/>
            <w:tcMar>
              <w:top w:w="30" w:type="dxa"/>
              <w:left w:w="0" w:type="dxa"/>
              <w:bottom w:w="30" w:type="dxa"/>
              <w:right w:w="20" w:type="dxa"/>
            </w:tcMar>
            <w:vAlign w:val="bottom"/>
            <w:hideMark/>
          </w:tcPr>
          <w:p w14:paraId="3D55035D"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6EEC9E"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78171C" w14:textId="77777777" w:rsidR="00000000" w:rsidRDefault="009B6C69">
            <w:pPr>
              <w:spacing w:after="100"/>
              <w:jc w:val="right"/>
              <w:rPr>
                <w:rFonts w:eastAsia="Times New Roman"/>
              </w:rPr>
            </w:pPr>
            <w:r>
              <w:rPr>
                <w:rFonts w:eastAsia="Times New Roman"/>
                <w:color w:val="000000"/>
                <w:sz w:val="18"/>
                <w:szCs w:val="18"/>
              </w:rPr>
              <w:t>1,406 </w:t>
            </w:r>
          </w:p>
        </w:tc>
        <w:tc>
          <w:tcPr>
            <w:tcW w:w="0" w:type="auto"/>
            <w:shd w:val="clear" w:color="auto" w:fill="FFFFFF"/>
            <w:tcMar>
              <w:top w:w="30" w:type="dxa"/>
              <w:left w:w="0" w:type="dxa"/>
              <w:bottom w:w="30" w:type="dxa"/>
              <w:right w:w="20" w:type="dxa"/>
            </w:tcMar>
            <w:vAlign w:val="bottom"/>
            <w:hideMark/>
          </w:tcPr>
          <w:p w14:paraId="751B390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66CAAC"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79E88C" w14:textId="77777777" w:rsidR="00000000" w:rsidRDefault="009B6C69">
            <w:pPr>
              <w:spacing w:after="100"/>
              <w:jc w:val="right"/>
              <w:rPr>
                <w:rFonts w:eastAsia="Times New Roman"/>
              </w:rPr>
            </w:pPr>
            <w:r>
              <w:rPr>
                <w:rFonts w:eastAsia="Times New Roman"/>
                <w:color w:val="000000"/>
                <w:sz w:val="18"/>
                <w:szCs w:val="18"/>
              </w:rPr>
              <w:t>1,129 </w:t>
            </w:r>
          </w:p>
        </w:tc>
        <w:tc>
          <w:tcPr>
            <w:tcW w:w="0" w:type="auto"/>
            <w:shd w:val="clear" w:color="auto" w:fill="FFFFFF"/>
            <w:tcMar>
              <w:top w:w="30" w:type="dxa"/>
              <w:left w:w="0" w:type="dxa"/>
              <w:bottom w:w="30" w:type="dxa"/>
              <w:right w:w="20" w:type="dxa"/>
            </w:tcMar>
            <w:vAlign w:val="bottom"/>
            <w:hideMark/>
          </w:tcPr>
          <w:p w14:paraId="49DB2850" w14:textId="77777777" w:rsidR="00000000" w:rsidRDefault="009B6C69">
            <w:pPr>
              <w:spacing w:after="100"/>
              <w:jc w:val="right"/>
              <w:rPr>
                <w:rFonts w:eastAsia="Times New Roman"/>
              </w:rPr>
            </w:pPr>
          </w:p>
        </w:tc>
      </w:tr>
      <w:tr w:rsidR="00000000" w14:paraId="3EF15838" w14:textId="77777777">
        <w:trPr>
          <w:divId w:val="2057267063"/>
        </w:trPr>
        <w:tc>
          <w:tcPr>
            <w:tcW w:w="0" w:type="auto"/>
            <w:gridSpan w:val="3"/>
            <w:shd w:val="clear" w:color="auto" w:fill="CCEEFF"/>
            <w:tcMar>
              <w:top w:w="30" w:type="dxa"/>
              <w:left w:w="20" w:type="dxa"/>
              <w:bottom w:w="30" w:type="dxa"/>
              <w:right w:w="20" w:type="dxa"/>
            </w:tcMar>
            <w:vAlign w:val="bottom"/>
            <w:hideMark/>
          </w:tcPr>
          <w:p w14:paraId="44431936" w14:textId="77777777" w:rsidR="00000000" w:rsidRDefault="009B6C69">
            <w:pPr>
              <w:spacing w:after="100"/>
              <w:rPr>
                <w:rFonts w:eastAsia="Times New Roman"/>
              </w:rPr>
            </w:pPr>
            <w:r>
              <w:rPr>
                <w:rFonts w:eastAsia="Times New Roman"/>
                <w:color w:val="000000"/>
                <w:sz w:val="18"/>
                <w:szCs w:val="18"/>
              </w:rPr>
              <w:t>Other foreign</w:t>
            </w:r>
          </w:p>
        </w:tc>
        <w:tc>
          <w:tcPr>
            <w:tcW w:w="0" w:type="auto"/>
            <w:gridSpan w:val="2"/>
            <w:shd w:val="clear" w:color="auto" w:fill="CCEEFF"/>
            <w:tcMar>
              <w:top w:w="30" w:type="dxa"/>
              <w:left w:w="20" w:type="dxa"/>
              <w:bottom w:w="30" w:type="dxa"/>
              <w:right w:w="0" w:type="dxa"/>
            </w:tcMar>
            <w:vAlign w:val="bottom"/>
            <w:hideMark/>
          </w:tcPr>
          <w:p w14:paraId="5D2B0674" w14:textId="77777777" w:rsidR="00000000" w:rsidRDefault="009B6C69">
            <w:pPr>
              <w:spacing w:after="100"/>
              <w:jc w:val="right"/>
              <w:rPr>
                <w:rFonts w:eastAsia="Times New Roman"/>
              </w:rPr>
            </w:pPr>
            <w:r>
              <w:rPr>
                <w:rFonts w:eastAsia="Times New Roman"/>
                <w:color w:val="000000"/>
                <w:sz w:val="18"/>
                <w:szCs w:val="18"/>
              </w:rPr>
              <w:t>5,372 </w:t>
            </w:r>
          </w:p>
        </w:tc>
        <w:tc>
          <w:tcPr>
            <w:tcW w:w="0" w:type="auto"/>
            <w:shd w:val="clear" w:color="auto" w:fill="CCEEFF"/>
            <w:tcMar>
              <w:top w:w="30" w:type="dxa"/>
              <w:left w:w="0" w:type="dxa"/>
              <w:bottom w:w="30" w:type="dxa"/>
              <w:right w:w="20" w:type="dxa"/>
            </w:tcMar>
            <w:vAlign w:val="bottom"/>
            <w:hideMark/>
          </w:tcPr>
          <w:p w14:paraId="56A3882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ABFFBC"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7EC3E3" w14:textId="77777777" w:rsidR="00000000" w:rsidRDefault="009B6C69">
            <w:pPr>
              <w:spacing w:after="100"/>
              <w:jc w:val="right"/>
              <w:rPr>
                <w:rFonts w:eastAsia="Times New Roman"/>
              </w:rPr>
            </w:pPr>
            <w:r>
              <w:rPr>
                <w:rFonts w:eastAsia="Times New Roman"/>
                <w:color w:val="000000"/>
                <w:sz w:val="18"/>
                <w:szCs w:val="18"/>
              </w:rPr>
              <w:t>4,166 </w:t>
            </w:r>
          </w:p>
        </w:tc>
        <w:tc>
          <w:tcPr>
            <w:tcW w:w="0" w:type="auto"/>
            <w:shd w:val="clear" w:color="auto" w:fill="CCEEFF"/>
            <w:tcMar>
              <w:top w:w="30" w:type="dxa"/>
              <w:left w:w="0" w:type="dxa"/>
              <w:bottom w:w="30" w:type="dxa"/>
              <w:right w:w="20" w:type="dxa"/>
            </w:tcMar>
            <w:vAlign w:val="bottom"/>
            <w:hideMark/>
          </w:tcPr>
          <w:p w14:paraId="012DA739"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74DB52"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0EB9AC" w14:textId="77777777" w:rsidR="00000000" w:rsidRDefault="009B6C69">
            <w:pPr>
              <w:spacing w:after="100"/>
              <w:jc w:val="right"/>
              <w:rPr>
                <w:rFonts w:eastAsia="Times New Roman"/>
              </w:rPr>
            </w:pPr>
            <w:r>
              <w:rPr>
                <w:rFonts w:eastAsia="Times New Roman"/>
                <w:color w:val="000000"/>
                <w:sz w:val="18"/>
                <w:szCs w:val="18"/>
              </w:rPr>
              <w:t>3,225 </w:t>
            </w:r>
          </w:p>
        </w:tc>
        <w:tc>
          <w:tcPr>
            <w:tcW w:w="0" w:type="auto"/>
            <w:shd w:val="clear" w:color="auto" w:fill="CCEEFF"/>
            <w:tcMar>
              <w:top w:w="30" w:type="dxa"/>
              <w:left w:w="0" w:type="dxa"/>
              <w:bottom w:w="30" w:type="dxa"/>
              <w:right w:w="20" w:type="dxa"/>
            </w:tcMar>
            <w:vAlign w:val="bottom"/>
            <w:hideMark/>
          </w:tcPr>
          <w:p w14:paraId="3CF5DB78" w14:textId="77777777" w:rsidR="00000000" w:rsidRDefault="009B6C69">
            <w:pPr>
              <w:spacing w:after="100"/>
              <w:jc w:val="right"/>
              <w:rPr>
                <w:rFonts w:eastAsia="Times New Roman"/>
              </w:rPr>
            </w:pPr>
          </w:p>
        </w:tc>
      </w:tr>
      <w:tr w:rsidR="00000000" w14:paraId="310E8FB7" w14:textId="77777777">
        <w:trPr>
          <w:divId w:val="2057267063"/>
        </w:trPr>
        <w:tc>
          <w:tcPr>
            <w:tcW w:w="0" w:type="auto"/>
            <w:gridSpan w:val="3"/>
            <w:shd w:val="clear" w:color="auto" w:fill="FFFFFF"/>
            <w:tcMar>
              <w:top w:w="0" w:type="dxa"/>
              <w:left w:w="20" w:type="dxa"/>
              <w:bottom w:w="0" w:type="dxa"/>
              <w:right w:w="20" w:type="dxa"/>
            </w:tcMar>
            <w:vAlign w:val="center"/>
            <w:hideMark/>
          </w:tcPr>
          <w:p w14:paraId="4BD23D13"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7DEED9"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40D8B9" w14:textId="77777777" w:rsidR="00000000" w:rsidRDefault="009B6C69">
            <w:pPr>
              <w:spacing w:after="100"/>
              <w:jc w:val="right"/>
              <w:rPr>
                <w:rFonts w:eastAsia="Times New Roman"/>
              </w:rPr>
            </w:pPr>
            <w:r>
              <w:rPr>
                <w:rFonts w:eastAsia="Times New Roman"/>
                <w:color w:val="000000"/>
                <w:sz w:val="18"/>
                <w:szCs w:val="18"/>
              </w:rPr>
              <w:t>44,200 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C6D52D"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ECDA04"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674ADE9"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40910C" w14:textId="77777777" w:rsidR="00000000" w:rsidRDefault="009B6C69">
            <w:pPr>
              <w:spacing w:after="100"/>
              <w:jc w:val="right"/>
              <w:rPr>
                <w:rFonts w:eastAsia="Times New Roman"/>
              </w:rPr>
            </w:pPr>
            <w:r>
              <w:rPr>
                <w:rFonts w:eastAsia="Times New Roman"/>
                <w:color w:val="000000"/>
                <w:sz w:val="18"/>
                <w:szCs w:val="18"/>
              </w:rPr>
              <w:t>33,566 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909453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B01562"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5312D5D"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A61DAD" w14:textId="77777777" w:rsidR="00000000" w:rsidRDefault="009B6C69">
            <w:pPr>
              <w:spacing w:after="100"/>
              <w:jc w:val="right"/>
              <w:rPr>
                <w:rFonts w:eastAsia="Times New Roman"/>
              </w:rPr>
            </w:pPr>
            <w:r>
              <w:rPr>
                <w:rFonts w:eastAsia="Times New Roman"/>
                <w:color w:val="000000"/>
                <w:sz w:val="18"/>
                <w:szCs w:val="18"/>
              </w:rPr>
              <w:t>23,531 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CD6E55" w14:textId="77777777" w:rsidR="00000000" w:rsidRDefault="009B6C69">
            <w:pPr>
              <w:spacing w:after="100"/>
              <w:jc w:val="right"/>
              <w:rPr>
                <w:rFonts w:eastAsia="Times New Roman"/>
              </w:rPr>
            </w:pPr>
          </w:p>
        </w:tc>
      </w:tr>
    </w:tbl>
    <w:p w14:paraId="16AC3B58" w14:textId="77777777" w:rsidR="00000000" w:rsidRDefault="009B6C69">
      <w:pPr>
        <w:jc w:val="center"/>
        <w:divId w:val="1997296372"/>
        <w:rPr>
          <w:rFonts w:eastAsia="Times New Roman"/>
        </w:rPr>
      </w:pPr>
      <w:r>
        <w:rPr>
          <w:rFonts w:eastAsia="Times New Roman"/>
          <w:color w:val="000000"/>
          <w:sz w:val="20"/>
          <w:szCs w:val="20"/>
        </w:rPr>
        <w:t>F-28</w:t>
      </w:r>
    </w:p>
    <w:p w14:paraId="686D6CF8" w14:textId="77777777" w:rsidR="00000000" w:rsidRDefault="009B6C69">
      <w:pPr>
        <w:rPr>
          <w:rFonts w:eastAsia="Times New Roman"/>
        </w:rPr>
      </w:pPr>
      <w:r>
        <w:rPr>
          <w:rFonts w:eastAsia="Times New Roman"/>
        </w:rPr>
        <w:pict w14:anchorId="55FBC419">
          <v:rect id="_x0000_i1108" style="width:0;height:1.5pt" o:hralign="center" o:hrstd="t" o:hr="t" fillcolor="#a0a0a0" stroked="f"/>
        </w:pict>
      </w:r>
    </w:p>
    <w:p w14:paraId="48FA434E" w14:textId="77777777" w:rsidR="00000000" w:rsidRDefault="009B6C69">
      <w:pPr>
        <w:jc w:val="center"/>
        <w:divId w:val="1688631443"/>
        <w:rPr>
          <w:rFonts w:eastAsia="Times New Roman"/>
        </w:rPr>
      </w:pPr>
    </w:p>
    <w:p w14:paraId="43F4DFAD" w14:textId="77777777" w:rsidR="00000000" w:rsidRDefault="009B6C69">
      <w:pPr>
        <w:jc w:val="center"/>
        <w:divId w:val="1688631443"/>
        <w:rPr>
          <w:rFonts w:eastAsia="Times New Roman"/>
        </w:rPr>
      </w:pPr>
      <w:r>
        <w:rPr>
          <w:rFonts w:eastAsia="Times New Roman"/>
          <w:b/>
          <w:bCs/>
          <w:color w:val="000000"/>
          <w:sz w:val="20"/>
          <w:szCs w:val="20"/>
        </w:rPr>
        <w:t>QUALCOMM Incorporated</w:t>
      </w:r>
    </w:p>
    <w:p w14:paraId="2435CF9C" w14:textId="77777777" w:rsidR="00000000" w:rsidRDefault="009B6C69">
      <w:pPr>
        <w:jc w:val="center"/>
        <w:divId w:val="1688631443"/>
        <w:rPr>
          <w:rFonts w:eastAsia="Times New Roman"/>
        </w:rPr>
      </w:pPr>
      <w:r>
        <w:rPr>
          <w:rFonts w:eastAsia="Times New Roman"/>
          <w:b/>
          <w:bCs/>
          <w:color w:val="000000"/>
          <w:sz w:val="20"/>
          <w:szCs w:val="20"/>
        </w:rPr>
        <w:t>NOTES TO CONSOLIDATED FINANCIAL STATEMENTS</w:t>
      </w:r>
    </w:p>
    <w:p w14:paraId="3F6A4C65" w14:textId="77777777" w:rsidR="00000000" w:rsidRDefault="009B6C69">
      <w:pPr>
        <w:ind w:firstLine="360"/>
        <w:divId w:val="1454012872"/>
        <w:rPr>
          <w:rFonts w:eastAsia="Times New Roman"/>
        </w:rPr>
      </w:pPr>
      <w:r>
        <w:rPr>
          <w:rFonts w:eastAsia="Times New Roman"/>
          <w:color w:val="000000"/>
          <w:sz w:val="20"/>
          <w:szCs w:val="20"/>
        </w:rPr>
        <w:t>Reconciling items for revenues and EBT in a previous table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4389"/>
        <w:gridCol w:w="36"/>
        <w:gridCol w:w="36"/>
        <w:gridCol w:w="36"/>
        <w:gridCol w:w="36"/>
        <w:gridCol w:w="400"/>
        <w:gridCol w:w="46"/>
        <w:gridCol w:w="400"/>
        <w:gridCol w:w="46"/>
        <w:gridCol w:w="110"/>
        <w:gridCol w:w="751"/>
        <w:gridCol w:w="36"/>
        <w:gridCol w:w="36"/>
        <w:gridCol w:w="36"/>
        <w:gridCol w:w="36"/>
        <w:gridCol w:w="110"/>
        <w:gridCol w:w="706"/>
        <w:gridCol w:w="36"/>
        <w:gridCol w:w="36"/>
        <w:gridCol w:w="36"/>
        <w:gridCol w:w="36"/>
        <w:gridCol w:w="110"/>
        <w:gridCol w:w="707"/>
        <w:gridCol w:w="36"/>
      </w:tblGrid>
      <w:tr w:rsidR="00000000" w14:paraId="2521F834" w14:textId="77777777">
        <w:trPr>
          <w:divId w:val="2054382628"/>
        </w:trPr>
        <w:tc>
          <w:tcPr>
            <w:tcW w:w="50" w:type="pct"/>
            <w:vAlign w:val="center"/>
            <w:hideMark/>
          </w:tcPr>
          <w:p w14:paraId="6C01856C" w14:textId="77777777" w:rsidR="00000000" w:rsidRDefault="009B6C69">
            <w:pPr>
              <w:ind w:firstLine="360"/>
              <w:rPr>
                <w:rFonts w:eastAsia="Times New Roman"/>
              </w:rPr>
            </w:pPr>
          </w:p>
        </w:tc>
        <w:tc>
          <w:tcPr>
            <w:tcW w:w="3056" w:type="pct"/>
            <w:vAlign w:val="center"/>
            <w:hideMark/>
          </w:tcPr>
          <w:p w14:paraId="11686C0F" w14:textId="77777777" w:rsidR="00000000" w:rsidRDefault="009B6C69">
            <w:pPr>
              <w:spacing w:after="100"/>
              <w:rPr>
                <w:rFonts w:eastAsia="Times New Roman"/>
                <w:sz w:val="20"/>
                <w:szCs w:val="20"/>
              </w:rPr>
            </w:pPr>
          </w:p>
        </w:tc>
        <w:tc>
          <w:tcPr>
            <w:tcW w:w="5" w:type="pct"/>
            <w:vAlign w:val="center"/>
            <w:hideMark/>
          </w:tcPr>
          <w:p w14:paraId="6E063D9C" w14:textId="77777777" w:rsidR="00000000" w:rsidRDefault="009B6C69">
            <w:pPr>
              <w:spacing w:after="100"/>
              <w:rPr>
                <w:rFonts w:eastAsia="Times New Roman"/>
                <w:sz w:val="20"/>
                <w:szCs w:val="20"/>
              </w:rPr>
            </w:pPr>
          </w:p>
        </w:tc>
        <w:tc>
          <w:tcPr>
            <w:tcW w:w="0" w:type="auto"/>
            <w:vAlign w:val="center"/>
            <w:hideMark/>
          </w:tcPr>
          <w:p w14:paraId="0076726D" w14:textId="77777777" w:rsidR="00000000" w:rsidRDefault="009B6C69">
            <w:pPr>
              <w:spacing w:after="100"/>
              <w:rPr>
                <w:rFonts w:eastAsia="Times New Roman"/>
                <w:sz w:val="20"/>
                <w:szCs w:val="20"/>
              </w:rPr>
            </w:pPr>
          </w:p>
        </w:tc>
        <w:tc>
          <w:tcPr>
            <w:tcW w:w="0" w:type="auto"/>
            <w:vAlign w:val="center"/>
            <w:hideMark/>
          </w:tcPr>
          <w:p w14:paraId="5B1070AD" w14:textId="77777777" w:rsidR="00000000" w:rsidRDefault="009B6C69">
            <w:pPr>
              <w:spacing w:after="100"/>
              <w:rPr>
                <w:rFonts w:eastAsia="Times New Roman"/>
                <w:sz w:val="20"/>
                <w:szCs w:val="20"/>
              </w:rPr>
            </w:pPr>
          </w:p>
        </w:tc>
        <w:tc>
          <w:tcPr>
            <w:tcW w:w="0" w:type="auto"/>
            <w:vAlign w:val="center"/>
            <w:hideMark/>
          </w:tcPr>
          <w:p w14:paraId="20BF75B7" w14:textId="77777777" w:rsidR="00000000" w:rsidRDefault="009B6C69">
            <w:pPr>
              <w:spacing w:after="100"/>
              <w:rPr>
                <w:rFonts w:eastAsia="Times New Roman"/>
                <w:sz w:val="20"/>
                <w:szCs w:val="20"/>
              </w:rPr>
            </w:pPr>
          </w:p>
        </w:tc>
        <w:tc>
          <w:tcPr>
            <w:tcW w:w="0" w:type="auto"/>
            <w:vAlign w:val="center"/>
            <w:hideMark/>
          </w:tcPr>
          <w:p w14:paraId="6C13BCC1" w14:textId="77777777" w:rsidR="00000000" w:rsidRDefault="009B6C69">
            <w:pPr>
              <w:spacing w:after="100"/>
              <w:rPr>
                <w:rFonts w:eastAsia="Times New Roman"/>
                <w:sz w:val="20"/>
                <w:szCs w:val="20"/>
              </w:rPr>
            </w:pPr>
          </w:p>
        </w:tc>
        <w:tc>
          <w:tcPr>
            <w:tcW w:w="0" w:type="auto"/>
            <w:vAlign w:val="center"/>
            <w:hideMark/>
          </w:tcPr>
          <w:p w14:paraId="4C3D18B2" w14:textId="77777777" w:rsidR="00000000" w:rsidRDefault="009B6C69">
            <w:pPr>
              <w:spacing w:after="100"/>
              <w:rPr>
                <w:rFonts w:eastAsia="Times New Roman"/>
                <w:sz w:val="20"/>
                <w:szCs w:val="20"/>
              </w:rPr>
            </w:pPr>
          </w:p>
        </w:tc>
        <w:tc>
          <w:tcPr>
            <w:tcW w:w="0" w:type="auto"/>
            <w:vAlign w:val="center"/>
            <w:hideMark/>
          </w:tcPr>
          <w:p w14:paraId="5EE943BF" w14:textId="77777777" w:rsidR="00000000" w:rsidRDefault="009B6C69">
            <w:pPr>
              <w:spacing w:after="100"/>
              <w:rPr>
                <w:rFonts w:eastAsia="Times New Roman"/>
                <w:sz w:val="20"/>
                <w:szCs w:val="20"/>
              </w:rPr>
            </w:pPr>
          </w:p>
        </w:tc>
        <w:tc>
          <w:tcPr>
            <w:tcW w:w="0" w:type="auto"/>
            <w:vAlign w:val="center"/>
            <w:hideMark/>
          </w:tcPr>
          <w:p w14:paraId="35D8E37C" w14:textId="77777777" w:rsidR="00000000" w:rsidRDefault="009B6C69">
            <w:pPr>
              <w:spacing w:after="100"/>
              <w:rPr>
                <w:rFonts w:eastAsia="Times New Roman"/>
                <w:sz w:val="20"/>
                <w:szCs w:val="20"/>
              </w:rPr>
            </w:pPr>
          </w:p>
        </w:tc>
        <w:tc>
          <w:tcPr>
            <w:tcW w:w="50" w:type="pct"/>
            <w:vAlign w:val="center"/>
            <w:hideMark/>
          </w:tcPr>
          <w:p w14:paraId="5C9BD181" w14:textId="77777777" w:rsidR="00000000" w:rsidRDefault="009B6C69">
            <w:pPr>
              <w:spacing w:after="100"/>
              <w:rPr>
                <w:rFonts w:eastAsia="Times New Roman"/>
                <w:sz w:val="20"/>
                <w:szCs w:val="20"/>
              </w:rPr>
            </w:pPr>
          </w:p>
        </w:tc>
        <w:tc>
          <w:tcPr>
            <w:tcW w:w="549" w:type="pct"/>
            <w:vAlign w:val="center"/>
            <w:hideMark/>
          </w:tcPr>
          <w:p w14:paraId="60C12A50" w14:textId="77777777" w:rsidR="00000000" w:rsidRDefault="009B6C69">
            <w:pPr>
              <w:spacing w:after="100"/>
              <w:rPr>
                <w:rFonts w:eastAsia="Times New Roman"/>
                <w:sz w:val="20"/>
                <w:szCs w:val="20"/>
              </w:rPr>
            </w:pPr>
          </w:p>
        </w:tc>
        <w:tc>
          <w:tcPr>
            <w:tcW w:w="5" w:type="pct"/>
            <w:vAlign w:val="center"/>
            <w:hideMark/>
          </w:tcPr>
          <w:p w14:paraId="6D8120D7" w14:textId="77777777" w:rsidR="00000000" w:rsidRDefault="009B6C69">
            <w:pPr>
              <w:spacing w:after="100"/>
              <w:rPr>
                <w:rFonts w:eastAsia="Times New Roman"/>
                <w:sz w:val="20"/>
                <w:szCs w:val="20"/>
              </w:rPr>
            </w:pPr>
          </w:p>
        </w:tc>
        <w:tc>
          <w:tcPr>
            <w:tcW w:w="5" w:type="pct"/>
            <w:vAlign w:val="center"/>
            <w:hideMark/>
          </w:tcPr>
          <w:p w14:paraId="0DD5D9E2" w14:textId="77777777" w:rsidR="00000000" w:rsidRDefault="009B6C69">
            <w:pPr>
              <w:spacing w:after="100"/>
              <w:rPr>
                <w:rFonts w:eastAsia="Times New Roman"/>
                <w:sz w:val="20"/>
                <w:szCs w:val="20"/>
              </w:rPr>
            </w:pPr>
          </w:p>
        </w:tc>
        <w:tc>
          <w:tcPr>
            <w:tcW w:w="27" w:type="pct"/>
            <w:vAlign w:val="center"/>
            <w:hideMark/>
          </w:tcPr>
          <w:p w14:paraId="60147DA7" w14:textId="77777777" w:rsidR="00000000" w:rsidRDefault="009B6C69">
            <w:pPr>
              <w:spacing w:after="100"/>
              <w:rPr>
                <w:rFonts w:eastAsia="Times New Roman"/>
                <w:sz w:val="20"/>
                <w:szCs w:val="20"/>
              </w:rPr>
            </w:pPr>
          </w:p>
        </w:tc>
        <w:tc>
          <w:tcPr>
            <w:tcW w:w="5" w:type="pct"/>
            <w:vAlign w:val="center"/>
            <w:hideMark/>
          </w:tcPr>
          <w:p w14:paraId="0D25659C" w14:textId="77777777" w:rsidR="00000000" w:rsidRDefault="009B6C69">
            <w:pPr>
              <w:spacing w:after="100"/>
              <w:rPr>
                <w:rFonts w:eastAsia="Times New Roman"/>
                <w:sz w:val="20"/>
                <w:szCs w:val="20"/>
              </w:rPr>
            </w:pPr>
          </w:p>
        </w:tc>
        <w:tc>
          <w:tcPr>
            <w:tcW w:w="50" w:type="pct"/>
            <w:vAlign w:val="center"/>
            <w:hideMark/>
          </w:tcPr>
          <w:p w14:paraId="6EB7C166" w14:textId="77777777" w:rsidR="00000000" w:rsidRDefault="009B6C69">
            <w:pPr>
              <w:spacing w:after="100"/>
              <w:rPr>
                <w:rFonts w:eastAsia="Times New Roman"/>
                <w:sz w:val="20"/>
                <w:szCs w:val="20"/>
              </w:rPr>
            </w:pPr>
          </w:p>
        </w:tc>
        <w:tc>
          <w:tcPr>
            <w:tcW w:w="549" w:type="pct"/>
            <w:vAlign w:val="center"/>
            <w:hideMark/>
          </w:tcPr>
          <w:p w14:paraId="1A835AF2" w14:textId="77777777" w:rsidR="00000000" w:rsidRDefault="009B6C69">
            <w:pPr>
              <w:spacing w:after="100"/>
              <w:rPr>
                <w:rFonts w:eastAsia="Times New Roman"/>
                <w:sz w:val="20"/>
                <w:szCs w:val="20"/>
              </w:rPr>
            </w:pPr>
          </w:p>
        </w:tc>
        <w:tc>
          <w:tcPr>
            <w:tcW w:w="5" w:type="pct"/>
            <w:vAlign w:val="center"/>
            <w:hideMark/>
          </w:tcPr>
          <w:p w14:paraId="3C44B72D" w14:textId="77777777" w:rsidR="00000000" w:rsidRDefault="009B6C69">
            <w:pPr>
              <w:spacing w:after="100"/>
              <w:rPr>
                <w:rFonts w:eastAsia="Times New Roman"/>
                <w:sz w:val="20"/>
                <w:szCs w:val="20"/>
              </w:rPr>
            </w:pPr>
          </w:p>
        </w:tc>
        <w:tc>
          <w:tcPr>
            <w:tcW w:w="5" w:type="pct"/>
            <w:vAlign w:val="center"/>
            <w:hideMark/>
          </w:tcPr>
          <w:p w14:paraId="33341B35" w14:textId="77777777" w:rsidR="00000000" w:rsidRDefault="009B6C69">
            <w:pPr>
              <w:spacing w:after="100"/>
              <w:rPr>
                <w:rFonts w:eastAsia="Times New Roman"/>
                <w:sz w:val="20"/>
                <w:szCs w:val="20"/>
              </w:rPr>
            </w:pPr>
          </w:p>
        </w:tc>
        <w:tc>
          <w:tcPr>
            <w:tcW w:w="27" w:type="pct"/>
            <w:vAlign w:val="center"/>
            <w:hideMark/>
          </w:tcPr>
          <w:p w14:paraId="71047C45" w14:textId="77777777" w:rsidR="00000000" w:rsidRDefault="009B6C69">
            <w:pPr>
              <w:spacing w:after="100"/>
              <w:rPr>
                <w:rFonts w:eastAsia="Times New Roman"/>
                <w:sz w:val="20"/>
                <w:szCs w:val="20"/>
              </w:rPr>
            </w:pPr>
          </w:p>
        </w:tc>
        <w:tc>
          <w:tcPr>
            <w:tcW w:w="5" w:type="pct"/>
            <w:vAlign w:val="center"/>
            <w:hideMark/>
          </w:tcPr>
          <w:p w14:paraId="54204FDD" w14:textId="77777777" w:rsidR="00000000" w:rsidRDefault="009B6C69">
            <w:pPr>
              <w:spacing w:after="100"/>
              <w:rPr>
                <w:rFonts w:eastAsia="Times New Roman"/>
                <w:sz w:val="20"/>
                <w:szCs w:val="20"/>
              </w:rPr>
            </w:pPr>
          </w:p>
        </w:tc>
        <w:tc>
          <w:tcPr>
            <w:tcW w:w="50" w:type="pct"/>
            <w:vAlign w:val="center"/>
            <w:hideMark/>
          </w:tcPr>
          <w:p w14:paraId="76A4A13B" w14:textId="77777777" w:rsidR="00000000" w:rsidRDefault="009B6C69">
            <w:pPr>
              <w:spacing w:after="100"/>
              <w:rPr>
                <w:rFonts w:eastAsia="Times New Roman"/>
                <w:sz w:val="20"/>
                <w:szCs w:val="20"/>
              </w:rPr>
            </w:pPr>
          </w:p>
        </w:tc>
        <w:tc>
          <w:tcPr>
            <w:tcW w:w="549" w:type="pct"/>
            <w:vAlign w:val="center"/>
            <w:hideMark/>
          </w:tcPr>
          <w:p w14:paraId="24CA4D5F" w14:textId="77777777" w:rsidR="00000000" w:rsidRDefault="009B6C69">
            <w:pPr>
              <w:spacing w:after="100"/>
              <w:rPr>
                <w:rFonts w:eastAsia="Times New Roman"/>
                <w:sz w:val="20"/>
                <w:szCs w:val="20"/>
              </w:rPr>
            </w:pPr>
          </w:p>
        </w:tc>
        <w:tc>
          <w:tcPr>
            <w:tcW w:w="5" w:type="pct"/>
            <w:vAlign w:val="center"/>
            <w:hideMark/>
          </w:tcPr>
          <w:p w14:paraId="0006EF96" w14:textId="77777777" w:rsidR="00000000" w:rsidRDefault="009B6C69">
            <w:pPr>
              <w:spacing w:after="100"/>
              <w:rPr>
                <w:rFonts w:eastAsia="Times New Roman"/>
                <w:sz w:val="20"/>
                <w:szCs w:val="20"/>
              </w:rPr>
            </w:pPr>
          </w:p>
        </w:tc>
      </w:tr>
      <w:tr w:rsidR="00000000" w14:paraId="3A6F0160" w14:textId="77777777">
        <w:trPr>
          <w:divId w:val="2054382628"/>
        </w:trPr>
        <w:tc>
          <w:tcPr>
            <w:tcW w:w="0" w:type="auto"/>
            <w:gridSpan w:val="3"/>
            <w:tcMar>
              <w:top w:w="0" w:type="dxa"/>
              <w:left w:w="20" w:type="dxa"/>
              <w:bottom w:w="0" w:type="dxa"/>
              <w:right w:w="20" w:type="dxa"/>
            </w:tcMar>
            <w:vAlign w:val="center"/>
            <w:hideMark/>
          </w:tcPr>
          <w:p w14:paraId="233BAAE6" w14:textId="77777777" w:rsidR="00000000" w:rsidRDefault="009B6C69">
            <w:pPr>
              <w:spacing w:after="100"/>
              <w:rPr>
                <w:rFonts w:eastAsia="Times New Roman"/>
                <w:sz w:val="20"/>
                <w:szCs w:val="20"/>
              </w:rPr>
            </w:pPr>
          </w:p>
        </w:tc>
        <w:tc>
          <w:tcPr>
            <w:tcW w:w="0" w:type="auto"/>
            <w:vAlign w:val="center"/>
            <w:hideMark/>
          </w:tcPr>
          <w:p w14:paraId="43181006" w14:textId="77777777" w:rsidR="00000000" w:rsidRDefault="009B6C69">
            <w:pPr>
              <w:spacing w:after="100"/>
              <w:rPr>
                <w:rFonts w:eastAsia="Times New Roman"/>
                <w:sz w:val="20"/>
                <w:szCs w:val="20"/>
              </w:rPr>
            </w:pPr>
          </w:p>
        </w:tc>
        <w:tc>
          <w:tcPr>
            <w:tcW w:w="0" w:type="auto"/>
            <w:vAlign w:val="center"/>
            <w:hideMark/>
          </w:tcPr>
          <w:p w14:paraId="0D2B8130" w14:textId="77777777" w:rsidR="00000000" w:rsidRDefault="009B6C69">
            <w:pPr>
              <w:spacing w:after="100"/>
              <w:rPr>
                <w:rFonts w:eastAsia="Times New Roman"/>
                <w:sz w:val="20"/>
                <w:szCs w:val="20"/>
              </w:rPr>
            </w:pPr>
          </w:p>
        </w:tc>
        <w:tc>
          <w:tcPr>
            <w:tcW w:w="0" w:type="auto"/>
            <w:vAlign w:val="center"/>
            <w:hideMark/>
          </w:tcPr>
          <w:p w14:paraId="5907BB18" w14:textId="77777777" w:rsidR="00000000" w:rsidRDefault="009B6C69">
            <w:pPr>
              <w:spacing w:after="100"/>
              <w:rPr>
                <w:rFonts w:eastAsia="Times New Roman"/>
                <w:sz w:val="20"/>
                <w:szCs w:val="20"/>
              </w:rPr>
            </w:pPr>
          </w:p>
        </w:tc>
        <w:tc>
          <w:tcPr>
            <w:tcW w:w="0" w:type="auto"/>
            <w:tcMar>
              <w:top w:w="30" w:type="dxa"/>
              <w:left w:w="20" w:type="dxa"/>
              <w:bottom w:w="30" w:type="dxa"/>
              <w:right w:w="20" w:type="dxa"/>
            </w:tcMar>
            <w:vAlign w:val="bottom"/>
            <w:hideMark/>
          </w:tcPr>
          <w:p w14:paraId="18A16B73" w14:textId="77777777" w:rsidR="00000000" w:rsidRDefault="009B6C69">
            <w:pPr>
              <w:spacing w:after="100"/>
              <w:jc w:val="center"/>
              <w:rPr>
                <w:rFonts w:eastAsia="Times New Roman"/>
              </w:rPr>
            </w:pPr>
            <w:r>
              <w:rPr>
                <w:rFonts w:eastAsia="Times New Roman"/>
                <w:b/>
                <w:bCs/>
                <w:color w:val="000000"/>
                <w:sz w:val="18"/>
                <w:szCs w:val="18"/>
              </w:rPr>
              <w:t>2022</w:t>
            </w:r>
          </w:p>
        </w:tc>
        <w:tc>
          <w:tcPr>
            <w:tcW w:w="0" w:type="auto"/>
            <w:tcMar>
              <w:top w:w="0" w:type="dxa"/>
              <w:left w:w="20" w:type="dxa"/>
              <w:bottom w:w="0" w:type="dxa"/>
              <w:right w:w="20" w:type="dxa"/>
            </w:tcMar>
            <w:vAlign w:val="center"/>
            <w:hideMark/>
          </w:tcPr>
          <w:p w14:paraId="03A3EB8E" w14:textId="77777777" w:rsidR="00000000" w:rsidRDefault="009B6C69">
            <w:pPr>
              <w:spacing w:after="100"/>
              <w:jc w:val="center"/>
              <w:rPr>
                <w:rFonts w:eastAsia="Times New Roman"/>
              </w:rPr>
            </w:pPr>
          </w:p>
        </w:tc>
        <w:tc>
          <w:tcPr>
            <w:tcW w:w="0" w:type="auto"/>
            <w:tcMar>
              <w:top w:w="30" w:type="dxa"/>
              <w:left w:w="20" w:type="dxa"/>
              <w:bottom w:w="30" w:type="dxa"/>
              <w:right w:w="20" w:type="dxa"/>
            </w:tcMar>
            <w:vAlign w:val="bottom"/>
            <w:hideMark/>
          </w:tcPr>
          <w:p w14:paraId="429052B8" w14:textId="77777777" w:rsidR="00000000" w:rsidRDefault="009B6C69">
            <w:pPr>
              <w:spacing w:after="100"/>
              <w:jc w:val="center"/>
              <w:rPr>
                <w:rFonts w:eastAsia="Times New Roman"/>
              </w:rPr>
            </w:pPr>
            <w:r>
              <w:rPr>
                <w:rFonts w:eastAsia="Times New Roman"/>
                <w:b/>
                <w:bCs/>
                <w:color w:val="000000"/>
                <w:sz w:val="18"/>
                <w:szCs w:val="18"/>
              </w:rPr>
              <w:t>2021</w:t>
            </w:r>
          </w:p>
        </w:tc>
        <w:tc>
          <w:tcPr>
            <w:tcW w:w="0" w:type="auto"/>
            <w:tcMar>
              <w:top w:w="0" w:type="dxa"/>
              <w:left w:w="20" w:type="dxa"/>
              <w:bottom w:w="0" w:type="dxa"/>
              <w:right w:w="20" w:type="dxa"/>
            </w:tcMar>
            <w:vAlign w:val="center"/>
            <w:hideMark/>
          </w:tcPr>
          <w:p w14:paraId="35C23629"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6A48A26" w14:textId="77777777" w:rsidR="00000000" w:rsidRDefault="009B6C69">
            <w:pPr>
              <w:spacing w:after="100"/>
              <w:jc w:val="center"/>
              <w:rPr>
                <w:rFonts w:eastAsia="Times New Roman"/>
              </w:rPr>
            </w:pPr>
            <w:r>
              <w:rPr>
                <w:rFonts w:eastAsia="Times New Roman"/>
                <w:b/>
                <w:bCs/>
                <w:color w:val="000000"/>
                <w:sz w:val="18"/>
                <w:szCs w:val="18"/>
              </w:rPr>
              <w:t>2020</w:t>
            </w:r>
          </w:p>
        </w:tc>
        <w:tc>
          <w:tcPr>
            <w:tcW w:w="0" w:type="auto"/>
            <w:vAlign w:val="center"/>
            <w:hideMark/>
          </w:tcPr>
          <w:p w14:paraId="2154CA0B" w14:textId="77777777" w:rsidR="00000000" w:rsidRDefault="009B6C69">
            <w:pPr>
              <w:spacing w:after="100"/>
              <w:rPr>
                <w:rFonts w:eastAsia="Times New Roman"/>
                <w:sz w:val="20"/>
                <w:szCs w:val="20"/>
              </w:rPr>
            </w:pPr>
          </w:p>
        </w:tc>
        <w:tc>
          <w:tcPr>
            <w:tcW w:w="0" w:type="auto"/>
            <w:vAlign w:val="center"/>
            <w:hideMark/>
          </w:tcPr>
          <w:p w14:paraId="4CD7D3C0" w14:textId="77777777" w:rsidR="00000000" w:rsidRDefault="009B6C69">
            <w:pPr>
              <w:spacing w:after="100"/>
              <w:rPr>
                <w:rFonts w:eastAsia="Times New Roman"/>
                <w:sz w:val="20"/>
                <w:szCs w:val="20"/>
              </w:rPr>
            </w:pPr>
          </w:p>
        </w:tc>
        <w:tc>
          <w:tcPr>
            <w:tcW w:w="0" w:type="auto"/>
            <w:vAlign w:val="center"/>
            <w:hideMark/>
          </w:tcPr>
          <w:p w14:paraId="0EE338BB" w14:textId="77777777" w:rsidR="00000000" w:rsidRDefault="009B6C69">
            <w:pPr>
              <w:spacing w:after="100"/>
              <w:rPr>
                <w:rFonts w:eastAsia="Times New Roman"/>
                <w:sz w:val="20"/>
                <w:szCs w:val="20"/>
              </w:rPr>
            </w:pPr>
          </w:p>
        </w:tc>
        <w:tc>
          <w:tcPr>
            <w:tcW w:w="0" w:type="auto"/>
            <w:vAlign w:val="center"/>
            <w:hideMark/>
          </w:tcPr>
          <w:p w14:paraId="3E041874" w14:textId="77777777" w:rsidR="00000000" w:rsidRDefault="009B6C69">
            <w:pPr>
              <w:spacing w:after="100"/>
              <w:rPr>
                <w:rFonts w:eastAsia="Times New Roman"/>
                <w:sz w:val="20"/>
                <w:szCs w:val="20"/>
              </w:rPr>
            </w:pPr>
          </w:p>
        </w:tc>
        <w:tc>
          <w:tcPr>
            <w:tcW w:w="0" w:type="auto"/>
            <w:vAlign w:val="center"/>
            <w:hideMark/>
          </w:tcPr>
          <w:p w14:paraId="3E2AEEA9" w14:textId="77777777" w:rsidR="00000000" w:rsidRDefault="009B6C69">
            <w:pPr>
              <w:spacing w:after="100"/>
              <w:rPr>
                <w:rFonts w:eastAsia="Times New Roman"/>
                <w:sz w:val="20"/>
                <w:szCs w:val="20"/>
              </w:rPr>
            </w:pPr>
          </w:p>
        </w:tc>
        <w:tc>
          <w:tcPr>
            <w:tcW w:w="0" w:type="auto"/>
            <w:vAlign w:val="center"/>
            <w:hideMark/>
          </w:tcPr>
          <w:p w14:paraId="10129F0A" w14:textId="77777777" w:rsidR="00000000" w:rsidRDefault="009B6C69">
            <w:pPr>
              <w:spacing w:after="100"/>
              <w:rPr>
                <w:rFonts w:eastAsia="Times New Roman"/>
                <w:sz w:val="20"/>
                <w:szCs w:val="20"/>
              </w:rPr>
            </w:pPr>
          </w:p>
        </w:tc>
        <w:tc>
          <w:tcPr>
            <w:tcW w:w="0" w:type="auto"/>
            <w:vAlign w:val="center"/>
            <w:hideMark/>
          </w:tcPr>
          <w:p w14:paraId="356C0DB6" w14:textId="77777777" w:rsidR="00000000" w:rsidRDefault="009B6C69">
            <w:pPr>
              <w:spacing w:after="100"/>
              <w:rPr>
                <w:rFonts w:eastAsia="Times New Roman"/>
                <w:sz w:val="20"/>
                <w:szCs w:val="20"/>
              </w:rPr>
            </w:pPr>
          </w:p>
        </w:tc>
        <w:tc>
          <w:tcPr>
            <w:tcW w:w="0" w:type="auto"/>
            <w:vAlign w:val="center"/>
            <w:hideMark/>
          </w:tcPr>
          <w:p w14:paraId="0D56D91C" w14:textId="77777777" w:rsidR="00000000" w:rsidRDefault="009B6C69">
            <w:pPr>
              <w:spacing w:after="100"/>
              <w:rPr>
                <w:rFonts w:eastAsia="Times New Roman"/>
                <w:sz w:val="20"/>
                <w:szCs w:val="20"/>
              </w:rPr>
            </w:pPr>
          </w:p>
        </w:tc>
        <w:tc>
          <w:tcPr>
            <w:tcW w:w="0" w:type="auto"/>
            <w:vAlign w:val="center"/>
            <w:hideMark/>
          </w:tcPr>
          <w:p w14:paraId="57D3C06A" w14:textId="77777777" w:rsidR="00000000" w:rsidRDefault="009B6C69">
            <w:pPr>
              <w:spacing w:after="100"/>
              <w:rPr>
                <w:rFonts w:eastAsia="Times New Roman"/>
                <w:sz w:val="20"/>
                <w:szCs w:val="20"/>
              </w:rPr>
            </w:pPr>
          </w:p>
        </w:tc>
        <w:tc>
          <w:tcPr>
            <w:tcW w:w="0" w:type="auto"/>
            <w:vAlign w:val="center"/>
            <w:hideMark/>
          </w:tcPr>
          <w:p w14:paraId="71899A04" w14:textId="77777777" w:rsidR="00000000" w:rsidRDefault="009B6C69">
            <w:pPr>
              <w:spacing w:after="100"/>
              <w:rPr>
                <w:rFonts w:eastAsia="Times New Roman"/>
                <w:sz w:val="20"/>
                <w:szCs w:val="20"/>
              </w:rPr>
            </w:pPr>
          </w:p>
        </w:tc>
        <w:tc>
          <w:tcPr>
            <w:tcW w:w="0" w:type="auto"/>
            <w:vAlign w:val="center"/>
            <w:hideMark/>
          </w:tcPr>
          <w:p w14:paraId="46E680CA" w14:textId="77777777" w:rsidR="00000000" w:rsidRDefault="009B6C69">
            <w:pPr>
              <w:spacing w:after="100"/>
              <w:rPr>
                <w:rFonts w:eastAsia="Times New Roman"/>
                <w:sz w:val="20"/>
                <w:szCs w:val="20"/>
              </w:rPr>
            </w:pPr>
          </w:p>
        </w:tc>
        <w:tc>
          <w:tcPr>
            <w:tcW w:w="0" w:type="auto"/>
            <w:vAlign w:val="center"/>
            <w:hideMark/>
          </w:tcPr>
          <w:p w14:paraId="13E7B09C" w14:textId="77777777" w:rsidR="00000000" w:rsidRDefault="009B6C69">
            <w:pPr>
              <w:spacing w:after="100"/>
              <w:rPr>
                <w:rFonts w:eastAsia="Times New Roman"/>
                <w:sz w:val="20"/>
                <w:szCs w:val="20"/>
              </w:rPr>
            </w:pPr>
          </w:p>
        </w:tc>
      </w:tr>
      <w:tr w:rsidR="00000000" w14:paraId="11588EFD" w14:textId="77777777">
        <w:trPr>
          <w:divId w:val="2054382628"/>
        </w:trPr>
        <w:tc>
          <w:tcPr>
            <w:tcW w:w="0" w:type="auto"/>
            <w:gridSpan w:val="3"/>
            <w:tcMar>
              <w:top w:w="30" w:type="dxa"/>
              <w:left w:w="20" w:type="dxa"/>
              <w:bottom w:w="30" w:type="dxa"/>
              <w:right w:w="20" w:type="dxa"/>
            </w:tcMar>
            <w:vAlign w:val="bottom"/>
            <w:hideMark/>
          </w:tcPr>
          <w:p w14:paraId="4F949C43" w14:textId="77777777" w:rsidR="00000000" w:rsidRDefault="009B6C69">
            <w:pPr>
              <w:spacing w:after="100"/>
              <w:rPr>
                <w:rFonts w:eastAsia="Times New Roman"/>
              </w:rPr>
            </w:pPr>
            <w:r>
              <w:rPr>
                <w:rFonts w:eastAsia="Times New Roman"/>
                <w:b/>
                <w:bCs/>
                <w:color w:val="000000"/>
                <w:sz w:val="18"/>
                <w:szCs w:val="18"/>
              </w:rPr>
              <w:t>Revenues:</w:t>
            </w:r>
          </w:p>
        </w:tc>
        <w:tc>
          <w:tcPr>
            <w:tcW w:w="0" w:type="auto"/>
            <w:vAlign w:val="center"/>
            <w:hideMark/>
          </w:tcPr>
          <w:p w14:paraId="133B8EC2" w14:textId="77777777" w:rsidR="00000000" w:rsidRDefault="009B6C69">
            <w:pPr>
              <w:spacing w:after="100"/>
              <w:rPr>
                <w:rFonts w:eastAsia="Times New Roman"/>
              </w:rPr>
            </w:pPr>
          </w:p>
        </w:tc>
        <w:tc>
          <w:tcPr>
            <w:tcW w:w="0" w:type="auto"/>
            <w:vAlign w:val="center"/>
            <w:hideMark/>
          </w:tcPr>
          <w:p w14:paraId="6EE068D6" w14:textId="77777777" w:rsidR="00000000" w:rsidRDefault="009B6C69">
            <w:pPr>
              <w:spacing w:after="100"/>
              <w:rPr>
                <w:rFonts w:eastAsia="Times New Roman"/>
                <w:sz w:val="20"/>
                <w:szCs w:val="20"/>
              </w:rPr>
            </w:pPr>
          </w:p>
        </w:tc>
        <w:tc>
          <w:tcPr>
            <w:tcW w:w="0" w:type="auto"/>
            <w:vAlign w:val="center"/>
            <w:hideMark/>
          </w:tcPr>
          <w:p w14:paraId="3222DB12" w14:textId="77777777" w:rsidR="00000000" w:rsidRDefault="009B6C69">
            <w:pPr>
              <w:spacing w:after="100"/>
              <w:rPr>
                <w:rFonts w:eastAsia="Times New Roman"/>
                <w:sz w:val="20"/>
                <w:szCs w:val="20"/>
              </w:rPr>
            </w:pPr>
          </w:p>
        </w:tc>
        <w:tc>
          <w:tcPr>
            <w:tcW w:w="0" w:type="auto"/>
            <w:vAlign w:val="center"/>
            <w:hideMark/>
          </w:tcPr>
          <w:p w14:paraId="7E3B08CB" w14:textId="77777777" w:rsidR="00000000" w:rsidRDefault="009B6C69">
            <w:pPr>
              <w:spacing w:after="100"/>
              <w:rPr>
                <w:rFonts w:eastAsia="Times New Roman"/>
                <w:sz w:val="20"/>
                <w:szCs w:val="20"/>
              </w:rPr>
            </w:pPr>
          </w:p>
        </w:tc>
        <w:tc>
          <w:tcPr>
            <w:tcW w:w="0" w:type="auto"/>
            <w:vAlign w:val="center"/>
            <w:hideMark/>
          </w:tcPr>
          <w:p w14:paraId="39CD49FC" w14:textId="77777777" w:rsidR="00000000" w:rsidRDefault="009B6C69">
            <w:pPr>
              <w:spacing w:after="100"/>
              <w:rPr>
                <w:rFonts w:eastAsia="Times New Roman"/>
                <w:sz w:val="20"/>
                <w:szCs w:val="20"/>
              </w:rPr>
            </w:pPr>
          </w:p>
        </w:tc>
        <w:tc>
          <w:tcPr>
            <w:tcW w:w="0" w:type="auto"/>
            <w:vAlign w:val="center"/>
            <w:hideMark/>
          </w:tcPr>
          <w:p w14:paraId="139C144D" w14:textId="77777777" w:rsidR="00000000" w:rsidRDefault="009B6C69">
            <w:pPr>
              <w:spacing w:after="100"/>
              <w:rPr>
                <w:rFonts w:eastAsia="Times New Roman"/>
                <w:sz w:val="20"/>
                <w:szCs w:val="20"/>
              </w:rPr>
            </w:pPr>
          </w:p>
        </w:tc>
        <w:tc>
          <w:tcPr>
            <w:tcW w:w="0" w:type="auto"/>
            <w:vAlign w:val="center"/>
            <w:hideMark/>
          </w:tcPr>
          <w:p w14:paraId="65C399F3" w14:textId="77777777" w:rsidR="00000000" w:rsidRDefault="009B6C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BF5E02A"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A5596A" w14:textId="77777777" w:rsidR="00000000" w:rsidRDefault="009B6C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C640D26"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595C40" w14:textId="77777777" w:rsidR="00000000" w:rsidRDefault="009B6C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034B6E0" w14:textId="77777777" w:rsidR="00000000" w:rsidRDefault="009B6C69">
            <w:pPr>
              <w:spacing w:after="100"/>
              <w:rPr>
                <w:rFonts w:eastAsia="Times New Roman"/>
                <w:sz w:val="20"/>
                <w:szCs w:val="20"/>
              </w:rPr>
            </w:pPr>
          </w:p>
        </w:tc>
      </w:tr>
      <w:tr w:rsidR="00000000" w14:paraId="67B445C6" w14:textId="77777777">
        <w:trPr>
          <w:divId w:val="2054382628"/>
        </w:trPr>
        <w:tc>
          <w:tcPr>
            <w:tcW w:w="0" w:type="auto"/>
            <w:gridSpan w:val="3"/>
            <w:shd w:val="clear" w:color="auto" w:fill="CCEEFF"/>
            <w:tcMar>
              <w:top w:w="30" w:type="dxa"/>
              <w:left w:w="20" w:type="dxa"/>
              <w:bottom w:w="30" w:type="dxa"/>
              <w:right w:w="20" w:type="dxa"/>
            </w:tcMar>
            <w:vAlign w:val="bottom"/>
            <w:hideMark/>
          </w:tcPr>
          <w:p w14:paraId="0D722AB3" w14:textId="77777777" w:rsidR="00000000" w:rsidRDefault="009B6C69">
            <w:pPr>
              <w:spacing w:after="100"/>
              <w:rPr>
                <w:rFonts w:eastAsia="Times New Roman"/>
              </w:rPr>
            </w:pPr>
            <w:r>
              <w:rPr>
                <w:rFonts w:eastAsia="Times New Roman"/>
                <w:color w:val="000000"/>
                <w:sz w:val="18"/>
                <w:szCs w:val="18"/>
              </w:rPr>
              <w:t>Nonreportable segments</w:t>
            </w:r>
          </w:p>
        </w:tc>
        <w:tc>
          <w:tcPr>
            <w:tcW w:w="0" w:type="auto"/>
            <w:vAlign w:val="center"/>
            <w:hideMark/>
          </w:tcPr>
          <w:p w14:paraId="6FDCBDA3" w14:textId="77777777" w:rsidR="00000000" w:rsidRDefault="009B6C69">
            <w:pPr>
              <w:spacing w:after="100"/>
              <w:rPr>
                <w:rFonts w:eastAsia="Times New Roman"/>
              </w:rPr>
            </w:pPr>
          </w:p>
        </w:tc>
        <w:tc>
          <w:tcPr>
            <w:tcW w:w="0" w:type="auto"/>
            <w:vAlign w:val="center"/>
            <w:hideMark/>
          </w:tcPr>
          <w:p w14:paraId="0264014B" w14:textId="77777777" w:rsidR="00000000" w:rsidRDefault="009B6C69">
            <w:pPr>
              <w:spacing w:after="100"/>
              <w:rPr>
                <w:rFonts w:eastAsia="Times New Roman"/>
                <w:sz w:val="20"/>
                <w:szCs w:val="20"/>
              </w:rPr>
            </w:pPr>
          </w:p>
        </w:tc>
        <w:tc>
          <w:tcPr>
            <w:tcW w:w="0" w:type="auto"/>
            <w:vAlign w:val="center"/>
            <w:hideMark/>
          </w:tcPr>
          <w:p w14:paraId="51923D16" w14:textId="77777777" w:rsidR="00000000" w:rsidRDefault="009B6C69">
            <w:pPr>
              <w:spacing w:after="100"/>
              <w:rPr>
                <w:rFonts w:eastAsia="Times New Roman"/>
                <w:sz w:val="20"/>
                <w:szCs w:val="20"/>
              </w:rPr>
            </w:pPr>
          </w:p>
        </w:tc>
        <w:tc>
          <w:tcPr>
            <w:tcW w:w="0" w:type="auto"/>
            <w:vAlign w:val="center"/>
            <w:hideMark/>
          </w:tcPr>
          <w:p w14:paraId="723E6097" w14:textId="77777777" w:rsidR="00000000" w:rsidRDefault="009B6C69">
            <w:pPr>
              <w:spacing w:after="100"/>
              <w:rPr>
                <w:rFonts w:eastAsia="Times New Roman"/>
                <w:sz w:val="20"/>
                <w:szCs w:val="20"/>
              </w:rPr>
            </w:pPr>
          </w:p>
        </w:tc>
        <w:tc>
          <w:tcPr>
            <w:tcW w:w="0" w:type="auto"/>
            <w:vAlign w:val="center"/>
            <w:hideMark/>
          </w:tcPr>
          <w:p w14:paraId="5E0C6B67" w14:textId="77777777" w:rsidR="00000000" w:rsidRDefault="009B6C69">
            <w:pPr>
              <w:spacing w:after="100"/>
              <w:rPr>
                <w:rFonts w:eastAsia="Times New Roman"/>
                <w:sz w:val="20"/>
                <w:szCs w:val="20"/>
              </w:rPr>
            </w:pPr>
          </w:p>
        </w:tc>
        <w:tc>
          <w:tcPr>
            <w:tcW w:w="0" w:type="auto"/>
            <w:vAlign w:val="center"/>
            <w:hideMark/>
          </w:tcPr>
          <w:p w14:paraId="1D8133A6" w14:textId="77777777" w:rsidR="00000000" w:rsidRDefault="009B6C69">
            <w:pPr>
              <w:spacing w:after="100"/>
              <w:rPr>
                <w:rFonts w:eastAsia="Times New Roman"/>
                <w:sz w:val="20"/>
                <w:szCs w:val="20"/>
              </w:rPr>
            </w:pPr>
          </w:p>
        </w:tc>
        <w:tc>
          <w:tcPr>
            <w:tcW w:w="0" w:type="auto"/>
            <w:vAlign w:val="center"/>
            <w:hideMark/>
          </w:tcPr>
          <w:p w14:paraId="00A729FF" w14:textId="77777777" w:rsidR="00000000" w:rsidRDefault="009B6C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802C214"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CDC33B7" w14:textId="77777777" w:rsidR="00000000" w:rsidRDefault="009B6C69">
            <w:pPr>
              <w:spacing w:after="100"/>
              <w:jc w:val="right"/>
              <w:rPr>
                <w:rFonts w:eastAsia="Times New Roman"/>
              </w:rPr>
            </w:pPr>
            <w:r>
              <w:rPr>
                <w:rFonts w:eastAsia="Times New Roman"/>
                <w:color w:val="000000"/>
                <w:sz w:val="18"/>
                <w:szCs w:val="18"/>
              </w:rPr>
              <w:t>134 </w:t>
            </w:r>
          </w:p>
        </w:tc>
        <w:tc>
          <w:tcPr>
            <w:tcW w:w="0" w:type="auto"/>
            <w:shd w:val="clear" w:color="auto" w:fill="CCEEFF"/>
            <w:tcMar>
              <w:top w:w="30" w:type="dxa"/>
              <w:left w:w="0" w:type="dxa"/>
              <w:bottom w:w="30" w:type="dxa"/>
              <w:right w:w="20" w:type="dxa"/>
            </w:tcMar>
            <w:vAlign w:val="bottom"/>
            <w:hideMark/>
          </w:tcPr>
          <w:p w14:paraId="76B8A62B"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CBA809"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3FA2C6C"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F870C32" w14:textId="77777777" w:rsidR="00000000" w:rsidRDefault="009B6C69">
            <w:pPr>
              <w:spacing w:after="100"/>
              <w:jc w:val="right"/>
              <w:rPr>
                <w:rFonts w:eastAsia="Times New Roman"/>
              </w:rPr>
            </w:pPr>
            <w:r>
              <w:rPr>
                <w:rFonts w:eastAsia="Times New Roman"/>
                <w:color w:val="000000"/>
                <w:sz w:val="18"/>
                <w:szCs w:val="18"/>
              </w:rPr>
              <w:t>128 </w:t>
            </w:r>
          </w:p>
        </w:tc>
        <w:tc>
          <w:tcPr>
            <w:tcW w:w="0" w:type="auto"/>
            <w:shd w:val="clear" w:color="auto" w:fill="CCEEFF"/>
            <w:tcMar>
              <w:top w:w="30" w:type="dxa"/>
              <w:left w:w="0" w:type="dxa"/>
              <w:bottom w:w="30" w:type="dxa"/>
              <w:right w:w="20" w:type="dxa"/>
            </w:tcMar>
            <w:vAlign w:val="bottom"/>
            <w:hideMark/>
          </w:tcPr>
          <w:p w14:paraId="1AEB8F4A"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E4DB67"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C1F03C"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A2A0444" w14:textId="77777777" w:rsidR="00000000" w:rsidRDefault="009B6C69">
            <w:pPr>
              <w:spacing w:after="100"/>
              <w:jc w:val="right"/>
              <w:rPr>
                <w:rFonts w:eastAsia="Times New Roman"/>
              </w:rPr>
            </w:pPr>
            <w:r>
              <w:rPr>
                <w:rFonts w:eastAsia="Times New Roman"/>
                <w:color w:val="000000"/>
                <w:sz w:val="18"/>
                <w:szCs w:val="18"/>
              </w:rPr>
              <w:t>133 </w:t>
            </w:r>
          </w:p>
        </w:tc>
        <w:tc>
          <w:tcPr>
            <w:tcW w:w="0" w:type="auto"/>
            <w:shd w:val="clear" w:color="auto" w:fill="CCEEFF"/>
            <w:tcMar>
              <w:top w:w="30" w:type="dxa"/>
              <w:left w:w="0" w:type="dxa"/>
              <w:bottom w:w="30" w:type="dxa"/>
              <w:right w:w="20" w:type="dxa"/>
            </w:tcMar>
            <w:vAlign w:val="bottom"/>
            <w:hideMark/>
          </w:tcPr>
          <w:p w14:paraId="58F26FB5" w14:textId="77777777" w:rsidR="00000000" w:rsidRDefault="009B6C69">
            <w:pPr>
              <w:spacing w:after="100"/>
              <w:jc w:val="right"/>
              <w:rPr>
                <w:rFonts w:eastAsia="Times New Roman"/>
              </w:rPr>
            </w:pPr>
          </w:p>
        </w:tc>
      </w:tr>
      <w:tr w:rsidR="00000000" w14:paraId="0254A16E" w14:textId="77777777">
        <w:trPr>
          <w:divId w:val="2054382628"/>
        </w:trPr>
        <w:tc>
          <w:tcPr>
            <w:tcW w:w="0" w:type="auto"/>
            <w:gridSpan w:val="3"/>
            <w:shd w:val="clear" w:color="auto" w:fill="FFFFFF"/>
            <w:tcMar>
              <w:top w:w="30" w:type="dxa"/>
              <w:left w:w="20" w:type="dxa"/>
              <w:bottom w:w="30" w:type="dxa"/>
              <w:right w:w="20" w:type="dxa"/>
            </w:tcMar>
            <w:vAlign w:val="bottom"/>
            <w:hideMark/>
          </w:tcPr>
          <w:p w14:paraId="09E5A0AA" w14:textId="77777777" w:rsidR="00000000" w:rsidRDefault="009B6C69">
            <w:pPr>
              <w:spacing w:after="100"/>
              <w:rPr>
                <w:rFonts w:eastAsia="Times New Roman"/>
              </w:rPr>
            </w:pPr>
            <w:r>
              <w:rPr>
                <w:rFonts w:eastAsia="Times New Roman"/>
                <w:color w:val="000000"/>
                <w:sz w:val="18"/>
                <w:szCs w:val="18"/>
              </w:rPr>
              <w:t>Unallocated revenues (Note 2)</w:t>
            </w:r>
          </w:p>
        </w:tc>
        <w:tc>
          <w:tcPr>
            <w:tcW w:w="0" w:type="auto"/>
            <w:vAlign w:val="center"/>
            <w:hideMark/>
          </w:tcPr>
          <w:p w14:paraId="4951442B" w14:textId="77777777" w:rsidR="00000000" w:rsidRDefault="009B6C69">
            <w:pPr>
              <w:spacing w:after="100"/>
              <w:rPr>
                <w:rFonts w:eastAsia="Times New Roman"/>
              </w:rPr>
            </w:pPr>
          </w:p>
        </w:tc>
        <w:tc>
          <w:tcPr>
            <w:tcW w:w="0" w:type="auto"/>
            <w:vAlign w:val="center"/>
            <w:hideMark/>
          </w:tcPr>
          <w:p w14:paraId="4DB0F81E" w14:textId="77777777" w:rsidR="00000000" w:rsidRDefault="009B6C69">
            <w:pPr>
              <w:spacing w:after="100"/>
              <w:rPr>
                <w:rFonts w:eastAsia="Times New Roman"/>
                <w:sz w:val="20"/>
                <w:szCs w:val="20"/>
              </w:rPr>
            </w:pPr>
          </w:p>
        </w:tc>
        <w:tc>
          <w:tcPr>
            <w:tcW w:w="0" w:type="auto"/>
            <w:vAlign w:val="center"/>
            <w:hideMark/>
          </w:tcPr>
          <w:p w14:paraId="192B7037" w14:textId="77777777" w:rsidR="00000000" w:rsidRDefault="009B6C69">
            <w:pPr>
              <w:spacing w:after="100"/>
              <w:rPr>
                <w:rFonts w:eastAsia="Times New Roman"/>
                <w:sz w:val="20"/>
                <w:szCs w:val="20"/>
              </w:rPr>
            </w:pPr>
          </w:p>
        </w:tc>
        <w:tc>
          <w:tcPr>
            <w:tcW w:w="0" w:type="auto"/>
            <w:vAlign w:val="center"/>
            <w:hideMark/>
          </w:tcPr>
          <w:p w14:paraId="327CB53D" w14:textId="77777777" w:rsidR="00000000" w:rsidRDefault="009B6C69">
            <w:pPr>
              <w:spacing w:after="100"/>
              <w:rPr>
                <w:rFonts w:eastAsia="Times New Roman"/>
                <w:sz w:val="20"/>
                <w:szCs w:val="20"/>
              </w:rPr>
            </w:pPr>
          </w:p>
        </w:tc>
        <w:tc>
          <w:tcPr>
            <w:tcW w:w="0" w:type="auto"/>
            <w:vAlign w:val="center"/>
            <w:hideMark/>
          </w:tcPr>
          <w:p w14:paraId="7541B508" w14:textId="77777777" w:rsidR="00000000" w:rsidRDefault="009B6C69">
            <w:pPr>
              <w:spacing w:after="100"/>
              <w:rPr>
                <w:rFonts w:eastAsia="Times New Roman"/>
                <w:sz w:val="20"/>
                <w:szCs w:val="20"/>
              </w:rPr>
            </w:pPr>
          </w:p>
        </w:tc>
        <w:tc>
          <w:tcPr>
            <w:tcW w:w="0" w:type="auto"/>
            <w:vAlign w:val="center"/>
            <w:hideMark/>
          </w:tcPr>
          <w:p w14:paraId="74CAE5DF" w14:textId="77777777" w:rsidR="00000000" w:rsidRDefault="009B6C69">
            <w:pPr>
              <w:spacing w:after="100"/>
              <w:rPr>
                <w:rFonts w:eastAsia="Times New Roman"/>
                <w:sz w:val="20"/>
                <w:szCs w:val="20"/>
              </w:rPr>
            </w:pPr>
          </w:p>
        </w:tc>
        <w:tc>
          <w:tcPr>
            <w:tcW w:w="0" w:type="auto"/>
            <w:vAlign w:val="center"/>
            <w:hideMark/>
          </w:tcPr>
          <w:p w14:paraId="26E1807E"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0B2B94"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B93A362"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EFBF8A"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940246" w14:textId="77777777" w:rsidR="00000000" w:rsidRDefault="009B6C69">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14:paraId="12281BE9"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C38360"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93C987" w14:textId="77777777" w:rsidR="00000000" w:rsidRDefault="009B6C69">
            <w:pPr>
              <w:spacing w:after="100"/>
              <w:jc w:val="right"/>
              <w:rPr>
                <w:rFonts w:eastAsia="Times New Roman"/>
              </w:rPr>
            </w:pPr>
            <w:r>
              <w:rPr>
                <w:rFonts w:eastAsia="Times New Roman"/>
                <w:color w:val="000000"/>
                <w:sz w:val="18"/>
                <w:szCs w:val="18"/>
              </w:rPr>
              <w:t>1,841 </w:t>
            </w:r>
          </w:p>
        </w:tc>
        <w:tc>
          <w:tcPr>
            <w:tcW w:w="0" w:type="auto"/>
            <w:shd w:val="clear" w:color="auto" w:fill="FFFFFF"/>
            <w:tcMar>
              <w:top w:w="30" w:type="dxa"/>
              <w:left w:w="0" w:type="dxa"/>
              <w:bottom w:w="30" w:type="dxa"/>
              <w:right w:w="20" w:type="dxa"/>
            </w:tcMar>
            <w:vAlign w:val="bottom"/>
            <w:hideMark/>
          </w:tcPr>
          <w:p w14:paraId="4AA6F6BE" w14:textId="77777777" w:rsidR="00000000" w:rsidRDefault="009B6C69">
            <w:pPr>
              <w:spacing w:after="100"/>
              <w:jc w:val="right"/>
              <w:rPr>
                <w:rFonts w:eastAsia="Times New Roman"/>
              </w:rPr>
            </w:pPr>
          </w:p>
        </w:tc>
      </w:tr>
      <w:tr w:rsidR="00000000" w14:paraId="3F294EC4" w14:textId="77777777">
        <w:trPr>
          <w:divId w:val="2054382628"/>
        </w:trPr>
        <w:tc>
          <w:tcPr>
            <w:tcW w:w="0" w:type="auto"/>
            <w:gridSpan w:val="3"/>
            <w:shd w:val="clear" w:color="auto" w:fill="CCEEFF"/>
            <w:tcMar>
              <w:top w:w="0" w:type="dxa"/>
              <w:left w:w="20" w:type="dxa"/>
              <w:bottom w:w="0" w:type="dxa"/>
              <w:right w:w="20" w:type="dxa"/>
            </w:tcMar>
            <w:vAlign w:val="center"/>
            <w:hideMark/>
          </w:tcPr>
          <w:p w14:paraId="03C1BA9A" w14:textId="77777777" w:rsidR="00000000" w:rsidRDefault="009B6C69">
            <w:pPr>
              <w:spacing w:after="100"/>
              <w:jc w:val="right"/>
              <w:rPr>
                <w:rFonts w:eastAsia="Times New Roman"/>
                <w:sz w:val="20"/>
                <w:szCs w:val="20"/>
              </w:rPr>
            </w:pPr>
          </w:p>
        </w:tc>
        <w:tc>
          <w:tcPr>
            <w:tcW w:w="0" w:type="auto"/>
            <w:vAlign w:val="center"/>
            <w:hideMark/>
          </w:tcPr>
          <w:p w14:paraId="3A205DEB" w14:textId="77777777" w:rsidR="00000000" w:rsidRDefault="009B6C69">
            <w:pPr>
              <w:spacing w:after="100"/>
              <w:rPr>
                <w:rFonts w:eastAsia="Times New Roman"/>
                <w:sz w:val="20"/>
                <w:szCs w:val="20"/>
              </w:rPr>
            </w:pPr>
          </w:p>
        </w:tc>
        <w:tc>
          <w:tcPr>
            <w:tcW w:w="0" w:type="auto"/>
            <w:vAlign w:val="center"/>
            <w:hideMark/>
          </w:tcPr>
          <w:p w14:paraId="06BFE525" w14:textId="77777777" w:rsidR="00000000" w:rsidRDefault="009B6C69">
            <w:pPr>
              <w:spacing w:after="100"/>
              <w:rPr>
                <w:rFonts w:eastAsia="Times New Roman"/>
                <w:sz w:val="20"/>
                <w:szCs w:val="20"/>
              </w:rPr>
            </w:pPr>
          </w:p>
        </w:tc>
        <w:tc>
          <w:tcPr>
            <w:tcW w:w="0" w:type="auto"/>
            <w:vAlign w:val="center"/>
            <w:hideMark/>
          </w:tcPr>
          <w:p w14:paraId="0AC66C66" w14:textId="77777777" w:rsidR="00000000" w:rsidRDefault="009B6C69">
            <w:pPr>
              <w:spacing w:after="100"/>
              <w:rPr>
                <w:rFonts w:eastAsia="Times New Roman"/>
                <w:sz w:val="20"/>
                <w:szCs w:val="20"/>
              </w:rPr>
            </w:pPr>
          </w:p>
        </w:tc>
        <w:tc>
          <w:tcPr>
            <w:tcW w:w="0" w:type="auto"/>
            <w:vAlign w:val="center"/>
            <w:hideMark/>
          </w:tcPr>
          <w:p w14:paraId="7939421E" w14:textId="77777777" w:rsidR="00000000" w:rsidRDefault="009B6C69">
            <w:pPr>
              <w:spacing w:after="100"/>
              <w:rPr>
                <w:rFonts w:eastAsia="Times New Roman"/>
                <w:sz w:val="20"/>
                <w:szCs w:val="20"/>
              </w:rPr>
            </w:pPr>
          </w:p>
        </w:tc>
        <w:tc>
          <w:tcPr>
            <w:tcW w:w="0" w:type="auto"/>
            <w:vAlign w:val="center"/>
            <w:hideMark/>
          </w:tcPr>
          <w:p w14:paraId="24AA7A87" w14:textId="77777777" w:rsidR="00000000" w:rsidRDefault="009B6C69">
            <w:pPr>
              <w:spacing w:after="100"/>
              <w:rPr>
                <w:rFonts w:eastAsia="Times New Roman"/>
                <w:sz w:val="20"/>
                <w:szCs w:val="20"/>
              </w:rPr>
            </w:pPr>
          </w:p>
        </w:tc>
        <w:tc>
          <w:tcPr>
            <w:tcW w:w="0" w:type="auto"/>
            <w:vAlign w:val="center"/>
            <w:hideMark/>
          </w:tcPr>
          <w:p w14:paraId="3B2B49CF" w14:textId="77777777" w:rsidR="00000000" w:rsidRDefault="009B6C69">
            <w:pPr>
              <w:spacing w:after="100"/>
              <w:rPr>
                <w:rFonts w:eastAsia="Times New Roman"/>
                <w:sz w:val="20"/>
                <w:szCs w:val="20"/>
              </w:rPr>
            </w:pPr>
          </w:p>
        </w:tc>
        <w:tc>
          <w:tcPr>
            <w:tcW w:w="0" w:type="auto"/>
            <w:vAlign w:val="center"/>
            <w:hideMark/>
          </w:tcPr>
          <w:p w14:paraId="06BB6FF5"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C2B0BD"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033F57" w14:textId="77777777" w:rsidR="00000000" w:rsidRDefault="009B6C69">
            <w:pPr>
              <w:spacing w:after="100"/>
              <w:jc w:val="right"/>
              <w:rPr>
                <w:rFonts w:eastAsia="Times New Roman"/>
              </w:rPr>
            </w:pPr>
            <w:r>
              <w:rPr>
                <w:rFonts w:eastAsia="Times New Roman"/>
                <w:color w:val="000000"/>
                <w:sz w:val="18"/>
                <w:szCs w:val="18"/>
              </w:rPr>
              <w:t>134 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A1D009"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B6C489"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9E7863"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7D45C7" w14:textId="77777777" w:rsidR="00000000" w:rsidRDefault="009B6C69">
            <w:pPr>
              <w:spacing w:after="100"/>
              <w:jc w:val="right"/>
              <w:rPr>
                <w:rFonts w:eastAsia="Times New Roman"/>
              </w:rPr>
            </w:pPr>
            <w:r>
              <w:rPr>
                <w:rFonts w:eastAsia="Times New Roman"/>
                <w:color w:val="000000"/>
                <w:sz w:val="18"/>
                <w:szCs w:val="18"/>
              </w:rPr>
              <w:t>182 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EADEF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79D8A4"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78FD19"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9262AD" w14:textId="77777777" w:rsidR="00000000" w:rsidRDefault="009B6C69">
            <w:pPr>
              <w:spacing w:after="100"/>
              <w:jc w:val="right"/>
              <w:rPr>
                <w:rFonts w:eastAsia="Times New Roman"/>
              </w:rPr>
            </w:pPr>
            <w:r>
              <w:rPr>
                <w:rFonts w:eastAsia="Times New Roman"/>
                <w:color w:val="000000"/>
                <w:sz w:val="18"/>
                <w:szCs w:val="18"/>
              </w:rPr>
              <w:t>1,974 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E06256" w14:textId="77777777" w:rsidR="00000000" w:rsidRDefault="009B6C69">
            <w:pPr>
              <w:spacing w:after="100"/>
              <w:jc w:val="right"/>
              <w:rPr>
                <w:rFonts w:eastAsia="Times New Roman"/>
              </w:rPr>
            </w:pPr>
          </w:p>
        </w:tc>
      </w:tr>
      <w:tr w:rsidR="00000000" w14:paraId="193B7B1C" w14:textId="77777777">
        <w:trPr>
          <w:divId w:val="2054382628"/>
        </w:trPr>
        <w:tc>
          <w:tcPr>
            <w:tcW w:w="0" w:type="auto"/>
            <w:gridSpan w:val="3"/>
            <w:tcMar>
              <w:top w:w="30" w:type="dxa"/>
              <w:left w:w="20" w:type="dxa"/>
              <w:bottom w:w="30" w:type="dxa"/>
              <w:right w:w="20" w:type="dxa"/>
            </w:tcMar>
            <w:vAlign w:val="bottom"/>
            <w:hideMark/>
          </w:tcPr>
          <w:p w14:paraId="2EBF80A8" w14:textId="77777777" w:rsidR="00000000" w:rsidRDefault="009B6C69">
            <w:pPr>
              <w:spacing w:after="100"/>
              <w:rPr>
                <w:rFonts w:eastAsia="Times New Roman"/>
              </w:rPr>
            </w:pPr>
            <w:r>
              <w:rPr>
                <w:rFonts w:eastAsia="Times New Roman"/>
                <w:b/>
                <w:bCs/>
                <w:color w:val="000000"/>
                <w:sz w:val="18"/>
                <w:szCs w:val="18"/>
              </w:rPr>
              <w:t>EBT:</w:t>
            </w:r>
          </w:p>
        </w:tc>
        <w:tc>
          <w:tcPr>
            <w:tcW w:w="0" w:type="auto"/>
            <w:vAlign w:val="center"/>
            <w:hideMark/>
          </w:tcPr>
          <w:p w14:paraId="03B78381" w14:textId="77777777" w:rsidR="00000000" w:rsidRDefault="009B6C69">
            <w:pPr>
              <w:spacing w:after="100"/>
              <w:rPr>
                <w:rFonts w:eastAsia="Times New Roman"/>
              </w:rPr>
            </w:pPr>
          </w:p>
        </w:tc>
        <w:tc>
          <w:tcPr>
            <w:tcW w:w="0" w:type="auto"/>
            <w:vAlign w:val="center"/>
            <w:hideMark/>
          </w:tcPr>
          <w:p w14:paraId="323C9081" w14:textId="77777777" w:rsidR="00000000" w:rsidRDefault="009B6C69">
            <w:pPr>
              <w:spacing w:after="100"/>
              <w:rPr>
                <w:rFonts w:eastAsia="Times New Roman"/>
                <w:sz w:val="20"/>
                <w:szCs w:val="20"/>
              </w:rPr>
            </w:pPr>
          </w:p>
        </w:tc>
        <w:tc>
          <w:tcPr>
            <w:tcW w:w="0" w:type="auto"/>
            <w:vAlign w:val="center"/>
            <w:hideMark/>
          </w:tcPr>
          <w:p w14:paraId="588077E2" w14:textId="77777777" w:rsidR="00000000" w:rsidRDefault="009B6C69">
            <w:pPr>
              <w:spacing w:after="100"/>
              <w:rPr>
                <w:rFonts w:eastAsia="Times New Roman"/>
                <w:sz w:val="20"/>
                <w:szCs w:val="20"/>
              </w:rPr>
            </w:pPr>
          </w:p>
        </w:tc>
        <w:tc>
          <w:tcPr>
            <w:tcW w:w="0" w:type="auto"/>
            <w:vAlign w:val="center"/>
            <w:hideMark/>
          </w:tcPr>
          <w:p w14:paraId="5383FCD5" w14:textId="77777777" w:rsidR="00000000" w:rsidRDefault="009B6C69">
            <w:pPr>
              <w:spacing w:after="100"/>
              <w:rPr>
                <w:rFonts w:eastAsia="Times New Roman"/>
                <w:sz w:val="20"/>
                <w:szCs w:val="20"/>
              </w:rPr>
            </w:pPr>
          </w:p>
        </w:tc>
        <w:tc>
          <w:tcPr>
            <w:tcW w:w="0" w:type="auto"/>
            <w:vAlign w:val="center"/>
            <w:hideMark/>
          </w:tcPr>
          <w:p w14:paraId="09874828" w14:textId="77777777" w:rsidR="00000000" w:rsidRDefault="009B6C69">
            <w:pPr>
              <w:spacing w:after="100"/>
              <w:rPr>
                <w:rFonts w:eastAsia="Times New Roman"/>
                <w:sz w:val="20"/>
                <w:szCs w:val="20"/>
              </w:rPr>
            </w:pPr>
          </w:p>
        </w:tc>
        <w:tc>
          <w:tcPr>
            <w:tcW w:w="0" w:type="auto"/>
            <w:vAlign w:val="center"/>
            <w:hideMark/>
          </w:tcPr>
          <w:p w14:paraId="25E7D2AA" w14:textId="77777777" w:rsidR="00000000" w:rsidRDefault="009B6C69">
            <w:pPr>
              <w:spacing w:after="100"/>
              <w:rPr>
                <w:rFonts w:eastAsia="Times New Roman"/>
                <w:sz w:val="20"/>
                <w:szCs w:val="20"/>
              </w:rPr>
            </w:pPr>
          </w:p>
        </w:tc>
        <w:tc>
          <w:tcPr>
            <w:tcW w:w="0" w:type="auto"/>
            <w:vAlign w:val="center"/>
            <w:hideMark/>
          </w:tcPr>
          <w:p w14:paraId="49899D12" w14:textId="77777777" w:rsidR="00000000" w:rsidRDefault="009B6C6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F5BA929"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7559C5" w14:textId="77777777" w:rsidR="00000000" w:rsidRDefault="009B6C6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301A62B"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50A407" w14:textId="77777777" w:rsidR="00000000" w:rsidRDefault="009B6C6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DB1634D" w14:textId="77777777" w:rsidR="00000000" w:rsidRDefault="009B6C69">
            <w:pPr>
              <w:spacing w:after="100"/>
              <w:rPr>
                <w:rFonts w:eastAsia="Times New Roman"/>
                <w:sz w:val="20"/>
                <w:szCs w:val="20"/>
              </w:rPr>
            </w:pPr>
          </w:p>
        </w:tc>
      </w:tr>
      <w:tr w:rsidR="00000000" w14:paraId="6604109D" w14:textId="77777777">
        <w:trPr>
          <w:divId w:val="2054382628"/>
        </w:trPr>
        <w:tc>
          <w:tcPr>
            <w:tcW w:w="0" w:type="auto"/>
            <w:gridSpan w:val="3"/>
            <w:shd w:val="clear" w:color="auto" w:fill="CCEEFF"/>
            <w:tcMar>
              <w:top w:w="30" w:type="dxa"/>
              <w:left w:w="20" w:type="dxa"/>
              <w:bottom w:w="30" w:type="dxa"/>
              <w:right w:w="20" w:type="dxa"/>
            </w:tcMar>
            <w:vAlign w:val="bottom"/>
            <w:hideMark/>
          </w:tcPr>
          <w:p w14:paraId="19EE97A6" w14:textId="77777777" w:rsidR="00000000" w:rsidRDefault="009B6C69">
            <w:pPr>
              <w:spacing w:after="100"/>
              <w:rPr>
                <w:rFonts w:eastAsia="Times New Roman"/>
              </w:rPr>
            </w:pPr>
            <w:r>
              <w:rPr>
                <w:rFonts w:eastAsia="Times New Roman"/>
                <w:color w:val="000000"/>
                <w:sz w:val="18"/>
                <w:szCs w:val="18"/>
              </w:rPr>
              <w:t>Unallocated revenues (Note 2)</w:t>
            </w:r>
          </w:p>
        </w:tc>
        <w:tc>
          <w:tcPr>
            <w:tcW w:w="0" w:type="auto"/>
            <w:vAlign w:val="center"/>
            <w:hideMark/>
          </w:tcPr>
          <w:p w14:paraId="713C70CD" w14:textId="77777777" w:rsidR="00000000" w:rsidRDefault="009B6C69">
            <w:pPr>
              <w:spacing w:after="100"/>
              <w:rPr>
                <w:rFonts w:eastAsia="Times New Roman"/>
              </w:rPr>
            </w:pPr>
          </w:p>
        </w:tc>
        <w:tc>
          <w:tcPr>
            <w:tcW w:w="0" w:type="auto"/>
            <w:vAlign w:val="center"/>
            <w:hideMark/>
          </w:tcPr>
          <w:p w14:paraId="36C05CD6" w14:textId="77777777" w:rsidR="00000000" w:rsidRDefault="009B6C69">
            <w:pPr>
              <w:spacing w:after="100"/>
              <w:rPr>
                <w:rFonts w:eastAsia="Times New Roman"/>
                <w:sz w:val="20"/>
                <w:szCs w:val="20"/>
              </w:rPr>
            </w:pPr>
          </w:p>
        </w:tc>
        <w:tc>
          <w:tcPr>
            <w:tcW w:w="0" w:type="auto"/>
            <w:vAlign w:val="center"/>
            <w:hideMark/>
          </w:tcPr>
          <w:p w14:paraId="0CB65B08" w14:textId="77777777" w:rsidR="00000000" w:rsidRDefault="009B6C69">
            <w:pPr>
              <w:spacing w:after="100"/>
              <w:rPr>
                <w:rFonts w:eastAsia="Times New Roman"/>
                <w:sz w:val="20"/>
                <w:szCs w:val="20"/>
              </w:rPr>
            </w:pPr>
          </w:p>
        </w:tc>
        <w:tc>
          <w:tcPr>
            <w:tcW w:w="0" w:type="auto"/>
            <w:vAlign w:val="center"/>
            <w:hideMark/>
          </w:tcPr>
          <w:p w14:paraId="4ACEFADA" w14:textId="77777777" w:rsidR="00000000" w:rsidRDefault="009B6C69">
            <w:pPr>
              <w:spacing w:after="100"/>
              <w:rPr>
                <w:rFonts w:eastAsia="Times New Roman"/>
                <w:sz w:val="20"/>
                <w:szCs w:val="20"/>
              </w:rPr>
            </w:pPr>
          </w:p>
        </w:tc>
        <w:tc>
          <w:tcPr>
            <w:tcW w:w="0" w:type="auto"/>
            <w:vAlign w:val="center"/>
            <w:hideMark/>
          </w:tcPr>
          <w:p w14:paraId="017A58D6" w14:textId="77777777" w:rsidR="00000000" w:rsidRDefault="009B6C69">
            <w:pPr>
              <w:spacing w:after="100"/>
              <w:rPr>
                <w:rFonts w:eastAsia="Times New Roman"/>
                <w:sz w:val="20"/>
                <w:szCs w:val="20"/>
              </w:rPr>
            </w:pPr>
          </w:p>
        </w:tc>
        <w:tc>
          <w:tcPr>
            <w:tcW w:w="0" w:type="auto"/>
            <w:vAlign w:val="center"/>
            <w:hideMark/>
          </w:tcPr>
          <w:p w14:paraId="4DAEC2D6" w14:textId="77777777" w:rsidR="00000000" w:rsidRDefault="009B6C69">
            <w:pPr>
              <w:spacing w:after="100"/>
              <w:rPr>
                <w:rFonts w:eastAsia="Times New Roman"/>
                <w:sz w:val="20"/>
                <w:szCs w:val="20"/>
              </w:rPr>
            </w:pPr>
          </w:p>
        </w:tc>
        <w:tc>
          <w:tcPr>
            <w:tcW w:w="0" w:type="auto"/>
            <w:vAlign w:val="center"/>
            <w:hideMark/>
          </w:tcPr>
          <w:p w14:paraId="44757551" w14:textId="77777777" w:rsidR="00000000" w:rsidRDefault="009B6C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922871B"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CA5F91D"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652B35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B7CAEF"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F0E5A1"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AA60ACE" w14:textId="77777777" w:rsidR="00000000" w:rsidRDefault="009B6C69">
            <w:pPr>
              <w:spacing w:after="100"/>
              <w:jc w:val="right"/>
              <w:rPr>
                <w:rFonts w:eastAsia="Times New Roman"/>
              </w:rPr>
            </w:pPr>
            <w:r>
              <w:rPr>
                <w:rFonts w:eastAsia="Times New Roman"/>
                <w:color w:val="000000"/>
                <w:sz w:val="18"/>
                <w:szCs w:val="18"/>
              </w:rPr>
              <w:t>54 </w:t>
            </w:r>
          </w:p>
        </w:tc>
        <w:tc>
          <w:tcPr>
            <w:tcW w:w="0" w:type="auto"/>
            <w:shd w:val="clear" w:color="auto" w:fill="CCEEFF"/>
            <w:tcMar>
              <w:top w:w="30" w:type="dxa"/>
              <w:left w:w="0" w:type="dxa"/>
              <w:bottom w:w="30" w:type="dxa"/>
              <w:right w:w="20" w:type="dxa"/>
            </w:tcMar>
            <w:vAlign w:val="bottom"/>
            <w:hideMark/>
          </w:tcPr>
          <w:p w14:paraId="7EF97F50"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961147"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C21BC51"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5423C01" w14:textId="77777777" w:rsidR="00000000" w:rsidRDefault="009B6C69">
            <w:pPr>
              <w:spacing w:after="100"/>
              <w:jc w:val="right"/>
              <w:rPr>
                <w:rFonts w:eastAsia="Times New Roman"/>
              </w:rPr>
            </w:pPr>
            <w:r>
              <w:rPr>
                <w:rFonts w:eastAsia="Times New Roman"/>
                <w:color w:val="000000"/>
                <w:sz w:val="18"/>
                <w:szCs w:val="18"/>
              </w:rPr>
              <w:t>1,841 </w:t>
            </w:r>
          </w:p>
        </w:tc>
        <w:tc>
          <w:tcPr>
            <w:tcW w:w="0" w:type="auto"/>
            <w:shd w:val="clear" w:color="auto" w:fill="CCEEFF"/>
            <w:tcMar>
              <w:top w:w="30" w:type="dxa"/>
              <w:left w:w="0" w:type="dxa"/>
              <w:bottom w:w="30" w:type="dxa"/>
              <w:right w:w="20" w:type="dxa"/>
            </w:tcMar>
            <w:vAlign w:val="bottom"/>
            <w:hideMark/>
          </w:tcPr>
          <w:p w14:paraId="1904BE45" w14:textId="77777777" w:rsidR="00000000" w:rsidRDefault="009B6C69">
            <w:pPr>
              <w:spacing w:after="100"/>
              <w:jc w:val="right"/>
              <w:rPr>
                <w:rFonts w:eastAsia="Times New Roman"/>
              </w:rPr>
            </w:pPr>
          </w:p>
        </w:tc>
      </w:tr>
      <w:tr w:rsidR="00000000" w14:paraId="5A366755" w14:textId="77777777">
        <w:trPr>
          <w:divId w:val="2054382628"/>
        </w:trPr>
        <w:tc>
          <w:tcPr>
            <w:tcW w:w="0" w:type="auto"/>
            <w:gridSpan w:val="3"/>
            <w:shd w:val="clear" w:color="auto" w:fill="FFFFFF"/>
            <w:tcMar>
              <w:top w:w="30" w:type="dxa"/>
              <w:left w:w="20" w:type="dxa"/>
              <w:bottom w:w="30" w:type="dxa"/>
              <w:right w:w="20" w:type="dxa"/>
            </w:tcMar>
            <w:vAlign w:val="bottom"/>
            <w:hideMark/>
          </w:tcPr>
          <w:p w14:paraId="44FE560A" w14:textId="77777777" w:rsidR="00000000" w:rsidRDefault="009B6C69">
            <w:pPr>
              <w:spacing w:after="100"/>
              <w:rPr>
                <w:rFonts w:eastAsia="Times New Roman"/>
              </w:rPr>
            </w:pPr>
            <w:r>
              <w:rPr>
                <w:rFonts w:eastAsia="Times New Roman"/>
                <w:color w:val="000000"/>
                <w:sz w:val="18"/>
                <w:szCs w:val="18"/>
              </w:rPr>
              <w:t>Unallocated cost of revenues</w:t>
            </w:r>
          </w:p>
        </w:tc>
        <w:tc>
          <w:tcPr>
            <w:tcW w:w="0" w:type="auto"/>
            <w:vAlign w:val="center"/>
            <w:hideMark/>
          </w:tcPr>
          <w:p w14:paraId="6C3792E6" w14:textId="77777777" w:rsidR="00000000" w:rsidRDefault="009B6C69">
            <w:pPr>
              <w:spacing w:after="100"/>
              <w:rPr>
                <w:rFonts w:eastAsia="Times New Roman"/>
              </w:rPr>
            </w:pPr>
          </w:p>
        </w:tc>
        <w:tc>
          <w:tcPr>
            <w:tcW w:w="0" w:type="auto"/>
            <w:vAlign w:val="center"/>
            <w:hideMark/>
          </w:tcPr>
          <w:p w14:paraId="2B0B7685" w14:textId="77777777" w:rsidR="00000000" w:rsidRDefault="009B6C69">
            <w:pPr>
              <w:spacing w:after="100"/>
              <w:rPr>
                <w:rFonts w:eastAsia="Times New Roman"/>
                <w:sz w:val="20"/>
                <w:szCs w:val="20"/>
              </w:rPr>
            </w:pPr>
          </w:p>
        </w:tc>
        <w:tc>
          <w:tcPr>
            <w:tcW w:w="0" w:type="auto"/>
            <w:vAlign w:val="center"/>
            <w:hideMark/>
          </w:tcPr>
          <w:p w14:paraId="71CE949F" w14:textId="77777777" w:rsidR="00000000" w:rsidRDefault="009B6C69">
            <w:pPr>
              <w:spacing w:after="100"/>
              <w:rPr>
                <w:rFonts w:eastAsia="Times New Roman"/>
                <w:sz w:val="20"/>
                <w:szCs w:val="20"/>
              </w:rPr>
            </w:pPr>
          </w:p>
        </w:tc>
        <w:tc>
          <w:tcPr>
            <w:tcW w:w="0" w:type="auto"/>
            <w:vAlign w:val="center"/>
            <w:hideMark/>
          </w:tcPr>
          <w:p w14:paraId="1D287C78" w14:textId="77777777" w:rsidR="00000000" w:rsidRDefault="009B6C69">
            <w:pPr>
              <w:spacing w:after="100"/>
              <w:rPr>
                <w:rFonts w:eastAsia="Times New Roman"/>
                <w:sz w:val="20"/>
                <w:szCs w:val="20"/>
              </w:rPr>
            </w:pPr>
          </w:p>
        </w:tc>
        <w:tc>
          <w:tcPr>
            <w:tcW w:w="0" w:type="auto"/>
            <w:vAlign w:val="center"/>
            <w:hideMark/>
          </w:tcPr>
          <w:p w14:paraId="353BBFDE" w14:textId="77777777" w:rsidR="00000000" w:rsidRDefault="009B6C69">
            <w:pPr>
              <w:spacing w:after="100"/>
              <w:rPr>
                <w:rFonts w:eastAsia="Times New Roman"/>
                <w:sz w:val="20"/>
                <w:szCs w:val="20"/>
              </w:rPr>
            </w:pPr>
          </w:p>
        </w:tc>
        <w:tc>
          <w:tcPr>
            <w:tcW w:w="0" w:type="auto"/>
            <w:vAlign w:val="center"/>
            <w:hideMark/>
          </w:tcPr>
          <w:p w14:paraId="503C6AEF" w14:textId="77777777" w:rsidR="00000000" w:rsidRDefault="009B6C69">
            <w:pPr>
              <w:spacing w:after="100"/>
              <w:rPr>
                <w:rFonts w:eastAsia="Times New Roman"/>
                <w:sz w:val="20"/>
                <w:szCs w:val="20"/>
              </w:rPr>
            </w:pPr>
          </w:p>
        </w:tc>
        <w:tc>
          <w:tcPr>
            <w:tcW w:w="0" w:type="auto"/>
            <w:vAlign w:val="center"/>
            <w:hideMark/>
          </w:tcPr>
          <w:p w14:paraId="38DF3103"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67FFED" w14:textId="77777777" w:rsidR="00000000" w:rsidRDefault="009B6C69">
            <w:pPr>
              <w:spacing w:after="100"/>
              <w:jc w:val="right"/>
              <w:rPr>
                <w:rFonts w:eastAsia="Times New Roman"/>
              </w:rPr>
            </w:pPr>
            <w:r>
              <w:rPr>
                <w:rFonts w:eastAsia="Times New Roman"/>
                <w:color w:val="000000"/>
                <w:sz w:val="18"/>
                <w:szCs w:val="18"/>
              </w:rPr>
              <w:t>(266)</w:t>
            </w:r>
          </w:p>
        </w:tc>
        <w:tc>
          <w:tcPr>
            <w:tcW w:w="0" w:type="auto"/>
            <w:shd w:val="clear" w:color="auto" w:fill="FFFFFF"/>
            <w:tcMar>
              <w:top w:w="30" w:type="dxa"/>
              <w:left w:w="0" w:type="dxa"/>
              <w:bottom w:w="30" w:type="dxa"/>
              <w:right w:w="20" w:type="dxa"/>
            </w:tcMar>
            <w:vAlign w:val="bottom"/>
            <w:hideMark/>
          </w:tcPr>
          <w:p w14:paraId="61D21E02"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D616AE"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30F6E4" w14:textId="77777777" w:rsidR="00000000" w:rsidRDefault="009B6C69">
            <w:pPr>
              <w:spacing w:after="100"/>
              <w:jc w:val="right"/>
              <w:rPr>
                <w:rFonts w:eastAsia="Times New Roman"/>
              </w:rPr>
            </w:pPr>
            <w:r>
              <w:rPr>
                <w:rFonts w:eastAsia="Times New Roman"/>
                <w:color w:val="000000"/>
                <w:sz w:val="18"/>
                <w:szCs w:val="18"/>
              </w:rPr>
              <w:t>(277)</w:t>
            </w:r>
          </w:p>
        </w:tc>
        <w:tc>
          <w:tcPr>
            <w:tcW w:w="0" w:type="auto"/>
            <w:shd w:val="clear" w:color="auto" w:fill="FFFFFF"/>
            <w:tcMar>
              <w:top w:w="30" w:type="dxa"/>
              <w:left w:w="0" w:type="dxa"/>
              <w:bottom w:w="30" w:type="dxa"/>
              <w:right w:w="20" w:type="dxa"/>
            </w:tcMar>
            <w:vAlign w:val="bottom"/>
            <w:hideMark/>
          </w:tcPr>
          <w:p w14:paraId="557C4EF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EE0DCF"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947AE3" w14:textId="77777777" w:rsidR="00000000" w:rsidRDefault="009B6C69">
            <w:pPr>
              <w:spacing w:after="100"/>
              <w:jc w:val="right"/>
              <w:rPr>
                <w:rFonts w:eastAsia="Times New Roman"/>
              </w:rPr>
            </w:pPr>
            <w:r>
              <w:rPr>
                <w:rFonts w:eastAsia="Times New Roman"/>
                <w:color w:val="000000"/>
                <w:sz w:val="18"/>
                <w:szCs w:val="18"/>
              </w:rPr>
              <w:t>(340)</w:t>
            </w:r>
          </w:p>
        </w:tc>
        <w:tc>
          <w:tcPr>
            <w:tcW w:w="0" w:type="auto"/>
            <w:shd w:val="clear" w:color="auto" w:fill="FFFFFF"/>
            <w:tcMar>
              <w:top w:w="30" w:type="dxa"/>
              <w:left w:w="0" w:type="dxa"/>
              <w:bottom w:w="30" w:type="dxa"/>
              <w:right w:w="20" w:type="dxa"/>
            </w:tcMar>
            <w:vAlign w:val="bottom"/>
            <w:hideMark/>
          </w:tcPr>
          <w:p w14:paraId="223B5B9D" w14:textId="77777777" w:rsidR="00000000" w:rsidRDefault="009B6C69">
            <w:pPr>
              <w:spacing w:after="100"/>
              <w:jc w:val="right"/>
              <w:rPr>
                <w:rFonts w:eastAsia="Times New Roman"/>
              </w:rPr>
            </w:pPr>
          </w:p>
        </w:tc>
      </w:tr>
      <w:tr w:rsidR="00000000" w14:paraId="2AE39645" w14:textId="77777777">
        <w:trPr>
          <w:divId w:val="2054382628"/>
        </w:trPr>
        <w:tc>
          <w:tcPr>
            <w:tcW w:w="0" w:type="auto"/>
            <w:gridSpan w:val="3"/>
            <w:shd w:val="clear" w:color="auto" w:fill="CCEEFF"/>
            <w:tcMar>
              <w:top w:w="30" w:type="dxa"/>
              <w:left w:w="20" w:type="dxa"/>
              <w:bottom w:w="30" w:type="dxa"/>
              <w:right w:w="20" w:type="dxa"/>
            </w:tcMar>
            <w:vAlign w:val="bottom"/>
            <w:hideMark/>
          </w:tcPr>
          <w:p w14:paraId="742704CA" w14:textId="77777777" w:rsidR="00000000" w:rsidRDefault="009B6C69">
            <w:pPr>
              <w:spacing w:after="100"/>
              <w:rPr>
                <w:rFonts w:eastAsia="Times New Roman"/>
              </w:rPr>
            </w:pPr>
            <w:r>
              <w:rPr>
                <w:rFonts w:eastAsia="Times New Roman"/>
                <w:color w:val="000000"/>
                <w:sz w:val="18"/>
                <w:szCs w:val="18"/>
              </w:rPr>
              <w:t>Unallocated research and development expenses</w:t>
            </w:r>
          </w:p>
        </w:tc>
        <w:tc>
          <w:tcPr>
            <w:tcW w:w="0" w:type="auto"/>
            <w:vAlign w:val="center"/>
            <w:hideMark/>
          </w:tcPr>
          <w:p w14:paraId="17EF9C37" w14:textId="77777777" w:rsidR="00000000" w:rsidRDefault="009B6C69">
            <w:pPr>
              <w:spacing w:after="100"/>
              <w:rPr>
                <w:rFonts w:eastAsia="Times New Roman"/>
              </w:rPr>
            </w:pPr>
          </w:p>
        </w:tc>
        <w:tc>
          <w:tcPr>
            <w:tcW w:w="0" w:type="auto"/>
            <w:vAlign w:val="center"/>
            <w:hideMark/>
          </w:tcPr>
          <w:p w14:paraId="5E48B3EF" w14:textId="77777777" w:rsidR="00000000" w:rsidRDefault="009B6C69">
            <w:pPr>
              <w:spacing w:after="100"/>
              <w:rPr>
                <w:rFonts w:eastAsia="Times New Roman"/>
                <w:sz w:val="20"/>
                <w:szCs w:val="20"/>
              </w:rPr>
            </w:pPr>
          </w:p>
        </w:tc>
        <w:tc>
          <w:tcPr>
            <w:tcW w:w="0" w:type="auto"/>
            <w:vAlign w:val="center"/>
            <w:hideMark/>
          </w:tcPr>
          <w:p w14:paraId="262BBC61" w14:textId="77777777" w:rsidR="00000000" w:rsidRDefault="009B6C69">
            <w:pPr>
              <w:spacing w:after="100"/>
              <w:rPr>
                <w:rFonts w:eastAsia="Times New Roman"/>
                <w:sz w:val="20"/>
                <w:szCs w:val="20"/>
              </w:rPr>
            </w:pPr>
          </w:p>
        </w:tc>
        <w:tc>
          <w:tcPr>
            <w:tcW w:w="0" w:type="auto"/>
            <w:vAlign w:val="center"/>
            <w:hideMark/>
          </w:tcPr>
          <w:p w14:paraId="76E6A5EF" w14:textId="77777777" w:rsidR="00000000" w:rsidRDefault="009B6C69">
            <w:pPr>
              <w:spacing w:after="100"/>
              <w:rPr>
                <w:rFonts w:eastAsia="Times New Roman"/>
                <w:sz w:val="20"/>
                <w:szCs w:val="20"/>
              </w:rPr>
            </w:pPr>
          </w:p>
        </w:tc>
        <w:tc>
          <w:tcPr>
            <w:tcW w:w="0" w:type="auto"/>
            <w:vAlign w:val="center"/>
            <w:hideMark/>
          </w:tcPr>
          <w:p w14:paraId="0978B3B8" w14:textId="77777777" w:rsidR="00000000" w:rsidRDefault="009B6C69">
            <w:pPr>
              <w:spacing w:after="100"/>
              <w:rPr>
                <w:rFonts w:eastAsia="Times New Roman"/>
                <w:sz w:val="20"/>
                <w:szCs w:val="20"/>
              </w:rPr>
            </w:pPr>
          </w:p>
        </w:tc>
        <w:tc>
          <w:tcPr>
            <w:tcW w:w="0" w:type="auto"/>
            <w:vAlign w:val="center"/>
            <w:hideMark/>
          </w:tcPr>
          <w:p w14:paraId="769350EA" w14:textId="77777777" w:rsidR="00000000" w:rsidRDefault="009B6C69">
            <w:pPr>
              <w:spacing w:after="100"/>
              <w:rPr>
                <w:rFonts w:eastAsia="Times New Roman"/>
                <w:sz w:val="20"/>
                <w:szCs w:val="20"/>
              </w:rPr>
            </w:pPr>
          </w:p>
        </w:tc>
        <w:tc>
          <w:tcPr>
            <w:tcW w:w="0" w:type="auto"/>
            <w:vAlign w:val="center"/>
            <w:hideMark/>
          </w:tcPr>
          <w:p w14:paraId="0C940E42"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F3A729" w14:textId="77777777" w:rsidR="00000000" w:rsidRDefault="009B6C69">
            <w:pPr>
              <w:spacing w:after="100"/>
              <w:jc w:val="right"/>
              <w:rPr>
                <w:rFonts w:eastAsia="Times New Roman"/>
              </w:rPr>
            </w:pPr>
            <w:r>
              <w:rPr>
                <w:rFonts w:eastAsia="Times New Roman"/>
                <w:color w:val="000000"/>
                <w:sz w:val="18"/>
                <w:szCs w:val="18"/>
              </w:rPr>
              <w:t>(1,767)</w:t>
            </w:r>
          </w:p>
        </w:tc>
        <w:tc>
          <w:tcPr>
            <w:tcW w:w="0" w:type="auto"/>
            <w:shd w:val="clear" w:color="auto" w:fill="CCEEFF"/>
            <w:tcMar>
              <w:top w:w="30" w:type="dxa"/>
              <w:left w:w="0" w:type="dxa"/>
              <w:bottom w:w="30" w:type="dxa"/>
              <w:right w:w="20" w:type="dxa"/>
            </w:tcMar>
            <w:vAlign w:val="bottom"/>
            <w:hideMark/>
          </w:tcPr>
          <w:p w14:paraId="6C6097AC"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A7A223"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03EDE8" w14:textId="77777777" w:rsidR="00000000" w:rsidRDefault="009B6C69">
            <w:pPr>
              <w:spacing w:after="100"/>
              <w:jc w:val="right"/>
              <w:rPr>
                <w:rFonts w:eastAsia="Times New Roman"/>
              </w:rPr>
            </w:pPr>
            <w:r>
              <w:rPr>
                <w:rFonts w:eastAsia="Times New Roman"/>
                <w:color w:val="000000"/>
                <w:sz w:val="18"/>
                <w:szCs w:val="18"/>
              </w:rPr>
              <w:t>(1,820)</w:t>
            </w:r>
          </w:p>
        </w:tc>
        <w:tc>
          <w:tcPr>
            <w:tcW w:w="0" w:type="auto"/>
            <w:shd w:val="clear" w:color="auto" w:fill="CCEEFF"/>
            <w:tcMar>
              <w:top w:w="30" w:type="dxa"/>
              <w:left w:w="0" w:type="dxa"/>
              <w:bottom w:w="30" w:type="dxa"/>
              <w:right w:w="20" w:type="dxa"/>
            </w:tcMar>
            <w:vAlign w:val="bottom"/>
            <w:hideMark/>
          </w:tcPr>
          <w:p w14:paraId="13CACB47"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E52F25"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4E7BCE" w14:textId="77777777" w:rsidR="00000000" w:rsidRDefault="009B6C69">
            <w:pPr>
              <w:spacing w:after="100"/>
              <w:jc w:val="right"/>
              <w:rPr>
                <w:rFonts w:eastAsia="Times New Roman"/>
              </w:rPr>
            </w:pPr>
            <w:r>
              <w:rPr>
                <w:rFonts w:eastAsia="Times New Roman"/>
                <w:color w:val="000000"/>
                <w:sz w:val="18"/>
                <w:szCs w:val="18"/>
              </w:rPr>
              <w:t>(1,046)</w:t>
            </w:r>
          </w:p>
        </w:tc>
        <w:tc>
          <w:tcPr>
            <w:tcW w:w="0" w:type="auto"/>
            <w:shd w:val="clear" w:color="auto" w:fill="CCEEFF"/>
            <w:tcMar>
              <w:top w:w="30" w:type="dxa"/>
              <w:left w:w="0" w:type="dxa"/>
              <w:bottom w:w="30" w:type="dxa"/>
              <w:right w:w="20" w:type="dxa"/>
            </w:tcMar>
            <w:vAlign w:val="bottom"/>
            <w:hideMark/>
          </w:tcPr>
          <w:p w14:paraId="71F04DBF" w14:textId="77777777" w:rsidR="00000000" w:rsidRDefault="009B6C69">
            <w:pPr>
              <w:spacing w:after="100"/>
              <w:jc w:val="right"/>
              <w:rPr>
                <w:rFonts w:eastAsia="Times New Roman"/>
              </w:rPr>
            </w:pPr>
          </w:p>
        </w:tc>
      </w:tr>
      <w:tr w:rsidR="00000000" w14:paraId="25208350" w14:textId="77777777">
        <w:trPr>
          <w:divId w:val="2054382628"/>
        </w:trPr>
        <w:tc>
          <w:tcPr>
            <w:tcW w:w="0" w:type="auto"/>
            <w:gridSpan w:val="3"/>
            <w:shd w:val="clear" w:color="auto" w:fill="FFFFFF"/>
            <w:tcMar>
              <w:top w:w="30" w:type="dxa"/>
              <w:left w:w="20" w:type="dxa"/>
              <w:bottom w:w="30" w:type="dxa"/>
              <w:right w:w="20" w:type="dxa"/>
            </w:tcMar>
            <w:vAlign w:val="bottom"/>
            <w:hideMark/>
          </w:tcPr>
          <w:p w14:paraId="78088E89" w14:textId="77777777" w:rsidR="00000000" w:rsidRDefault="009B6C69">
            <w:pPr>
              <w:spacing w:after="100"/>
              <w:rPr>
                <w:rFonts w:eastAsia="Times New Roman"/>
              </w:rPr>
            </w:pPr>
            <w:r>
              <w:rPr>
                <w:rFonts w:eastAsia="Times New Roman"/>
                <w:color w:val="000000"/>
                <w:sz w:val="18"/>
                <w:szCs w:val="18"/>
              </w:rPr>
              <w:t>Unallocated selling, general and administrative expenses</w:t>
            </w:r>
          </w:p>
        </w:tc>
        <w:tc>
          <w:tcPr>
            <w:tcW w:w="0" w:type="auto"/>
            <w:vAlign w:val="center"/>
            <w:hideMark/>
          </w:tcPr>
          <w:p w14:paraId="7B5103D2" w14:textId="77777777" w:rsidR="00000000" w:rsidRDefault="009B6C69">
            <w:pPr>
              <w:spacing w:after="100"/>
              <w:rPr>
                <w:rFonts w:eastAsia="Times New Roman"/>
              </w:rPr>
            </w:pPr>
          </w:p>
        </w:tc>
        <w:tc>
          <w:tcPr>
            <w:tcW w:w="0" w:type="auto"/>
            <w:vAlign w:val="center"/>
            <w:hideMark/>
          </w:tcPr>
          <w:p w14:paraId="6E0C7869" w14:textId="77777777" w:rsidR="00000000" w:rsidRDefault="009B6C69">
            <w:pPr>
              <w:spacing w:after="100"/>
              <w:rPr>
                <w:rFonts w:eastAsia="Times New Roman"/>
                <w:sz w:val="20"/>
                <w:szCs w:val="20"/>
              </w:rPr>
            </w:pPr>
          </w:p>
        </w:tc>
        <w:tc>
          <w:tcPr>
            <w:tcW w:w="0" w:type="auto"/>
            <w:vAlign w:val="center"/>
            <w:hideMark/>
          </w:tcPr>
          <w:p w14:paraId="6F744E5A" w14:textId="77777777" w:rsidR="00000000" w:rsidRDefault="009B6C69">
            <w:pPr>
              <w:spacing w:after="100"/>
              <w:rPr>
                <w:rFonts w:eastAsia="Times New Roman"/>
                <w:sz w:val="20"/>
                <w:szCs w:val="20"/>
              </w:rPr>
            </w:pPr>
          </w:p>
        </w:tc>
        <w:tc>
          <w:tcPr>
            <w:tcW w:w="0" w:type="auto"/>
            <w:vAlign w:val="center"/>
            <w:hideMark/>
          </w:tcPr>
          <w:p w14:paraId="5BEEB66C" w14:textId="77777777" w:rsidR="00000000" w:rsidRDefault="009B6C69">
            <w:pPr>
              <w:spacing w:after="100"/>
              <w:rPr>
                <w:rFonts w:eastAsia="Times New Roman"/>
                <w:sz w:val="20"/>
                <w:szCs w:val="20"/>
              </w:rPr>
            </w:pPr>
          </w:p>
        </w:tc>
        <w:tc>
          <w:tcPr>
            <w:tcW w:w="0" w:type="auto"/>
            <w:vAlign w:val="center"/>
            <w:hideMark/>
          </w:tcPr>
          <w:p w14:paraId="6FD94471" w14:textId="77777777" w:rsidR="00000000" w:rsidRDefault="009B6C69">
            <w:pPr>
              <w:spacing w:after="100"/>
              <w:rPr>
                <w:rFonts w:eastAsia="Times New Roman"/>
                <w:sz w:val="20"/>
                <w:szCs w:val="20"/>
              </w:rPr>
            </w:pPr>
          </w:p>
        </w:tc>
        <w:tc>
          <w:tcPr>
            <w:tcW w:w="0" w:type="auto"/>
            <w:vAlign w:val="center"/>
            <w:hideMark/>
          </w:tcPr>
          <w:p w14:paraId="7D23A2E0" w14:textId="77777777" w:rsidR="00000000" w:rsidRDefault="009B6C69">
            <w:pPr>
              <w:spacing w:after="100"/>
              <w:rPr>
                <w:rFonts w:eastAsia="Times New Roman"/>
                <w:sz w:val="20"/>
                <w:szCs w:val="20"/>
              </w:rPr>
            </w:pPr>
          </w:p>
        </w:tc>
        <w:tc>
          <w:tcPr>
            <w:tcW w:w="0" w:type="auto"/>
            <w:vAlign w:val="center"/>
            <w:hideMark/>
          </w:tcPr>
          <w:p w14:paraId="5B2C6715"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7B6645" w14:textId="77777777" w:rsidR="00000000" w:rsidRDefault="009B6C69">
            <w:pPr>
              <w:spacing w:after="100"/>
              <w:jc w:val="right"/>
              <w:rPr>
                <w:rFonts w:eastAsia="Times New Roman"/>
              </w:rPr>
            </w:pPr>
            <w:r>
              <w:rPr>
                <w:rFonts w:eastAsia="Times New Roman"/>
                <w:color w:val="000000"/>
                <w:sz w:val="18"/>
                <w:szCs w:val="18"/>
              </w:rPr>
              <w:t>(609)</w:t>
            </w:r>
          </w:p>
        </w:tc>
        <w:tc>
          <w:tcPr>
            <w:tcW w:w="0" w:type="auto"/>
            <w:shd w:val="clear" w:color="auto" w:fill="FFFFFF"/>
            <w:tcMar>
              <w:top w:w="30" w:type="dxa"/>
              <w:left w:w="0" w:type="dxa"/>
              <w:bottom w:w="30" w:type="dxa"/>
              <w:right w:w="20" w:type="dxa"/>
            </w:tcMar>
            <w:vAlign w:val="bottom"/>
            <w:hideMark/>
          </w:tcPr>
          <w:p w14:paraId="060F5683"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769338"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FA8498" w14:textId="77777777" w:rsidR="00000000" w:rsidRDefault="009B6C69">
            <w:pPr>
              <w:spacing w:after="100"/>
              <w:jc w:val="right"/>
              <w:rPr>
                <w:rFonts w:eastAsia="Times New Roman"/>
              </w:rPr>
            </w:pPr>
            <w:r>
              <w:rPr>
                <w:rFonts w:eastAsia="Times New Roman"/>
                <w:color w:val="000000"/>
                <w:sz w:val="18"/>
                <w:szCs w:val="18"/>
              </w:rPr>
              <w:t>(538)</w:t>
            </w:r>
          </w:p>
        </w:tc>
        <w:tc>
          <w:tcPr>
            <w:tcW w:w="0" w:type="auto"/>
            <w:shd w:val="clear" w:color="auto" w:fill="FFFFFF"/>
            <w:tcMar>
              <w:top w:w="30" w:type="dxa"/>
              <w:left w:w="0" w:type="dxa"/>
              <w:bottom w:w="30" w:type="dxa"/>
              <w:right w:w="20" w:type="dxa"/>
            </w:tcMar>
            <w:vAlign w:val="bottom"/>
            <w:hideMark/>
          </w:tcPr>
          <w:p w14:paraId="25BD660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FF0356"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2FF0D0" w14:textId="77777777" w:rsidR="00000000" w:rsidRDefault="009B6C69">
            <w:pPr>
              <w:spacing w:after="100"/>
              <w:jc w:val="right"/>
              <w:rPr>
                <w:rFonts w:eastAsia="Times New Roman"/>
              </w:rPr>
            </w:pPr>
            <w:r>
              <w:rPr>
                <w:rFonts w:eastAsia="Times New Roman"/>
                <w:color w:val="000000"/>
                <w:sz w:val="18"/>
                <w:szCs w:val="18"/>
              </w:rPr>
              <w:t>(401)</w:t>
            </w:r>
          </w:p>
        </w:tc>
        <w:tc>
          <w:tcPr>
            <w:tcW w:w="0" w:type="auto"/>
            <w:shd w:val="clear" w:color="auto" w:fill="FFFFFF"/>
            <w:tcMar>
              <w:top w:w="30" w:type="dxa"/>
              <w:left w:w="0" w:type="dxa"/>
              <w:bottom w:w="30" w:type="dxa"/>
              <w:right w:w="20" w:type="dxa"/>
            </w:tcMar>
            <w:vAlign w:val="bottom"/>
            <w:hideMark/>
          </w:tcPr>
          <w:p w14:paraId="293659D2" w14:textId="77777777" w:rsidR="00000000" w:rsidRDefault="009B6C69">
            <w:pPr>
              <w:spacing w:after="100"/>
              <w:jc w:val="right"/>
              <w:rPr>
                <w:rFonts w:eastAsia="Times New Roman"/>
              </w:rPr>
            </w:pPr>
          </w:p>
        </w:tc>
      </w:tr>
      <w:tr w:rsidR="00000000" w14:paraId="357BB911" w14:textId="77777777">
        <w:trPr>
          <w:divId w:val="2054382628"/>
        </w:trPr>
        <w:tc>
          <w:tcPr>
            <w:tcW w:w="0" w:type="auto"/>
            <w:gridSpan w:val="3"/>
            <w:shd w:val="clear" w:color="auto" w:fill="CCEEFF"/>
            <w:tcMar>
              <w:top w:w="30" w:type="dxa"/>
              <w:left w:w="20" w:type="dxa"/>
              <w:bottom w:w="30" w:type="dxa"/>
              <w:right w:w="20" w:type="dxa"/>
            </w:tcMar>
            <w:vAlign w:val="bottom"/>
            <w:hideMark/>
          </w:tcPr>
          <w:p w14:paraId="6B5A6C7A" w14:textId="77777777" w:rsidR="00000000" w:rsidRDefault="009B6C69">
            <w:pPr>
              <w:spacing w:after="100"/>
              <w:rPr>
                <w:rFonts w:eastAsia="Times New Roman"/>
              </w:rPr>
            </w:pPr>
            <w:r>
              <w:rPr>
                <w:rFonts w:eastAsia="Times New Roman"/>
                <w:color w:val="000000"/>
                <w:sz w:val="18"/>
                <w:szCs w:val="18"/>
              </w:rPr>
              <w:t>Unallocated other income (Note 2)</w:t>
            </w:r>
          </w:p>
        </w:tc>
        <w:tc>
          <w:tcPr>
            <w:tcW w:w="0" w:type="auto"/>
            <w:vAlign w:val="center"/>
            <w:hideMark/>
          </w:tcPr>
          <w:p w14:paraId="07006B0D" w14:textId="77777777" w:rsidR="00000000" w:rsidRDefault="009B6C69">
            <w:pPr>
              <w:spacing w:after="100"/>
              <w:rPr>
                <w:rFonts w:eastAsia="Times New Roman"/>
              </w:rPr>
            </w:pPr>
          </w:p>
        </w:tc>
        <w:tc>
          <w:tcPr>
            <w:tcW w:w="0" w:type="auto"/>
            <w:vAlign w:val="center"/>
            <w:hideMark/>
          </w:tcPr>
          <w:p w14:paraId="36178666" w14:textId="77777777" w:rsidR="00000000" w:rsidRDefault="009B6C69">
            <w:pPr>
              <w:spacing w:after="100"/>
              <w:rPr>
                <w:rFonts w:eastAsia="Times New Roman"/>
                <w:sz w:val="20"/>
                <w:szCs w:val="20"/>
              </w:rPr>
            </w:pPr>
          </w:p>
        </w:tc>
        <w:tc>
          <w:tcPr>
            <w:tcW w:w="0" w:type="auto"/>
            <w:vAlign w:val="center"/>
            <w:hideMark/>
          </w:tcPr>
          <w:p w14:paraId="3F8BC521" w14:textId="77777777" w:rsidR="00000000" w:rsidRDefault="009B6C69">
            <w:pPr>
              <w:spacing w:after="100"/>
              <w:rPr>
                <w:rFonts w:eastAsia="Times New Roman"/>
                <w:sz w:val="20"/>
                <w:szCs w:val="20"/>
              </w:rPr>
            </w:pPr>
          </w:p>
        </w:tc>
        <w:tc>
          <w:tcPr>
            <w:tcW w:w="0" w:type="auto"/>
            <w:vAlign w:val="center"/>
            <w:hideMark/>
          </w:tcPr>
          <w:p w14:paraId="7016672A" w14:textId="77777777" w:rsidR="00000000" w:rsidRDefault="009B6C69">
            <w:pPr>
              <w:spacing w:after="100"/>
              <w:rPr>
                <w:rFonts w:eastAsia="Times New Roman"/>
                <w:sz w:val="20"/>
                <w:szCs w:val="20"/>
              </w:rPr>
            </w:pPr>
          </w:p>
        </w:tc>
        <w:tc>
          <w:tcPr>
            <w:tcW w:w="0" w:type="auto"/>
            <w:vAlign w:val="center"/>
            <w:hideMark/>
          </w:tcPr>
          <w:p w14:paraId="2680B0D8" w14:textId="77777777" w:rsidR="00000000" w:rsidRDefault="009B6C69">
            <w:pPr>
              <w:spacing w:after="100"/>
              <w:rPr>
                <w:rFonts w:eastAsia="Times New Roman"/>
                <w:sz w:val="20"/>
                <w:szCs w:val="20"/>
              </w:rPr>
            </w:pPr>
          </w:p>
        </w:tc>
        <w:tc>
          <w:tcPr>
            <w:tcW w:w="0" w:type="auto"/>
            <w:vAlign w:val="center"/>
            <w:hideMark/>
          </w:tcPr>
          <w:p w14:paraId="320D083D" w14:textId="77777777" w:rsidR="00000000" w:rsidRDefault="009B6C69">
            <w:pPr>
              <w:spacing w:after="100"/>
              <w:rPr>
                <w:rFonts w:eastAsia="Times New Roman"/>
                <w:sz w:val="20"/>
                <w:szCs w:val="20"/>
              </w:rPr>
            </w:pPr>
          </w:p>
        </w:tc>
        <w:tc>
          <w:tcPr>
            <w:tcW w:w="0" w:type="auto"/>
            <w:vAlign w:val="center"/>
            <w:hideMark/>
          </w:tcPr>
          <w:p w14:paraId="3901E7B9"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237CB3" w14:textId="77777777" w:rsidR="00000000" w:rsidRDefault="009B6C69">
            <w:pPr>
              <w:spacing w:after="100"/>
              <w:jc w:val="right"/>
              <w:rPr>
                <w:rFonts w:eastAsia="Times New Roman"/>
              </w:rPr>
            </w:pPr>
            <w:r>
              <w:rPr>
                <w:rFonts w:eastAsia="Times New Roman"/>
                <w:color w:val="000000"/>
                <w:sz w:val="18"/>
                <w:szCs w:val="18"/>
              </w:rPr>
              <w:t>1,059 </w:t>
            </w:r>
          </w:p>
        </w:tc>
        <w:tc>
          <w:tcPr>
            <w:tcW w:w="0" w:type="auto"/>
            <w:shd w:val="clear" w:color="auto" w:fill="CCEEFF"/>
            <w:tcMar>
              <w:top w:w="30" w:type="dxa"/>
              <w:left w:w="0" w:type="dxa"/>
              <w:bottom w:w="30" w:type="dxa"/>
              <w:right w:w="20" w:type="dxa"/>
            </w:tcMar>
            <w:vAlign w:val="bottom"/>
            <w:hideMark/>
          </w:tcPr>
          <w:p w14:paraId="0173A65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C1EE43"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DE6E30"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E35F15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778E03"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8FDDE9" w14:textId="77777777" w:rsidR="00000000" w:rsidRDefault="009B6C69">
            <w:pPr>
              <w:spacing w:after="100"/>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bottom"/>
            <w:hideMark/>
          </w:tcPr>
          <w:p w14:paraId="0140FECD" w14:textId="77777777" w:rsidR="00000000" w:rsidRDefault="009B6C69">
            <w:pPr>
              <w:spacing w:after="100"/>
              <w:jc w:val="right"/>
              <w:rPr>
                <w:rFonts w:eastAsia="Times New Roman"/>
              </w:rPr>
            </w:pPr>
          </w:p>
        </w:tc>
      </w:tr>
      <w:tr w:rsidR="00000000" w14:paraId="5D6D2CA5" w14:textId="77777777">
        <w:trPr>
          <w:divId w:val="2054382628"/>
        </w:trPr>
        <w:tc>
          <w:tcPr>
            <w:tcW w:w="0" w:type="auto"/>
            <w:gridSpan w:val="3"/>
            <w:shd w:val="clear" w:color="auto" w:fill="FFFFFF"/>
            <w:tcMar>
              <w:top w:w="30" w:type="dxa"/>
              <w:left w:w="20" w:type="dxa"/>
              <w:bottom w:w="30" w:type="dxa"/>
              <w:right w:w="20" w:type="dxa"/>
            </w:tcMar>
            <w:vAlign w:val="bottom"/>
            <w:hideMark/>
          </w:tcPr>
          <w:p w14:paraId="66779CAA" w14:textId="77777777" w:rsidR="00000000" w:rsidRDefault="009B6C69">
            <w:pPr>
              <w:spacing w:after="100"/>
              <w:rPr>
                <w:rFonts w:eastAsia="Times New Roman"/>
              </w:rPr>
            </w:pPr>
            <w:r>
              <w:rPr>
                <w:rFonts w:eastAsia="Times New Roman"/>
                <w:color w:val="000000"/>
                <w:sz w:val="18"/>
                <w:szCs w:val="18"/>
              </w:rPr>
              <w:t>Unallocated interest expense</w:t>
            </w:r>
          </w:p>
        </w:tc>
        <w:tc>
          <w:tcPr>
            <w:tcW w:w="0" w:type="auto"/>
            <w:vAlign w:val="center"/>
            <w:hideMark/>
          </w:tcPr>
          <w:p w14:paraId="15C202BF" w14:textId="77777777" w:rsidR="00000000" w:rsidRDefault="009B6C69">
            <w:pPr>
              <w:spacing w:after="100"/>
              <w:rPr>
                <w:rFonts w:eastAsia="Times New Roman"/>
              </w:rPr>
            </w:pPr>
          </w:p>
        </w:tc>
        <w:tc>
          <w:tcPr>
            <w:tcW w:w="0" w:type="auto"/>
            <w:vAlign w:val="center"/>
            <w:hideMark/>
          </w:tcPr>
          <w:p w14:paraId="4EF01CD2" w14:textId="77777777" w:rsidR="00000000" w:rsidRDefault="009B6C69">
            <w:pPr>
              <w:spacing w:after="100"/>
              <w:rPr>
                <w:rFonts w:eastAsia="Times New Roman"/>
                <w:sz w:val="20"/>
                <w:szCs w:val="20"/>
              </w:rPr>
            </w:pPr>
          </w:p>
        </w:tc>
        <w:tc>
          <w:tcPr>
            <w:tcW w:w="0" w:type="auto"/>
            <w:vAlign w:val="center"/>
            <w:hideMark/>
          </w:tcPr>
          <w:p w14:paraId="6C8E9068" w14:textId="77777777" w:rsidR="00000000" w:rsidRDefault="009B6C69">
            <w:pPr>
              <w:spacing w:after="100"/>
              <w:rPr>
                <w:rFonts w:eastAsia="Times New Roman"/>
                <w:sz w:val="20"/>
                <w:szCs w:val="20"/>
              </w:rPr>
            </w:pPr>
          </w:p>
        </w:tc>
        <w:tc>
          <w:tcPr>
            <w:tcW w:w="0" w:type="auto"/>
            <w:vAlign w:val="center"/>
            <w:hideMark/>
          </w:tcPr>
          <w:p w14:paraId="3446EA1B" w14:textId="77777777" w:rsidR="00000000" w:rsidRDefault="009B6C69">
            <w:pPr>
              <w:spacing w:after="100"/>
              <w:rPr>
                <w:rFonts w:eastAsia="Times New Roman"/>
                <w:sz w:val="20"/>
                <w:szCs w:val="20"/>
              </w:rPr>
            </w:pPr>
          </w:p>
        </w:tc>
        <w:tc>
          <w:tcPr>
            <w:tcW w:w="0" w:type="auto"/>
            <w:vAlign w:val="center"/>
            <w:hideMark/>
          </w:tcPr>
          <w:p w14:paraId="1F8FDF42" w14:textId="77777777" w:rsidR="00000000" w:rsidRDefault="009B6C69">
            <w:pPr>
              <w:spacing w:after="100"/>
              <w:rPr>
                <w:rFonts w:eastAsia="Times New Roman"/>
                <w:sz w:val="20"/>
                <w:szCs w:val="20"/>
              </w:rPr>
            </w:pPr>
          </w:p>
        </w:tc>
        <w:tc>
          <w:tcPr>
            <w:tcW w:w="0" w:type="auto"/>
            <w:vAlign w:val="center"/>
            <w:hideMark/>
          </w:tcPr>
          <w:p w14:paraId="6D74AB75" w14:textId="77777777" w:rsidR="00000000" w:rsidRDefault="009B6C69">
            <w:pPr>
              <w:spacing w:after="100"/>
              <w:rPr>
                <w:rFonts w:eastAsia="Times New Roman"/>
                <w:sz w:val="20"/>
                <w:szCs w:val="20"/>
              </w:rPr>
            </w:pPr>
          </w:p>
        </w:tc>
        <w:tc>
          <w:tcPr>
            <w:tcW w:w="0" w:type="auto"/>
            <w:vAlign w:val="center"/>
            <w:hideMark/>
          </w:tcPr>
          <w:p w14:paraId="2FE2A875"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655B36" w14:textId="77777777" w:rsidR="00000000" w:rsidRDefault="009B6C69">
            <w:pPr>
              <w:spacing w:after="100"/>
              <w:jc w:val="right"/>
              <w:rPr>
                <w:rFonts w:eastAsia="Times New Roman"/>
              </w:rPr>
            </w:pPr>
            <w:r>
              <w:rPr>
                <w:rFonts w:eastAsia="Times New Roman"/>
                <w:color w:val="000000"/>
                <w:sz w:val="18"/>
                <w:szCs w:val="18"/>
              </w:rPr>
              <w:t>(490)</w:t>
            </w:r>
          </w:p>
        </w:tc>
        <w:tc>
          <w:tcPr>
            <w:tcW w:w="0" w:type="auto"/>
            <w:shd w:val="clear" w:color="auto" w:fill="FFFFFF"/>
            <w:tcMar>
              <w:top w:w="30" w:type="dxa"/>
              <w:left w:w="0" w:type="dxa"/>
              <w:bottom w:w="30" w:type="dxa"/>
              <w:right w:w="20" w:type="dxa"/>
            </w:tcMar>
            <w:vAlign w:val="bottom"/>
            <w:hideMark/>
          </w:tcPr>
          <w:p w14:paraId="3C68DDC4"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10760E"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8DC65B" w14:textId="77777777" w:rsidR="00000000" w:rsidRDefault="009B6C69">
            <w:pPr>
              <w:spacing w:after="100"/>
              <w:jc w:val="right"/>
              <w:rPr>
                <w:rFonts w:eastAsia="Times New Roman"/>
              </w:rPr>
            </w:pPr>
            <w:r>
              <w:rPr>
                <w:rFonts w:eastAsia="Times New Roman"/>
                <w:color w:val="000000"/>
                <w:sz w:val="18"/>
                <w:szCs w:val="18"/>
              </w:rPr>
              <w:t>(559)</w:t>
            </w:r>
          </w:p>
        </w:tc>
        <w:tc>
          <w:tcPr>
            <w:tcW w:w="0" w:type="auto"/>
            <w:shd w:val="clear" w:color="auto" w:fill="FFFFFF"/>
            <w:tcMar>
              <w:top w:w="30" w:type="dxa"/>
              <w:left w:w="0" w:type="dxa"/>
              <w:bottom w:w="30" w:type="dxa"/>
              <w:right w:w="20" w:type="dxa"/>
            </w:tcMar>
            <w:vAlign w:val="bottom"/>
            <w:hideMark/>
          </w:tcPr>
          <w:p w14:paraId="71FF9800"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773D72"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7D2B95" w14:textId="77777777" w:rsidR="00000000" w:rsidRDefault="009B6C69">
            <w:pPr>
              <w:spacing w:after="100"/>
              <w:jc w:val="right"/>
              <w:rPr>
                <w:rFonts w:eastAsia="Times New Roman"/>
              </w:rPr>
            </w:pPr>
            <w:r>
              <w:rPr>
                <w:rFonts w:eastAsia="Times New Roman"/>
                <w:color w:val="000000"/>
                <w:sz w:val="18"/>
                <w:szCs w:val="18"/>
              </w:rPr>
              <w:t>(599)</w:t>
            </w:r>
          </w:p>
        </w:tc>
        <w:tc>
          <w:tcPr>
            <w:tcW w:w="0" w:type="auto"/>
            <w:shd w:val="clear" w:color="auto" w:fill="FFFFFF"/>
            <w:tcMar>
              <w:top w:w="30" w:type="dxa"/>
              <w:left w:w="0" w:type="dxa"/>
              <w:bottom w:w="30" w:type="dxa"/>
              <w:right w:w="20" w:type="dxa"/>
            </w:tcMar>
            <w:vAlign w:val="bottom"/>
            <w:hideMark/>
          </w:tcPr>
          <w:p w14:paraId="2EFDE5FF" w14:textId="77777777" w:rsidR="00000000" w:rsidRDefault="009B6C69">
            <w:pPr>
              <w:spacing w:after="100"/>
              <w:jc w:val="right"/>
              <w:rPr>
                <w:rFonts w:eastAsia="Times New Roman"/>
              </w:rPr>
            </w:pPr>
          </w:p>
        </w:tc>
      </w:tr>
      <w:tr w:rsidR="00000000" w14:paraId="6A8DF643" w14:textId="77777777">
        <w:trPr>
          <w:divId w:val="2054382628"/>
        </w:trPr>
        <w:tc>
          <w:tcPr>
            <w:tcW w:w="0" w:type="auto"/>
            <w:gridSpan w:val="3"/>
            <w:shd w:val="clear" w:color="auto" w:fill="CCEEFF"/>
            <w:tcMar>
              <w:top w:w="30" w:type="dxa"/>
              <w:left w:w="20" w:type="dxa"/>
              <w:bottom w:w="30" w:type="dxa"/>
              <w:right w:w="20" w:type="dxa"/>
            </w:tcMar>
            <w:vAlign w:val="bottom"/>
            <w:hideMark/>
          </w:tcPr>
          <w:p w14:paraId="40569AF2" w14:textId="77777777" w:rsidR="00000000" w:rsidRDefault="009B6C69">
            <w:pPr>
              <w:spacing w:after="100"/>
              <w:rPr>
                <w:rFonts w:eastAsia="Times New Roman"/>
              </w:rPr>
            </w:pPr>
            <w:r>
              <w:rPr>
                <w:rFonts w:eastAsia="Times New Roman"/>
                <w:color w:val="000000"/>
                <w:sz w:val="18"/>
                <w:szCs w:val="18"/>
              </w:rPr>
              <w:t>Unallocated investment and other (expense) income, net</w:t>
            </w:r>
          </w:p>
        </w:tc>
        <w:tc>
          <w:tcPr>
            <w:tcW w:w="0" w:type="auto"/>
            <w:vAlign w:val="center"/>
            <w:hideMark/>
          </w:tcPr>
          <w:p w14:paraId="55830A0F" w14:textId="77777777" w:rsidR="00000000" w:rsidRDefault="009B6C69">
            <w:pPr>
              <w:spacing w:after="100"/>
              <w:rPr>
                <w:rFonts w:eastAsia="Times New Roman"/>
              </w:rPr>
            </w:pPr>
          </w:p>
        </w:tc>
        <w:tc>
          <w:tcPr>
            <w:tcW w:w="0" w:type="auto"/>
            <w:vAlign w:val="center"/>
            <w:hideMark/>
          </w:tcPr>
          <w:p w14:paraId="1F25BA9E" w14:textId="77777777" w:rsidR="00000000" w:rsidRDefault="009B6C69">
            <w:pPr>
              <w:spacing w:after="100"/>
              <w:rPr>
                <w:rFonts w:eastAsia="Times New Roman"/>
                <w:sz w:val="20"/>
                <w:szCs w:val="20"/>
              </w:rPr>
            </w:pPr>
          </w:p>
        </w:tc>
        <w:tc>
          <w:tcPr>
            <w:tcW w:w="0" w:type="auto"/>
            <w:vAlign w:val="center"/>
            <w:hideMark/>
          </w:tcPr>
          <w:p w14:paraId="0574F8B9" w14:textId="77777777" w:rsidR="00000000" w:rsidRDefault="009B6C69">
            <w:pPr>
              <w:spacing w:after="100"/>
              <w:rPr>
                <w:rFonts w:eastAsia="Times New Roman"/>
                <w:sz w:val="20"/>
                <w:szCs w:val="20"/>
              </w:rPr>
            </w:pPr>
          </w:p>
        </w:tc>
        <w:tc>
          <w:tcPr>
            <w:tcW w:w="0" w:type="auto"/>
            <w:vAlign w:val="center"/>
            <w:hideMark/>
          </w:tcPr>
          <w:p w14:paraId="737682F5" w14:textId="77777777" w:rsidR="00000000" w:rsidRDefault="009B6C69">
            <w:pPr>
              <w:spacing w:after="100"/>
              <w:rPr>
                <w:rFonts w:eastAsia="Times New Roman"/>
                <w:sz w:val="20"/>
                <w:szCs w:val="20"/>
              </w:rPr>
            </w:pPr>
          </w:p>
        </w:tc>
        <w:tc>
          <w:tcPr>
            <w:tcW w:w="0" w:type="auto"/>
            <w:vAlign w:val="center"/>
            <w:hideMark/>
          </w:tcPr>
          <w:p w14:paraId="248AE239" w14:textId="77777777" w:rsidR="00000000" w:rsidRDefault="009B6C69">
            <w:pPr>
              <w:spacing w:after="100"/>
              <w:rPr>
                <w:rFonts w:eastAsia="Times New Roman"/>
                <w:sz w:val="20"/>
                <w:szCs w:val="20"/>
              </w:rPr>
            </w:pPr>
          </w:p>
        </w:tc>
        <w:tc>
          <w:tcPr>
            <w:tcW w:w="0" w:type="auto"/>
            <w:vAlign w:val="center"/>
            <w:hideMark/>
          </w:tcPr>
          <w:p w14:paraId="7F1569DD" w14:textId="77777777" w:rsidR="00000000" w:rsidRDefault="009B6C69">
            <w:pPr>
              <w:spacing w:after="100"/>
              <w:rPr>
                <w:rFonts w:eastAsia="Times New Roman"/>
                <w:sz w:val="20"/>
                <w:szCs w:val="20"/>
              </w:rPr>
            </w:pPr>
          </w:p>
        </w:tc>
        <w:tc>
          <w:tcPr>
            <w:tcW w:w="0" w:type="auto"/>
            <w:vAlign w:val="center"/>
            <w:hideMark/>
          </w:tcPr>
          <w:p w14:paraId="738B3639"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AC1B1F" w14:textId="77777777" w:rsidR="00000000" w:rsidRDefault="009B6C69">
            <w:pPr>
              <w:spacing w:after="100"/>
              <w:jc w:val="right"/>
              <w:rPr>
                <w:rFonts w:eastAsia="Times New Roman"/>
              </w:rPr>
            </w:pPr>
            <w:r>
              <w:rPr>
                <w:rFonts w:eastAsia="Times New Roman"/>
                <w:color w:val="000000"/>
                <w:sz w:val="18"/>
                <w:szCs w:val="18"/>
              </w:rPr>
              <w:t>(91)</w:t>
            </w:r>
          </w:p>
        </w:tc>
        <w:tc>
          <w:tcPr>
            <w:tcW w:w="0" w:type="auto"/>
            <w:shd w:val="clear" w:color="auto" w:fill="CCEEFF"/>
            <w:tcMar>
              <w:top w:w="30" w:type="dxa"/>
              <w:left w:w="0" w:type="dxa"/>
              <w:bottom w:w="30" w:type="dxa"/>
              <w:right w:w="20" w:type="dxa"/>
            </w:tcMar>
            <w:vAlign w:val="bottom"/>
            <w:hideMark/>
          </w:tcPr>
          <w:p w14:paraId="6B995C2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7274CD"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F7D4E2" w14:textId="77777777" w:rsidR="00000000" w:rsidRDefault="009B6C69">
            <w:pPr>
              <w:spacing w:after="100"/>
              <w:jc w:val="right"/>
              <w:rPr>
                <w:rFonts w:eastAsia="Times New Roman"/>
              </w:rPr>
            </w:pPr>
            <w:r>
              <w:rPr>
                <w:rFonts w:eastAsia="Times New Roman"/>
                <w:color w:val="000000"/>
                <w:sz w:val="18"/>
                <w:szCs w:val="18"/>
              </w:rPr>
              <w:t>166 </w:t>
            </w:r>
          </w:p>
        </w:tc>
        <w:tc>
          <w:tcPr>
            <w:tcW w:w="0" w:type="auto"/>
            <w:shd w:val="clear" w:color="auto" w:fill="CCEEFF"/>
            <w:tcMar>
              <w:top w:w="30" w:type="dxa"/>
              <w:left w:w="0" w:type="dxa"/>
              <w:bottom w:w="30" w:type="dxa"/>
              <w:right w:w="20" w:type="dxa"/>
            </w:tcMar>
            <w:vAlign w:val="bottom"/>
            <w:hideMark/>
          </w:tcPr>
          <w:p w14:paraId="38AEB80C"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764F3"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4887C8" w14:textId="77777777" w:rsidR="00000000" w:rsidRDefault="009B6C69">
            <w:pPr>
              <w:spacing w:after="100"/>
              <w:jc w:val="right"/>
              <w:rPr>
                <w:rFonts w:eastAsia="Times New Roman"/>
              </w:rPr>
            </w:pPr>
            <w:r>
              <w:rPr>
                <w:rFonts w:eastAsia="Times New Roman"/>
                <w:color w:val="000000"/>
                <w:sz w:val="18"/>
                <w:szCs w:val="18"/>
              </w:rPr>
              <w:t>105 </w:t>
            </w:r>
          </w:p>
        </w:tc>
        <w:tc>
          <w:tcPr>
            <w:tcW w:w="0" w:type="auto"/>
            <w:shd w:val="clear" w:color="auto" w:fill="CCEEFF"/>
            <w:tcMar>
              <w:top w:w="30" w:type="dxa"/>
              <w:left w:w="0" w:type="dxa"/>
              <w:bottom w:w="30" w:type="dxa"/>
              <w:right w:w="20" w:type="dxa"/>
            </w:tcMar>
            <w:vAlign w:val="bottom"/>
            <w:hideMark/>
          </w:tcPr>
          <w:p w14:paraId="7C8DE4C3" w14:textId="77777777" w:rsidR="00000000" w:rsidRDefault="009B6C69">
            <w:pPr>
              <w:spacing w:after="100"/>
              <w:jc w:val="right"/>
              <w:rPr>
                <w:rFonts w:eastAsia="Times New Roman"/>
              </w:rPr>
            </w:pPr>
          </w:p>
        </w:tc>
      </w:tr>
      <w:tr w:rsidR="00000000" w14:paraId="2EFCFF62" w14:textId="77777777">
        <w:trPr>
          <w:divId w:val="2054382628"/>
        </w:trPr>
        <w:tc>
          <w:tcPr>
            <w:tcW w:w="0" w:type="auto"/>
            <w:gridSpan w:val="3"/>
            <w:shd w:val="clear" w:color="auto" w:fill="FFFFFF"/>
            <w:tcMar>
              <w:top w:w="30" w:type="dxa"/>
              <w:left w:w="20" w:type="dxa"/>
              <w:bottom w:w="30" w:type="dxa"/>
              <w:right w:w="20" w:type="dxa"/>
            </w:tcMar>
            <w:vAlign w:val="bottom"/>
            <w:hideMark/>
          </w:tcPr>
          <w:p w14:paraId="632D580E" w14:textId="77777777" w:rsidR="00000000" w:rsidRDefault="009B6C69">
            <w:pPr>
              <w:spacing w:after="100"/>
              <w:rPr>
                <w:rFonts w:eastAsia="Times New Roman"/>
              </w:rPr>
            </w:pPr>
            <w:r>
              <w:rPr>
                <w:rFonts w:eastAsia="Times New Roman"/>
                <w:color w:val="000000"/>
                <w:sz w:val="18"/>
                <w:szCs w:val="18"/>
              </w:rPr>
              <w:t>Nonreportable segments</w:t>
            </w:r>
          </w:p>
        </w:tc>
        <w:tc>
          <w:tcPr>
            <w:tcW w:w="0" w:type="auto"/>
            <w:vAlign w:val="center"/>
            <w:hideMark/>
          </w:tcPr>
          <w:p w14:paraId="5D980A9E" w14:textId="77777777" w:rsidR="00000000" w:rsidRDefault="009B6C69">
            <w:pPr>
              <w:spacing w:after="100"/>
              <w:rPr>
                <w:rFonts w:eastAsia="Times New Roman"/>
              </w:rPr>
            </w:pPr>
          </w:p>
        </w:tc>
        <w:tc>
          <w:tcPr>
            <w:tcW w:w="0" w:type="auto"/>
            <w:vAlign w:val="center"/>
            <w:hideMark/>
          </w:tcPr>
          <w:p w14:paraId="2CDC4111" w14:textId="77777777" w:rsidR="00000000" w:rsidRDefault="009B6C69">
            <w:pPr>
              <w:spacing w:after="100"/>
              <w:rPr>
                <w:rFonts w:eastAsia="Times New Roman"/>
                <w:sz w:val="20"/>
                <w:szCs w:val="20"/>
              </w:rPr>
            </w:pPr>
          </w:p>
        </w:tc>
        <w:tc>
          <w:tcPr>
            <w:tcW w:w="0" w:type="auto"/>
            <w:vAlign w:val="center"/>
            <w:hideMark/>
          </w:tcPr>
          <w:p w14:paraId="18B8F1B6" w14:textId="77777777" w:rsidR="00000000" w:rsidRDefault="009B6C69">
            <w:pPr>
              <w:spacing w:after="100"/>
              <w:rPr>
                <w:rFonts w:eastAsia="Times New Roman"/>
                <w:sz w:val="20"/>
                <w:szCs w:val="20"/>
              </w:rPr>
            </w:pPr>
          </w:p>
        </w:tc>
        <w:tc>
          <w:tcPr>
            <w:tcW w:w="0" w:type="auto"/>
            <w:vAlign w:val="center"/>
            <w:hideMark/>
          </w:tcPr>
          <w:p w14:paraId="0A1D8001" w14:textId="77777777" w:rsidR="00000000" w:rsidRDefault="009B6C69">
            <w:pPr>
              <w:spacing w:after="100"/>
              <w:rPr>
                <w:rFonts w:eastAsia="Times New Roman"/>
                <w:sz w:val="20"/>
                <w:szCs w:val="20"/>
              </w:rPr>
            </w:pPr>
          </w:p>
        </w:tc>
        <w:tc>
          <w:tcPr>
            <w:tcW w:w="0" w:type="auto"/>
            <w:vAlign w:val="center"/>
            <w:hideMark/>
          </w:tcPr>
          <w:p w14:paraId="28C45246" w14:textId="77777777" w:rsidR="00000000" w:rsidRDefault="009B6C69">
            <w:pPr>
              <w:spacing w:after="100"/>
              <w:rPr>
                <w:rFonts w:eastAsia="Times New Roman"/>
                <w:sz w:val="20"/>
                <w:szCs w:val="20"/>
              </w:rPr>
            </w:pPr>
          </w:p>
        </w:tc>
        <w:tc>
          <w:tcPr>
            <w:tcW w:w="0" w:type="auto"/>
            <w:vAlign w:val="center"/>
            <w:hideMark/>
          </w:tcPr>
          <w:p w14:paraId="0E950BD8" w14:textId="77777777" w:rsidR="00000000" w:rsidRDefault="009B6C69">
            <w:pPr>
              <w:spacing w:after="100"/>
              <w:rPr>
                <w:rFonts w:eastAsia="Times New Roman"/>
                <w:sz w:val="20"/>
                <w:szCs w:val="20"/>
              </w:rPr>
            </w:pPr>
          </w:p>
        </w:tc>
        <w:tc>
          <w:tcPr>
            <w:tcW w:w="0" w:type="auto"/>
            <w:vAlign w:val="center"/>
            <w:hideMark/>
          </w:tcPr>
          <w:p w14:paraId="06F40ABB"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4C5052" w14:textId="77777777" w:rsidR="00000000" w:rsidRDefault="009B6C69">
            <w:pPr>
              <w:spacing w:after="100"/>
              <w:jc w:val="right"/>
              <w:rPr>
                <w:rFonts w:eastAsia="Times New Roman"/>
              </w:rPr>
            </w:pPr>
            <w:r>
              <w:rPr>
                <w:rFonts w:eastAsia="Times New Roman"/>
                <w:color w:val="000000"/>
                <w:sz w:val="18"/>
                <w:szCs w:val="18"/>
              </w:rPr>
              <w:t>(24)</w:t>
            </w:r>
          </w:p>
        </w:tc>
        <w:tc>
          <w:tcPr>
            <w:tcW w:w="0" w:type="auto"/>
            <w:shd w:val="clear" w:color="auto" w:fill="FFFFFF"/>
            <w:tcMar>
              <w:top w:w="30" w:type="dxa"/>
              <w:left w:w="0" w:type="dxa"/>
              <w:bottom w:w="30" w:type="dxa"/>
              <w:right w:w="20" w:type="dxa"/>
            </w:tcMar>
            <w:vAlign w:val="bottom"/>
            <w:hideMark/>
          </w:tcPr>
          <w:p w14:paraId="19B22FF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E69F7F"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81AEA5" w14:textId="77777777" w:rsidR="00000000" w:rsidRDefault="009B6C69">
            <w:pPr>
              <w:spacing w:after="100"/>
              <w:jc w:val="right"/>
              <w:rPr>
                <w:rFonts w:eastAsia="Times New Roman"/>
              </w:rPr>
            </w:pPr>
            <w:r>
              <w:rPr>
                <w:rFonts w:eastAsia="Times New Roman"/>
                <w:color w:val="000000"/>
                <w:sz w:val="18"/>
                <w:szCs w:val="18"/>
              </w:rPr>
              <w:t>(58)</w:t>
            </w:r>
          </w:p>
        </w:tc>
        <w:tc>
          <w:tcPr>
            <w:tcW w:w="0" w:type="auto"/>
            <w:shd w:val="clear" w:color="auto" w:fill="FFFFFF"/>
            <w:tcMar>
              <w:top w:w="30" w:type="dxa"/>
              <w:left w:w="0" w:type="dxa"/>
              <w:bottom w:w="30" w:type="dxa"/>
              <w:right w:w="20" w:type="dxa"/>
            </w:tcMar>
            <w:vAlign w:val="bottom"/>
            <w:hideMark/>
          </w:tcPr>
          <w:p w14:paraId="0715ABD0"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6D030E"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1B2EA4" w14:textId="77777777" w:rsidR="00000000" w:rsidRDefault="009B6C69">
            <w:pPr>
              <w:spacing w:after="100"/>
              <w:jc w:val="right"/>
              <w:rPr>
                <w:rFonts w:eastAsia="Times New Roman"/>
              </w:rPr>
            </w:pPr>
            <w:r>
              <w:rPr>
                <w:rFonts w:eastAsia="Times New Roman"/>
                <w:color w:val="000000"/>
                <w:sz w:val="18"/>
                <w:szCs w:val="18"/>
              </w:rPr>
              <w:t>(63)</w:t>
            </w:r>
          </w:p>
        </w:tc>
        <w:tc>
          <w:tcPr>
            <w:tcW w:w="0" w:type="auto"/>
            <w:shd w:val="clear" w:color="auto" w:fill="FFFFFF"/>
            <w:tcMar>
              <w:top w:w="30" w:type="dxa"/>
              <w:left w:w="0" w:type="dxa"/>
              <w:bottom w:w="30" w:type="dxa"/>
              <w:right w:w="20" w:type="dxa"/>
            </w:tcMar>
            <w:vAlign w:val="bottom"/>
            <w:hideMark/>
          </w:tcPr>
          <w:p w14:paraId="07D91B67" w14:textId="77777777" w:rsidR="00000000" w:rsidRDefault="009B6C69">
            <w:pPr>
              <w:spacing w:after="100"/>
              <w:jc w:val="right"/>
              <w:rPr>
                <w:rFonts w:eastAsia="Times New Roman"/>
              </w:rPr>
            </w:pPr>
          </w:p>
        </w:tc>
      </w:tr>
      <w:tr w:rsidR="00000000" w14:paraId="5B1D2953" w14:textId="77777777">
        <w:trPr>
          <w:divId w:val="2054382628"/>
        </w:trPr>
        <w:tc>
          <w:tcPr>
            <w:tcW w:w="0" w:type="auto"/>
            <w:gridSpan w:val="3"/>
            <w:shd w:val="clear" w:color="auto" w:fill="CCEEFF"/>
            <w:tcMar>
              <w:top w:w="0" w:type="dxa"/>
              <w:left w:w="20" w:type="dxa"/>
              <w:bottom w:w="0" w:type="dxa"/>
              <w:right w:w="20" w:type="dxa"/>
            </w:tcMar>
            <w:vAlign w:val="center"/>
            <w:hideMark/>
          </w:tcPr>
          <w:p w14:paraId="3ADE1896" w14:textId="77777777" w:rsidR="00000000" w:rsidRDefault="009B6C69">
            <w:pPr>
              <w:spacing w:after="100"/>
              <w:jc w:val="right"/>
              <w:rPr>
                <w:rFonts w:eastAsia="Times New Roman"/>
                <w:sz w:val="20"/>
                <w:szCs w:val="20"/>
              </w:rPr>
            </w:pPr>
          </w:p>
        </w:tc>
        <w:tc>
          <w:tcPr>
            <w:tcW w:w="0" w:type="auto"/>
            <w:vAlign w:val="center"/>
            <w:hideMark/>
          </w:tcPr>
          <w:p w14:paraId="7561FEFE" w14:textId="77777777" w:rsidR="00000000" w:rsidRDefault="009B6C69">
            <w:pPr>
              <w:spacing w:after="100"/>
              <w:rPr>
                <w:rFonts w:eastAsia="Times New Roman"/>
                <w:sz w:val="20"/>
                <w:szCs w:val="20"/>
              </w:rPr>
            </w:pPr>
          </w:p>
        </w:tc>
        <w:tc>
          <w:tcPr>
            <w:tcW w:w="0" w:type="auto"/>
            <w:vAlign w:val="center"/>
            <w:hideMark/>
          </w:tcPr>
          <w:p w14:paraId="4B804192" w14:textId="77777777" w:rsidR="00000000" w:rsidRDefault="009B6C69">
            <w:pPr>
              <w:spacing w:after="100"/>
              <w:rPr>
                <w:rFonts w:eastAsia="Times New Roman"/>
                <w:sz w:val="20"/>
                <w:szCs w:val="20"/>
              </w:rPr>
            </w:pPr>
          </w:p>
        </w:tc>
        <w:tc>
          <w:tcPr>
            <w:tcW w:w="0" w:type="auto"/>
            <w:vAlign w:val="center"/>
            <w:hideMark/>
          </w:tcPr>
          <w:p w14:paraId="12605C14" w14:textId="77777777" w:rsidR="00000000" w:rsidRDefault="009B6C69">
            <w:pPr>
              <w:spacing w:after="100"/>
              <w:rPr>
                <w:rFonts w:eastAsia="Times New Roman"/>
                <w:sz w:val="20"/>
                <w:szCs w:val="20"/>
              </w:rPr>
            </w:pPr>
          </w:p>
        </w:tc>
        <w:tc>
          <w:tcPr>
            <w:tcW w:w="0" w:type="auto"/>
            <w:vAlign w:val="center"/>
            <w:hideMark/>
          </w:tcPr>
          <w:p w14:paraId="15B91D2C" w14:textId="77777777" w:rsidR="00000000" w:rsidRDefault="009B6C69">
            <w:pPr>
              <w:spacing w:after="100"/>
              <w:rPr>
                <w:rFonts w:eastAsia="Times New Roman"/>
                <w:sz w:val="20"/>
                <w:szCs w:val="20"/>
              </w:rPr>
            </w:pPr>
          </w:p>
        </w:tc>
        <w:tc>
          <w:tcPr>
            <w:tcW w:w="0" w:type="auto"/>
            <w:vAlign w:val="center"/>
            <w:hideMark/>
          </w:tcPr>
          <w:p w14:paraId="79A0D368" w14:textId="77777777" w:rsidR="00000000" w:rsidRDefault="009B6C69">
            <w:pPr>
              <w:spacing w:after="100"/>
              <w:rPr>
                <w:rFonts w:eastAsia="Times New Roman"/>
                <w:sz w:val="20"/>
                <w:szCs w:val="20"/>
              </w:rPr>
            </w:pPr>
          </w:p>
        </w:tc>
        <w:tc>
          <w:tcPr>
            <w:tcW w:w="0" w:type="auto"/>
            <w:vAlign w:val="center"/>
            <w:hideMark/>
          </w:tcPr>
          <w:p w14:paraId="29DB465A" w14:textId="77777777" w:rsidR="00000000" w:rsidRDefault="009B6C69">
            <w:pPr>
              <w:spacing w:after="100"/>
              <w:rPr>
                <w:rFonts w:eastAsia="Times New Roman"/>
                <w:sz w:val="20"/>
                <w:szCs w:val="20"/>
              </w:rPr>
            </w:pPr>
          </w:p>
        </w:tc>
        <w:tc>
          <w:tcPr>
            <w:tcW w:w="0" w:type="auto"/>
            <w:vAlign w:val="center"/>
            <w:hideMark/>
          </w:tcPr>
          <w:p w14:paraId="5C26B10D" w14:textId="77777777" w:rsidR="00000000" w:rsidRDefault="009B6C69">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3632F11"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F1175DF" w14:textId="77777777" w:rsidR="00000000" w:rsidRDefault="009B6C69">
            <w:pPr>
              <w:spacing w:after="100"/>
              <w:jc w:val="right"/>
              <w:rPr>
                <w:rFonts w:eastAsia="Times New Roman"/>
              </w:rPr>
            </w:pPr>
            <w:r>
              <w:rPr>
                <w:rFonts w:eastAsia="Times New Roman"/>
                <w:color w:val="000000"/>
                <w:sz w:val="18"/>
                <w:szCs w:val="18"/>
              </w:rPr>
              <w:t>(2,188)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BE3A58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53259B"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D6903C"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1684155" w14:textId="77777777" w:rsidR="00000000" w:rsidRDefault="009B6C69">
            <w:pPr>
              <w:spacing w:after="100"/>
              <w:jc w:val="right"/>
              <w:rPr>
                <w:rFonts w:eastAsia="Times New Roman"/>
              </w:rPr>
            </w:pPr>
            <w:r>
              <w:rPr>
                <w:rFonts w:eastAsia="Times New Roman"/>
                <w:color w:val="000000"/>
                <w:sz w:val="18"/>
                <w:szCs w:val="18"/>
              </w:rPr>
              <w:t>(3,032)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9F5DAD"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D9A32B"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35582FD"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28ED9A3" w14:textId="77777777" w:rsidR="00000000" w:rsidRDefault="009B6C69">
            <w:pPr>
              <w:spacing w:after="100"/>
              <w:jc w:val="right"/>
              <w:rPr>
                <w:rFonts w:eastAsia="Times New Roman"/>
              </w:rPr>
            </w:pPr>
            <w:r>
              <w:rPr>
                <w:rFonts w:eastAsia="Times New Roman"/>
                <w:color w:val="000000"/>
                <w:sz w:val="18"/>
                <w:szCs w:val="18"/>
              </w:rPr>
              <w:t>(475)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D3FFEC2" w14:textId="77777777" w:rsidR="00000000" w:rsidRDefault="009B6C69">
            <w:pPr>
              <w:spacing w:after="100"/>
              <w:jc w:val="right"/>
              <w:rPr>
                <w:rFonts w:eastAsia="Times New Roman"/>
              </w:rPr>
            </w:pPr>
          </w:p>
        </w:tc>
      </w:tr>
    </w:tbl>
    <w:p w14:paraId="08C745A0" w14:textId="77777777" w:rsidR="00000000" w:rsidRDefault="009B6C69">
      <w:pPr>
        <w:ind w:firstLine="360"/>
        <w:divId w:val="1633288222"/>
        <w:rPr>
          <w:rFonts w:eastAsia="Times New Roman"/>
        </w:rPr>
      </w:pPr>
      <w:r>
        <w:rPr>
          <w:rFonts w:eastAsia="Times New Roman"/>
          <w:color w:val="000000"/>
          <w:sz w:val="20"/>
          <w:szCs w:val="20"/>
        </w:rPr>
        <w:t>Certain revenues were not allocated to our segments in our management reports because they were not considered in evaluating segment resul</w:t>
      </w:r>
      <w:r>
        <w:rPr>
          <w:rFonts w:eastAsia="Times New Roman"/>
          <w:color w:val="000000"/>
          <w:sz w:val="20"/>
          <w:szCs w:val="20"/>
        </w:rPr>
        <w:t xml:space="preserve">ts. Unallocated revenues in fiscal 2021 were comprised of the release of a variable constraint against revenues not previously allocated to our segment results. Unallocated revenues in fiscal 2020 were comprised of licensing revenues from Huawei resulting </w:t>
      </w:r>
      <w:r>
        <w:rPr>
          <w:rFonts w:eastAsia="Times New Roman"/>
          <w:color w:val="000000"/>
          <w:sz w:val="20"/>
          <w:szCs w:val="20"/>
        </w:rPr>
        <w:t>from the settlement agreement signed in July 2020 and royalties for sales made in the March 2020 and June 2020 quarters under a new global patent license agreement signed in July 2020.</w:t>
      </w:r>
    </w:p>
    <w:p w14:paraId="5FC6B0E3" w14:textId="77777777" w:rsidR="00000000" w:rsidRDefault="009B6C69">
      <w:pPr>
        <w:divId w:val="221332051"/>
        <w:rPr>
          <w:rFonts w:eastAsia="Times New Roman"/>
        </w:rPr>
      </w:pPr>
      <w:r>
        <w:rPr>
          <w:rFonts w:eastAsia="Times New Roman"/>
          <w:b/>
          <w:bCs/>
          <w:color w:val="000000"/>
          <w:sz w:val="20"/>
          <w:szCs w:val="20"/>
        </w:rPr>
        <w:t xml:space="preserve">Note 9. Acquisitions </w:t>
      </w:r>
    </w:p>
    <w:p w14:paraId="647CE348" w14:textId="77777777" w:rsidR="00000000" w:rsidRDefault="009B6C69">
      <w:pPr>
        <w:ind w:firstLine="360"/>
        <w:divId w:val="56713392"/>
        <w:rPr>
          <w:rFonts w:eastAsia="Times New Roman"/>
        </w:rPr>
      </w:pPr>
      <w:r>
        <w:rPr>
          <w:rFonts w:eastAsia="Times New Roman"/>
          <w:b/>
          <w:bCs/>
          <w:i/>
          <w:iCs/>
          <w:color w:val="000000"/>
          <w:sz w:val="20"/>
          <w:szCs w:val="20"/>
        </w:rPr>
        <w:t xml:space="preserve">Nuvia. </w:t>
      </w:r>
      <w:r>
        <w:rPr>
          <w:rFonts w:eastAsia="Times New Roman"/>
          <w:color w:val="000000"/>
          <w:sz w:val="20"/>
          <w:szCs w:val="20"/>
        </w:rPr>
        <w:t>On March 16, 2021, we completed the acquisition of Nuvia for $1.1 billion (net of $174 million cash acquired), substantially all of which was paid in cash. In connection with the acquisition, we assumed or replaced unvested Nuvia stock awards with Qualcomm</w:t>
      </w:r>
      <w:r>
        <w:rPr>
          <w:rFonts w:eastAsia="Times New Roman"/>
          <w:color w:val="000000"/>
          <w:sz w:val="20"/>
          <w:szCs w:val="20"/>
        </w:rPr>
        <w:t xml:space="preserve"> stock awards with an estimated fair value of $258 million, which have post-acquisition requisite service periods of up to four years. At the time of the acquisition, Nuvia had certain in-process technologies and was comprised of a CPU (central processing </w:t>
      </w:r>
      <w:r>
        <w:rPr>
          <w:rFonts w:eastAsia="Times New Roman"/>
          <w:color w:val="000000"/>
          <w:sz w:val="20"/>
          <w:szCs w:val="20"/>
        </w:rPr>
        <w:t>unit) and technology design team with expertise in high performance processors, SoC and power management for compute-intensive devices and applications. Upon completion of development, Nuvia’s technologies are expected to be integrated into certain QCT pro</w:t>
      </w:r>
      <w:r>
        <w:rPr>
          <w:rFonts w:eastAsia="Times New Roman"/>
          <w:color w:val="000000"/>
          <w:sz w:val="20"/>
          <w:szCs w:val="20"/>
        </w:rPr>
        <w:t>ducts. We recorded $885 million of goodwill, which is not deductible for tax purposes and was allocated to our QCT segment for annual impairment testing purposes. Goodwill is primarily attributable to assembled workforce and certain revenue and cost synerg</w:t>
      </w:r>
      <w:r>
        <w:rPr>
          <w:rFonts w:eastAsia="Times New Roman"/>
          <w:color w:val="000000"/>
          <w:sz w:val="20"/>
          <w:szCs w:val="20"/>
        </w:rPr>
        <w:t>ies expected to arise after the acquisition. We also recorded a $247 million in-process research and development intangible asset related to a single project, which is expected to be completed in fiscal 2023 and, upon completion, will be amortized over its</w:t>
      </w:r>
      <w:r>
        <w:rPr>
          <w:rFonts w:eastAsia="Times New Roman"/>
          <w:color w:val="000000"/>
          <w:sz w:val="20"/>
          <w:szCs w:val="20"/>
        </w:rPr>
        <w:t xml:space="preserve"> useful life, which is expected to be seven years. Our results of operations for fiscal 2021 included the operating results of Nuvia since the acquisition date, the amounts of which were not material.</w:t>
      </w:r>
    </w:p>
    <w:p w14:paraId="262833CC" w14:textId="77777777" w:rsidR="00000000" w:rsidRDefault="009B6C69">
      <w:pPr>
        <w:ind w:firstLine="360"/>
        <w:divId w:val="1919435107"/>
        <w:rPr>
          <w:rFonts w:eastAsia="Times New Roman"/>
        </w:rPr>
      </w:pPr>
      <w:r>
        <w:rPr>
          <w:rFonts w:eastAsia="Times New Roman"/>
          <w:b/>
          <w:bCs/>
          <w:i/>
          <w:iCs/>
          <w:color w:val="000000"/>
          <w:sz w:val="20"/>
          <w:szCs w:val="20"/>
        </w:rPr>
        <w:t>Veoneer.</w:t>
      </w:r>
      <w:r>
        <w:rPr>
          <w:rFonts w:eastAsia="Times New Roman"/>
          <w:color w:val="000000"/>
          <w:sz w:val="20"/>
          <w:szCs w:val="20"/>
        </w:rPr>
        <w:t xml:space="preserve"> On October 4, 2021, we and SSW Partners, a New</w:t>
      </w:r>
      <w:r>
        <w:rPr>
          <w:rFonts w:eastAsia="Times New Roman"/>
          <w:color w:val="000000"/>
          <w:sz w:val="20"/>
          <w:szCs w:val="20"/>
        </w:rPr>
        <w:t xml:space="preserve"> York-based investment partnership, entered into a definitive agreement to acquire Veoneer, Inc. (Veoneer). The transaction closed on April 1, 2022 (the Closing Date). Total cash consideration paid in the transaction was $4.7 billion, consisting of (i) $4.</w:t>
      </w:r>
      <w:r>
        <w:rPr>
          <w:rFonts w:eastAsia="Times New Roman"/>
          <w:color w:val="000000"/>
          <w:sz w:val="20"/>
          <w:szCs w:val="20"/>
        </w:rPr>
        <w:t>6 billion paid in respect of Veoneer’s outstanding capital stock and equity awards and amounts paid to settle Veoneer’s convertible senior notes (which were converted at the election of the note holders and settled in cash in the third quarter of fiscal 20</w:t>
      </w:r>
      <w:r>
        <w:rPr>
          <w:rFonts w:eastAsia="Times New Roman"/>
          <w:color w:val="000000"/>
          <w:sz w:val="20"/>
          <w:szCs w:val="20"/>
        </w:rPr>
        <w:t>22) and (ii) a $110 million termination fee paid to Magna International Inc. (Magna) in the first quarter of fiscal 2022. We funded substantially all of the cash consideration payable in the transaction in exchange for (i) the Arriver business (which SSW t</w:t>
      </w:r>
      <w:r>
        <w:rPr>
          <w:rFonts w:eastAsia="Times New Roman"/>
          <w:color w:val="000000"/>
          <w:sz w:val="20"/>
          <w:szCs w:val="20"/>
        </w:rPr>
        <w:t>ransferred to us shortly after the Closing Date) and (ii) the right to receive a majority of the proceeds upon the sale of the Non-Arriver businesses by SSW Partners. We intend to incorporate Arriver’s computer vision, drive policy and driver assistance te</w:t>
      </w:r>
      <w:r>
        <w:rPr>
          <w:rFonts w:eastAsia="Times New Roman"/>
          <w:color w:val="000000"/>
          <w:sz w:val="20"/>
          <w:szCs w:val="20"/>
        </w:rPr>
        <w:t>chnologies into our Snapdragon automotive platform to deliver an integrated software SoC ADAS platform for automakers and Tier-1 automotive suppliers. SSW Partners retained Veoneer’s Tier-1 automotive supplier businesses, primarily consisting of the Active</w:t>
      </w:r>
      <w:r>
        <w:rPr>
          <w:rFonts w:eastAsia="Times New Roman"/>
          <w:color w:val="000000"/>
          <w:sz w:val="20"/>
          <w:szCs w:val="20"/>
        </w:rPr>
        <w:t xml:space="preserve"> Safety and Restraint Control Systems businesses (the Non-Arriver businesses), which it intends to sell in one or more transactions.</w:t>
      </w:r>
    </w:p>
    <w:p w14:paraId="6F57EF80" w14:textId="77777777" w:rsidR="00000000" w:rsidRDefault="009B6C69">
      <w:pPr>
        <w:ind w:firstLine="360"/>
        <w:divId w:val="97677104"/>
        <w:rPr>
          <w:rFonts w:eastAsia="Times New Roman"/>
        </w:rPr>
      </w:pPr>
      <w:r>
        <w:rPr>
          <w:rFonts w:eastAsia="Times New Roman"/>
          <w:color w:val="000000"/>
          <w:sz w:val="20"/>
          <w:szCs w:val="20"/>
        </w:rPr>
        <w:t>We have agreed to provide certain funding of approximately $300 million to the Non-Arriver businesses while SSW Partners se</w:t>
      </w:r>
      <w:r>
        <w:rPr>
          <w:rFonts w:eastAsia="Times New Roman"/>
          <w:color w:val="000000"/>
          <w:sz w:val="20"/>
          <w:szCs w:val="20"/>
        </w:rPr>
        <w:t>eks a buyer(s), of which approximately $150 million of funding remained available to the Non-Arriver businesses at September 25, 2022. Such amounts, along with cash retained in the Non-Arriver business, are expected to be used to fund working and other nea</w:t>
      </w:r>
      <w:r>
        <w:rPr>
          <w:rFonts w:eastAsia="Times New Roman"/>
          <w:color w:val="000000"/>
          <w:sz w:val="20"/>
          <w:szCs w:val="20"/>
        </w:rPr>
        <w:t xml:space="preserve">r-term capital needs, as well as certain costs incurred in connection with the close of the acquisition. </w:t>
      </w:r>
    </w:p>
    <w:p w14:paraId="1B8BEBE7" w14:textId="77777777" w:rsidR="00000000" w:rsidRDefault="009B6C69">
      <w:pPr>
        <w:ind w:firstLine="360"/>
        <w:divId w:val="697508382"/>
        <w:rPr>
          <w:rFonts w:eastAsia="Times New Roman"/>
        </w:rPr>
      </w:pPr>
      <w:r>
        <w:rPr>
          <w:rFonts w:eastAsia="Times New Roman"/>
          <w:color w:val="000000"/>
          <w:sz w:val="20"/>
          <w:szCs w:val="20"/>
        </w:rPr>
        <w:t>Although we do not own or operate the Non-Arriver businesses, we have determined that we are the primary beneficiary, within the meaning of the Financ</w:t>
      </w:r>
      <w:r>
        <w:rPr>
          <w:rFonts w:eastAsia="Times New Roman"/>
          <w:color w:val="000000"/>
          <w:sz w:val="20"/>
          <w:szCs w:val="20"/>
        </w:rPr>
        <w:t>ial Accounting Standards Board (FASB) accounting guidance related to consolidation (ASC 810), of these businesses under the variable interest model. Factors considered in reaching this conclusion included, among others: (i) our involvement in the design of</w:t>
      </w:r>
      <w:r>
        <w:rPr>
          <w:rFonts w:eastAsia="Times New Roman"/>
          <w:color w:val="000000"/>
          <w:sz w:val="20"/>
          <w:szCs w:val="20"/>
        </w:rPr>
        <w:t xml:space="preserve"> and our funding of substantially all of the total cash consideration payable in the </w:t>
      </w:r>
    </w:p>
    <w:p w14:paraId="61E5ADB2" w14:textId="77777777" w:rsidR="00000000" w:rsidRDefault="009B6C69">
      <w:pPr>
        <w:jc w:val="center"/>
        <w:divId w:val="1715956949"/>
        <w:rPr>
          <w:rFonts w:eastAsia="Times New Roman"/>
        </w:rPr>
      </w:pPr>
      <w:r>
        <w:rPr>
          <w:rFonts w:eastAsia="Times New Roman"/>
          <w:color w:val="000000"/>
          <w:sz w:val="20"/>
          <w:szCs w:val="20"/>
        </w:rPr>
        <w:t>F-29</w:t>
      </w:r>
    </w:p>
    <w:p w14:paraId="43456905" w14:textId="77777777" w:rsidR="00000000" w:rsidRDefault="009B6C69">
      <w:pPr>
        <w:rPr>
          <w:rFonts w:eastAsia="Times New Roman"/>
        </w:rPr>
      </w:pPr>
      <w:r>
        <w:rPr>
          <w:rFonts w:eastAsia="Times New Roman"/>
        </w:rPr>
        <w:pict w14:anchorId="369ED7F0">
          <v:rect id="_x0000_i1109" style="width:0;height:1.5pt" o:hralign="center" o:hrstd="t" o:hr="t" fillcolor="#a0a0a0" stroked="f"/>
        </w:pict>
      </w:r>
    </w:p>
    <w:p w14:paraId="58DAB91C" w14:textId="77777777" w:rsidR="00000000" w:rsidRDefault="009B6C69">
      <w:pPr>
        <w:jc w:val="center"/>
        <w:divId w:val="717167155"/>
        <w:rPr>
          <w:rFonts w:eastAsia="Times New Roman"/>
        </w:rPr>
      </w:pPr>
    </w:p>
    <w:p w14:paraId="59FC4E46" w14:textId="77777777" w:rsidR="00000000" w:rsidRDefault="009B6C69">
      <w:pPr>
        <w:jc w:val="center"/>
        <w:divId w:val="717167155"/>
        <w:rPr>
          <w:rFonts w:eastAsia="Times New Roman"/>
        </w:rPr>
      </w:pPr>
      <w:r>
        <w:rPr>
          <w:rFonts w:eastAsia="Times New Roman"/>
          <w:b/>
          <w:bCs/>
          <w:color w:val="000000"/>
          <w:sz w:val="20"/>
          <w:szCs w:val="20"/>
        </w:rPr>
        <w:t>QUALCOMM Incorporated</w:t>
      </w:r>
    </w:p>
    <w:p w14:paraId="3F53AADF" w14:textId="77777777" w:rsidR="00000000" w:rsidRDefault="009B6C69">
      <w:pPr>
        <w:jc w:val="center"/>
        <w:divId w:val="717167155"/>
        <w:rPr>
          <w:rFonts w:eastAsia="Times New Roman"/>
        </w:rPr>
      </w:pPr>
      <w:r>
        <w:rPr>
          <w:rFonts w:eastAsia="Times New Roman"/>
          <w:b/>
          <w:bCs/>
          <w:color w:val="000000"/>
          <w:sz w:val="20"/>
          <w:szCs w:val="20"/>
        </w:rPr>
        <w:t>NOTES TO CONSOLIDATED FINANCIAL STATEMENTS</w:t>
      </w:r>
    </w:p>
    <w:p w14:paraId="07CF05E1" w14:textId="77777777" w:rsidR="00000000" w:rsidRDefault="009B6C69">
      <w:pPr>
        <w:divId w:val="833759198"/>
        <w:rPr>
          <w:rFonts w:eastAsia="Times New Roman"/>
        </w:rPr>
      </w:pPr>
      <w:r>
        <w:rPr>
          <w:rFonts w:eastAsia="Times New Roman"/>
          <w:color w:val="000000"/>
          <w:sz w:val="20"/>
          <w:szCs w:val="20"/>
        </w:rPr>
        <w:t>transaction and (ii) our obligations to absorb losses and rig</w:t>
      </w:r>
      <w:r>
        <w:rPr>
          <w:rFonts w:eastAsia="Times New Roman"/>
          <w:color w:val="000000"/>
          <w:sz w:val="20"/>
          <w:szCs w:val="20"/>
        </w:rPr>
        <w:t>hts to receive returns from the Non-Arriver businesses. We expect that SSW Partners will complete the sale of the Non-Arriver businesses within fiscal 2023, subject to any required regulatory approvals and other closing conditions being met. Accordingly, t</w:t>
      </w:r>
      <w:r>
        <w:rPr>
          <w:rFonts w:eastAsia="Times New Roman"/>
          <w:color w:val="000000"/>
          <w:sz w:val="20"/>
          <w:szCs w:val="20"/>
        </w:rPr>
        <w:t>he assets and liabilities of the Non-Arriver businesses are consolidated and presented as held for sale on our balance sheet, and the operating results are presented as discontinued operations.</w:t>
      </w:r>
    </w:p>
    <w:p w14:paraId="2C214C8D" w14:textId="77777777" w:rsidR="00000000" w:rsidRDefault="009B6C69">
      <w:pPr>
        <w:ind w:firstLine="360"/>
        <w:divId w:val="80640583"/>
        <w:rPr>
          <w:rFonts w:eastAsia="Times New Roman"/>
        </w:rPr>
      </w:pPr>
      <w:r>
        <w:rPr>
          <w:rFonts w:eastAsia="Times New Roman"/>
          <w:color w:val="000000"/>
          <w:sz w:val="20"/>
          <w:szCs w:val="20"/>
        </w:rPr>
        <w:t xml:space="preserve">Our accounting purchase price was approximately $4.3 billion, </w:t>
      </w:r>
      <w:r>
        <w:rPr>
          <w:rFonts w:eastAsia="Times New Roman"/>
          <w:color w:val="000000"/>
          <w:sz w:val="20"/>
          <w:szCs w:val="20"/>
        </w:rPr>
        <w:t>substantially all of which relates to our share of cash consideration at close for the outstanding common shares of Veoneer and the Magna termination fee and excludes Veoneer’s convertible senior notes that are reflected as an assumed liability. We have fi</w:t>
      </w:r>
      <w:r>
        <w:rPr>
          <w:rFonts w:eastAsia="Times New Roman"/>
          <w:color w:val="000000"/>
          <w:sz w:val="20"/>
          <w:szCs w:val="20"/>
        </w:rPr>
        <w:t>nalized the purchase price allocation, except for certain tax matters. Accordingly, the preliminary purchase price allocation shown below could change during the remainder of the measurement period (which will not exceed 12 months from the Closing Date). T</w:t>
      </w:r>
      <w:r>
        <w:rPr>
          <w:rFonts w:eastAsia="Times New Roman"/>
          <w:color w:val="000000"/>
          <w:sz w:val="20"/>
          <w:szCs w:val="20"/>
        </w:rPr>
        <w:t xml:space="preserve">he preliminary allocation of the purchase price to the assets acquired and liabilities assumed based on their fair values was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54"/>
        <w:gridCol w:w="7187"/>
        <w:gridCol w:w="38"/>
        <w:gridCol w:w="110"/>
        <w:gridCol w:w="881"/>
        <w:gridCol w:w="36"/>
      </w:tblGrid>
      <w:tr w:rsidR="00000000" w14:paraId="16B6B84E" w14:textId="77777777">
        <w:trPr>
          <w:divId w:val="1764106693"/>
        </w:trPr>
        <w:tc>
          <w:tcPr>
            <w:tcW w:w="50" w:type="pct"/>
            <w:vAlign w:val="center"/>
            <w:hideMark/>
          </w:tcPr>
          <w:p w14:paraId="14827F76" w14:textId="77777777" w:rsidR="00000000" w:rsidRDefault="009B6C69">
            <w:pPr>
              <w:ind w:firstLine="360"/>
              <w:rPr>
                <w:rFonts w:eastAsia="Times New Roman"/>
              </w:rPr>
            </w:pPr>
          </w:p>
        </w:tc>
        <w:tc>
          <w:tcPr>
            <w:tcW w:w="4342" w:type="pct"/>
            <w:vAlign w:val="center"/>
            <w:hideMark/>
          </w:tcPr>
          <w:p w14:paraId="6D609B38" w14:textId="77777777" w:rsidR="00000000" w:rsidRDefault="009B6C69">
            <w:pPr>
              <w:spacing w:after="100"/>
              <w:rPr>
                <w:rFonts w:eastAsia="Times New Roman"/>
                <w:sz w:val="20"/>
                <w:szCs w:val="20"/>
              </w:rPr>
            </w:pPr>
          </w:p>
        </w:tc>
        <w:tc>
          <w:tcPr>
            <w:tcW w:w="5" w:type="pct"/>
            <w:vAlign w:val="center"/>
            <w:hideMark/>
          </w:tcPr>
          <w:p w14:paraId="2E2FACE1" w14:textId="77777777" w:rsidR="00000000" w:rsidRDefault="009B6C69">
            <w:pPr>
              <w:spacing w:after="100"/>
              <w:rPr>
                <w:rFonts w:eastAsia="Times New Roman"/>
                <w:sz w:val="20"/>
                <w:szCs w:val="20"/>
              </w:rPr>
            </w:pPr>
          </w:p>
        </w:tc>
        <w:tc>
          <w:tcPr>
            <w:tcW w:w="50" w:type="pct"/>
            <w:vAlign w:val="center"/>
            <w:hideMark/>
          </w:tcPr>
          <w:p w14:paraId="7607FF30" w14:textId="77777777" w:rsidR="00000000" w:rsidRDefault="009B6C69">
            <w:pPr>
              <w:spacing w:after="100"/>
              <w:rPr>
                <w:rFonts w:eastAsia="Times New Roman"/>
                <w:sz w:val="20"/>
                <w:szCs w:val="20"/>
              </w:rPr>
            </w:pPr>
          </w:p>
        </w:tc>
        <w:tc>
          <w:tcPr>
            <w:tcW w:w="547" w:type="pct"/>
            <w:vAlign w:val="center"/>
            <w:hideMark/>
          </w:tcPr>
          <w:p w14:paraId="2BD5D145" w14:textId="77777777" w:rsidR="00000000" w:rsidRDefault="009B6C69">
            <w:pPr>
              <w:spacing w:after="100"/>
              <w:rPr>
                <w:rFonts w:eastAsia="Times New Roman"/>
                <w:sz w:val="20"/>
                <w:szCs w:val="20"/>
              </w:rPr>
            </w:pPr>
          </w:p>
        </w:tc>
        <w:tc>
          <w:tcPr>
            <w:tcW w:w="5" w:type="pct"/>
            <w:vAlign w:val="center"/>
            <w:hideMark/>
          </w:tcPr>
          <w:p w14:paraId="44CA0F38" w14:textId="77777777" w:rsidR="00000000" w:rsidRDefault="009B6C69">
            <w:pPr>
              <w:spacing w:after="100"/>
              <w:rPr>
                <w:rFonts w:eastAsia="Times New Roman"/>
                <w:sz w:val="20"/>
                <w:szCs w:val="20"/>
              </w:rPr>
            </w:pPr>
          </w:p>
        </w:tc>
      </w:tr>
      <w:tr w:rsidR="00000000" w14:paraId="498155C7" w14:textId="77777777">
        <w:trPr>
          <w:divId w:val="1764106693"/>
        </w:trPr>
        <w:tc>
          <w:tcPr>
            <w:tcW w:w="0" w:type="auto"/>
            <w:gridSpan w:val="3"/>
            <w:shd w:val="clear" w:color="auto" w:fill="CCEEFF"/>
            <w:tcMar>
              <w:top w:w="30" w:type="dxa"/>
              <w:left w:w="20" w:type="dxa"/>
              <w:bottom w:w="30" w:type="dxa"/>
              <w:right w:w="20" w:type="dxa"/>
            </w:tcMar>
            <w:vAlign w:val="bottom"/>
            <w:hideMark/>
          </w:tcPr>
          <w:p w14:paraId="7AC93D75" w14:textId="77777777" w:rsidR="00000000" w:rsidRDefault="009B6C69">
            <w:pPr>
              <w:spacing w:after="100"/>
              <w:rPr>
                <w:rFonts w:eastAsia="Times New Roman"/>
              </w:rPr>
            </w:pPr>
            <w:r>
              <w:rPr>
                <w:rFonts w:eastAsia="Times New Roman"/>
                <w:color w:val="000000"/>
                <w:sz w:val="18"/>
                <w:szCs w:val="18"/>
              </w:rPr>
              <w:t>Cash</w:t>
            </w:r>
          </w:p>
        </w:tc>
        <w:tc>
          <w:tcPr>
            <w:tcW w:w="0" w:type="auto"/>
            <w:shd w:val="clear" w:color="auto" w:fill="CCEEFF"/>
            <w:tcMar>
              <w:top w:w="30" w:type="dxa"/>
              <w:left w:w="20" w:type="dxa"/>
              <w:bottom w:w="30" w:type="dxa"/>
              <w:right w:w="0" w:type="dxa"/>
            </w:tcMar>
            <w:vAlign w:val="bottom"/>
            <w:hideMark/>
          </w:tcPr>
          <w:p w14:paraId="1547A964"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93A2CC7" w14:textId="77777777" w:rsidR="00000000" w:rsidRDefault="009B6C69">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bottom"/>
            <w:hideMark/>
          </w:tcPr>
          <w:p w14:paraId="47D4CB20" w14:textId="77777777" w:rsidR="00000000" w:rsidRDefault="009B6C69">
            <w:pPr>
              <w:spacing w:after="100"/>
              <w:jc w:val="right"/>
              <w:rPr>
                <w:rFonts w:eastAsia="Times New Roman"/>
              </w:rPr>
            </w:pPr>
          </w:p>
        </w:tc>
      </w:tr>
      <w:tr w:rsidR="00000000" w14:paraId="119E679C" w14:textId="77777777">
        <w:trPr>
          <w:divId w:val="1764106693"/>
        </w:trPr>
        <w:tc>
          <w:tcPr>
            <w:tcW w:w="0" w:type="auto"/>
            <w:gridSpan w:val="3"/>
            <w:shd w:val="clear" w:color="auto" w:fill="FFFFFF"/>
            <w:tcMar>
              <w:top w:w="30" w:type="dxa"/>
              <w:left w:w="20" w:type="dxa"/>
              <w:bottom w:w="30" w:type="dxa"/>
              <w:right w:w="20" w:type="dxa"/>
            </w:tcMar>
            <w:vAlign w:val="bottom"/>
            <w:hideMark/>
          </w:tcPr>
          <w:p w14:paraId="01C49441" w14:textId="77777777" w:rsidR="00000000" w:rsidRDefault="009B6C69">
            <w:pPr>
              <w:spacing w:after="100"/>
              <w:rPr>
                <w:rFonts w:eastAsia="Times New Roman"/>
              </w:rPr>
            </w:pPr>
            <w:r>
              <w:rPr>
                <w:rFonts w:eastAsia="Times New Roman"/>
                <w:color w:val="000000"/>
                <w:sz w:val="18"/>
                <w:szCs w:val="18"/>
              </w:rPr>
              <w:t>Current held for sale assets, net of costs to sell (1)</w:t>
            </w:r>
          </w:p>
        </w:tc>
        <w:tc>
          <w:tcPr>
            <w:tcW w:w="0" w:type="auto"/>
            <w:gridSpan w:val="2"/>
            <w:shd w:val="clear" w:color="auto" w:fill="FFFFFF"/>
            <w:tcMar>
              <w:top w:w="30" w:type="dxa"/>
              <w:left w:w="20" w:type="dxa"/>
              <w:bottom w:w="30" w:type="dxa"/>
              <w:right w:w="0" w:type="dxa"/>
            </w:tcMar>
            <w:vAlign w:val="bottom"/>
            <w:hideMark/>
          </w:tcPr>
          <w:p w14:paraId="6D7836BC" w14:textId="77777777" w:rsidR="00000000" w:rsidRDefault="009B6C69">
            <w:pPr>
              <w:spacing w:after="100"/>
              <w:jc w:val="right"/>
              <w:rPr>
                <w:rFonts w:eastAsia="Times New Roman"/>
              </w:rPr>
            </w:pPr>
            <w:r>
              <w:rPr>
                <w:rFonts w:eastAsia="Times New Roman"/>
                <w:color w:val="000000"/>
                <w:sz w:val="18"/>
                <w:szCs w:val="18"/>
              </w:rPr>
              <w:t>626 </w:t>
            </w:r>
          </w:p>
        </w:tc>
        <w:tc>
          <w:tcPr>
            <w:tcW w:w="0" w:type="auto"/>
            <w:shd w:val="clear" w:color="auto" w:fill="FFFFFF"/>
            <w:tcMar>
              <w:top w:w="30" w:type="dxa"/>
              <w:left w:w="0" w:type="dxa"/>
              <w:bottom w:w="30" w:type="dxa"/>
              <w:right w:w="20" w:type="dxa"/>
            </w:tcMar>
            <w:vAlign w:val="bottom"/>
            <w:hideMark/>
          </w:tcPr>
          <w:p w14:paraId="37D8C22F" w14:textId="77777777" w:rsidR="00000000" w:rsidRDefault="009B6C69">
            <w:pPr>
              <w:spacing w:after="100"/>
              <w:jc w:val="right"/>
              <w:rPr>
                <w:rFonts w:eastAsia="Times New Roman"/>
              </w:rPr>
            </w:pPr>
          </w:p>
        </w:tc>
      </w:tr>
      <w:tr w:rsidR="00000000" w14:paraId="7DF18889" w14:textId="77777777">
        <w:trPr>
          <w:divId w:val="1764106693"/>
        </w:trPr>
        <w:tc>
          <w:tcPr>
            <w:tcW w:w="0" w:type="auto"/>
            <w:gridSpan w:val="3"/>
            <w:shd w:val="clear" w:color="auto" w:fill="CCEEFF"/>
            <w:tcMar>
              <w:top w:w="30" w:type="dxa"/>
              <w:left w:w="20" w:type="dxa"/>
              <w:bottom w:w="30" w:type="dxa"/>
              <w:right w:w="20" w:type="dxa"/>
            </w:tcMar>
            <w:vAlign w:val="bottom"/>
            <w:hideMark/>
          </w:tcPr>
          <w:p w14:paraId="04F979AF" w14:textId="77777777" w:rsidR="00000000" w:rsidRDefault="009B6C69">
            <w:pPr>
              <w:spacing w:after="100"/>
              <w:rPr>
                <w:rFonts w:eastAsia="Times New Roman"/>
              </w:rPr>
            </w:pPr>
            <w:r>
              <w:rPr>
                <w:rFonts w:eastAsia="Times New Roman"/>
                <w:color w:val="000000"/>
                <w:sz w:val="18"/>
                <w:szCs w:val="18"/>
              </w:rPr>
              <w:t>Completed technology-based intangible assets</w:t>
            </w:r>
          </w:p>
        </w:tc>
        <w:tc>
          <w:tcPr>
            <w:tcW w:w="0" w:type="auto"/>
            <w:gridSpan w:val="2"/>
            <w:shd w:val="clear" w:color="auto" w:fill="CCEEFF"/>
            <w:tcMar>
              <w:top w:w="30" w:type="dxa"/>
              <w:left w:w="20" w:type="dxa"/>
              <w:bottom w:w="30" w:type="dxa"/>
              <w:right w:w="0" w:type="dxa"/>
            </w:tcMar>
            <w:vAlign w:val="bottom"/>
            <w:hideMark/>
          </w:tcPr>
          <w:p w14:paraId="71BDCFEA" w14:textId="77777777" w:rsidR="00000000" w:rsidRDefault="009B6C69">
            <w:pPr>
              <w:spacing w:after="100"/>
              <w:jc w:val="right"/>
              <w:rPr>
                <w:rFonts w:eastAsia="Times New Roman"/>
              </w:rPr>
            </w:pPr>
            <w:r>
              <w:rPr>
                <w:rFonts w:eastAsia="Times New Roman"/>
                <w:color w:val="000000"/>
                <w:sz w:val="18"/>
                <w:szCs w:val="18"/>
              </w:rPr>
              <w:t>349 </w:t>
            </w:r>
          </w:p>
        </w:tc>
        <w:tc>
          <w:tcPr>
            <w:tcW w:w="0" w:type="auto"/>
            <w:shd w:val="clear" w:color="auto" w:fill="CCEEFF"/>
            <w:tcMar>
              <w:top w:w="30" w:type="dxa"/>
              <w:left w:w="0" w:type="dxa"/>
              <w:bottom w:w="30" w:type="dxa"/>
              <w:right w:w="20" w:type="dxa"/>
            </w:tcMar>
            <w:vAlign w:val="bottom"/>
            <w:hideMark/>
          </w:tcPr>
          <w:p w14:paraId="19DE3DB2" w14:textId="77777777" w:rsidR="00000000" w:rsidRDefault="009B6C69">
            <w:pPr>
              <w:spacing w:after="100"/>
              <w:jc w:val="right"/>
              <w:rPr>
                <w:rFonts w:eastAsia="Times New Roman"/>
              </w:rPr>
            </w:pPr>
          </w:p>
        </w:tc>
      </w:tr>
      <w:tr w:rsidR="00000000" w14:paraId="5EB8D9EB" w14:textId="77777777">
        <w:trPr>
          <w:divId w:val="1764106693"/>
        </w:trPr>
        <w:tc>
          <w:tcPr>
            <w:tcW w:w="0" w:type="auto"/>
            <w:gridSpan w:val="3"/>
            <w:shd w:val="clear" w:color="auto" w:fill="FFFFFF"/>
            <w:tcMar>
              <w:top w:w="30" w:type="dxa"/>
              <w:left w:w="20" w:type="dxa"/>
              <w:bottom w:w="30" w:type="dxa"/>
              <w:right w:w="20" w:type="dxa"/>
            </w:tcMar>
            <w:vAlign w:val="bottom"/>
            <w:hideMark/>
          </w:tcPr>
          <w:p w14:paraId="360FFCC9" w14:textId="77777777" w:rsidR="00000000" w:rsidRDefault="009B6C69">
            <w:pPr>
              <w:spacing w:after="100"/>
              <w:rPr>
                <w:rFonts w:eastAsia="Times New Roman"/>
              </w:rPr>
            </w:pPr>
            <w:r>
              <w:rPr>
                <w:rFonts w:eastAsia="Times New Roman"/>
                <w:color w:val="000000"/>
                <w:sz w:val="18"/>
                <w:szCs w:val="18"/>
              </w:rPr>
              <w:t>In-process research and development (IPR&amp;D)</w:t>
            </w:r>
          </w:p>
        </w:tc>
        <w:tc>
          <w:tcPr>
            <w:tcW w:w="0" w:type="auto"/>
            <w:gridSpan w:val="2"/>
            <w:shd w:val="clear" w:color="auto" w:fill="FFFFFF"/>
            <w:tcMar>
              <w:top w:w="30" w:type="dxa"/>
              <w:left w:w="20" w:type="dxa"/>
              <w:bottom w:w="30" w:type="dxa"/>
              <w:right w:w="0" w:type="dxa"/>
            </w:tcMar>
            <w:vAlign w:val="bottom"/>
            <w:hideMark/>
          </w:tcPr>
          <w:p w14:paraId="1E617F2B" w14:textId="77777777" w:rsidR="00000000" w:rsidRDefault="009B6C69">
            <w:pPr>
              <w:spacing w:after="100"/>
              <w:jc w:val="right"/>
              <w:rPr>
                <w:rFonts w:eastAsia="Times New Roman"/>
              </w:rPr>
            </w:pPr>
            <w:r>
              <w:rPr>
                <w:rFonts w:eastAsia="Times New Roman"/>
                <w:color w:val="000000"/>
                <w:sz w:val="18"/>
                <w:szCs w:val="18"/>
              </w:rPr>
              <w:t>298 </w:t>
            </w:r>
          </w:p>
        </w:tc>
        <w:tc>
          <w:tcPr>
            <w:tcW w:w="0" w:type="auto"/>
            <w:shd w:val="clear" w:color="auto" w:fill="FFFFFF"/>
            <w:tcMar>
              <w:top w:w="30" w:type="dxa"/>
              <w:left w:w="0" w:type="dxa"/>
              <w:bottom w:w="30" w:type="dxa"/>
              <w:right w:w="20" w:type="dxa"/>
            </w:tcMar>
            <w:vAlign w:val="bottom"/>
            <w:hideMark/>
          </w:tcPr>
          <w:p w14:paraId="1D58476D" w14:textId="77777777" w:rsidR="00000000" w:rsidRDefault="009B6C69">
            <w:pPr>
              <w:spacing w:after="100"/>
              <w:jc w:val="right"/>
              <w:rPr>
                <w:rFonts w:eastAsia="Times New Roman"/>
              </w:rPr>
            </w:pPr>
          </w:p>
        </w:tc>
      </w:tr>
      <w:tr w:rsidR="00000000" w14:paraId="2B7195DD" w14:textId="77777777">
        <w:trPr>
          <w:divId w:val="1764106693"/>
        </w:trPr>
        <w:tc>
          <w:tcPr>
            <w:tcW w:w="0" w:type="auto"/>
            <w:gridSpan w:val="3"/>
            <w:shd w:val="clear" w:color="auto" w:fill="CCEEFF"/>
            <w:tcMar>
              <w:top w:w="30" w:type="dxa"/>
              <w:left w:w="20" w:type="dxa"/>
              <w:bottom w:w="30" w:type="dxa"/>
              <w:right w:w="20" w:type="dxa"/>
            </w:tcMar>
            <w:vAlign w:val="bottom"/>
            <w:hideMark/>
          </w:tcPr>
          <w:p w14:paraId="748CE47C" w14:textId="77777777" w:rsidR="00000000" w:rsidRDefault="009B6C69">
            <w:pPr>
              <w:spacing w:after="100"/>
              <w:rPr>
                <w:rFonts w:eastAsia="Times New Roman"/>
              </w:rPr>
            </w:pPr>
            <w:r>
              <w:rPr>
                <w:rFonts w:eastAsia="Times New Roman"/>
                <w:color w:val="000000"/>
                <w:sz w:val="18"/>
                <w:szCs w:val="18"/>
              </w:rPr>
              <w:t>Goodwill</w:t>
            </w:r>
          </w:p>
        </w:tc>
        <w:tc>
          <w:tcPr>
            <w:tcW w:w="0" w:type="auto"/>
            <w:gridSpan w:val="2"/>
            <w:shd w:val="clear" w:color="auto" w:fill="CCEEFF"/>
            <w:tcMar>
              <w:top w:w="30" w:type="dxa"/>
              <w:left w:w="20" w:type="dxa"/>
              <w:bottom w:w="30" w:type="dxa"/>
              <w:right w:w="0" w:type="dxa"/>
            </w:tcMar>
            <w:vAlign w:val="bottom"/>
            <w:hideMark/>
          </w:tcPr>
          <w:p w14:paraId="5C265A43" w14:textId="77777777" w:rsidR="00000000" w:rsidRDefault="009B6C69">
            <w:pPr>
              <w:spacing w:after="100"/>
              <w:jc w:val="right"/>
              <w:rPr>
                <w:rFonts w:eastAsia="Times New Roman"/>
              </w:rPr>
            </w:pPr>
            <w:r>
              <w:rPr>
                <w:rFonts w:eastAsia="Times New Roman"/>
                <w:color w:val="000000"/>
                <w:sz w:val="18"/>
                <w:szCs w:val="18"/>
              </w:rPr>
              <w:t>2,789 </w:t>
            </w:r>
          </w:p>
        </w:tc>
        <w:tc>
          <w:tcPr>
            <w:tcW w:w="0" w:type="auto"/>
            <w:shd w:val="clear" w:color="auto" w:fill="CCEEFF"/>
            <w:tcMar>
              <w:top w:w="30" w:type="dxa"/>
              <w:left w:w="0" w:type="dxa"/>
              <w:bottom w:w="30" w:type="dxa"/>
              <w:right w:w="20" w:type="dxa"/>
            </w:tcMar>
            <w:vAlign w:val="bottom"/>
            <w:hideMark/>
          </w:tcPr>
          <w:p w14:paraId="4661A7DD" w14:textId="77777777" w:rsidR="00000000" w:rsidRDefault="009B6C69">
            <w:pPr>
              <w:spacing w:after="100"/>
              <w:jc w:val="right"/>
              <w:rPr>
                <w:rFonts w:eastAsia="Times New Roman"/>
              </w:rPr>
            </w:pPr>
          </w:p>
        </w:tc>
      </w:tr>
      <w:tr w:rsidR="00000000" w14:paraId="2F877396" w14:textId="77777777">
        <w:trPr>
          <w:divId w:val="1764106693"/>
        </w:trPr>
        <w:tc>
          <w:tcPr>
            <w:tcW w:w="0" w:type="auto"/>
            <w:gridSpan w:val="3"/>
            <w:shd w:val="clear" w:color="auto" w:fill="FFFFFF"/>
            <w:tcMar>
              <w:top w:w="30" w:type="dxa"/>
              <w:left w:w="20" w:type="dxa"/>
              <w:bottom w:w="30" w:type="dxa"/>
              <w:right w:w="20" w:type="dxa"/>
            </w:tcMar>
            <w:vAlign w:val="bottom"/>
            <w:hideMark/>
          </w:tcPr>
          <w:p w14:paraId="3F8F0B30" w14:textId="77777777" w:rsidR="00000000" w:rsidRDefault="009B6C69">
            <w:pPr>
              <w:spacing w:after="100"/>
              <w:rPr>
                <w:rFonts w:eastAsia="Times New Roman"/>
              </w:rPr>
            </w:pPr>
            <w:r>
              <w:rPr>
                <w:rFonts w:eastAsia="Times New Roman"/>
                <w:color w:val="000000"/>
                <w:sz w:val="18"/>
                <w:szCs w:val="18"/>
              </w:rPr>
              <w:t>Noncurrent held for sale assets (1)</w:t>
            </w:r>
          </w:p>
        </w:tc>
        <w:tc>
          <w:tcPr>
            <w:tcW w:w="0" w:type="auto"/>
            <w:gridSpan w:val="2"/>
            <w:shd w:val="clear" w:color="auto" w:fill="FFFFFF"/>
            <w:tcMar>
              <w:top w:w="30" w:type="dxa"/>
              <w:left w:w="20" w:type="dxa"/>
              <w:bottom w:w="30" w:type="dxa"/>
              <w:right w:w="0" w:type="dxa"/>
            </w:tcMar>
            <w:vAlign w:val="bottom"/>
            <w:hideMark/>
          </w:tcPr>
          <w:p w14:paraId="6DAD0A59" w14:textId="77777777" w:rsidR="00000000" w:rsidRDefault="009B6C69">
            <w:pPr>
              <w:spacing w:after="100"/>
              <w:jc w:val="right"/>
              <w:rPr>
                <w:rFonts w:eastAsia="Times New Roman"/>
              </w:rPr>
            </w:pPr>
            <w:r>
              <w:rPr>
                <w:rFonts w:eastAsia="Times New Roman"/>
                <w:color w:val="000000"/>
                <w:sz w:val="18"/>
                <w:szCs w:val="18"/>
              </w:rPr>
              <w:t>1,186 </w:t>
            </w:r>
          </w:p>
        </w:tc>
        <w:tc>
          <w:tcPr>
            <w:tcW w:w="0" w:type="auto"/>
            <w:shd w:val="clear" w:color="auto" w:fill="FFFFFF"/>
            <w:tcMar>
              <w:top w:w="30" w:type="dxa"/>
              <w:left w:w="0" w:type="dxa"/>
              <w:bottom w:w="30" w:type="dxa"/>
              <w:right w:w="20" w:type="dxa"/>
            </w:tcMar>
            <w:vAlign w:val="bottom"/>
            <w:hideMark/>
          </w:tcPr>
          <w:p w14:paraId="2272F756" w14:textId="77777777" w:rsidR="00000000" w:rsidRDefault="009B6C69">
            <w:pPr>
              <w:spacing w:after="100"/>
              <w:jc w:val="right"/>
              <w:rPr>
                <w:rFonts w:eastAsia="Times New Roman"/>
              </w:rPr>
            </w:pPr>
          </w:p>
        </w:tc>
      </w:tr>
      <w:tr w:rsidR="00000000" w14:paraId="66AE3092" w14:textId="77777777">
        <w:trPr>
          <w:divId w:val="1764106693"/>
        </w:trPr>
        <w:tc>
          <w:tcPr>
            <w:tcW w:w="0" w:type="auto"/>
            <w:gridSpan w:val="3"/>
            <w:shd w:val="clear" w:color="auto" w:fill="CCEEFF"/>
            <w:tcMar>
              <w:top w:w="30" w:type="dxa"/>
              <w:left w:w="20" w:type="dxa"/>
              <w:bottom w:w="30" w:type="dxa"/>
              <w:right w:w="20" w:type="dxa"/>
            </w:tcMar>
            <w:vAlign w:val="bottom"/>
            <w:hideMark/>
          </w:tcPr>
          <w:p w14:paraId="7A6A170F" w14:textId="77777777" w:rsidR="00000000" w:rsidRDefault="009B6C69">
            <w:pPr>
              <w:spacing w:after="100"/>
              <w:rPr>
                <w:rFonts w:eastAsia="Times New Roman"/>
              </w:rPr>
            </w:pPr>
            <w:r>
              <w:rPr>
                <w:rFonts w:eastAsia="Times New Roman"/>
                <w:color w:val="000000"/>
                <w:sz w:val="18"/>
                <w:szCs w:val="18"/>
              </w:rPr>
              <w:t>Other assets</w:t>
            </w:r>
          </w:p>
        </w:tc>
        <w:tc>
          <w:tcPr>
            <w:tcW w:w="0" w:type="auto"/>
            <w:gridSpan w:val="2"/>
            <w:shd w:val="clear" w:color="auto" w:fill="CCEEFF"/>
            <w:tcMar>
              <w:top w:w="30" w:type="dxa"/>
              <w:left w:w="20" w:type="dxa"/>
              <w:bottom w:w="30" w:type="dxa"/>
              <w:right w:w="0" w:type="dxa"/>
            </w:tcMar>
            <w:vAlign w:val="bottom"/>
            <w:hideMark/>
          </w:tcPr>
          <w:p w14:paraId="530384EC" w14:textId="77777777" w:rsidR="00000000" w:rsidRDefault="009B6C69">
            <w:pPr>
              <w:spacing w:after="100"/>
              <w:jc w:val="right"/>
              <w:rPr>
                <w:rFonts w:eastAsia="Times New Roman"/>
              </w:rPr>
            </w:pPr>
            <w:r>
              <w:rPr>
                <w:rFonts w:eastAsia="Times New Roman"/>
                <w:color w:val="000000"/>
                <w:sz w:val="18"/>
                <w:szCs w:val="18"/>
              </w:rPr>
              <w:t>333 </w:t>
            </w:r>
          </w:p>
        </w:tc>
        <w:tc>
          <w:tcPr>
            <w:tcW w:w="0" w:type="auto"/>
            <w:shd w:val="clear" w:color="auto" w:fill="CCEEFF"/>
            <w:tcMar>
              <w:top w:w="30" w:type="dxa"/>
              <w:left w:w="0" w:type="dxa"/>
              <w:bottom w:w="30" w:type="dxa"/>
              <w:right w:w="20" w:type="dxa"/>
            </w:tcMar>
            <w:vAlign w:val="bottom"/>
            <w:hideMark/>
          </w:tcPr>
          <w:p w14:paraId="490F2FEB" w14:textId="77777777" w:rsidR="00000000" w:rsidRDefault="009B6C69">
            <w:pPr>
              <w:spacing w:after="100"/>
              <w:jc w:val="right"/>
              <w:rPr>
                <w:rFonts w:eastAsia="Times New Roman"/>
              </w:rPr>
            </w:pPr>
          </w:p>
        </w:tc>
      </w:tr>
      <w:tr w:rsidR="00000000" w14:paraId="7C7C68AA" w14:textId="77777777">
        <w:trPr>
          <w:divId w:val="1764106693"/>
        </w:trPr>
        <w:tc>
          <w:tcPr>
            <w:tcW w:w="0" w:type="auto"/>
            <w:gridSpan w:val="3"/>
            <w:shd w:val="clear" w:color="auto" w:fill="FFFFFF"/>
            <w:tcMar>
              <w:top w:w="30" w:type="dxa"/>
              <w:left w:w="155" w:type="dxa"/>
              <w:bottom w:w="30" w:type="dxa"/>
              <w:right w:w="20" w:type="dxa"/>
            </w:tcMar>
            <w:vAlign w:val="bottom"/>
            <w:hideMark/>
          </w:tcPr>
          <w:p w14:paraId="438A47F3" w14:textId="77777777" w:rsidR="00000000" w:rsidRDefault="009B6C69">
            <w:pPr>
              <w:spacing w:after="100"/>
              <w:rPr>
                <w:rFonts w:eastAsia="Times New Roman"/>
              </w:rPr>
            </w:pPr>
            <w:r>
              <w:rPr>
                <w:rFonts w:eastAsia="Times New Roman"/>
                <w:color w:val="000000"/>
                <w:sz w:val="18"/>
                <w:szCs w:val="18"/>
              </w:rPr>
              <w:t>Total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F7193C" w14:textId="77777777" w:rsidR="00000000" w:rsidRDefault="009B6C69">
            <w:pPr>
              <w:spacing w:after="100"/>
              <w:jc w:val="right"/>
              <w:rPr>
                <w:rFonts w:eastAsia="Times New Roman"/>
              </w:rPr>
            </w:pPr>
            <w:r>
              <w:rPr>
                <w:rFonts w:eastAsia="Times New Roman"/>
                <w:color w:val="000000"/>
                <w:sz w:val="18"/>
                <w:szCs w:val="18"/>
              </w:rPr>
              <w:t>5,611 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8FD21C" w14:textId="77777777" w:rsidR="00000000" w:rsidRDefault="009B6C69">
            <w:pPr>
              <w:spacing w:after="100"/>
              <w:jc w:val="right"/>
              <w:rPr>
                <w:rFonts w:eastAsia="Times New Roman"/>
              </w:rPr>
            </w:pPr>
          </w:p>
        </w:tc>
      </w:tr>
      <w:tr w:rsidR="00000000" w14:paraId="3309A0EB" w14:textId="77777777">
        <w:trPr>
          <w:divId w:val="1764106693"/>
        </w:trPr>
        <w:tc>
          <w:tcPr>
            <w:tcW w:w="0" w:type="auto"/>
            <w:gridSpan w:val="3"/>
            <w:shd w:val="clear" w:color="auto" w:fill="CCEEFF"/>
            <w:tcMar>
              <w:top w:w="30" w:type="dxa"/>
              <w:left w:w="20" w:type="dxa"/>
              <w:bottom w:w="30" w:type="dxa"/>
              <w:right w:w="20" w:type="dxa"/>
            </w:tcMar>
            <w:vAlign w:val="bottom"/>
            <w:hideMark/>
          </w:tcPr>
          <w:p w14:paraId="4BC8428F" w14:textId="77777777" w:rsidR="00000000" w:rsidRDefault="009B6C69">
            <w:pPr>
              <w:spacing w:after="100"/>
              <w:rPr>
                <w:rFonts w:eastAsia="Times New Roman"/>
              </w:rPr>
            </w:pPr>
            <w:r>
              <w:rPr>
                <w:rFonts w:eastAsia="Times New Roman"/>
                <w:color w:val="000000"/>
                <w:sz w:val="18"/>
                <w:szCs w:val="18"/>
              </w:rPr>
              <w:t>Current held for sale liabilities (1)</w:t>
            </w:r>
          </w:p>
        </w:tc>
        <w:tc>
          <w:tcPr>
            <w:tcW w:w="0" w:type="auto"/>
            <w:gridSpan w:val="2"/>
            <w:shd w:val="clear" w:color="auto" w:fill="CCEEFF"/>
            <w:tcMar>
              <w:top w:w="30" w:type="dxa"/>
              <w:left w:w="20" w:type="dxa"/>
              <w:bottom w:w="30" w:type="dxa"/>
              <w:right w:w="0" w:type="dxa"/>
            </w:tcMar>
            <w:vAlign w:val="bottom"/>
            <w:hideMark/>
          </w:tcPr>
          <w:p w14:paraId="5CAE4B14" w14:textId="77777777" w:rsidR="00000000" w:rsidRDefault="009B6C69">
            <w:pPr>
              <w:spacing w:after="100"/>
              <w:jc w:val="right"/>
              <w:rPr>
                <w:rFonts w:eastAsia="Times New Roman"/>
              </w:rPr>
            </w:pPr>
            <w:r>
              <w:rPr>
                <w:rFonts w:eastAsia="Times New Roman"/>
                <w:color w:val="000000"/>
                <w:sz w:val="18"/>
                <w:szCs w:val="18"/>
              </w:rPr>
              <w:t>(677)</w:t>
            </w:r>
          </w:p>
        </w:tc>
        <w:tc>
          <w:tcPr>
            <w:tcW w:w="0" w:type="auto"/>
            <w:shd w:val="clear" w:color="auto" w:fill="CCEEFF"/>
            <w:tcMar>
              <w:top w:w="30" w:type="dxa"/>
              <w:left w:w="0" w:type="dxa"/>
              <w:bottom w:w="30" w:type="dxa"/>
              <w:right w:w="20" w:type="dxa"/>
            </w:tcMar>
            <w:vAlign w:val="bottom"/>
            <w:hideMark/>
          </w:tcPr>
          <w:p w14:paraId="25832405" w14:textId="77777777" w:rsidR="00000000" w:rsidRDefault="009B6C69">
            <w:pPr>
              <w:spacing w:after="100"/>
              <w:jc w:val="right"/>
              <w:rPr>
                <w:rFonts w:eastAsia="Times New Roman"/>
              </w:rPr>
            </w:pPr>
          </w:p>
        </w:tc>
      </w:tr>
      <w:tr w:rsidR="00000000" w14:paraId="124AA821" w14:textId="77777777">
        <w:trPr>
          <w:divId w:val="1764106693"/>
        </w:trPr>
        <w:tc>
          <w:tcPr>
            <w:tcW w:w="0" w:type="auto"/>
            <w:gridSpan w:val="3"/>
            <w:shd w:val="clear" w:color="auto" w:fill="FFFFFF"/>
            <w:tcMar>
              <w:top w:w="30" w:type="dxa"/>
              <w:left w:w="20" w:type="dxa"/>
              <w:bottom w:w="30" w:type="dxa"/>
              <w:right w:w="20" w:type="dxa"/>
            </w:tcMar>
            <w:vAlign w:val="bottom"/>
            <w:hideMark/>
          </w:tcPr>
          <w:p w14:paraId="136F2DB1" w14:textId="77777777" w:rsidR="00000000" w:rsidRDefault="009B6C69">
            <w:pPr>
              <w:spacing w:after="100"/>
              <w:rPr>
                <w:rFonts w:eastAsia="Times New Roman"/>
              </w:rPr>
            </w:pPr>
            <w:r>
              <w:rPr>
                <w:rFonts w:eastAsia="Times New Roman"/>
                <w:color w:val="000000"/>
                <w:sz w:val="18"/>
                <w:szCs w:val="18"/>
              </w:rPr>
              <w:t>Convertible senior notes</w:t>
            </w:r>
          </w:p>
        </w:tc>
        <w:tc>
          <w:tcPr>
            <w:tcW w:w="0" w:type="auto"/>
            <w:gridSpan w:val="2"/>
            <w:shd w:val="clear" w:color="auto" w:fill="FFFFFF"/>
            <w:tcMar>
              <w:top w:w="30" w:type="dxa"/>
              <w:left w:w="20" w:type="dxa"/>
              <w:bottom w:w="30" w:type="dxa"/>
              <w:right w:w="0" w:type="dxa"/>
            </w:tcMar>
            <w:vAlign w:val="bottom"/>
            <w:hideMark/>
          </w:tcPr>
          <w:p w14:paraId="2B389C5E" w14:textId="77777777" w:rsidR="00000000" w:rsidRDefault="009B6C69">
            <w:pPr>
              <w:spacing w:after="100"/>
              <w:jc w:val="right"/>
              <w:rPr>
                <w:rFonts w:eastAsia="Times New Roman"/>
              </w:rPr>
            </w:pPr>
            <w:r>
              <w:rPr>
                <w:rFonts w:eastAsia="Times New Roman"/>
                <w:color w:val="000000"/>
                <w:sz w:val="18"/>
                <w:szCs w:val="18"/>
              </w:rPr>
              <w:t>(352)</w:t>
            </w:r>
          </w:p>
        </w:tc>
        <w:tc>
          <w:tcPr>
            <w:tcW w:w="0" w:type="auto"/>
            <w:shd w:val="clear" w:color="auto" w:fill="FFFFFF"/>
            <w:tcMar>
              <w:top w:w="30" w:type="dxa"/>
              <w:left w:w="0" w:type="dxa"/>
              <w:bottom w:w="30" w:type="dxa"/>
              <w:right w:w="20" w:type="dxa"/>
            </w:tcMar>
            <w:vAlign w:val="bottom"/>
            <w:hideMark/>
          </w:tcPr>
          <w:p w14:paraId="35D39D69" w14:textId="77777777" w:rsidR="00000000" w:rsidRDefault="009B6C69">
            <w:pPr>
              <w:spacing w:after="100"/>
              <w:jc w:val="right"/>
              <w:rPr>
                <w:rFonts w:eastAsia="Times New Roman"/>
              </w:rPr>
            </w:pPr>
          </w:p>
        </w:tc>
      </w:tr>
      <w:tr w:rsidR="00000000" w14:paraId="3B5E2173" w14:textId="77777777">
        <w:trPr>
          <w:divId w:val="1764106693"/>
        </w:trPr>
        <w:tc>
          <w:tcPr>
            <w:tcW w:w="0" w:type="auto"/>
            <w:gridSpan w:val="3"/>
            <w:shd w:val="clear" w:color="auto" w:fill="CCEEFF"/>
            <w:tcMar>
              <w:top w:w="30" w:type="dxa"/>
              <w:left w:w="20" w:type="dxa"/>
              <w:bottom w:w="30" w:type="dxa"/>
              <w:right w:w="20" w:type="dxa"/>
            </w:tcMar>
            <w:vAlign w:val="bottom"/>
            <w:hideMark/>
          </w:tcPr>
          <w:p w14:paraId="5520AB71" w14:textId="77777777" w:rsidR="00000000" w:rsidRDefault="009B6C69">
            <w:pPr>
              <w:spacing w:after="100"/>
              <w:rPr>
                <w:rFonts w:eastAsia="Times New Roman"/>
              </w:rPr>
            </w:pPr>
            <w:r>
              <w:rPr>
                <w:rFonts w:eastAsia="Times New Roman"/>
                <w:color w:val="000000"/>
                <w:sz w:val="18"/>
                <w:szCs w:val="18"/>
              </w:rPr>
              <w:t>Noncurrent held for sale liabilities (1)</w:t>
            </w:r>
          </w:p>
        </w:tc>
        <w:tc>
          <w:tcPr>
            <w:tcW w:w="0" w:type="auto"/>
            <w:gridSpan w:val="2"/>
            <w:shd w:val="clear" w:color="auto" w:fill="CCEEFF"/>
            <w:tcMar>
              <w:top w:w="30" w:type="dxa"/>
              <w:left w:w="20" w:type="dxa"/>
              <w:bottom w:w="30" w:type="dxa"/>
              <w:right w:w="0" w:type="dxa"/>
            </w:tcMar>
            <w:vAlign w:val="bottom"/>
            <w:hideMark/>
          </w:tcPr>
          <w:p w14:paraId="615DE364" w14:textId="77777777" w:rsidR="00000000" w:rsidRDefault="009B6C69">
            <w:pPr>
              <w:spacing w:after="100"/>
              <w:jc w:val="right"/>
              <w:rPr>
                <w:rFonts w:eastAsia="Times New Roman"/>
              </w:rPr>
            </w:pPr>
            <w:r>
              <w:rPr>
                <w:rFonts w:eastAsia="Times New Roman"/>
                <w:color w:val="000000"/>
                <w:sz w:val="18"/>
                <w:szCs w:val="18"/>
              </w:rPr>
              <w:t>(128)</w:t>
            </w:r>
          </w:p>
        </w:tc>
        <w:tc>
          <w:tcPr>
            <w:tcW w:w="0" w:type="auto"/>
            <w:shd w:val="clear" w:color="auto" w:fill="CCEEFF"/>
            <w:tcMar>
              <w:top w:w="30" w:type="dxa"/>
              <w:left w:w="0" w:type="dxa"/>
              <w:bottom w:w="30" w:type="dxa"/>
              <w:right w:w="20" w:type="dxa"/>
            </w:tcMar>
            <w:vAlign w:val="bottom"/>
            <w:hideMark/>
          </w:tcPr>
          <w:p w14:paraId="69E96F42" w14:textId="77777777" w:rsidR="00000000" w:rsidRDefault="009B6C69">
            <w:pPr>
              <w:spacing w:after="100"/>
              <w:jc w:val="right"/>
              <w:rPr>
                <w:rFonts w:eastAsia="Times New Roman"/>
              </w:rPr>
            </w:pPr>
          </w:p>
        </w:tc>
      </w:tr>
      <w:tr w:rsidR="00000000" w14:paraId="4AFEE43E" w14:textId="77777777">
        <w:trPr>
          <w:divId w:val="1764106693"/>
        </w:trPr>
        <w:tc>
          <w:tcPr>
            <w:tcW w:w="0" w:type="auto"/>
            <w:gridSpan w:val="3"/>
            <w:shd w:val="clear" w:color="auto" w:fill="FFFFFF"/>
            <w:tcMar>
              <w:top w:w="30" w:type="dxa"/>
              <w:left w:w="20" w:type="dxa"/>
              <w:bottom w:w="30" w:type="dxa"/>
              <w:right w:w="20" w:type="dxa"/>
            </w:tcMar>
            <w:vAlign w:val="bottom"/>
            <w:hideMark/>
          </w:tcPr>
          <w:p w14:paraId="253616E4" w14:textId="77777777" w:rsidR="00000000" w:rsidRDefault="009B6C69">
            <w:pPr>
              <w:spacing w:after="100"/>
              <w:rPr>
                <w:rFonts w:eastAsia="Times New Roman"/>
              </w:rPr>
            </w:pPr>
            <w:r>
              <w:rPr>
                <w:rFonts w:eastAsia="Times New Roman"/>
                <w:color w:val="000000"/>
                <w:sz w:val="18"/>
                <w:szCs w:val="18"/>
              </w:rPr>
              <w:t>Other liabilities</w:t>
            </w:r>
          </w:p>
        </w:tc>
        <w:tc>
          <w:tcPr>
            <w:tcW w:w="0" w:type="auto"/>
            <w:gridSpan w:val="2"/>
            <w:shd w:val="clear" w:color="auto" w:fill="FFFFFF"/>
            <w:tcMar>
              <w:top w:w="30" w:type="dxa"/>
              <w:left w:w="20" w:type="dxa"/>
              <w:bottom w:w="30" w:type="dxa"/>
              <w:right w:w="0" w:type="dxa"/>
            </w:tcMar>
            <w:vAlign w:val="bottom"/>
            <w:hideMark/>
          </w:tcPr>
          <w:p w14:paraId="2718E1B3" w14:textId="77777777" w:rsidR="00000000" w:rsidRDefault="009B6C69">
            <w:pPr>
              <w:spacing w:after="100"/>
              <w:jc w:val="right"/>
              <w:rPr>
                <w:rFonts w:eastAsia="Times New Roman"/>
              </w:rPr>
            </w:pPr>
            <w:r>
              <w:rPr>
                <w:rFonts w:eastAsia="Times New Roman"/>
                <w:color w:val="000000"/>
                <w:sz w:val="18"/>
                <w:szCs w:val="18"/>
              </w:rPr>
              <w:t>(203)</w:t>
            </w:r>
          </w:p>
        </w:tc>
        <w:tc>
          <w:tcPr>
            <w:tcW w:w="0" w:type="auto"/>
            <w:shd w:val="clear" w:color="auto" w:fill="FFFFFF"/>
            <w:tcMar>
              <w:top w:w="30" w:type="dxa"/>
              <w:left w:w="0" w:type="dxa"/>
              <w:bottom w:w="30" w:type="dxa"/>
              <w:right w:w="20" w:type="dxa"/>
            </w:tcMar>
            <w:vAlign w:val="bottom"/>
            <w:hideMark/>
          </w:tcPr>
          <w:p w14:paraId="009764B3" w14:textId="77777777" w:rsidR="00000000" w:rsidRDefault="009B6C69">
            <w:pPr>
              <w:spacing w:after="100"/>
              <w:jc w:val="right"/>
              <w:rPr>
                <w:rFonts w:eastAsia="Times New Roman"/>
              </w:rPr>
            </w:pPr>
          </w:p>
        </w:tc>
      </w:tr>
      <w:tr w:rsidR="00000000" w14:paraId="52B14041" w14:textId="77777777">
        <w:trPr>
          <w:divId w:val="1764106693"/>
        </w:trPr>
        <w:tc>
          <w:tcPr>
            <w:tcW w:w="0" w:type="auto"/>
            <w:gridSpan w:val="3"/>
            <w:shd w:val="clear" w:color="auto" w:fill="CCEEFF"/>
            <w:tcMar>
              <w:top w:w="30" w:type="dxa"/>
              <w:left w:w="155" w:type="dxa"/>
              <w:bottom w:w="30" w:type="dxa"/>
              <w:right w:w="20" w:type="dxa"/>
            </w:tcMar>
            <w:vAlign w:val="bottom"/>
            <w:hideMark/>
          </w:tcPr>
          <w:p w14:paraId="2F8707BA" w14:textId="77777777" w:rsidR="00000000" w:rsidRDefault="009B6C69">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402A68" w14:textId="77777777" w:rsidR="00000000" w:rsidRDefault="009B6C69">
            <w:pPr>
              <w:spacing w:after="100"/>
              <w:jc w:val="right"/>
              <w:rPr>
                <w:rFonts w:eastAsia="Times New Roman"/>
              </w:rPr>
            </w:pPr>
            <w:r>
              <w:rPr>
                <w:rFonts w:eastAsia="Times New Roman"/>
                <w:color w:val="000000"/>
                <w:sz w:val="18"/>
                <w:szCs w:val="18"/>
              </w:rPr>
              <w:t>(1,360)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A7CEB1" w14:textId="77777777" w:rsidR="00000000" w:rsidRDefault="009B6C69">
            <w:pPr>
              <w:spacing w:after="100"/>
              <w:jc w:val="right"/>
              <w:rPr>
                <w:rFonts w:eastAsia="Times New Roman"/>
              </w:rPr>
            </w:pPr>
          </w:p>
        </w:tc>
      </w:tr>
      <w:tr w:rsidR="00000000" w14:paraId="2D92CCDB" w14:textId="77777777">
        <w:trPr>
          <w:divId w:val="1764106693"/>
        </w:trPr>
        <w:tc>
          <w:tcPr>
            <w:tcW w:w="0" w:type="auto"/>
            <w:gridSpan w:val="3"/>
            <w:shd w:val="clear" w:color="auto" w:fill="FFFFFF"/>
            <w:tcMar>
              <w:top w:w="30" w:type="dxa"/>
              <w:left w:w="155" w:type="dxa"/>
              <w:bottom w:w="30" w:type="dxa"/>
              <w:right w:w="20" w:type="dxa"/>
            </w:tcMar>
            <w:vAlign w:val="bottom"/>
            <w:hideMark/>
          </w:tcPr>
          <w:p w14:paraId="74FAE34A" w14:textId="77777777" w:rsidR="00000000" w:rsidRDefault="009B6C69">
            <w:pPr>
              <w:spacing w:after="100"/>
              <w:rPr>
                <w:rFonts w:eastAsia="Times New Roman"/>
              </w:rPr>
            </w:pPr>
            <w:r>
              <w:rPr>
                <w:rFonts w:eastAsia="Times New Roman"/>
                <w:color w:val="000000"/>
                <w:sz w:val="18"/>
                <w:szCs w:val="18"/>
              </w:rPr>
              <w:t>Net assets acquired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7EE7A61"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2D9B5AD" w14:textId="77777777" w:rsidR="00000000" w:rsidRDefault="009B6C69">
            <w:pPr>
              <w:spacing w:after="100"/>
              <w:jc w:val="right"/>
              <w:rPr>
                <w:rFonts w:eastAsia="Times New Roman"/>
              </w:rPr>
            </w:pPr>
            <w:r>
              <w:rPr>
                <w:rFonts w:eastAsia="Times New Roman"/>
                <w:color w:val="000000"/>
                <w:sz w:val="18"/>
                <w:szCs w:val="18"/>
              </w:rPr>
              <w:t>4,251 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1B90E8" w14:textId="77777777" w:rsidR="00000000" w:rsidRDefault="009B6C69">
            <w:pPr>
              <w:spacing w:after="100"/>
              <w:jc w:val="right"/>
              <w:rPr>
                <w:rFonts w:eastAsia="Times New Roman"/>
              </w:rPr>
            </w:pPr>
          </w:p>
        </w:tc>
      </w:tr>
    </w:tbl>
    <w:p w14:paraId="73C9A65A" w14:textId="77777777" w:rsidR="00000000" w:rsidRDefault="009B6C69">
      <w:pPr>
        <w:ind w:hanging="270"/>
        <w:divId w:val="462382906"/>
        <w:rPr>
          <w:rFonts w:eastAsia="Times New Roman"/>
        </w:rPr>
      </w:pPr>
      <w:r>
        <w:rPr>
          <w:rFonts w:eastAsia="Times New Roman"/>
          <w:color w:val="000000"/>
          <w:sz w:val="20"/>
          <w:szCs w:val="20"/>
        </w:rPr>
        <w:t>(1) Held for sale assets and liabilities relate to the Non-Arriver businesses and were measured at fair value less costs to sell (including SSW Partners’ estimated return with respect to the sale proceeds of the Non-Arriver businesses), which was estimated</w:t>
      </w:r>
      <w:r>
        <w:rPr>
          <w:rFonts w:eastAsia="Times New Roman"/>
          <w:color w:val="000000"/>
          <w:sz w:val="20"/>
          <w:szCs w:val="20"/>
        </w:rPr>
        <w:t xml:space="preserve"> using a market approach based on significant inputs that were not observable. In the fourth quarter of fiscal 2022, we finalized and adjusted the valuation of the Non-Arriver businesses by $229 million and recorded an offsetting adjustment to decrease goo</w:t>
      </w:r>
      <w:r>
        <w:rPr>
          <w:rFonts w:eastAsia="Times New Roman"/>
          <w:color w:val="000000"/>
          <w:sz w:val="20"/>
          <w:szCs w:val="20"/>
        </w:rPr>
        <w:t>dwill for this amount. The Non-Arriver businesses’ assets are not available to be used to settle our obligations, and the Non-Arriver businesses’ creditors do not have recourse to us. SSW Partners owns and operates the Non-Arriver businesses, and its fundi</w:t>
      </w:r>
      <w:r>
        <w:rPr>
          <w:rFonts w:eastAsia="Times New Roman"/>
          <w:color w:val="000000"/>
          <w:sz w:val="20"/>
          <w:szCs w:val="20"/>
        </w:rPr>
        <w:t>ng of the purchase price for Veoneer was recorded as a component of held for sale liabilities. The underlying classes of assets and liabilities held for sale have not been presented because such amounts are not material.</w:t>
      </w:r>
    </w:p>
    <w:p w14:paraId="19FFBEC3" w14:textId="77777777" w:rsidR="00000000" w:rsidRDefault="009B6C69">
      <w:pPr>
        <w:ind w:firstLine="360"/>
        <w:divId w:val="861868651"/>
        <w:rPr>
          <w:rFonts w:eastAsia="Times New Roman"/>
        </w:rPr>
      </w:pPr>
      <w:r>
        <w:rPr>
          <w:rFonts w:eastAsia="Times New Roman"/>
          <w:color w:val="000000"/>
          <w:sz w:val="20"/>
          <w:szCs w:val="20"/>
        </w:rPr>
        <w:t>Goodwill related to this transaction was allocated to our QCT segment, and $471 million of which is expected to be deductible for tax purposes. Goodwill is primarily attributable to assembled workforce and certain synergies expected to arise after the acqu</w:t>
      </w:r>
      <w:r>
        <w:rPr>
          <w:rFonts w:eastAsia="Times New Roman"/>
          <w:color w:val="000000"/>
          <w:sz w:val="20"/>
          <w:szCs w:val="20"/>
        </w:rPr>
        <w:t>isition. Completed technology-based intangible assets are being amortized on a straight-line basis over the weighted-average useful life of nine years. IPR&amp;D relates to a single project that is expected to be completed in fiscal 2025. Upon completion, we e</w:t>
      </w:r>
      <w:r>
        <w:rPr>
          <w:rFonts w:eastAsia="Times New Roman"/>
          <w:color w:val="000000"/>
          <w:sz w:val="20"/>
          <w:szCs w:val="20"/>
        </w:rPr>
        <w:t>xpect the IPR&amp;D to be amortized over its useful life of seven years. We valued the completed technology and IPR&amp;D using an income approach based on significant unobservable inputs.</w:t>
      </w:r>
    </w:p>
    <w:p w14:paraId="03460042" w14:textId="77777777" w:rsidR="00000000" w:rsidRDefault="009B6C69">
      <w:pPr>
        <w:ind w:firstLine="360"/>
        <w:divId w:val="358817933"/>
        <w:rPr>
          <w:rFonts w:eastAsia="Times New Roman"/>
        </w:rPr>
      </w:pPr>
      <w:r>
        <w:rPr>
          <w:rFonts w:eastAsia="Times New Roman"/>
          <w:color w:val="000000"/>
          <w:sz w:val="20"/>
          <w:szCs w:val="20"/>
        </w:rPr>
        <w:t>Since the Closing Date, the operating results of the Arriver and Non-Arrive</w:t>
      </w:r>
      <w:r>
        <w:rPr>
          <w:rFonts w:eastAsia="Times New Roman"/>
          <w:color w:val="000000"/>
          <w:sz w:val="20"/>
          <w:szCs w:val="20"/>
        </w:rPr>
        <w:t>r businesses were initially reported on a one quarter lag. During the fourth quarter of fiscal 2022, we eliminated the one-quarter reporting lag previously used to consolidate the Arriver business to provide contemporaneous reporting within our consolidate</w:t>
      </w:r>
      <w:r>
        <w:rPr>
          <w:rFonts w:eastAsia="Times New Roman"/>
          <w:color w:val="000000"/>
          <w:sz w:val="20"/>
          <w:szCs w:val="20"/>
        </w:rPr>
        <w:t>d financial statements, which we believe is preferable. The effect of this change was not material to our consolidated financial statements, and the impact of eliminating the one quarter reporting lag has been included in our operating results in the fourt</w:t>
      </w:r>
      <w:r>
        <w:rPr>
          <w:rFonts w:eastAsia="Times New Roman"/>
          <w:color w:val="000000"/>
          <w:sz w:val="20"/>
          <w:szCs w:val="20"/>
        </w:rPr>
        <w:t>h quarter of fiscal 2022. The Non-Arriver businesses are presented as discontinued operations and remain on a one quarter reporting lag. Pro forma results of operations have not been presented because the effects of this acquisition were not material to ou</w:t>
      </w:r>
      <w:r>
        <w:rPr>
          <w:rFonts w:eastAsia="Times New Roman"/>
          <w:color w:val="000000"/>
          <w:sz w:val="20"/>
          <w:szCs w:val="20"/>
        </w:rPr>
        <w:t>r consolidated results of operations. The cash flows generated from (used by) the Non-Arriver businesses are reflected as discontinued operations and are classified as operating, investing and financing activities in the consolidated statements of cash flo</w:t>
      </w:r>
      <w:r>
        <w:rPr>
          <w:rFonts w:eastAsia="Times New Roman"/>
          <w:color w:val="000000"/>
          <w:sz w:val="20"/>
          <w:szCs w:val="20"/>
        </w:rPr>
        <w:t>ws. Investing and financing activities from discontinued operations reported in fiscal 2022 were not material.</w:t>
      </w:r>
    </w:p>
    <w:p w14:paraId="2F84870B" w14:textId="77777777" w:rsidR="00000000" w:rsidRDefault="009B6C69">
      <w:pPr>
        <w:ind w:firstLine="360"/>
        <w:divId w:val="1426077192"/>
        <w:rPr>
          <w:rFonts w:eastAsia="Times New Roman"/>
        </w:rPr>
      </w:pPr>
      <w:r>
        <w:rPr>
          <w:rFonts w:eastAsia="Times New Roman"/>
          <w:b/>
          <w:bCs/>
          <w:i/>
          <w:iCs/>
          <w:color w:val="000000"/>
          <w:sz w:val="20"/>
          <w:szCs w:val="20"/>
        </w:rPr>
        <w:t>Other.</w:t>
      </w:r>
      <w:r>
        <w:rPr>
          <w:rFonts w:eastAsia="Times New Roman"/>
          <w:color w:val="000000"/>
          <w:sz w:val="20"/>
          <w:szCs w:val="20"/>
        </w:rPr>
        <w:t xml:space="preserve"> During fiscal 2022, we acquired eight other businesses for a total accounting purchase price of $792 million. We recognized $202 million o</w:t>
      </w:r>
      <w:r>
        <w:rPr>
          <w:rFonts w:eastAsia="Times New Roman"/>
          <w:color w:val="000000"/>
          <w:sz w:val="20"/>
          <w:szCs w:val="20"/>
        </w:rPr>
        <w:t>f intangible assets (which primarily relate to completed technology) that will be amortized on a straight-line basis over a weighted-average useful life of six years. Substantially all of the goodwill recognized in these transactions of $598 million was al</w:t>
      </w:r>
      <w:r>
        <w:rPr>
          <w:rFonts w:eastAsia="Times New Roman"/>
          <w:color w:val="000000"/>
          <w:sz w:val="20"/>
          <w:szCs w:val="20"/>
        </w:rPr>
        <w:t>located to our QCT segment.</w:t>
      </w:r>
    </w:p>
    <w:p w14:paraId="0A3D8B24" w14:textId="77777777" w:rsidR="00000000" w:rsidRDefault="009B6C69">
      <w:pPr>
        <w:jc w:val="center"/>
        <w:divId w:val="1446002676"/>
        <w:rPr>
          <w:rFonts w:eastAsia="Times New Roman"/>
        </w:rPr>
      </w:pPr>
      <w:r>
        <w:rPr>
          <w:rFonts w:eastAsia="Times New Roman"/>
          <w:color w:val="000000"/>
          <w:sz w:val="20"/>
          <w:szCs w:val="20"/>
        </w:rPr>
        <w:t>F-30</w:t>
      </w:r>
    </w:p>
    <w:p w14:paraId="760F9BE6" w14:textId="77777777" w:rsidR="00000000" w:rsidRDefault="009B6C69">
      <w:pPr>
        <w:rPr>
          <w:rFonts w:eastAsia="Times New Roman"/>
        </w:rPr>
      </w:pPr>
      <w:r>
        <w:rPr>
          <w:rFonts w:eastAsia="Times New Roman"/>
        </w:rPr>
        <w:pict w14:anchorId="06CED866">
          <v:rect id="_x0000_i1110" style="width:0;height:1.5pt" o:hralign="center" o:hrstd="t" o:hr="t" fillcolor="#a0a0a0" stroked="f"/>
        </w:pict>
      </w:r>
    </w:p>
    <w:p w14:paraId="4FDCACC2" w14:textId="77777777" w:rsidR="00000000" w:rsidRDefault="009B6C69">
      <w:pPr>
        <w:jc w:val="center"/>
        <w:divId w:val="1203982935"/>
        <w:rPr>
          <w:rFonts w:eastAsia="Times New Roman"/>
        </w:rPr>
      </w:pPr>
    </w:p>
    <w:p w14:paraId="5FDC5F06" w14:textId="77777777" w:rsidR="00000000" w:rsidRDefault="009B6C69">
      <w:pPr>
        <w:jc w:val="center"/>
        <w:divId w:val="1203982935"/>
        <w:rPr>
          <w:rFonts w:eastAsia="Times New Roman"/>
        </w:rPr>
      </w:pPr>
      <w:r>
        <w:rPr>
          <w:rFonts w:eastAsia="Times New Roman"/>
          <w:b/>
          <w:bCs/>
          <w:color w:val="000000"/>
          <w:sz w:val="20"/>
          <w:szCs w:val="20"/>
        </w:rPr>
        <w:t>QUALCOMM Incorporated</w:t>
      </w:r>
    </w:p>
    <w:p w14:paraId="24364D23" w14:textId="77777777" w:rsidR="00000000" w:rsidRDefault="009B6C69">
      <w:pPr>
        <w:jc w:val="center"/>
        <w:divId w:val="1203982935"/>
        <w:rPr>
          <w:rFonts w:eastAsia="Times New Roman"/>
        </w:rPr>
      </w:pPr>
      <w:r>
        <w:rPr>
          <w:rFonts w:eastAsia="Times New Roman"/>
          <w:b/>
          <w:bCs/>
          <w:color w:val="000000"/>
          <w:sz w:val="20"/>
          <w:szCs w:val="20"/>
        </w:rPr>
        <w:t>NOTES TO CONSOLIDATED FINANCIAL STATEMENTS</w:t>
      </w:r>
    </w:p>
    <w:p w14:paraId="5239F707" w14:textId="77777777" w:rsidR="00000000" w:rsidRDefault="009B6C69">
      <w:pPr>
        <w:divId w:val="1761021560"/>
        <w:rPr>
          <w:rFonts w:eastAsia="Times New Roman"/>
        </w:rPr>
      </w:pPr>
      <w:r>
        <w:rPr>
          <w:rFonts w:eastAsia="Times New Roman"/>
          <w:b/>
          <w:bCs/>
          <w:color w:val="000000"/>
          <w:sz w:val="20"/>
          <w:szCs w:val="20"/>
        </w:rPr>
        <w:t>Note 10. Fair Value Measurements</w:t>
      </w:r>
    </w:p>
    <w:p w14:paraId="14C6B40B" w14:textId="77777777" w:rsidR="00000000" w:rsidRDefault="009B6C69">
      <w:pPr>
        <w:ind w:firstLine="360"/>
        <w:divId w:val="412776044"/>
        <w:rPr>
          <w:rFonts w:eastAsia="Times New Roman"/>
        </w:rPr>
      </w:pPr>
      <w:r>
        <w:rPr>
          <w:rFonts w:eastAsia="Times New Roman"/>
          <w:color w:val="000000"/>
          <w:sz w:val="20"/>
          <w:szCs w:val="20"/>
        </w:rPr>
        <w:t>The following table presents our fair value hierarchy for assets and liabilities measu</w:t>
      </w:r>
      <w:r>
        <w:rPr>
          <w:rFonts w:eastAsia="Times New Roman"/>
          <w:color w:val="000000"/>
          <w:sz w:val="20"/>
          <w:szCs w:val="20"/>
        </w:rPr>
        <w:t>red at fair value on a recurring basis at September 25, 2022 (in millions):</w:t>
      </w:r>
    </w:p>
    <w:tbl>
      <w:tblPr>
        <w:tblW w:w="4985" w:type="pct"/>
        <w:tblCellMar>
          <w:top w:w="15" w:type="dxa"/>
          <w:left w:w="15" w:type="dxa"/>
          <w:bottom w:w="15" w:type="dxa"/>
          <w:right w:w="15" w:type="dxa"/>
        </w:tblCellMar>
        <w:tblLook w:val="04A0" w:firstRow="1" w:lastRow="0" w:firstColumn="1" w:lastColumn="0" w:noHBand="0" w:noVBand="1"/>
      </w:tblPr>
      <w:tblGrid>
        <w:gridCol w:w="41"/>
        <w:gridCol w:w="3951"/>
        <w:gridCol w:w="39"/>
        <w:gridCol w:w="110"/>
        <w:gridCol w:w="863"/>
        <w:gridCol w:w="36"/>
        <w:gridCol w:w="36"/>
        <w:gridCol w:w="36"/>
        <w:gridCol w:w="36"/>
        <w:gridCol w:w="110"/>
        <w:gridCol w:w="826"/>
        <w:gridCol w:w="36"/>
        <w:gridCol w:w="36"/>
        <w:gridCol w:w="36"/>
        <w:gridCol w:w="36"/>
        <w:gridCol w:w="111"/>
        <w:gridCol w:w="826"/>
        <w:gridCol w:w="36"/>
        <w:gridCol w:w="36"/>
        <w:gridCol w:w="36"/>
        <w:gridCol w:w="36"/>
        <w:gridCol w:w="110"/>
        <w:gridCol w:w="826"/>
        <w:gridCol w:w="36"/>
      </w:tblGrid>
      <w:tr w:rsidR="00000000" w14:paraId="70CB40C6" w14:textId="77777777">
        <w:trPr>
          <w:divId w:val="769593275"/>
        </w:trPr>
        <w:tc>
          <w:tcPr>
            <w:tcW w:w="50" w:type="pct"/>
            <w:vAlign w:val="center"/>
            <w:hideMark/>
          </w:tcPr>
          <w:p w14:paraId="25F5BE13" w14:textId="77777777" w:rsidR="00000000" w:rsidRDefault="009B6C69">
            <w:pPr>
              <w:ind w:firstLine="360"/>
              <w:rPr>
                <w:rFonts w:eastAsia="Times New Roman"/>
              </w:rPr>
            </w:pPr>
          </w:p>
        </w:tc>
        <w:tc>
          <w:tcPr>
            <w:tcW w:w="2415" w:type="pct"/>
            <w:vAlign w:val="center"/>
            <w:hideMark/>
          </w:tcPr>
          <w:p w14:paraId="5F899B98" w14:textId="77777777" w:rsidR="00000000" w:rsidRDefault="009B6C69">
            <w:pPr>
              <w:spacing w:after="100"/>
              <w:rPr>
                <w:rFonts w:eastAsia="Times New Roman"/>
                <w:sz w:val="20"/>
                <w:szCs w:val="20"/>
              </w:rPr>
            </w:pPr>
          </w:p>
        </w:tc>
        <w:tc>
          <w:tcPr>
            <w:tcW w:w="5" w:type="pct"/>
            <w:vAlign w:val="center"/>
            <w:hideMark/>
          </w:tcPr>
          <w:p w14:paraId="3D22F501" w14:textId="77777777" w:rsidR="00000000" w:rsidRDefault="009B6C69">
            <w:pPr>
              <w:spacing w:after="100"/>
              <w:rPr>
                <w:rFonts w:eastAsia="Times New Roman"/>
                <w:sz w:val="20"/>
                <w:szCs w:val="20"/>
              </w:rPr>
            </w:pPr>
          </w:p>
        </w:tc>
        <w:tc>
          <w:tcPr>
            <w:tcW w:w="50" w:type="pct"/>
            <w:vAlign w:val="center"/>
            <w:hideMark/>
          </w:tcPr>
          <w:p w14:paraId="011DF897" w14:textId="77777777" w:rsidR="00000000" w:rsidRDefault="009B6C69">
            <w:pPr>
              <w:spacing w:after="100"/>
              <w:rPr>
                <w:rFonts w:eastAsia="Times New Roman"/>
                <w:sz w:val="20"/>
                <w:szCs w:val="20"/>
              </w:rPr>
            </w:pPr>
          </w:p>
        </w:tc>
        <w:tc>
          <w:tcPr>
            <w:tcW w:w="549" w:type="pct"/>
            <w:vAlign w:val="center"/>
            <w:hideMark/>
          </w:tcPr>
          <w:p w14:paraId="75D6686F" w14:textId="77777777" w:rsidR="00000000" w:rsidRDefault="009B6C69">
            <w:pPr>
              <w:spacing w:after="100"/>
              <w:rPr>
                <w:rFonts w:eastAsia="Times New Roman"/>
                <w:sz w:val="20"/>
                <w:szCs w:val="20"/>
              </w:rPr>
            </w:pPr>
          </w:p>
        </w:tc>
        <w:tc>
          <w:tcPr>
            <w:tcW w:w="5" w:type="pct"/>
            <w:vAlign w:val="center"/>
            <w:hideMark/>
          </w:tcPr>
          <w:p w14:paraId="3D715147" w14:textId="77777777" w:rsidR="00000000" w:rsidRDefault="009B6C69">
            <w:pPr>
              <w:spacing w:after="100"/>
              <w:rPr>
                <w:rFonts w:eastAsia="Times New Roman"/>
                <w:sz w:val="20"/>
                <w:szCs w:val="20"/>
              </w:rPr>
            </w:pPr>
          </w:p>
        </w:tc>
        <w:tc>
          <w:tcPr>
            <w:tcW w:w="5" w:type="pct"/>
            <w:vAlign w:val="center"/>
            <w:hideMark/>
          </w:tcPr>
          <w:p w14:paraId="3F47E5D6" w14:textId="77777777" w:rsidR="00000000" w:rsidRDefault="009B6C69">
            <w:pPr>
              <w:spacing w:after="100"/>
              <w:rPr>
                <w:rFonts w:eastAsia="Times New Roman"/>
                <w:sz w:val="20"/>
                <w:szCs w:val="20"/>
              </w:rPr>
            </w:pPr>
          </w:p>
        </w:tc>
        <w:tc>
          <w:tcPr>
            <w:tcW w:w="27" w:type="pct"/>
            <w:vAlign w:val="center"/>
            <w:hideMark/>
          </w:tcPr>
          <w:p w14:paraId="444922CD" w14:textId="77777777" w:rsidR="00000000" w:rsidRDefault="009B6C69">
            <w:pPr>
              <w:spacing w:after="100"/>
              <w:rPr>
                <w:rFonts w:eastAsia="Times New Roman"/>
                <w:sz w:val="20"/>
                <w:szCs w:val="20"/>
              </w:rPr>
            </w:pPr>
          </w:p>
        </w:tc>
        <w:tc>
          <w:tcPr>
            <w:tcW w:w="5" w:type="pct"/>
            <w:vAlign w:val="center"/>
            <w:hideMark/>
          </w:tcPr>
          <w:p w14:paraId="44C8E711" w14:textId="77777777" w:rsidR="00000000" w:rsidRDefault="009B6C69">
            <w:pPr>
              <w:spacing w:after="100"/>
              <w:rPr>
                <w:rFonts w:eastAsia="Times New Roman"/>
                <w:sz w:val="20"/>
                <w:szCs w:val="20"/>
              </w:rPr>
            </w:pPr>
          </w:p>
        </w:tc>
        <w:tc>
          <w:tcPr>
            <w:tcW w:w="50" w:type="pct"/>
            <w:vAlign w:val="center"/>
            <w:hideMark/>
          </w:tcPr>
          <w:p w14:paraId="6A5553C9" w14:textId="77777777" w:rsidR="00000000" w:rsidRDefault="009B6C69">
            <w:pPr>
              <w:spacing w:after="100"/>
              <w:rPr>
                <w:rFonts w:eastAsia="Times New Roman"/>
                <w:sz w:val="20"/>
                <w:szCs w:val="20"/>
              </w:rPr>
            </w:pPr>
          </w:p>
        </w:tc>
        <w:tc>
          <w:tcPr>
            <w:tcW w:w="549" w:type="pct"/>
            <w:vAlign w:val="center"/>
            <w:hideMark/>
          </w:tcPr>
          <w:p w14:paraId="667C3356" w14:textId="77777777" w:rsidR="00000000" w:rsidRDefault="009B6C69">
            <w:pPr>
              <w:spacing w:after="100"/>
              <w:rPr>
                <w:rFonts w:eastAsia="Times New Roman"/>
                <w:sz w:val="20"/>
                <w:szCs w:val="20"/>
              </w:rPr>
            </w:pPr>
          </w:p>
        </w:tc>
        <w:tc>
          <w:tcPr>
            <w:tcW w:w="5" w:type="pct"/>
            <w:vAlign w:val="center"/>
            <w:hideMark/>
          </w:tcPr>
          <w:p w14:paraId="45CA6AF8" w14:textId="77777777" w:rsidR="00000000" w:rsidRDefault="009B6C69">
            <w:pPr>
              <w:spacing w:after="100"/>
              <w:rPr>
                <w:rFonts w:eastAsia="Times New Roman"/>
                <w:sz w:val="20"/>
                <w:szCs w:val="20"/>
              </w:rPr>
            </w:pPr>
          </w:p>
        </w:tc>
        <w:tc>
          <w:tcPr>
            <w:tcW w:w="5" w:type="pct"/>
            <w:vAlign w:val="center"/>
            <w:hideMark/>
          </w:tcPr>
          <w:p w14:paraId="0176882F" w14:textId="77777777" w:rsidR="00000000" w:rsidRDefault="009B6C69">
            <w:pPr>
              <w:spacing w:after="100"/>
              <w:rPr>
                <w:rFonts w:eastAsia="Times New Roman"/>
                <w:sz w:val="20"/>
                <w:szCs w:val="20"/>
              </w:rPr>
            </w:pPr>
          </w:p>
        </w:tc>
        <w:tc>
          <w:tcPr>
            <w:tcW w:w="27" w:type="pct"/>
            <w:vAlign w:val="center"/>
            <w:hideMark/>
          </w:tcPr>
          <w:p w14:paraId="3B532F9E" w14:textId="77777777" w:rsidR="00000000" w:rsidRDefault="009B6C69">
            <w:pPr>
              <w:spacing w:after="100"/>
              <w:rPr>
                <w:rFonts w:eastAsia="Times New Roman"/>
                <w:sz w:val="20"/>
                <w:szCs w:val="20"/>
              </w:rPr>
            </w:pPr>
          </w:p>
        </w:tc>
        <w:tc>
          <w:tcPr>
            <w:tcW w:w="5" w:type="pct"/>
            <w:vAlign w:val="center"/>
            <w:hideMark/>
          </w:tcPr>
          <w:p w14:paraId="01569140" w14:textId="77777777" w:rsidR="00000000" w:rsidRDefault="009B6C69">
            <w:pPr>
              <w:spacing w:after="100"/>
              <w:rPr>
                <w:rFonts w:eastAsia="Times New Roman"/>
                <w:sz w:val="20"/>
                <w:szCs w:val="20"/>
              </w:rPr>
            </w:pPr>
          </w:p>
        </w:tc>
        <w:tc>
          <w:tcPr>
            <w:tcW w:w="50" w:type="pct"/>
            <w:vAlign w:val="center"/>
            <w:hideMark/>
          </w:tcPr>
          <w:p w14:paraId="710F02D0" w14:textId="77777777" w:rsidR="00000000" w:rsidRDefault="009B6C69">
            <w:pPr>
              <w:spacing w:after="100"/>
              <w:rPr>
                <w:rFonts w:eastAsia="Times New Roman"/>
                <w:sz w:val="20"/>
                <w:szCs w:val="20"/>
              </w:rPr>
            </w:pPr>
          </w:p>
        </w:tc>
        <w:tc>
          <w:tcPr>
            <w:tcW w:w="549" w:type="pct"/>
            <w:vAlign w:val="center"/>
            <w:hideMark/>
          </w:tcPr>
          <w:p w14:paraId="67EBD91A" w14:textId="77777777" w:rsidR="00000000" w:rsidRDefault="009B6C69">
            <w:pPr>
              <w:spacing w:after="100"/>
              <w:rPr>
                <w:rFonts w:eastAsia="Times New Roman"/>
                <w:sz w:val="20"/>
                <w:szCs w:val="20"/>
              </w:rPr>
            </w:pPr>
          </w:p>
        </w:tc>
        <w:tc>
          <w:tcPr>
            <w:tcW w:w="5" w:type="pct"/>
            <w:vAlign w:val="center"/>
            <w:hideMark/>
          </w:tcPr>
          <w:p w14:paraId="5DF4A345" w14:textId="77777777" w:rsidR="00000000" w:rsidRDefault="009B6C69">
            <w:pPr>
              <w:spacing w:after="100"/>
              <w:rPr>
                <w:rFonts w:eastAsia="Times New Roman"/>
                <w:sz w:val="20"/>
                <w:szCs w:val="20"/>
              </w:rPr>
            </w:pPr>
          </w:p>
        </w:tc>
        <w:tc>
          <w:tcPr>
            <w:tcW w:w="5" w:type="pct"/>
            <w:vAlign w:val="center"/>
            <w:hideMark/>
          </w:tcPr>
          <w:p w14:paraId="0D286C54" w14:textId="77777777" w:rsidR="00000000" w:rsidRDefault="009B6C69">
            <w:pPr>
              <w:spacing w:after="100"/>
              <w:rPr>
                <w:rFonts w:eastAsia="Times New Roman"/>
                <w:sz w:val="20"/>
                <w:szCs w:val="20"/>
              </w:rPr>
            </w:pPr>
          </w:p>
        </w:tc>
        <w:tc>
          <w:tcPr>
            <w:tcW w:w="27" w:type="pct"/>
            <w:vAlign w:val="center"/>
            <w:hideMark/>
          </w:tcPr>
          <w:p w14:paraId="62D09952" w14:textId="77777777" w:rsidR="00000000" w:rsidRDefault="009B6C69">
            <w:pPr>
              <w:spacing w:after="100"/>
              <w:rPr>
                <w:rFonts w:eastAsia="Times New Roman"/>
                <w:sz w:val="20"/>
                <w:szCs w:val="20"/>
              </w:rPr>
            </w:pPr>
          </w:p>
        </w:tc>
        <w:tc>
          <w:tcPr>
            <w:tcW w:w="5" w:type="pct"/>
            <w:vAlign w:val="center"/>
            <w:hideMark/>
          </w:tcPr>
          <w:p w14:paraId="7796D193" w14:textId="77777777" w:rsidR="00000000" w:rsidRDefault="009B6C69">
            <w:pPr>
              <w:spacing w:after="100"/>
              <w:rPr>
                <w:rFonts w:eastAsia="Times New Roman"/>
                <w:sz w:val="20"/>
                <w:szCs w:val="20"/>
              </w:rPr>
            </w:pPr>
          </w:p>
        </w:tc>
        <w:tc>
          <w:tcPr>
            <w:tcW w:w="50" w:type="pct"/>
            <w:vAlign w:val="center"/>
            <w:hideMark/>
          </w:tcPr>
          <w:p w14:paraId="6FF2FF18" w14:textId="77777777" w:rsidR="00000000" w:rsidRDefault="009B6C69">
            <w:pPr>
              <w:spacing w:after="100"/>
              <w:rPr>
                <w:rFonts w:eastAsia="Times New Roman"/>
                <w:sz w:val="20"/>
                <w:szCs w:val="20"/>
              </w:rPr>
            </w:pPr>
          </w:p>
        </w:tc>
        <w:tc>
          <w:tcPr>
            <w:tcW w:w="549" w:type="pct"/>
            <w:vAlign w:val="center"/>
            <w:hideMark/>
          </w:tcPr>
          <w:p w14:paraId="58311DF3" w14:textId="77777777" w:rsidR="00000000" w:rsidRDefault="009B6C69">
            <w:pPr>
              <w:spacing w:after="100"/>
              <w:rPr>
                <w:rFonts w:eastAsia="Times New Roman"/>
                <w:sz w:val="20"/>
                <w:szCs w:val="20"/>
              </w:rPr>
            </w:pPr>
          </w:p>
        </w:tc>
        <w:tc>
          <w:tcPr>
            <w:tcW w:w="5" w:type="pct"/>
            <w:vAlign w:val="center"/>
            <w:hideMark/>
          </w:tcPr>
          <w:p w14:paraId="6F56D235" w14:textId="77777777" w:rsidR="00000000" w:rsidRDefault="009B6C69">
            <w:pPr>
              <w:spacing w:after="100"/>
              <w:rPr>
                <w:rFonts w:eastAsia="Times New Roman"/>
                <w:sz w:val="20"/>
                <w:szCs w:val="20"/>
              </w:rPr>
            </w:pPr>
          </w:p>
        </w:tc>
      </w:tr>
      <w:tr w:rsidR="00000000" w14:paraId="0D2E0315" w14:textId="77777777">
        <w:trPr>
          <w:divId w:val="769593275"/>
        </w:trPr>
        <w:tc>
          <w:tcPr>
            <w:tcW w:w="0" w:type="auto"/>
            <w:gridSpan w:val="3"/>
            <w:tcMar>
              <w:top w:w="0" w:type="dxa"/>
              <w:left w:w="20" w:type="dxa"/>
              <w:bottom w:w="0" w:type="dxa"/>
              <w:right w:w="20" w:type="dxa"/>
            </w:tcMar>
            <w:vAlign w:val="center"/>
            <w:hideMark/>
          </w:tcPr>
          <w:p w14:paraId="4080E025"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B23BACB" w14:textId="77777777" w:rsidR="00000000" w:rsidRDefault="009B6C69">
            <w:pPr>
              <w:spacing w:after="100"/>
              <w:jc w:val="center"/>
              <w:rPr>
                <w:rFonts w:eastAsia="Times New Roman"/>
              </w:rPr>
            </w:pPr>
            <w:r>
              <w:rPr>
                <w:rFonts w:eastAsia="Times New Roman"/>
                <w:b/>
                <w:bCs/>
                <w:color w:val="000000"/>
                <w:sz w:val="18"/>
                <w:szCs w:val="18"/>
              </w:rPr>
              <w:t>Level 1</w:t>
            </w:r>
          </w:p>
        </w:tc>
        <w:tc>
          <w:tcPr>
            <w:tcW w:w="0" w:type="auto"/>
            <w:gridSpan w:val="3"/>
            <w:tcMar>
              <w:top w:w="0" w:type="dxa"/>
              <w:left w:w="20" w:type="dxa"/>
              <w:bottom w:w="0" w:type="dxa"/>
              <w:right w:w="20" w:type="dxa"/>
            </w:tcMar>
            <w:vAlign w:val="center"/>
            <w:hideMark/>
          </w:tcPr>
          <w:p w14:paraId="14C1BEF0"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7C6B1B6" w14:textId="77777777" w:rsidR="00000000" w:rsidRDefault="009B6C69">
            <w:pPr>
              <w:spacing w:after="100"/>
              <w:jc w:val="center"/>
              <w:rPr>
                <w:rFonts w:eastAsia="Times New Roman"/>
              </w:rPr>
            </w:pPr>
            <w:r>
              <w:rPr>
                <w:rFonts w:eastAsia="Times New Roman"/>
                <w:b/>
                <w:bCs/>
                <w:color w:val="000000"/>
                <w:sz w:val="18"/>
                <w:szCs w:val="18"/>
              </w:rPr>
              <w:t>Level 2</w:t>
            </w:r>
          </w:p>
        </w:tc>
        <w:tc>
          <w:tcPr>
            <w:tcW w:w="0" w:type="auto"/>
            <w:gridSpan w:val="3"/>
            <w:tcMar>
              <w:top w:w="0" w:type="dxa"/>
              <w:left w:w="20" w:type="dxa"/>
              <w:bottom w:w="0" w:type="dxa"/>
              <w:right w:w="20" w:type="dxa"/>
            </w:tcMar>
            <w:vAlign w:val="center"/>
            <w:hideMark/>
          </w:tcPr>
          <w:p w14:paraId="4C9C799E"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9F28ED2" w14:textId="77777777" w:rsidR="00000000" w:rsidRDefault="009B6C69">
            <w:pPr>
              <w:spacing w:after="100"/>
              <w:jc w:val="center"/>
              <w:rPr>
                <w:rFonts w:eastAsia="Times New Roman"/>
              </w:rPr>
            </w:pPr>
            <w:r>
              <w:rPr>
                <w:rFonts w:eastAsia="Times New Roman"/>
                <w:b/>
                <w:bCs/>
                <w:color w:val="000000"/>
                <w:sz w:val="18"/>
                <w:szCs w:val="18"/>
              </w:rPr>
              <w:t>Level 3</w:t>
            </w:r>
          </w:p>
        </w:tc>
        <w:tc>
          <w:tcPr>
            <w:tcW w:w="0" w:type="auto"/>
            <w:gridSpan w:val="3"/>
            <w:tcMar>
              <w:top w:w="0" w:type="dxa"/>
              <w:left w:w="20" w:type="dxa"/>
              <w:bottom w:w="0" w:type="dxa"/>
              <w:right w:w="20" w:type="dxa"/>
            </w:tcMar>
            <w:vAlign w:val="center"/>
            <w:hideMark/>
          </w:tcPr>
          <w:p w14:paraId="595DE1C2"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1AAB6A8" w14:textId="77777777" w:rsidR="00000000" w:rsidRDefault="009B6C69">
            <w:pPr>
              <w:spacing w:after="100"/>
              <w:jc w:val="center"/>
              <w:rPr>
                <w:rFonts w:eastAsia="Times New Roman"/>
              </w:rPr>
            </w:pPr>
            <w:r>
              <w:rPr>
                <w:rFonts w:eastAsia="Times New Roman"/>
                <w:b/>
                <w:bCs/>
                <w:color w:val="000000"/>
                <w:sz w:val="18"/>
                <w:szCs w:val="18"/>
              </w:rPr>
              <w:t>Total</w:t>
            </w:r>
          </w:p>
        </w:tc>
      </w:tr>
      <w:tr w:rsidR="00000000" w14:paraId="576924DF" w14:textId="77777777">
        <w:trPr>
          <w:divId w:val="769593275"/>
        </w:trPr>
        <w:tc>
          <w:tcPr>
            <w:tcW w:w="0" w:type="auto"/>
            <w:gridSpan w:val="3"/>
            <w:tcMar>
              <w:top w:w="30" w:type="dxa"/>
              <w:left w:w="20" w:type="dxa"/>
              <w:bottom w:w="30" w:type="dxa"/>
              <w:right w:w="20" w:type="dxa"/>
            </w:tcMar>
            <w:vAlign w:val="bottom"/>
            <w:hideMark/>
          </w:tcPr>
          <w:p w14:paraId="3938EB03" w14:textId="77777777" w:rsidR="00000000" w:rsidRDefault="009B6C69">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tcMar>
              <w:top w:w="30" w:type="dxa"/>
              <w:left w:w="20" w:type="dxa"/>
              <w:bottom w:w="30" w:type="dxa"/>
              <w:right w:w="20" w:type="dxa"/>
            </w:tcMar>
            <w:vAlign w:val="bottom"/>
            <w:hideMark/>
          </w:tcPr>
          <w:p w14:paraId="579CAD44" w14:textId="77777777" w:rsidR="00000000" w:rsidRDefault="009B6C6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30AFFCCB" w14:textId="77777777" w:rsidR="00000000" w:rsidRDefault="009B6C6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81D195" w14:textId="77777777" w:rsidR="00000000" w:rsidRDefault="009B6C6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1152392B" w14:textId="77777777" w:rsidR="00000000" w:rsidRDefault="009B6C6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A67D9A6" w14:textId="77777777" w:rsidR="00000000" w:rsidRDefault="009B6C6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1D158388" w14:textId="77777777" w:rsidR="00000000" w:rsidRDefault="009B6C6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63C428" w14:textId="77777777" w:rsidR="00000000" w:rsidRDefault="009B6C69">
            <w:pPr>
              <w:spacing w:after="100"/>
              <w:rPr>
                <w:rFonts w:eastAsia="Times New Roman"/>
              </w:rPr>
            </w:pPr>
            <w:r>
              <w:rPr>
                <w:rFonts w:eastAsia="Times New Roman"/>
                <w:color w:val="000000"/>
                <w:sz w:val="18"/>
                <w:szCs w:val="18"/>
              </w:rPr>
              <w:t> </w:t>
            </w:r>
          </w:p>
        </w:tc>
      </w:tr>
      <w:tr w:rsidR="00000000" w14:paraId="25143D03" w14:textId="77777777">
        <w:trPr>
          <w:divId w:val="769593275"/>
        </w:trPr>
        <w:tc>
          <w:tcPr>
            <w:tcW w:w="0" w:type="auto"/>
            <w:gridSpan w:val="3"/>
            <w:shd w:val="clear" w:color="auto" w:fill="CCEEFF"/>
            <w:tcMar>
              <w:top w:w="30" w:type="dxa"/>
              <w:left w:w="20" w:type="dxa"/>
              <w:bottom w:w="30" w:type="dxa"/>
              <w:right w:w="20" w:type="dxa"/>
            </w:tcMar>
            <w:vAlign w:val="bottom"/>
            <w:hideMark/>
          </w:tcPr>
          <w:p w14:paraId="77B85FE4" w14:textId="77777777" w:rsidR="00000000" w:rsidRDefault="009B6C69">
            <w:pPr>
              <w:spacing w:after="100"/>
              <w:rPr>
                <w:rFonts w:eastAsia="Times New Roman"/>
              </w:rPr>
            </w:pPr>
            <w:r>
              <w:rPr>
                <w:rFonts w:eastAsia="Times New Roman"/>
                <w:color w:val="000000"/>
                <w:sz w:val="18"/>
                <w:szCs w:val="18"/>
              </w:rPr>
              <w:t>Cash equivalents</w:t>
            </w:r>
          </w:p>
        </w:tc>
        <w:tc>
          <w:tcPr>
            <w:tcW w:w="0" w:type="auto"/>
            <w:shd w:val="clear" w:color="auto" w:fill="CCEEFF"/>
            <w:tcMar>
              <w:top w:w="30" w:type="dxa"/>
              <w:left w:w="20" w:type="dxa"/>
              <w:bottom w:w="30" w:type="dxa"/>
              <w:right w:w="0" w:type="dxa"/>
            </w:tcMar>
            <w:vAlign w:val="bottom"/>
            <w:hideMark/>
          </w:tcPr>
          <w:p w14:paraId="7743A8B5"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9AC23C2" w14:textId="77777777" w:rsidR="00000000" w:rsidRDefault="009B6C69">
            <w:pPr>
              <w:spacing w:after="100"/>
              <w:jc w:val="right"/>
              <w:rPr>
                <w:rFonts w:eastAsia="Times New Roman"/>
              </w:rPr>
            </w:pPr>
            <w:r>
              <w:rPr>
                <w:rFonts w:eastAsia="Times New Roman"/>
                <w:color w:val="000000"/>
                <w:sz w:val="18"/>
                <w:szCs w:val="18"/>
              </w:rPr>
              <w:t>922 </w:t>
            </w:r>
          </w:p>
        </w:tc>
        <w:tc>
          <w:tcPr>
            <w:tcW w:w="0" w:type="auto"/>
            <w:shd w:val="clear" w:color="auto" w:fill="CCEEFF"/>
            <w:tcMar>
              <w:top w:w="30" w:type="dxa"/>
              <w:left w:w="0" w:type="dxa"/>
              <w:bottom w:w="30" w:type="dxa"/>
              <w:right w:w="20" w:type="dxa"/>
            </w:tcMar>
            <w:vAlign w:val="bottom"/>
            <w:hideMark/>
          </w:tcPr>
          <w:p w14:paraId="5BE4BAF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E6834E"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64829CA"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9781E4C" w14:textId="77777777" w:rsidR="00000000" w:rsidRDefault="009B6C69">
            <w:pPr>
              <w:spacing w:after="100"/>
              <w:jc w:val="right"/>
              <w:rPr>
                <w:rFonts w:eastAsia="Times New Roman"/>
              </w:rPr>
            </w:pPr>
            <w:r>
              <w:rPr>
                <w:rFonts w:eastAsia="Times New Roman"/>
                <w:color w:val="000000"/>
                <w:sz w:val="18"/>
                <w:szCs w:val="18"/>
              </w:rPr>
              <w:t>198 </w:t>
            </w:r>
          </w:p>
        </w:tc>
        <w:tc>
          <w:tcPr>
            <w:tcW w:w="0" w:type="auto"/>
            <w:shd w:val="clear" w:color="auto" w:fill="CCEEFF"/>
            <w:tcMar>
              <w:top w:w="30" w:type="dxa"/>
              <w:left w:w="0" w:type="dxa"/>
              <w:bottom w:w="30" w:type="dxa"/>
              <w:right w:w="20" w:type="dxa"/>
            </w:tcMar>
            <w:vAlign w:val="bottom"/>
            <w:hideMark/>
          </w:tcPr>
          <w:p w14:paraId="002F236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6CE495"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89DF48"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3478308"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97A946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9B6292"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A215542"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BD06CC4" w14:textId="77777777" w:rsidR="00000000" w:rsidRDefault="009B6C69">
            <w:pPr>
              <w:spacing w:after="100"/>
              <w:jc w:val="right"/>
              <w:rPr>
                <w:rFonts w:eastAsia="Times New Roman"/>
              </w:rPr>
            </w:pPr>
            <w:r>
              <w:rPr>
                <w:rFonts w:eastAsia="Times New Roman"/>
                <w:color w:val="000000"/>
                <w:sz w:val="18"/>
                <w:szCs w:val="18"/>
              </w:rPr>
              <w:t>1,120 </w:t>
            </w:r>
          </w:p>
        </w:tc>
        <w:tc>
          <w:tcPr>
            <w:tcW w:w="0" w:type="auto"/>
            <w:shd w:val="clear" w:color="auto" w:fill="CCEEFF"/>
            <w:tcMar>
              <w:top w:w="30" w:type="dxa"/>
              <w:left w:w="0" w:type="dxa"/>
              <w:bottom w:w="30" w:type="dxa"/>
              <w:right w:w="20" w:type="dxa"/>
            </w:tcMar>
            <w:vAlign w:val="bottom"/>
            <w:hideMark/>
          </w:tcPr>
          <w:p w14:paraId="45E95FFD" w14:textId="77777777" w:rsidR="00000000" w:rsidRDefault="009B6C69">
            <w:pPr>
              <w:spacing w:after="100"/>
              <w:jc w:val="right"/>
              <w:rPr>
                <w:rFonts w:eastAsia="Times New Roman"/>
              </w:rPr>
            </w:pPr>
          </w:p>
        </w:tc>
      </w:tr>
      <w:tr w:rsidR="00000000" w14:paraId="08759070" w14:textId="77777777">
        <w:trPr>
          <w:divId w:val="769593275"/>
        </w:trPr>
        <w:tc>
          <w:tcPr>
            <w:tcW w:w="0" w:type="auto"/>
            <w:gridSpan w:val="3"/>
            <w:shd w:val="clear" w:color="auto" w:fill="FFFFFF"/>
            <w:tcMar>
              <w:top w:w="30" w:type="dxa"/>
              <w:left w:w="20" w:type="dxa"/>
              <w:bottom w:w="30" w:type="dxa"/>
              <w:right w:w="20" w:type="dxa"/>
            </w:tcMar>
            <w:vAlign w:val="bottom"/>
            <w:hideMark/>
          </w:tcPr>
          <w:p w14:paraId="1475563D" w14:textId="77777777" w:rsidR="00000000" w:rsidRDefault="009B6C69">
            <w:pPr>
              <w:spacing w:after="100"/>
              <w:rPr>
                <w:rFonts w:eastAsia="Times New Roman"/>
              </w:rPr>
            </w:pPr>
            <w:r>
              <w:rPr>
                <w:rFonts w:eastAsia="Times New Roman"/>
                <w:color w:val="000000"/>
                <w:sz w:val="18"/>
                <w:szCs w:val="18"/>
              </w:rPr>
              <w:t>Marketable securities: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47A13D6"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0A57E2FE" w14:textId="77777777" w:rsidR="00000000" w:rsidRDefault="009B6C6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8ABF3A0"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27AE3AA9" w14:textId="77777777" w:rsidR="00000000" w:rsidRDefault="009B6C6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20D30B2"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2F120B8F" w14:textId="77777777" w:rsidR="00000000" w:rsidRDefault="009B6C6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2524031" w14:textId="77777777" w:rsidR="00000000" w:rsidRDefault="009B6C69">
            <w:pPr>
              <w:spacing w:after="100"/>
              <w:rPr>
                <w:rFonts w:eastAsia="Times New Roman"/>
              </w:rPr>
            </w:pPr>
            <w:r>
              <w:rPr>
                <w:rFonts w:eastAsia="Times New Roman"/>
                <w:color w:val="000000"/>
                <w:sz w:val="18"/>
                <w:szCs w:val="18"/>
              </w:rPr>
              <w:t> </w:t>
            </w:r>
          </w:p>
        </w:tc>
      </w:tr>
      <w:tr w:rsidR="00000000" w14:paraId="0C3E0100" w14:textId="77777777">
        <w:trPr>
          <w:divId w:val="769593275"/>
        </w:trPr>
        <w:tc>
          <w:tcPr>
            <w:tcW w:w="0" w:type="auto"/>
            <w:gridSpan w:val="3"/>
            <w:shd w:val="clear" w:color="auto" w:fill="CCEEFF"/>
            <w:tcMar>
              <w:top w:w="30" w:type="dxa"/>
              <w:left w:w="155" w:type="dxa"/>
              <w:bottom w:w="30" w:type="dxa"/>
              <w:right w:w="20" w:type="dxa"/>
            </w:tcMar>
            <w:vAlign w:val="bottom"/>
            <w:hideMark/>
          </w:tcPr>
          <w:p w14:paraId="2132DD19" w14:textId="77777777" w:rsidR="00000000" w:rsidRDefault="009B6C69">
            <w:pPr>
              <w:spacing w:after="100"/>
              <w:rPr>
                <w:rFonts w:eastAsia="Times New Roman"/>
              </w:rPr>
            </w:pPr>
            <w:r>
              <w:rPr>
                <w:rFonts w:eastAsia="Times New Roman"/>
                <w:color w:val="000000"/>
                <w:sz w:val="18"/>
                <w:szCs w:val="18"/>
              </w:rPr>
              <w:t>Corporate bonds and notes</w:t>
            </w:r>
          </w:p>
        </w:tc>
        <w:tc>
          <w:tcPr>
            <w:tcW w:w="0" w:type="auto"/>
            <w:gridSpan w:val="2"/>
            <w:shd w:val="clear" w:color="auto" w:fill="CCEEFF"/>
            <w:tcMar>
              <w:top w:w="30" w:type="dxa"/>
              <w:left w:w="20" w:type="dxa"/>
              <w:bottom w:w="30" w:type="dxa"/>
              <w:right w:w="0" w:type="dxa"/>
            </w:tcMar>
            <w:vAlign w:val="bottom"/>
            <w:hideMark/>
          </w:tcPr>
          <w:p w14:paraId="3758DBB4"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6F1572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A8D63F"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300462" w14:textId="77777777" w:rsidR="00000000" w:rsidRDefault="009B6C69">
            <w:pPr>
              <w:spacing w:after="100"/>
              <w:jc w:val="right"/>
              <w:rPr>
                <w:rFonts w:eastAsia="Times New Roman"/>
              </w:rPr>
            </w:pPr>
            <w:r>
              <w:rPr>
                <w:rFonts w:eastAsia="Times New Roman"/>
                <w:color w:val="000000"/>
                <w:sz w:val="18"/>
                <w:szCs w:val="18"/>
              </w:rPr>
              <w:t>3,330 </w:t>
            </w:r>
          </w:p>
        </w:tc>
        <w:tc>
          <w:tcPr>
            <w:tcW w:w="0" w:type="auto"/>
            <w:shd w:val="clear" w:color="auto" w:fill="CCEEFF"/>
            <w:tcMar>
              <w:top w:w="30" w:type="dxa"/>
              <w:left w:w="0" w:type="dxa"/>
              <w:bottom w:w="30" w:type="dxa"/>
              <w:right w:w="20" w:type="dxa"/>
            </w:tcMar>
            <w:vAlign w:val="bottom"/>
            <w:hideMark/>
          </w:tcPr>
          <w:p w14:paraId="4024E0BE"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CEBB41"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F28B79"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DDD7926"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7D78A0"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897974" w14:textId="77777777" w:rsidR="00000000" w:rsidRDefault="009B6C69">
            <w:pPr>
              <w:spacing w:after="100"/>
              <w:jc w:val="right"/>
              <w:rPr>
                <w:rFonts w:eastAsia="Times New Roman"/>
              </w:rPr>
            </w:pPr>
            <w:r>
              <w:rPr>
                <w:rFonts w:eastAsia="Times New Roman"/>
                <w:color w:val="000000"/>
                <w:sz w:val="18"/>
                <w:szCs w:val="18"/>
              </w:rPr>
              <w:t>3,330 </w:t>
            </w:r>
          </w:p>
        </w:tc>
        <w:tc>
          <w:tcPr>
            <w:tcW w:w="0" w:type="auto"/>
            <w:shd w:val="clear" w:color="auto" w:fill="CCEEFF"/>
            <w:tcMar>
              <w:top w:w="30" w:type="dxa"/>
              <w:left w:w="0" w:type="dxa"/>
              <w:bottom w:w="30" w:type="dxa"/>
              <w:right w:w="20" w:type="dxa"/>
            </w:tcMar>
            <w:vAlign w:val="bottom"/>
            <w:hideMark/>
          </w:tcPr>
          <w:p w14:paraId="11051D34" w14:textId="77777777" w:rsidR="00000000" w:rsidRDefault="009B6C69">
            <w:pPr>
              <w:spacing w:after="100"/>
              <w:jc w:val="right"/>
              <w:rPr>
                <w:rFonts w:eastAsia="Times New Roman"/>
              </w:rPr>
            </w:pPr>
          </w:p>
        </w:tc>
      </w:tr>
      <w:tr w:rsidR="00000000" w14:paraId="1A99EFDE" w14:textId="77777777">
        <w:trPr>
          <w:divId w:val="769593275"/>
        </w:trPr>
        <w:tc>
          <w:tcPr>
            <w:tcW w:w="0" w:type="auto"/>
            <w:gridSpan w:val="3"/>
            <w:shd w:val="clear" w:color="auto" w:fill="FFFFFF"/>
            <w:tcMar>
              <w:top w:w="30" w:type="dxa"/>
              <w:left w:w="155" w:type="dxa"/>
              <w:bottom w:w="30" w:type="dxa"/>
              <w:right w:w="20" w:type="dxa"/>
            </w:tcMar>
            <w:vAlign w:val="bottom"/>
            <w:hideMark/>
          </w:tcPr>
          <w:p w14:paraId="41B91DD0" w14:textId="77777777" w:rsidR="00000000" w:rsidRDefault="009B6C69">
            <w:pPr>
              <w:spacing w:after="100"/>
              <w:rPr>
                <w:rFonts w:eastAsia="Times New Roman"/>
              </w:rPr>
            </w:pPr>
            <w:r>
              <w:rPr>
                <w:rFonts w:eastAsia="Times New Roman"/>
                <w:color w:val="000000"/>
                <w:sz w:val="18"/>
                <w:szCs w:val="18"/>
              </w:rPr>
              <w:t xml:space="preserve">Equity securities </w:t>
            </w:r>
          </w:p>
        </w:tc>
        <w:tc>
          <w:tcPr>
            <w:tcW w:w="0" w:type="auto"/>
            <w:gridSpan w:val="2"/>
            <w:shd w:val="clear" w:color="auto" w:fill="FFFFFF"/>
            <w:tcMar>
              <w:top w:w="30" w:type="dxa"/>
              <w:left w:w="20" w:type="dxa"/>
              <w:bottom w:w="30" w:type="dxa"/>
              <w:right w:w="0" w:type="dxa"/>
            </w:tcMar>
            <w:vAlign w:val="bottom"/>
            <w:hideMark/>
          </w:tcPr>
          <w:p w14:paraId="75B992F8" w14:textId="77777777" w:rsidR="00000000" w:rsidRDefault="009B6C69">
            <w:pPr>
              <w:spacing w:after="100"/>
              <w:jc w:val="right"/>
              <w:rPr>
                <w:rFonts w:eastAsia="Times New Roman"/>
              </w:rPr>
            </w:pPr>
            <w:r>
              <w:rPr>
                <w:rFonts w:eastAsia="Times New Roman"/>
                <w:color w:val="000000"/>
                <w:sz w:val="18"/>
                <w:szCs w:val="18"/>
              </w:rPr>
              <w:t>164 </w:t>
            </w:r>
          </w:p>
        </w:tc>
        <w:tc>
          <w:tcPr>
            <w:tcW w:w="0" w:type="auto"/>
            <w:shd w:val="clear" w:color="auto" w:fill="FFFFFF"/>
            <w:tcMar>
              <w:top w:w="30" w:type="dxa"/>
              <w:left w:w="0" w:type="dxa"/>
              <w:bottom w:w="30" w:type="dxa"/>
              <w:right w:w="20" w:type="dxa"/>
            </w:tcMar>
            <w:vAlign w:val="bottom"/>
            <w:hideMark/>
          </w:tcPr>
          <w:p w14:paraId="6B482F33"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7A226"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2477EE"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0199D10"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AB19BF"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07914C"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95DF37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50FFEF"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772B0D" w14:textId="77777777" w:rsidR="00000000" w:rsidRDefault="009B6C69">
            <w:pPr>
              <w:spacing w:after="100"/>
              <w:jc w:val="right"/>
              <w:rPr>
                <w:rFonts w:eastAsia="Times New Roman"/>
              </w:rPr>
            </w:pPr>
            <w:r>
              <w:rPr>
                <w:rFonts w:eastAsia="Times New Roman"/>
                <w:color w:val="000000"/>
                <w:sz w:val="18"/>
                <w:szCs w:val="18"/>
              </w:rPr>
              <w:t>164 </w:t>
            </w:r>
          </w:p>
        </w:tc>
        <w:tc>
          <w:tcPr>
            <w:tcW w:w="0" w:type="auto"/>
            <w:shd w:val="clear" w:color="auto" w:fill="FFFFFF"/>
            <w:tcMar>
              <w:top w:w="30" w:type="dxa"/>
              <w:left w:w="0" w:type="dxa"/>
              <w:bottom w:w="30" w:type="dxa"/>
              <w:right w:w="20" w:type="dxa"/>
            </w:tcMar>
            <w:vAlign w:val="bottom"/>
            <w:hideMark/>
          </w:tcPr>
          <w:p w14:paraId="30BB402E" w14:textId="77777777" w:rsidR="00000000" w:rsidRDefault="009B6C69">
            <w:pPr>
              <w:spacing w:after="100"/>
              <w:jc w:val="right"/>
              <w:rPr>
                <w:rFonts w:eastAsia="Times New Roman"/>
              </w:rPr>
            </w:pPr>
          </w:p>
        </w:tc>
      </w:tr>
      <w:tr w:rsidR="00000000" w14:paraId="309CC228" w14:textId="77777777">
        <w:trPr>
          <w:divId w:val="769593275"/>
        </w:trPr>
        <w:tc>
          <w:tcPr>
            <w:tcW w:w="0" w:type="auto"/>
            <w:gridSpan w:val="3"/>
            <w:shd w:val="clear" w:color="auto" w:fill="CCEEFF"/>
            <w:tcMar>
              <w:top w:w="30" w:type="dxa"/>
              <w:left w:w="155" w:type="dxa"/>
              <w:bottom w:w="30" w:type="dxa"/>
              <w:right w:w="20" w:type="dxa"/>
            </w:tcMar>
            <w:vAlign w:val="bottom"/>
            <w:hideMark/>
          </w:tcPr>
          <w:p w14:paraId="1E93E93F" w14:textId="77777777" w:rsidR="00000000" w:rsidRDefault="009B6C69">
            <w:pPr>
              <w:spacing w:after="100"/>
              <w:rPr>
                <w:rFonts w:eastAsia="Times New Roman"/>
              </w:rPr>
            </w:pPr>
            <w:r>
              <w:rPr>
                <w:rFonts w:eastAsia="Times New Roman"/>
                <w:color w:val="000000"/>
                <w:sz w:val="18"/>
                <w:szCs w:val="18"/>
              </w:rPr>
              <w:t>Mortgage- and asset-backed securities</w:t>
            </w:r>
          </w:p>
        </w:tc>
        <w:tc>
          <w:tcPr>
            <w:tcW w:w="0" w:type="auto"/>
            <w:gridSpan w:val="2"/>
            <w:shd w:val="clear" w:color="auto" w:fill="CCEEFF"/>
            <w:tcMar>
              <w:top w:w="30" w:type="dxa"/>
              <w:left w:w="20" w:type="dxa"/>
              <w:bottom w:w="30" w:type="dxa"/>
              <w:right w:w="0" w:type="dxa"/>
            </w:tcMar>
            <w:vAlign w:val="bottom"/>
            <w:hideMark/>
          </w:tcPr>
          <w:p w14:paraId="2B67E84F"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C47F10C"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F724BC"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493628" w14:textId="77777777" w:rsidR="00000000" w:rsidRDefault="009B6C69">
            <w:pPr>
              <w:spacing w:after="100"/>
              <w:jc w:val="right"/>
              <w:rPr>
                <w:rFonts w:eastAsia="Times New Roman"/>
              </w:rPr>
            </w:pPr>
            <w:r>
              <w:rPr>
                <w:rFonts w:eastAsia="Times New Roman"/>
                <w:color w:val="000000"/>
                <w:sz w:val="18"/>
                <w:szCs w:val="18"/>
              </w:rPr>
              <w:t>99 </w:t>
            </w:r>
          </w:p>
        </w:tc>
        <w:tc>
          <w:tcPr>
            <w:tcW w:w="0" w:type="auto"/>
            <w:shd w:val="clear" w:color="auto" w:fill="CCEEFF"/>
            <w:tcMar>
              <w:top w:w="30" w:type="dxa"/>
              <w:left w:w="0" w:type="dxa"/>
              <w:bottom w:w="30" w:type="dxa"/>
              <w:right w:w="20" w:type="dxa"/>
            </w:tcMar>
            <w:vAlign w:val="bottom"/>
            <w:hideMark/>
          </w:tcPr>
          <w:p w14:paraId="15AF9219"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847C56"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A2AC02"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FADAE7B"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0B71EF"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1EC215" w14:textId="77777777" w:rsidR="00000000" w:rsidRDefault="009B6C69">
            <w:pPr>
              <w:spacing w:after="100"/>
              <w:jc w:val="right"/>
              <w:rPr>
                <w:rFonts w:eastAsia="Times New Roman"/>
              </w:rPr>
            </w:pPr>
            <w:r>
              <w:rPr>
                <w:rFonts w:eastAsia="Times New Roman"/>
                <w:color w:val="000000"/>
                <w:sz w:val="18"/>
                <w:szCs w:val="18"/>
              </w:rPr>
              <w:t>99 </w:t>
            </w:r>
          </w:p>
        </w:tc>
        <w:tc>
          <w:tcPr>
            <w:tcW w:w="0" w:type="auto"/>
            <w:shd w:val="clear" w:color="auto" w:fill="CCEEFF"/>
            <w:tcMar>
              <w:top w:w="30" w:type="dxa"/>
              <w:left w:w="0" w:type="dxa"/>
              <w:bottom w:w="30" w:type="dxa"/>
              <w:right w:w="20" w:type="dxa"/>
            </w:tcMar>
            <w:vAlign w:val="bottom"/>
            <w:hideMark/>
          </w:tcPr>
          <w:p w14:paraId="4E085474" w14:textId="77777777" w:rsidR="00000000" w:rsidRDefault="009B6C69">
            <w:pPr>
              <w:spacing w:after="100"/>
              <w:jc w:val="right"/>
              <w:rPr>
                <w:rFonts w:eastAsia="Times New Roman"/>
              </w:rPr>
            </w:pPr>
          </w:p>
        </w:tc>
      </w:tr>
      <w:tr w:rsidR="00000000" w14:paraId="1C9EC4D8" w14:textId="77777777">
        <w:trPr>
          <w:divId w:val="769593275"/>
        </w:trPr>
        <w:tc>
          <w:tcPr>
            <w:tcW w:w="0" w:type="auto"/>
            <w:gridSpan w:val="3"/>
            <w:shd w:val="clear" w:color="auto" w:fill="FFFFFF"/>
            <w:tcMar>
              <w:top w:w="30" w:type="dxa"/>
              <w:left w:w="155" w:type="dxa"/>
              <w:bottom w:w="30" w:type="dxa"/>
              <w:right w:w="20" w:type="dxa"/>
            </w:tcMar>
            <w:vAlign w:val="bottom"/>
            <w:hideMark/>
          </w:tcPr>
          <w:p w14:paraId="08D1451D" w14:textId="77777777" w:rsidR="00000000" w:rsidRDefault="009B6C69">
            <w:pPr>
              <w:spacing w:after="100"/>
              <w:rPr>
                <w:rFonts w:eastAsia="Times New Roman"/>
              </w:rPr>
            </w:pPr>
            <w:r>
              <w:rPr>
                <w:rFonts w:eastAsia="Times New Roman"/>
                <w:color w:val="000000"/>
                <w:sz w:val="18"/>
                <w:szCs w:val="18"/>
              </w:rPr>
              <w:t>U.S. Treasury securities and government-related securities</w:t>
            </w:r>
          </w:p>
        </w:tc>
        <w:tc>
          <w:tcPr>
            <w:tcW w:w="0" w:type="auto"/>
            <w:gridSpan w:val="2"/>
            <w:shd w:val="clear" w:color="auto" w:fill="FFFFFF"/>
            <w:tcMar>
              <w:top w:w="30" w:type="dxa"/>
              <w:left w:w="20" w:type="dxa"/>
              <w:bottom w:w="30" w:type="dxa"/>
              <w:right w:w="0" w:type="dxa"/>
            </w:tcMar>
            <w:vAlign w:val="bottom"/>
            <w:hideMark/>
          </w:tcPr>
          <w:p w14:paraId="5F550F13"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D3025D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279B92"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87DEF1" w14:textId="77777777" w:rsidR="00000000" w:rsidRDefault="009B6C69">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14:paraId="4C80B883"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336830"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30B0D0"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2FBD7F4"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98A06A"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4EF2E6" w14:textId="77777777" w:rsidR="00000000" w:rsidRDefault="009B6C69">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14:paraId="43C94D14" w14:textId="77777777" w:rsidR="00000000" w:rsidRDefault="009B6C69">
            <w:pPr>
              <w:spacing w:after="100"/>
              <w:jc w:val="right"/>
              <w:rPr>
                <w:rFonts w:eastAsia="Times New Roman"/>
              </w:rPr>
            </w:pPr>
          </w:p>
        </w:tc>
      </w:tr>
      <w:tr w:rsidR="00000000" w14:paraId="47DB93B6" w14:textId="77777777">
        <w:trPr>
          <w:divId w:val="769593275"/>
        </w:trPr>
        <w:tc>
          <w:tcPr>
            <w:tcW w:w="0" w:type="auto"/>
            <w:gridSpan w:val="3"/>
            <w:vAlign w:val="center"/>
            <w:hideMark/>
          </w:tcPr>
          <w:p w14:paraId="11F25E60" w14:textId="77777777" w:rsidR="00000000" w:rsidRDefault="009B6C69">
            <w:pPr>
              <w:spacing w:after="100"/>
              <w:jc w:val="right"/>
              <w:rPr>
                <w:rFonts w:eastAsia="Times New Roman"/>
                <w:sz w:val="20"/>
                <w:szCs w:val="20"/>
              </w:rPr>
            </w:pPr>
          </w:p>
        </w:tc>
        <w:tc>
          <w:tcPr>
            <w:tcW w:w="0" w:type="auto"/>
            <w:gridSpan w:val="3"/>
            <w:vAlign w:val="center"/>
            <w:hideMark/>
          </w:tcPr>
          <w:p w14:paraId="1A1B3C6E" w14:textId="77777777" w:rsidR="00000000" w:rsidRDefault="009B6C69">
            <w:pPr>
              <w:spacing w:after="100"/>
              <w:rPr>
                <w:rFonts w:eastAsia="Times New Roman"/>
                <w:sz w:val="20"/>
                <w:szCs w:val="20"/>
              </w:rPr>
            </w:pPr>
          </w:p>
        </w:tc>
        <w:tc>
          <w:tcPr>
            <w:tcW w:w="0" w:type="auto"/>
            <w:gridSpan w:val="3"/>
            <w:vAlign w:val="center"/>
            <w:hideMark/>
          </w:tcPr>
          <w:p w14:paraId="21E9FA3D" w14:textId="77777777" w:rsidR="00000000" w:rsidRDefault="009B6C69">
            <w:pPr>
              <w:spacing w:after="100"/>
              <w:rPr>
                <w:rFonts w:eastAsia="Times New Roman"/>
                <w:sz w:val="20"/>
                <w:szCs w:val="20"/>
              </w:rPr>
            </w:pPr>
          </w:p>
        </w:tc>
        <w:tc>
          <w:tcPr>
            <w:tcW w:w="0" w:type="auto"/>
            <w:gridSpan w:val="3"/>
            <w:vAlign w:val="center"/>
            <w:hideMark/>
          </w:tcPr>
          <w:p w14:paraId="2831CB6E" w14:textId="77777777" w:rsidR="00000000" w:rsidRDefault="009B6C69">
            <w:pPr>
              <w:spacing w:after="100"/>
              <w:rPr>
                <w:rFonts w:eastAsia="Times New Roman"/>
                <w:sz w:val="20"/>
                <w:szCs w:val="20"/>
              </w:rPr>
            </w:pPr>
          </w:p>
        </w:tc>
        <w:tc>
          <w:tcPr>
            <w:tcW w:w="0" w:type="auto"/>
            <w:gridSpan w:val="3"/>
            <w:vAlign w:val="center"/>
            <w:hideMark/>
          </w:tcPr>
          <w:p w14:paraId="19560990" w14:textId="77777777" w:rsidR="00000000" w:rsidRDefault="009B6C69">
            <w:pPr>
              <w:spacing w:after="100"/>
              <w:rPr>
                <w:rFonts w:eastAsia="Times New Roman"/>
                <w:sz w:val="20"/>
                <w:szCs w:val="20"/>
              </w:rPr>
            </w:pPr>
          </w:p>
        </w:tc>
        <w:tc>
          <w:tcPr>
            <w:tcW w:w="0" w:type="auto"/>
            <w:gridSpan w:val="3"/>
            <w:vAlign w:val="center"/>
            <w:hideMark/>
          </w:tcPr>
          <w:p w14:paraId="14B9A18C" w14:textId="77777777" w:rsidR="00000000" w:rsidRDefault="009B6C69">
            <w:pPr>
              <w:spacing w:after="100"/>
              <w:rPr>
                <w:rFonts w:eastAsia="Times New Roman"/>
                <w:sz w:val="20"/>
                <w:szCs w:val="20"/>
              </w:rPr>
            </w:pPr>
          </w:p>
        </w:tc>
        <w:tc>
          <w:tcPr>
            <w:tcW w:w="0" w:type="auto"/>
            <w:gridSpan w:val="3"/>
            <w:vAlign w:val="center"/>
            <w:hideMark/>
          </w:tcPr>
          <w:p w14:paraId="30772F3C" w14:textId="77777777" w:rsidR="00000000" w:rsidRDefault="009B6C69">
            <w:pPr>
              <w:spacing w:after="100"/>
              <w:rPr>
                <w:rFonts w:eastAsia="Times New Roman"/>
                <w:sz w:val="20"/>
                <w:szCs w:val="20"/>
              </w:rPr>
            </w:pPr>
          </w:p>
        </w:tc>
        <w:tc>
          <w:tcPr>
            <w:tcW w:w="0" w:type="auto"/>
            <w:gridSpan w:val="3"/>
            <w:vAlign w:val="center"/>
            <w:hideMark/>
          </w:tcPr>
          <w:p w14:paraId="675BCD30" w14:textId="77777777" w:rsidR="00000000" w:rsidRDefault="009B6C69">
            <w:pPr>
              <w:spacing w:after="100"/>
              <w:rPr>
                <w:rFonts w:eastAsia="Times New Roman"/>
                <w:sz w:val="20"/>
                <w:szCs w:val="20"/>
              </w:rPr>
            </w:pPr>
          </w:p>
        </w:tc>
      </w:tr>
      <w:tr w:rsidR="00000000" w14:paraId="129586CC" w14:textId="77777777">
        <w:trPr>
          <w:divId w:val="769593275"/>
        </w:trPr>
        <w:tc>
          <w:tcPr>
            <w:tcW w:w="0" w:type="auto"/>
            <w:gridSpan w:val="3"/>
            <w:shd w:val="clear" w:color="auto" w:fill="CCEEFF"/>
            <w:tcMar>
              <w:top w:w="30" w:type="dxa"/>
              <w:left w:w="380" w:type="dxa"/>
              <w:bottom w:w="30" w:type="dxa"/>
              <w:right w:w="20" w:type="dxa"/>
            </w:tcMar>
            <w:vAlign w:val="bottom"/>
            <w:hideMark/>
          </w:tcPr>
          <w:p w14:paraId="4DBE8ED3" w14:textId="77777777" w:rsidR="00000000" w:rsidRDefault="009B6C69">
            <w:pPr>
              <w:spacing w:after="100"/>
              <w:rPr>
                <w:rFonts w:eastAsia="Times New Roman"/>
              </w:rPr>
            </w:pPr>
            <w:r>
              <w:rPr>
                <w:rFonts w:eastAsia="Times New Roman"/>
                <w:color w:val="000000"/>
                <w:sz w:val="18"/>
                <w:szCs w:val="18"/>
              </w:rPr>
              <w:t>Total marketable securities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7A0919" w14:textId="77777777" w:rsidR="00000000" w:rsidRDefault="009B6C69">
            <w:pPr>
              <w:spacing w:after="100"/>
              <w:jc w:val="right"/>
              <w:rPr>
                <w:rFonts w:eastAsia="Times New Roman"/>
              </w:rPr>
            </w:pPr>
            <w:r>
              <w:rPr>
                <w:rFonts w:eastAsia="Times New Roman"/>
                <w:color w:val="000000"/>
                <w:sz w:val="18"/>
                <w:szCs w:val="18"/>
              </w:rPr>
              <w:t>164 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BBD2C2"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912BAD"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456576" w14:textId="77777777" w:rsidR="00000000" w:rsidRDefault="009B6C69">
            <w:pPr>
              <w:spacing w:after="100"/>
              <w:jc w:val="right"/>
              <w:rPr>
                <w:rFonts w:eastAsia="Times New Roman"/>
              </w:rPr>
            </w:pPr>
            <w:r>
              <w:rPr>
                <w:rFonts w:eastAsia="Times New Roman"/>
                <w:color w:val="000000"/>
                <w:sz w:val="18"/>
                <w:szCs w:val="18"/>
              </w:rPr>
              <w:t>3,445 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5242F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E11663"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24C76F" w14:textId="77777777" w:rsidR="00000000" w:rsidRDefault="009B6C69">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039D4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B5903A"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6AB5F8" w14:textId="77777777" w:rsidR="00000000" w:rsidRDefault="009B6C69">
            <w:pPr>
              <w:spacing w:after="100"/>
              <w:jc w:val="right"/>
              <w:rPr>
                <w:rFonts w:eastAsia="Times New Roman"/>
              </w:rPr>
            </w:pPr>
            <w:r>
              <w:rPr>
                <w:rFonts w:eastAsia="Times New Roman"/>
                <w:color w:val="000000"/>
                <w:sz w:val="18"/>
                <w:szCs w:val="18"/>
              </w:rPr>
              <w:t>3,609 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D3CE14" w14:textId="77777777" w:rsidR="00000000" w:rsidRDefault="009B6C69">
            <w:pPr>
              <w:spacing w:after="100"/>
              <w:jc w:val="right"/>
              <w:rPr>
                <w:rFonts w:eastAsia="Times New Roman"/>
              </w:rPr>
            </w:pPr>
          </w:p>
        </w:tc>
      </w:tr>
      <w:tr w:rsidR="00000000" w14:paraId="56F3F01D" w14:textId="77777777">
        <w:trPr>
          <w:divId w:val="769593275"/>
        </w:trPr>
        <w:tc>
          <w:tcPr>
            <w:tcW w:w="0" w:type="auto"/>
            <w:gridSpan w:val="3"/>
            <w:shd w:val="clear" w:color="auto" w:fill="FFFFFF"/>
            <w:tcMar>
              <w:top w:w="30" w:type="dxa"/>
              <w:left w:w="20" w:type="dxa"/>
              <w:bottom w:w="30" w:type="dxa"/>
              <w:right w:w="20" w:type="dxa"/>
            </w:tcMar>
            <w:vAlign w:val="bottom"/>
            <w:hideMark/>
          </w:tcPr>
          <w:p w14:paraId="0D60F610" w14:textId="77777777" w:rsidR="00000000" w:rsidRDefault="009B6C69">
            <w:pPr>
              <w:spacing w:after="100"/>
              <w:rPr>
                <w:rFonts w:eastAsia="Times New Roman"/>
              </w:rPr>
            </w:pPr>
            <w:r>
              <w:rPr>
                <w:rFonts w:eastAsia="Times New Roman"/>
                <w:color w:val="000000"/>
                <w:sz w:val="18"/>
                <w:szCs w:val="18"/>
              </w:rPr>
              <w:t>Derivative instruments</w:t>
            </w:r>
          </w:p>
        </w:tc>
        <w:tc>
          <w:tcPr>
            <w:tcW w:w="0" w:type="auto"/>
            <w:gridSpan w:val="2"/>
            <w:shd w:val="clear" w:color="auto" w:fill="FFFFFF"/>
            <w:tcMar>
              <w:top w:w="30" w:type="dxa"/>
              <w:left w:w="20" w:type="dxa"/>
              <w:bottom w:w="30" w:type="dxa"/>
              <w:right w:w="0" w:type="dxa"/>
            </w:tcMar>
            <w:vAlign w:val="bottom"/>
            <w:hideMark/>
          </w:tcPr>
          <w:p w14:paraId="5BCC85E6"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39AA56"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4880A7"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7C7796" w14:textId="77777777" w:rsidR="00000000" w:rsidRDefault="009B6C69">
            <w:pPr>
              <w:spacing w:after="100"/>
              <w:jc w:val="right"/>
              <w:rPr>
                <w:rFonts w:eastAsia="Times New Roman"/>
              </w:rPr>
            </w:pPr>
            <w:r>
              <w:rPr>
                <w:rFonts w:eastAsia="Times New Roman"/>
                <w:color w:val="000000"/>
                <w:sz w:val="18"/>
                <w:szCs w:val="18"/>
              </w:rPr>
              <w:t>271 </w:t>
            </w:r>
          </w:p>
        </w:tc>
        <w:tc>
          <w:tcPr>
            <w:tcW w:w="0" w:type="auto"/>
            <w:shd w:val="clear" w:color="auto" w:fill="FFFFFF"/>
            <w:tcMar>
              <w:top w:w="30" w:type="dxa"/>
              <w:left w:w="0" w:type="dxa"/>
              <w:bottom w:w="30" w:type="dxa"/>
              <w:right w:w="20" w:type="dxa"/>
            </w:tcMar>
            <w:vAlign w:val="bottom"/>
            <w:hideMark/>
          </w:tcPr>
          <w:p w14:paraId="61048510"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71B346"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F72C97"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676847C"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C5449E"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E62462" w14:textId="77777777" w:rsidR="00000000" w:rsidRDefault="009B6C69">
            <w:pPr>
              <w:spacing w:after="100"/>
              <w:jc w:val="right"/>
              <w:rPr>
                <w:rFonts w:eastAsia="Times New Roman"/>
              </w:rPr>
            </w:pPr>
            <w:r>
              <w:rPr>
                <w:rFonts w:eastAsia="Times New Roman"/>
                <w:color w:val="000000"/>
                <w:sz w:val="18"/>
                <w:szCs w:val="18"/>
              </w:rPr>
              <w:t>271 </w:t>
            </w:r>
          </w:p>
        </w:tc>
        <w:tc>
          <w:tcPr>
            <w:tcW w:w="0" w:type="auto"/>
            <w:shd w:val="clear" w:color="auto" w:fill="FFFFFF"/>
            <w:tcMar>
              <w:top w:w="30" w:type="dxa"/>
              <w:left w:w="0" w:type="dxa"/>
              <w:bottom w:w="30" w:type="dxa"/>
              <w:right w:w="20" w:type="dxa"/>
            </w:tcMar>
            <w:vAlign w:val="bottom"/>
            <w:hideMark/>
          </w:tcPr>
          <w:p w14:paraId="1D0EAC47" w14:textId="77777777" w:rsidR="00000000" w:rsidRDefault="009B6C69">
            <w:pPr>
              <w:spacing w:after="100"/>
              <w:jc w:val="right"/>
              <w:rPr>
                <w:rFonts w:eastAsia="Times New Roman"/>
              </w:rPr>
            </w:pPr>
          </w:p>
        </w:tc>
      </w:tr>
      <w:tr w:rsidR="00000000" w14:paraId="62CE765A" w14:textId="77777777">
        <w:trPr>
          <w:divId w:val="769593275"/>
        </w:trPr>
        <w:tc>
          <w:tcPr>
            <w:tcW w:w="0" w:type="auto"/>
            <w:gridSpan w:val="3"/>
            <w:shd w:val="clear" w:color="auto" w:fill="CCEEFF"/>
            <w:tcMar>
              <w:top w:w="30" w:type="dxa"/>
              <w:left w:w="20" w:type="dxa"/>
              <w:bottom w:w="30" w:type="dxa"/>
              <w:right w:w="20" w:type="dxa"/>
            </w:tcMar>
            <w:vAlign w:val="bottom"/>
            <w:hideMark/>
          </w:tcPr>
          <w:p w14:paraId="674F7DF2" w14:textId="77777777" w:rsidR="00000000" w:rsidRDefault="009B6C69">
            <w:pPr>
              <w:spacing w:after="100"/>
              <w:rPr>
                <w:rFonts w:eastAsia="Times New Roman"/>
              </w:rPr>
            </w:pPr>
            <w:r>
              <w:rPr>
                <w:rFonts w:eastAsia="Times New Roman"/>
                <w:color w:val="000000"/>
                <w:sz w:val="18"/>
                <w:szCs w:val="18"/>
              </w:rPr>
              <w:t>Other investments</w:t>
            </w:r>
          </w:p>
        </w:tc>
        <w:tc>
          <w:tcPr>
            <w:tcW w:w="0" w:type="auto"/>
            <w:gridSpan w:val="2"/>
            <w:shd w:val="clear" w:color="auto" w:fill="CCEEFF"/>
            <w:tcMar>
              <w:top w:w="30" w:type="dxa"/>
              <w:left w:w="20" w:type="dxa"/>
              <w:bottom w:w="30" w:type="dxa"/>
              <w:right w:w="0" w:type="dxa"/>
            </w:tcMar>
            <w:vAlign w:val="bottom"/>
            <w:hideMark/>
          </w:tcPr>
          <w:p w14:paraId="6F9F9EF4" w14:textId="77777777" w:rsidR="00000000" w:rsidRDefault="009B6C69">
            <w:pPr>
              <w:spacing w:after="100"/>
              <w:jc w:val="right"/>
              <w:rPr>
                <w:rFonts w:eastAsia="Times New Roman"/>
              </w:rPr>
            </w:pPr>
            <w:r>
              <w:rPr>
                <w:rFonts w:eastAsia="Times New Roman"/>
                <w:color w:val="000000"/>
                <w:sz w:val="18"/>
                <w:szCs w:val="18"/>
              </w:rPr>
              <w:t>613 </w:t>
            </w:r>
          </w:p>
        </w:tc>
        <w:tc>
          <w:tcPr>
            <w:tcW w:w="0" w:type="auto"/>
            <w:shd w:val="clear" w:color="auto" w:fill="CCEEFF"/>
            <w:tcMar>
              <w:top w:w="30" w:type="dxa"/>
              <w:left w:w="0" w:type="dxa"/>
              <w:bottom w:w="30" w:type="dxa"/>
              <w:right w:w="20" w:type="dxa"/>
            </w:tcMar>
            <w:vAlign w:val="bottom"/>
            <w:hideMark/>
          </w:tcPr>
          <w:p w14:paraId="59A1E203"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68722B"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F0B6BB"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C9F1F5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822CBD"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FB2A39" w14:textId="77777777" w:rsidR="00000000" w:rsidRDefault="009B6C69">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14:paraId="718FA532"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C15CDC"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143AC3" w14:textId="77777777" w:rsidR="00000000" w:rsidRDefault="009B6C69">
            <w:pPr>
              <w:spacing w:after="100"/>
              <w:jc w:val="right"/>
              <w:rPr>
                <w:rFonts w:eastAsia="Times New Roman"/>
              </w:rPr>
            </w:pPr>
            <w:r>
              <w:rPr>
                <w:rFonts w:eastAsia="Times New Roman"/>
                <w:color w:val="000000"/>
                <w:sz w:val="18"/>
                <w:szCs w:val="18"/>
              </w:rPr>
              <w:t>628 </w:t>
            </w:r>
          </w:p>
        </w:tc>
        <w:tc>
          <w:tcPr>
            <w:tcW w:w="0" w:type="auto"/>
            <w:shd w:val="clear" w:color="auto" w:fill="CCEEFF"/>
            <w:tcMar>
              <w:top w:w="30" w:type="dxa"/>
              <w:left w:w="0" w:type="dxa"/>
              <w:bottom w:w="30" w:type="dxa"/>
              <w:right w:w="20" w:type="dxa"/>
            </w:tcMar>
            <w:vAlign w:val="bottom"/>
            <w:hideMark/>
          </w:tcPr>
          <w:p w14:paraId="621F38AF" w14:textId="77777777" w:rsidR="00000000" w:rsidRDefault="009B6C69">
            <w:pPr>
              <w:spacing w:after="100"/>
              <w:jc w:val="right"/>
              <w:rPr>
                <w:rFonts w:eastAsia="Times New Roman"/>
              </w:rPr>
            </w:pPr>
          </w:p>
        </w:tc>
      </w:tr>
      <w:tr w:rsidR="00000000" w14:paraId="15B4DE54" w14:textId="77777777">
        <w:trPr>
          <w:divId w:val="769593275"/>
        </w:trPr>
        <w:tc>
          <w:tcPr>
            <w:tcW w:w="0" w:type="auto"/>
            <w:gridSpan w:val="3"/>
            <w:shd w:val="clear" w:color="auto" w:fill="FFFFFF"/>
            <w:tcMar>
              <w:top w:w="30" w:type="dxa"/>
              <w:left w:w="380" w:type="dxa"/>
              <w:bottom w:w="30" w:type="dxa"/>
              <w:right w:w="20" w:type="dxa"/>
            </w:tcMar>
            <w:vAlign w:val="bottom"/>
            <w:hideMark/>
          </w:tcPr>
          <w:p w14:paraId="259F404D" w14:textId="77777777" w:rsidR="00000000" w:rsidRDefault="009B6C69">
            <w:pPr>
              <w:spacing w:after="100"/>
              <w:rPr>
                <w:rFonts w:eastAsia="Times New Roman"/>
              </w:rPr>
            </w:pPr>
            <w:r>
              <w:rPr>
                <w:rFonts w:eastAsia="Times New Roman"/>
                <w:color w:val="000000"/>
                <w:sz w:val="18"/>
                <w:szCs w:val="18"/>
              </w:rPr>
              <w:t>Total assets measured at fair value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9728923"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A03E246" w14:textId="77777777" w:rsidR="00000000" w:rsidRDefault="009B6C69">
            <w:pPr>
              <w:spacing w:after="100"/>
              <w:jc w:val="right"/>
              <w:rPr>
                <w:rFonts w:eastAsia="Times New Roman"/>
              </w:rPr>
            </w:pPr>
            <w:r>
              <w:rPr>
                <w:rFonts w:eastAsia="Times New Roman"/>
                <w:color w:val="000000"/>
                <w:sz w:val="18"/>
                <w:szCs w:val="18"/>
              </w:rPr>
              <w:t>1,699 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0C7A1D"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B5667B"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293C27"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5F551E0" w14:textId="77777777" w:rsidR="00000000" w:rsidRDefault="009B6C69">
            <w:pPr>
              <w:spacing w:after="100"/>
              <w:jc w:val="right"/>
              <w:rPr>
                <w:rFonts w:eastAsia="Times New Roman"/>
              </w:rPr>
            </w:pPr>
            <w:r>
              <w:rPr>
                <w:rFonts w:eastAsia="Times New Roman"/>
                <w:color w:val="000000"/>
                <w:sz w:val="18"/>
                <w:szCs w:val="18"/>
              </w:rPr>
              <w:t>3,914 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52D092"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186059"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D34F652"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DA8646" w14:textId="77777777" w:rsidR="00000000" w:rsidRDefault="009B6C69">
            <w:pPr>
              <w:spacing w:after="100"/>
              <w:jc w:val="right"/>
              <w:rPr>
                <w:rFonts w:eastAsia="Times New Roman"/>
              </w:rPr>
            </w:pPr>
            <w:r>
              <w:rPr>
                <w:rFonts w:eastAsia="Times New Roman"/>
                <w:color w:val="000000"/>
                <w:sz w:val="18"/>
                <w:szCs w:val="18"/>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5E0724"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44D681"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EE5F851"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774132B" w14:textId="77777777" w:rsidR="00000000" w:rsidRDefault="009B6C69">
            <w:pPr>
              <w:spacing w:after="100"/>
              <w:jc w:val="right"/>
              <w:rPr>
                <w:rFonts w:eastAsia="Times New Roman"/>
              </w:rPr>
            </w:pPr>
            <w:r>
              <w:rPr>
                <w:rFonts w:eastAsia="Times New Roman"/>
                <w:color w:val="000000"/>
                <w:sz w:val="18"/>
                <w:szCs w:val="18"/>
              </w:rPr>
              <w:t>5,628 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1026FF" w14:textId="77777777" w:rsidR="00000000" w:rsidRDefault="009B6C69">
            <w:pPr>
              <w:spacing w:after="100"/>
              <w:jc w:val="right"/>
              <w:rPr>
                <w:rFonts w:eastAsia="Times New Roman"/>
              </w:rPr>
            </w:pPr>
          </w:p>
        </w:tc>
      </w:tr>
      <w:tr w:rsidR="00000000" w14:paraId="095A531D" w14:textId="77777777">
        <w:trPr>
          <w:divId w:val="769593275"/>
        </w:trPr>
        <w:tc>
          <w:tcPr>
            <w:tcW w:w="0" w:type="auto"/>
            <w:gridSpan w:val="3"/>
            <w:shd w:val="clear" w:color="auto" w:fill="CCEEFF"/>
            <w:tcMar>
              <w:top w:w="30" w:type="dxa"/>
              <w:left w:w="20" w:type="dxa"/>
              <w:bottom w:w="30" w:type="dxa"/>
              <w:right w:w="20" w:type="dxa"/>
            </w:tcMar>
            <w:vAlign w:val="bottom"/>
            <w:hideMark/>
          </w:tcPr>
          <w:p w14:paraId="56C20040" w14:textId="77777777" w:rsidR="00000000" w:rsidRDefault="009B6C69">
            <w:pPr>
              <w:spacing w:after="100"/>
              <w:rPr>
                <w:rFonts w:eastAsia="Times New Roman"/>
              </w:rPr>
            </w:pPr>
            <w:r>
              <w:rPr>
                <w:rFonts w:eastAsia="Times New Roman"/>
                <w:b/>
                <w:bCs/>
                <w:color w:val="000000"/>
                <w:sz w:val="18"/>
                <w:szCs w:val="18"/>
              </w:rPr>
              <w:t>Liabilities: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B9078E1"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207A4394" w14:textId="77777777" w:rsidR="00000000" w:rsidRDefault="009B6C69">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D7F57B7"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6954BDE0" w14:textId="77777777" w:rsidR="00000000" w:rsidRDefault="009B6C69">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30535A1"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29E759FA" w14:textId="77777777" w:rsidR="00000000" w:rsidRDefault="009B6C69">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B73824B" w14:textId="77777777" w:rsidR="00000000" w:rsidRDefault="009B6C69">
            <w:pPr>
              <w:spacing w:after="100"/>
              <w:rPr>
                <w:rFonts w:eastAsia="Times New Roman"/>
              </w:rPr>
            </w:pPr>
            <w:r>
              <w:rPr>
                <w:rFonts w:eastAsia="Times New Roman"/>
                <w:color w:val="000000"/>
                <w:sz w:val="18"/>
                <w:szCs w:val="18"/>
              </w:rPr>
              <w:t> </w:t>
            </w:r>
          </w:p>
        </w:tc>
      </w:tr>
      <w:tr w:rsidR="00000000" w14:paraId="1AD440A4" w14:textId="77777777">
        <w:trPr>
          <w:divId w:val="769593275"/>
        </w:trPr>
        <w:tc>
          <w:tcPr>
            <w:tcW w:w="0" w:type="auto"/>
            <w:gridSpan w:val="3"/>
            <w:shd w:val="clear" w:color="auto" w:fill="FFFFFF"/>
            <w:tcMar>
              <w:top w:w="30" w:type="dxa"/>
              <w:left w:w="20" w:type="dxa"/>
              <w:bottom w:w="30" w:type="dxa"/>
              <w:right w:w="20" w:type="dxa"/>
            </w:tcMar>
            <w:vAlign w:val="bottom"/>
            <w:hideMark/>
          </w:tcPr>
          <w:p w14:paraId="6933272C" w14:textId="77777777" w:rsidR="00000000" w:rsidRDefault="009B6C69">
            <w:pPr>
              <w:spacing w:after="100"/>
              <w:rPr>
                <w:rFonts w:eastAsia="Times New Roman"/>
              </w:rPr>
            </w:pPr>
            <w:r>
              <w:rPr>
                <w:rFonts w:eastAsia="Times New Roman"/>
                <w:color w:val="000000"/>
                <w:sz w:val="18"/>
                <w:szCs w:val="18"/>
              </w:rPr>
              <w:t>Derivative instruments</w:t>
            </w:r>
          </w:p>
        </w:tc>
        <w:tc>
          <w:tcPr>
            <w:tcW w:w="0" w:type="auto"/>
            <w:shd w:val="clear" w:color="auto" w:fill="FFFFFF"/>
            <w:tcMar>
              <w:top w:w="30" w:type="dxa"/>
              <w:left w:w="20" w:type="dxa"/>
              <w:bottom w:w="30" w:type="dxa"/>
              <w:right w:w="0" w:type="dxa"/>
            </w:tcMar>
            <w:vAlign w:val="bottom"/>
            <w:hideMark/>
          </w:tcPr>
          <w:p w14:paraId="6A72A031"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A787681"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A6712A0"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423CD9" w14:textId="77777777" w:rsidR="00000000" w:rsidRDefault="009B6C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B251791"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905DB22" w14:textId="77777777" w:rsidR="00000000" w:rsidRDefault="009B6C69">
            <w:pPr>
              <w:spacing w:after="100"/>
              <w:jc w:val="right"/>
              <w:rPr>
                <w:rFonts w:eastAsia="Times New Roman"/>
              </w:rPr>
            </w:pPr>
            <w:r>
              <w:rPr>
                <w:rFonts w:eastAsia="Times New Roman"/>
                <w:color w:val="000000"/>
                <w:sz w:val="18"/>
                <w:szCs w:val="18"/>
              </w:rPr>
              <w:t>346 </w:t>
            </w:r>
          </w:p>
        </w:tc>
        <w:tc>
          <w:tcPr>
            <w:tcW w:w="0" w:type="auto"/>
            <w:shd w:val="clear" w:color="auto" w:fill="FFFFFF"/>
            <w:tcMar>
              <w:top w:w="30" w:type="dxa"/>
              <w:left w:w="0" w:type="dxa"/>
              <w:bottom w:w="30" w:type="dxa"/>
              <w:right w:w="20" w:type="dxa"/>
            </w:tcMar>
            <w:vAlign w:val="bottom"/>
            <w:hideMark/>
          </w:tcPr>
          <w:p w14:paraId="70B48FCD"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FD8D67" w14:textId="77777777" w:rsidR="00000000" w:rsidRDefault="009B6C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F2691D7"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5B5D4C0"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BAF961B"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1E40CF" w14:textId="77777777" w:rsidR="00000000" w:rsidRDefault="009B6C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A9051D"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036010D" w14:textId="77777777" w:rsidR="00000000" w:rsidRDefault="009B6C69">
            <w:pPr>
              <w:spacing w:after="100"/>
              <w:jc w:val="right"/>
              <w:rPr>
                <w:rFonts w:eastAsia="Times New Roman"/>
              </w:rPr>
            </w:pPr>
            <w:r>
              <w:rPr>
                <w:rFonts w:eastAsia="Times New Roman"/>
                <w:color w:val="000000"/>
                <w:sz w:val="18"/>
                <w:szCs w:val="18"/>
              </w:rPr>
              <w:t>346 </w:t>
            </w:r>
          </w:p>
        </w:tc>
        <w:tc>
          <w:tcPr>
            <w:tcW w:w="0" w:type="auto"/>
            <w:shd w:val="clear" w:color="auto" w:fill="FFFFFF"/>
            <w:tcMar>
              <w:top w:w="30" w:type="dxa"/>
              <w:left w:w="0" w:type="dxa"/>
              <w:bottom w:w="30" w:type="dxa"/>
              <w:right w:w="20" w:type="dxa"/>
            </w:tcMar>
            <w:vAlign w:val="bottom"/>
            <w:hideMark/>
          </w:tcPr>
          <w:p w14:paraId="22D32F8F" w14:textId="77777777" w:rsidR="00000000" w:rsidRDefault="009B6C69">
            <w:pPr>
              <w:spacing w:after="100"/>
              <w:jc w:val="right"/>
              <w:rPr>
                <w:rFonts w:eastAsia="Times New Roman"/>
              </w:rPr>
            </w:pPr>
          </w:p>
        </w:tc>
      </w:tr>
      <w:tr w:rsidR="00000000" w14:paraId="4246F1BF" w14:textId="77777777">
        <w:trPr>
          <w:divId w:val="769593275"/>
        </w:trPr>
        <w:tc>
          <w:tcPr>
            <w:tcW w:w="0" w:type="auto"/>
            <w:gridSpan w:val="3"/>
            <w:shd w:val="clear" w:color="auto" w:fill="CCEEFF"/>
            <w:tcMar>
              <w:top w:w="30" w:type="dxa"/>
              <w:left w:w="20" w:type="dxa"/>
              <w:bottom w:w="30" w:type="dxa"/>
              <w:right w:w="20" w:type="dxa"/>
            </w:tcMar>
            <w:vAlign w:val="bottom"/>
            <w:hideMark/>
          </w:tcPr>
          <w:p w14:paraId="5BC09630" w14:textId="77777777" w:rsidR="00000000" w:rsidRDefault="009B6C69">
            <w:pPr>
              <w:spacing w:after="100"/>
              <w:rPr>
                <w:rFonts w:eastAsia="Times New Roman"/>
              </w:rPr>
            </w:pPr>
            <w:r>
              <w:rPr>
                <w:rFonts w:eastAsia="Times New Roman"/>
                <w:color w:val="000000"/>
                <w:sz w:val="18"/>
                <w:szCs w:val="18"/>
              </w:rPr>
              <w:t>Other liabilities</w:t>
            </w:r>
          </w:p>
        </w:tc>
        <w:tc>
          <w:tcPr>
            <w:tcW w:w="0" w:type="auto"/>
            <w:gridSpan w:val="2"/>
            <w:shd w:val="clear" w:color="auto" w:fill="CCEEFF"/>
            <w:tcMar>
              <w:top w:w="30" w:type="dxa"/>
              <w:left w:w="20" w:type="dxa"/>
              <w:bottom w:w="30" w:type="dxa"/>
              <w:right w:w="0" w:type="dxa"/>
            </w:tcMar>
            <w:vAlign w:val="bottom"/>
            <w:hideMark/>
          </w:tcPr>
          <w:p w14:paraId="064E9BA3" w14:textId="77777777" w:rsidR="00000000" w:rsidRDefault="009B6C69">
            <w:pPr>
              <w:spacing w:after="100"/>
              <w:jc w:val="right"/>
              <w:rPr>
                <w:rFonts w:eastAsia="Times New Roman"/>
              </w:rPr>
            </w:pPr>
            <w:r>
              <w:rPr>
                <w:rFonts w:eastAsia="Times New Roman"/>
                <w:color w:val="000000"/>
                <w:sz w:val="18"/>
                <w:szCs w:val="18"/>
              </w:rPr>
              <w:t>612 </w:t>
            </w:r>
          </w:p>
        </w:tc>
        <w:tc>
          <w:tcPr>
            <w:tcW w:w="0" w:type="auto"/>
            <w:shd w:val="clear" w:color="auto" w:fill="CCEEFF"/>
            <w:tcMar>
              <w:top w:w="30" w:type="dxa"/>
              <w:left w:w="0" w:type="dxa"/>
              <w:bottom w:w="30" w:type="dxa"/>
              <w:right w:w="20" w:type="dxa"/>
            </w:tcMar>
            <w:vAlign w:val="bottom"/>
            <w:hideMark/>
          </w:tcPr>
          <w:p w14:paraId="10B57AC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3417D6"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8323A9"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BFC101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0137D1"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C70605" w14:textId="77777777" w:rsidR="00000000" w:rsidRDefault="009B6C6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33ED764"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D9FC68"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B4FCF8" w14:textId="77777777" w:rsidR="00000000" w:rsidRDefault="009B6C69">
            <w:pPr>
              <w:spacing w:after="100"/>
              <w:jc w:val="right"/>
              <w:rPr>
                <w:rFonts w:eastAsia="Times New Roman"/>
              </w:rPr>
            </w:pPr>
            <w:r>
              <w:rPr>
                <w:rFonts w:eastAsia="Times New Roman"/>
                <w:color w:val="000000"/>
                <w:sz w:val="18"/>
                <w:szCs w:val="18"/>
              </w:rPr>
              <w:t>612 </w:t>
            </w:r>
          </w:p>
        </w:tc>
        <w:tc>
          <w:tcPr>
            <w:tcW w:w="0" w:type="auto"/>
            <w:shd w:val="clear" w:color="auto" w:fill="CCEEFF"/>
            <w:tcMar>
              <w:top w:w="30" w:type="dxa"/>
              <w:left w:w="0" w:type="dxa"/>
              <w:bottom w:w="30" w:type="dxa"/>
              <w:right w:w="20" w:type="dxa"/>
            </w:tcMar>
            <w:vAlign w:val="bottom"/>
            <w:hideMark/>
          </w:tcPr>
          <w:p w14:paraId="7759921A" w14:textId="77777777" w:rsidR="00000000" w:rsidRDefault="009B6C69">
            <w:pPr>
              <w:spacing w:after="100"/>
              <w:jc w:val="right"/>
              <w:rPr>
                <w:rFonts w:eastAsia="Times New Roman"/>
              </w:rPr>
            </w:pPr>
          </w:p>
        </w:tc>
      </w:tr>
      <w:tr w:rsidR="00000000" w14:paraId="4975FEA4" w14:textId="77777777">
        <w:trPr>
          <w:divId w:val="769593275"/>
        </w:trPr>
        <w:tc>
          <w:tcPr>
            <w:tcW w:w="0" w:type="auto"/>
            <w:gridSpan w:val="3"/>
            <w:shd w:val="clear" w:color="auto" w:fill="FFFFFF"/>
            <w:tcMar>
              <w:top w:w="30" w:type="dxa"/>
              <w:left w:w="380" w:type="dxa"/>
              <w:bottom w:w="30" w:type="dxa"/>
              <w:right w:w="20" w:type="dxa"/>
            </w:tcMar>
            <w:vAlign w:val="bottom"/>
            <w:hideMark/>
          </w:tcPr>
          <w:p w14:paraId="36B5016E" w14:textId="77777777" w:rsidR="00000000" w:rsidRDefault="009B6C69">
            <w:pPr>
              <w:spacing w:after="100"/>
              <w:rPr>
                <w:rFonts w:eastAsia="Times New Roman"/>
              </w:rPr>
            </w:pPr>
            <w:r>
              <w:rPr>
                <w:rFonts w:eastAsia="Times New Roman"/>
                <w:color w:val="000000"/>
                <w:sz w:val="18"/>
                <w:szCs w:val="18"/>
              </w:rPr>
              <w:t>Total liabilities measured at fair value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904B905"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53AC96A" w14:textId="77777777" w:rsidR="00000000" w:rsidRDefault="009B6C69">
            <w:pPr>
              <w:spacing w:after="100"/>
              <w:jc w:val="right"/>
              <w:rPr>
                <w:rFonts w:eastAsia="Times New Roman"/>
              </w:rPr>
            </w:pPr>
            <w:r>
              <w:rPr>
                <w:rFonts w:eastAsia="Times New Roman"/>
                <w:color w:val="000000"/>
                <w:sz w:val="18"/>
                <w:szCs w:val="18"/>
              </w:rPr>
              <w:t>612 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4D9DC1"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A9E26F"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6096B0"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781BA06" w14:textId="77777777" w:rsidR="00000000" w:rsidRDefault="009B6C69">
            <w:pPr>
              <w:spacing w:after="100"/>
              <w:jc w:val="right"/>
              <w:rPr>
                <w:rFonts w:eastAsia="Times New Roman"/>
              </w:rPr>
            </w:pPr>
            <w:r>
              <w:rPr>
                <w:rFonts w:eastAsia="Times New Roman"/>
                <w:color w:val="000000"/>
                <w:sz w:val="18"/>
                <w:szCs w:val="18"/>
              </w:rPr>
              <w:t>346 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6CA5B15"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152BD7"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3FB092"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D65A63B" w14:textId="77777777" w:rsidR="00000000" w:rsidRDefault="009B6C69">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FA7136E"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12F51"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A0ED6C"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1C12E83" w14:textId="77777777" w:rsidR="00000000" w:rsidRDefault="009B6C69">
            <w:pPr>
              <w:spacing w:after="100"/>
              <w:jc w:val="right"/>
              <w:rPr>
                <w:rFonts w:eastAsia="Times New Roman"/>
              </w:rPr>
            </w:pPr>
            <w:r>
              <w:rPr>
                <w:rFonts w:eastAsia="Times New Roman"/>
                <w:color w:val="000000"/>
                <w:sz w:val="18"/>
                <w:szCs w:val="18"/>
              </w:rPr>
              <w:t>958 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222F1B" w14:textId="77777777" w:rsidR="00000000" w:rsidRDefault="009B6C69">
            <w:pPr>
              <w:spacing w:after="100"/>
              <w:jc w:val="right"/>
              <w:rPr>
                <w:rFonts w:eastAsia="Times New Roman"/>
              </w:rPr>
            </w:pPr>
          </w:p>
        </w:tc>
      </w:tr>
    </w:tbl>
    <w:p w14:paraId="4EB6BFA1" w14:textId="77777777" w:rsidR="00000000" w:rsidRDefault="009B6C69">
      <w:pPr>
        <w:divId w:val="249193138"/>
        <w:rPr>
          <w:rFonts w:eastAsia="Times New Roman"/>
        </w:rPr>
      </w:pPr>
      <w:r>
        <w:rPr>
          <w:rFonts w:eastAsia="Times New Roman"/>
          <w:b/>
          <w:bCs/>
          <w:color w:val="000000"/>
          <w:sz w:val="20"/>
          <w:szCs w:val="20"/>
          <w:shd w:val="clear" w:color="auto" w:fill="FFFFFF"/>
        </w:rPr>
        <w:t>Note 11. Marketable Securities</w:t>
      </w:r>
    </w:p>
    <w:p w14:paraId="53E26C76" w14:textId="77777777" w:rsidR="00000000" w:rsidRDefault="009B6C69">
      <w:pPr>
        <w:ind w:firstLine="360"/>
        <w:divId w:val="1900286980"/>
        <w:rPr>
          <w:rFonts w:eastAsia="Times New Roman"/>
        </w:rPr>
      </w:pPr>
      <w:r>
        <w:rPr>
          <w:rFonts w:eastAsia="Times New Roman"/>
          <w:color w:val="000000"/>
          <w:sz w:val="20"/>
          <w:szCs w:val="20"/>
        </w:rPr>
        <w:t>Our marketable securities were all classified as current and were comprised as follows (in millions):</w:t>
      </w:r>
    </w:p>
    <w:tbl>
      <w:tblPr>
        <w:tblW w:w="4992" w:type="pct"/>
        <w:tblCellMar>
          <w:top w:w="15" w:type="dxa"/>
          <w:left w:w="15" w:type="dxa"/>
          <w:bottom w:w="15" w:type="dxa"/>
          <w:right w:w="15" w:type="dxa"/>
        </w:tblCellMar>
        <w:tblLook w:val="04A0" w:firstRow="1" w:lastRow="0" w:firstColumn="1" w:lastColumn="0" w:noHBand="0" w:noVBand="1"/>
      </w:tblPr>
      <w:tblGrid>
        <w:gridCol w:w="40"/>
        <w:gridCol w:w="5772"/>
        <w:gridCol w:w="39"/>
        <w:gridCol w:w="111"/>
        <w:gridCol w:w="818"/>
        <w:gridCol w:w="36"/>
        <w:gridCol w:w="36"/>
        <w:gridCol w:w="36"/>
        <w:gridCol w:w="36"/>
        <w:gridCol w:w="111"/>
        <w:gridCol w:w="790"/>
        <w:gridCol w:w="36"/>
        <w:gridCol w:w="36"/>
        <w:gridCol w:w="36"/>
        <w:gridCol w:w="36"/>
        <w:gridCol w:w="36"/>
        <w:gridCol w:w="36"/>
        <w:gridCol w:w="36"/>
        <w:gridCol w:w="36"/>
        <w:gridCol w:w="36"/>
        <w:gridCol w:w="36"/>
        <w:gridCol w:w="36"/>
        <w:gridCol w:w="36"/>
        <w:gridCol w:w="36"/>
      </w:tblGrid>
      <w:tr w:rsidR="00000000" w14:paraId="1524A07A" w14:textId="77777777">
        <w:trPr>
          <w:divId w:val="718282141"/>
        </w:trPr>
        <w:tc>
          <w:tcPr>
            <w:tcW w:w="50" w:type="pct"/>
            <w:vAlign w:val="center"/>
            <w:hideMark/>
          </w:tcPr>
          <w:p w14:paraId="3067D711" w14:textId="77777777" w:rsidR="00000000" w:rsidRDefault="009B6C69">
            <w:pPr>
              <w:ind w:firstLine="360"/>
              <w:rPr>
                <w:rFonts w:eastAsia="Times New Roman"/>
              </w:rPr>
            </w:pPr>
          </w:p>
        </w:tc>
        <w:tc>
          <w:tcPr>
            <w:tcW w:w="3700" w:type="pct"/>
            <w:vAlign w:val="center"/>
            <w:hideMark/>
          </w:tcPr>
          <w:p w14:paraId="1AB265BE" w14:textId="77777777" w:rsidR="00000000" w:rsidRDefault="009B6C69">
            <w:pPr>
              <w:spacing w:after="100"/>
              <w:rPr>
                <w:rFonts w:eastAsia="Times New Roman"/>
                <w:sz w:val="20"/>
                <w:szCs w:val="20"/>
              </w:rPr>
            </w:pPr>
          </w:p>
        </w:tc>
        <w:tc>
          <w:tcPr>
            <w:tcW w:w="5" w:type="pct"/>
            <w:vAlign w:val="center"/>
            <w:hideMark/>
          </w:tcPr>
          <w:p w14:paraId="48F5F733" w14:textId="77777777" w:rsidR="00000000" w:rsidRDefault="009B6C69">
            <w:pPr>
              <w:spacing w:after="100"/>
              <w:rPr>
                <w:rFonts w:eastAsia="Times New Roman"/>
                <w:sz w:val="20"/>
                <w:szCs w:val="20"/>
              </w:rPr>
            </w:pPr>
          </w:p>
        </w:tc>
        <w:tc>
          <w:tcPr>
            <w:tcW w:w="50" w:type="pct"/>
            <w:vAlign w:val="center"/>
            <w:hideMark/>
          </w:tcPr>
          <w:p w14:paraId="1F193CD1" w14:textId="77777777" w:rsidR="00000000" w:rsidRDefault="009B6C69">
            <w:pPr>
              <w:spacing w:after="100"/>
              <w:rPr>
                <w:rFonts w:eastAsia="Times New Roman"/>
                <w:sz w:val="20"/>
                <w:szCs w:val="20"/>
              </w:rPr>
            </w:pPr>
          </w:p>
        </w:tc>
        <w:tc>
          <w:tcPr>
            <w:tcW w:w="548" w:type="pct"/>
            <w:vAlign w:val="center"/>
            <w:hideMark/>
          </w:tcPr>
          <w:p w14:paraId="263ED6E0" w14:textId="77777777" w:rsidR="00000000" w:rsidRDefault="009B6C69">
            <w:pPr>
              <w:spacing w:after="100"/>
              <w:rPr>
                <w:rFonts w:eastAsia="Times New Roman"/>
                <w:sz w:val="20"/>
                <w:szCs w:val="20"/>
              </w:rPr>
            </w:pPr>
          </w:p>
        </w:tc>
        <w:tc>
          <w:tcPr>
            <w:tcW w:w="5" w:type="pct"/>
            <w:vAlign w:val="center"/>
            <w:hideMark/>
          </w:tcPr>
          <w:p w14:paraId="53C604A6" w14:textId="77777777" w:rsidR="00000000" w:rsidRDefault="009B6C69">
            <w:pPr>
              <w:spacing w:after="100"/>
              <w:rPr>
                <w:rFonts w:eastAsia="Times New Roman"/>
                <w:sz w:val="20"/>
                <w:szCs w:val="20"/>
              </w:rPr>
            </w:pPr>
          </w:p>
        </w:tc>
        <w:tc>
          <w:tcPr>
            <w:tcW w:w="5" w:type="pct"/>
            <w:vAlign w:val="center"/>
            <w:hideMark/>
          </w:tcPr>
          <w:p w14:paraId="6EAD33C3" w14:textId="77777777" w:rsidR="00000000" w:rsidRDefault="009B6C69">
            <w:pPr>
              <w:spacing w:after="100"/>
              <w:rPr>
                <w:rFonts w:eastAsia="Times New Roman"/>
                <w:sz w:val="20"/>
                <w:szCs w:val="20"/>
              </w:rPr>
            </w:pPr>
          </w:p>
        </w:tc>
        <w:tc>
          <w:tcPr>
            <w:tcW w:w="27" w:type="pct"/>
            <w:vAlign w:val="center"/>
            <w:hideMark/>
          </w:tcPr>
          <w:p w14:paraId="05A7A96B" w14:textId="77777777" w:rsidR="00000000" w:rsidRDefault="009B6C69">
            <w:pPr>
              <w:spacing w:after="100"/>
              <w:rPr>
                <w:rFonts w:eastAsia="Times New Roman"/>
                <w:sz w:val="20"/>
                <w:szCs w:val="20"/>
              </w:rPr>
            </w:pPr>
          </w:p>
        </w:tc>
        <w:tc>
          <w:tcPr>
            <w:tcW w:w="5" w:type="pct"/>
            <w:vAlign w:val="center"/>
            <w:hideMark/>
          </w:tcPr>
          <w:p w14:paraId="0C1B1ECE" w14:textId="77777777" w:rsidR="00000000" w:rsidRDefault="009B6C69">
            <w:pPr>
              <w:spacing w:after="100"/>
              <w:rPr>
                <w:rFonts w:eastAsia="Times New Roman"/>
                <w:sz w:val="20"/>
                <w:szCs w:val="20"/>
              </w:rPr>
            </w:pPr>
          </w:p>
        </w:tc>
        <w:tc>
          <w:tcPr>
            <w:tcW w:w="50" w:type="pct"/>
            <w:vAlign w:val="center"/>
            <w:hideMark/>
          </w:tcPr>
          <w:p w14:paraId="07796968" w14:textId="77777777" w:rsidR="00000000" w:rsidRDefault="009B6C69">
            <w:pPr>
              <w:spacing w:after="100"/>
              <w:rPr>
                <w:rFonts w:eastAsia="Times New Roman"/>
                <w:sz w:val="20"/>
                <w:szCs w:val="20"/>
              </w:rPr>
            </w:pPr>
          </w:p>
        </w:tc>
        <w:tc>
          <w:tcPr>
            <w:tcW w:w="548" w:type="pct"/>
            <w:vAlign w:val="center"/>
            <w:hideMark/>
          </w:tcPr>
          <w:p w14:paraId="57CD6078" w14:textId="77777777" w:rsidR="00000000" w:rsidRDefault="009B6C69">
            <w:pPr>
              <w:spacing w:after="100"/>
              <w:rPr>
                <w:rFonts w:eastAsia="Times New Roman"/>
                <w:sz w:val="20"/>
                <w:szCs w:val="20"/>
              </w:rPr>
            </w:pPr>
          </w:p>
        </w:tc>
        <w:tc>
          <w:tcPr>
            <w:tcW w:w="5" w:type="pct"/>
            <w:vAlign w:val="center"/>
            <w:hideMark/>
          </w:tcPr>
          <w:p w14:paraId="7CFAC371" w14:textId="77777777" w:rsidR="00000000" w:rsidRDefault="009B6C69">
            <w:pPr>
              <w:spacing w:after="100"/>
              <w:rPr>
                <w:rFonts w:eastAsia="Times New Roman"/>
                <w:sz w:val="20"/>
                <w:szCs w:val="20"/>
              </w:rPr>
            </w:pPr>
          </w:p>
        </w:tc>
        <w:tc>
          <w:tcPr>
            <w:tcW w:w="0" w:type="auto"/>
            <w:gridSpan w:val="3"/>
            <w:vAlign w:val="center"/>
            <w:hideMark/>
          </w:tcPr>
          <w:p w14:paraId="3B28BCD0" w14:textId="77777777" w:rsidR="00000000" w:rsidRDefault="009B6C69">
            <w:pPr>
              <w:spacing w:after="100"/>
              <w:rPr>
                <w:rFonts w:eastAsia="Times New Roman"/>
                <w:sz w:val="20"/>
                <w:szCs w:val="20"/>
              </w:rPr>
            </w:pPr>
          </w:p>
        </w:tc>
        <w:tc>
          <w:tcPr>
            <w:tcW w:w="0" w:type="auto"/>
            <w:gridSpan w:val="3"/>
            <w:vAlign w:val="center"/>
            <w:hideMark/>
          </w:tcPr>
          <w:p w14:paraId="24E04DA8" w14:textId="77777777" w:rsidR="00000000" w:rsidRDefault="009B6C69">
            <w:pPr>
              <w:spacing w:after="100"/>
              <w:rPr>
                <w:rFonts w:eastAsia="Times New Roman"/>
                <w:sz w:val="20"/>
                <w:szCs w:val="20"/>
              </w:rPr>
            </w:pPr>
          </w:p>
        </w:tc>
        <w:tc>
          <w:tcPr>
            <w:tcW w:w="0" w:type="auto"/>
            <w:gridSpan w:val="3"/>
            <w:vAlign w:val="center"/>
            <w:hideMark/>
          </w:tcPr>
          <w:p w14:paraId="4C0FF48E" w14:textId="77777777" w:rsidR="00000000" w:rsidRDefault="009B6C69">
            <w:pPr>
              <w:spacing w:after="100"/>
              <w:rPr>
                <w:rFonts w:eastAsia="Times New Roman"/>
                <w:sz w:val="20"/>
                <w:szCs w:val="20"/>
              </w:rPr>
            </w:pPr>
          </w:p>
        </w:tc>
        <w:tc>
          <w:tcPr>
            <w:tcW w:w="0" w:type="auto"/>
            <w:gridSpan w:val="3"/>
            <w:vAlign w:val="center"/>
            <w:hideMark/>
          </w:tcPr>
          <w:p w14:paraId="1B25D337" w14:textId="77777777" w:rsidR="00000000" w:rsidRDefault="009B6C69">
            <w:pPr>
              <w:spacing w:after="100"/>
              <w:rPr>
                <w:rFonts w:eastAsia="Times New Roman"/>
                <w:sz w:val="20"/>
                <w:szCs w:val="20"/>
              </w:rPr>
            </w:pPr>
          </w:p>
        </w:tc>
      </w:tr>
      <w:tr w:rsidR="00000000" w14:paraId="5E302CAD" w14:textId="77777777">
        <w:trPr>
          <w:divId w:val="718282141"/>
        </w:trPr>
        <w:tc>
          <w:tcPr>
            <w:tcW w:w="0" w:type="auto"/>
            <w:gridSpan w:val="3"/>
            <w:vAlign w:val="center"/>
            <w:hideMark/>
          </w:tcPr>
          <w:p w14:paraId="392D2457" w14:textId="77777777" w:rsidR="00000000" w:rsidRDefault="009B6C69">
            <w:pPr>
              <w:spacing w:after="100"/>
              <w:rPr>
                <w:rFonts w:eastAsia="Times New Roman"/>
                <w:sz w:val="20"/>
                <w:szCs w:val="20"/>
              </w:rPr>
            </w:pPr>
          </w:p>
        </w:tc>
        <w:tc>
          <w:tcPr>
            <w:tcW w:w="0" w:type="auto"/>
            <w:gridSpan w:val="3"/>
            <w:vAlign w:val="center"/>
            <w:hideMark/>
          </w:tcPr>
          <w:p w14:paraId="13D7E40B" w14:textId="77777777" w:rsidR="00000000" w:rsidRDefault="009B6C69">
            <w:pPr>
              <w:spacing w:after="100"/>
              <w:rPr>
                <w:rFonts w:eastAsia="Times New Roman"/>
                <w:sz w:val="20"/>
                <w:szCs w:val="20"/>
              </w:rPr>
            </w:pPr>
          </w:p>
        </w:tc>
        <w:tc>
          <w:tcPr>
            <w:tcW w:w="0" w:type="auto"/>
            <w:gridSpan w:val="3"/>
            <w:vAlign w:val="center"/>
            <w:hideMark/>
          </w:tcPr>
          <w:p w14:paraId="5C542394" w14:textId="77777777" w:rsidR="00000000" w:rsidRDefault="009B6C69">
            <w:pPr>
              <w:spacing w:after="100"/>
              <w:rPr>
                <w:rFonts w:eastAsia="Times New Roman"/>
                <w:sz w:val="20"/>
                <w:szCs w:val="20"/>
              </w:rPr>
            </w:pPr>
          </w:p>
        </w:tc>
        <w:tc>
          <w:tcPr>
            <w:tcW w:w="0" w:type="auto"/>
            <w:gridSpan w:val="3"/>
            <w:vAlign w:val="center"/>
            <w:hideMark/>
          </w:tcPr>
          <w:p w14:paraId="22E5DDB4" w14:textId="77777777" w:rsidR="00000000" w:rsidRDefault="009B6C69">
            <w:pPr>
              <w:spacing w:after="100"/>
              <w:rPr>
                <w:rFonts w:eastAsia="Times New Roman"/>
                <w:sz w:val="20"/>
                <w:szCs w:val="20"/>
              </w:rPr>
            </w:pPr>
          </w:p>
        </w:tc>
        <w:tc>
          <w:tcPr>
            <w:tcW w:w="0" w:type="auto"/>
            <w:vAlign w:val="center"/>
            <w:hideMark/>
          </w:tcPr>
          <w:p w14:paraId="6776FC4F" w14:textId="77777777" w:rsidR="00000000" w:rsidRDefault="009B6C69">
            <w:pPr>
              <w:spacing w:after="100"/>
              <w:rPr>
                <w:rFonts w:eastAsia="Times New Roman"/>
                <w:sz w:val="20"/>
                <w:szCs w:val="20"/>
              </w:rPr>
            </w:pPr>
          </w:p>
        </w:tc>
        <w:tc>
          <w:tcPr>
            <w:tcW w:w="0" w:type="auto"/>
            <w:vAlign w:val="center"/>
            <w:hideMark/>
          </w:tcPr>
          <w:p w14:paraId="5ABA4C32" w14:textId="77777777" w:rsidR="00000000" w:rsidRDefault="009B6C69">
            <w:pPr>
              <w:spacing w:after="100"/>
              <w:rPr>
                <w:rFonts w:eastAsia="Times New Roman"/>
                <w:sz w:val="20"/>
                <w:szCs w:val="20"/>
              </w:rPr>
            </w:pPr>
          </w:p>
        </w:tc>
        <w:tc>
          <w:tcPr>
            <w:tcW w:w="0" w:type="auto"/>
            <w:vAlign w:val="center"/>
            <w:hideMark/>
          </w:tcPr>
          <w:p w14:paraId="380A10C7" w14:textId="77777777" w:rsidR="00000000" w:rsidRDefault="009B6C69">
            <w:pPr>
              <w:spacing w:after="100"/>
              <w:rPr>
                <w:rFonts w:eastAsia="Times New Roman"/>
                <w:sz w:val="20"/>
                <w:szCs w:val="20"/>
              </w:rPr>
            </w:pPr>
          </w:p>
        </w:tc>
        <w:tc>
          <w:tcPr>
            <w:tcW w:w="0" w:type="auto"/>
            <w:vAlign w:val="center"/>
            <w:hideMark/>
          </w:tcPr>
          <w:p w14:paraId="75326A5F" w14:textId="77777777" w:rsidR="00000000" w:rsidRDefault="009B6C69">
            <w:pPr>
              <w:spacing w:after="100"/>
              <w:rPr>
                <w:rFonts w:eastAsia="Times New Roman"/>
                <w:sz w:val="20"/>
                <w:szCs w:val="20"/>
              </w:rPr>
            </w:pPr>
          </w:p>
        </w:tc>
        <w:tc>
          <w:tcPr>
            <w:tcW w:w="0" w:type="auto"/>
            <w:vAlign w:val="center"/>
            <w:hideMark/>
          </w:tcPr>
          <w:p w14:paraId="2A27B4AD" w14:textId="77777777" w:rsidR="00000000" w:rsidRDefault="009B6C69">
            <w:pPr>
              <w:spacing w:after="100"/>
              <w:rPr>
                <w:rFonts w:eastAsia="Times New Roman"/>
                <w:sz w:val="20"/>
                <w:szCs w:val="20"/>
              </w:rPr>
            </w:pPr>
          </w:p>
        </w:tc>
        <w:tc>
          <w:tcPr>
            <w:tcW w:w="0" w:type="auto"/>
            <w:vAlign w:val="center"/>
            <w:hideMark/>
          </w:tcPr>
          <w:p w14:paraId="504B158E" w14:textId="77777777" w:rsidR="00000000" w:rsidRDefault="009B6C69">
            <w:pPr>
              <w:spacing w:after="100"/>
              <w:rPr>
                <w:rFonts w:eastAsia="Times New Roman"/>
                <w:sz w:val="20"/>
                <w:szCs w:val="20"/>
              </w:rPr>
            </w:pPr>
          </w:p>
        </w:tc>
        <w:tc>
          <w:tcPr>
            <w:tcW w:w="0" w:type="auto"/>
            <w:vAlign w:val="center"/>
            <w:hideMark/>
          </w:tcPr>
          <w:p w14:paraId="6B86D814" w14:textId="77777777" w:rsidR="00000000" w:rsidRDefault="009B6C69">
            <w:pPr>
              <w:spacing w:after="100"/>
              <w:rPr>
                <w:rFonts w:eastAsia="Times New Roman"/>
                <w:sz w:val="20"/>
                <w:szCs w:val="20"/>
              </w:rPr>
            </w:pPr>
          </w:p>
        </w:tc>
        <w:tc>
          <w:tcPr>
            <w:tcW w:w="0" w:type="auto"/>
            <w:vAlign w:val="center"/>
            <w:hideMark/>
          </w:tcPr>
          <w:p w14:paraId="2F1C5BE5" w14:textId="77777777" w:rsidR="00000000" w:rsidRDefault="009B6C69">
            <w:pPr>
              <w:spacing w:after="100"/>
              <w:rPr>
                <w:rFonts w:eastAsia="Times New Roman"/>
                <w:sz w:val="20"/>
                <w:szCs w:val="20"/>
              </w:rPr>
            </w:pPr>
          </w:p>
        </w:tc>
        <w:tc>
          <w:tcPr>
            <w:tcW w:w="0" w:type="auto"/>
            <w:vAlign w:val="center"/>
            <w:hideMark/>
          </w:tcPr>
          <w:p w14:paraId="6DFE37EE" w14:textId="77777777" w:rsidR="00000000" w:rsidRDefault="009B6C69">
            <w:pPr>
              <w:spacing w:after="100"/>
              <w:rPr>
                <w:rFonts w:eastAsia="Times New Roman"/>
                <w:sz w:val="20"/>
                <w:szCs w:val="20"/>
              </w:rPr>
            </w:pPr>
          </w:p>
        </w:tc>
        <w:tc>
          <w:tcPr>
            <w:tcW w:w="0" w:type="auto"/>
            <w:vAlign w:val="center"/>
            <w:hideMark/>
          </w:tcPr>
          <w:p w14:paraId="4CB49A33" w14:textId="77777777" w:rsidR="00000000" w:rsidRDefault="009B6C69">
            <w:pPr>
              <w:spacing w:after="100"/>
              <w:rPr>
                <w:rFonts w:eastAsia="Times New Roman"/>
                <w:sz w:val="20"/>
                <w:szCs w:val="20"/>
              </w:rPr>
            </w:pPr>
          </w:p>
        </w:tc>
        <w:tc>
          <w:tcPr>
            <w:tcW w:w="0" w:type="auto"/>
            <w:vAlign w:val="center"/>
            <w:hideMark/>
          </w:tcPr>
          <w:p w14:paraId="478C705E" w14:textId="77777777" w:rsidR="00000000" w:rsidRDefault="009B6C69">
            <w:pPr>
              <w:spacing w:after="100"/>
              <w:rPr>
                <w:rFonts w:eastAsia="Times New Roman"/>
                <w:sz w:val="20"/>
                <w:szCs w:val="20"/>
              </w:rPr>
            </w:pPr>
          </w:p>
        </w:tc>
        <w:tc>
          <w:tcPr>
            <w:tcW w:w="0" w:type="auto"/>
            <w:vAlign w:val="center"/>
            <w:hideMark/>
          </w:tcPr>
          <w:p w14:paraId="71BF97D1" w14:textId="77777777" w:rsidR="00000000" w:rsidRDefault="009B6C69">
            <w:pPr>
              <w:spacing w:after="100"/>
              <w:rPr>
                <w:rFonts w:eastAsia="Times New Roman"/>
                <w:sz w:val="20"/>
                <w:szCs w:val="20"/>
              </w:rPr>
            </w:pPr>
          </w:p>
        </w:tc>
      </w:tr>
      <w:tr w:rsidR="00000000" w14:paraId="29D110BC" w14:textId="77777777">
        <w:trPr>
          <w:divId w:val="718282141"/>
        </w:trPr>
        <w:tc>
          <w:tcPr>
            <w:tcW w:w="0" w:type="auto"/>
            <w:gridSpan w:val="3"/>
            <w:tcMar>
              <w:top w:w="0" w:type="dxa"/>
              <w:left w:w="20" w:type="dxa"/>
              <w:bottom w:w="0" w:type="dxa"/>
              <w:right w:w="20" w:type="dxa"/>
            </w:tcMar>
            <w:vAlign w:val="center"/>
            <w:hideMark/>
          </w:tcPr>
          <w:p w14:paraId="792EDD82" w14:textId="77777777" w:rsidR="00000000" w:rsidRDefault="009B6C69">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5F4BD50" w14:textId="77777777" w:rsidR="00000000" w:rsidRDefault="009B6C69">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14:paraId="690F6DEB"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FF8B1A2" w14:textId="77777777" w:rsidR="00000000" w:rsidRDefault="009B6C69">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c>
          <w:tcPr>
            <w:tcW w:w="0" w:type="auto"/>
            <w:gridSpan w:val="3"/>
            <w:vAlign w:val="center"/>
            <w:hideMark/>
          </w:tcPr>
          <w:p w14:paraId="52C33E7C" w14:textId="77777777" w:rsidR="00000000" w:rsidRDefault="009B6C69">
            <w:pPr>
              <w:spacing w:after="100"/>
              <w:jc w:val="center"/>
              <w:rPr>
                <w:rFonts w:eastAsia="Times New Roman"/>
              </w:rPr>
            </w:pPr>
          </w:p>
        </w:tc>
        <w:tc>
          <w:tcPr>
            <w:tcW w:w="0" w:type="auto"/>
            <w:gridSpan w:val="3"/>
            <w:vAlign w:val="center"/>
            <w:hideMark/>
          </w:tcPr>
          <w:p w14:paraId="27410273" w14:textId="77777777" w:rsidR="00000000" w:rsidRDefault="009B6C69">
            <w:pPr>
              <w:spacing w:after="100"/>
              <w:rPr>
                <w:rFonts w:eastAsia="Times New Roman"/>
                <w:sz w:val="20"/>
                <w:szCs w:val="20"/>
              </w:rPr>
            </w:pPr>
          </w:p>
        </w:tc>
        <w:tc>
          <w:tcPr>
            <w:tcW w:w="0" w:type="auto"/>
            <w:gridSpan w:val="3"/>
            <w:vAlign w:val="center"/>
            <w:hideMark/>
          </w:tcPr>
          <w:p w14:paraId="0407C2BC" w14:textId="77777777" w:rsidR="00000000" w:rsidRDefault="009B6C69">
            <w:pPr>
              <w:spacing w:after="100"/>
              <w:rPr>
                <w:rFonts w:eastAsia="Times New Roman"/>
                <w:sz w:val="20"/>
                <w:szCs w:val="20"/>
              </w:rPr>
            </w:pPr>
          </w:p>
        </w:tc>
        <w:tc>
          <w:tcPr>
            <w:tcW w:w="0" w:type="auto"/>
            <w:gridSpan w:val="3"/>
            <w:vAlign w:val="center"/>
            <w:hideMark/>
          </w:tcPr>
          <w:p w14:paraId="38C64851" w14:textId="77777777" w:rsidR="00000000" w:rsidRDefault="009B6C69">
            <w:pPr>
              <w:spacing w:after="100"/>
              <w:rPr>
                <w:rFonts w:eastAsia="Times New Roman"/>
                <w:sz w:val="20"/>
                <w:szCs w:val="20"/>
              </w:rPr>
            </w:pPr>
          </w:p>
        </w:tc>
      </w:tr>
      <w:tr w:rsidR="00000000" w14:paraId="20F63444" w14:textId="77777777">
        <w:trPr>
          <w:divId w:val="718282141"/>
        </w:trPr>
        <w:tc>
          <w:tcPr>
            <w:tcW w:w="0" w:type="auto"/>
            <w:gridSpan w:val="3"/>
            <w:vAlign w:val="center"/>
            <w:hideMark/>
          </w:tcPr>
          <w:p w14:paraId="547BD6CF" w14:textId="77777777" w:rsidR="00000000" w:rsidRDefault="009B6C69">
            <w:pPr>
              <w:spacing w:after="100"/>
              <w:rPr>
                <w:rFonts w:eastAsia="Times New Roman"/>
                <w:sz w:val="20"/>
                <w:szCs w:val="20"/>
              </w:rPr>
            </w:pPr>
          </w:p>
        </w:tc>
        <w:tc>
          <w:tcPr>
            <w:tcW w:w="0" w:type="auto"/>
            <w:gridSpan w:val="3"/>
            <w:vAlign w:val="center"/>
            <w:hideMark/>
          </w:tcPr>
          <w:p w14:paraId="2DECAD39" w14:textId="77777777" w:rsidR="00000000" w:rsidRDefault="009B6C69">
            <w:pPr>
              <w:spacing w:after="100"/>
              <w:rPr>
                <w:rFonts w:eastAsia="Times New Roman"/>
                <w:sz w:val="20"/>
                <w:szCs w:val="20"/>
              </w:rPr>
            </w:pPr>
          </w:p>
        </w:tc>
        <w:tc>
          <w:tcPr>
            <w:tcW w:w="0" w:type="auto"/>
            <w:gridSpan w:val="3"/>
            <w:vAlign w:val="center"/>
            <w:hideMark/>
          </w:tcPr>
          <w:p w14:paraId="6BBE3E5E" w14:textId="77777777" w:rsidR="00000000" w:rsidRDefault="009B6C69">
            <w:pPr>
              <w:spacing w:after="100"/>
              <w:rPr>
                <w:rFonts w:eastAsia="Times New Roman"/>
                <w:sz w:val="20"/>
                <w:szCs w:val="20"/>
              </w:rPr>
            </w:pPr>
          </w:p>
        </w:tc>
        <w:tc>
          <w:tcPr>
            <w:tcW w:w="0" w:type="auto"/>
            <w:gridSpan w:val="3"/>
            <w:vAlign w:val="center"/>
            <w:hideMark/>
          </w:tcPr>
          <w:p w14:paraId="7C6B941B" w14:textId="77777777" w:rsidR="00000000" w:rsidRDefault="009B6C69">
            <w:pPr>
              <w:spacing w:after="100"/>
              <w:rPr>
                <w:rFonts w:eastAsia="Times New Roman"/>
                <w:sz w:val="20"/>
                <w:szCs w:val="20"/>
              </w:rPr>
            </w:pPr>
          </w:p>
        </w:tc>
        <w:tc>
          <w:tcPr>
            <w:tcW w:w="0" w:type="auto"/>
            <w:gridSpan w:val="3"/>
            <w:vAlign w:val="center"/>
            <w:hideMark/>
          </w:tcPr>
          <w:p w14:paraId="461DC8AB" w14:textId="77777777" w:rsidR="00000000" w:rsidRDefault="009B6C69">
            <w:pPr>
              <w:spacing w:after="100"/>
              <w:rPr>
                <w:rFonts w:eastAsia="Times New Roman"/>
                <w:sz w:val="20"/>
                <w:szCs w:val="20"/>
              </w:rPr>
            </w:pPr>
          </w:p>
        </w:tc>
        <w:tc>
          <w:tcPr>
            <w:tcW w:w="0" w:type="auto"/>
            <w:gridSpan w:val="3"/>
            <w:vAlign w:val="center"/>
            <w:hideMark/>
          </w:tcPr>
          <w:p w14:paraId="7FA82182" w14:textId="77777777" w:rsidR="00000000" w:rsidRDefault="009B6C69">
            <w:pPr>
              <w:spacing w:after="100"/>
              <w:rPr>
                <w:rFonts w:eastAsia="Times New Roman"/>
                <w:sz w:val="20"/>
                <w:szCs w:val="20"/>
              </w:rPr>
            </w:pPr>
          </w:p>
        </w:tc>
        <w:tc>
          <w:tcPr>
            <w:tcW w:w="0" w:type="auto"/>
            <w:gridSpan w:val="3"/>
            <w:vAlign w:val="center"/>
            <w:hideMark/>
          </w:tcPr>
          <w:p w14:paraId="701A6CD0" w14:textId="77777777" w:rsidR="00000000" w:rsidRDefault="009B6C69">
            <w:pPr>
              <w:spacing w:after="100"/>
              <w:rPr>
                <w:rFonts w:eastAsia="Times New Roman"/>
                <w:sz w:val="20"/>
                <w:szCs w:val="20"/>
              </w:rPr>
            </w:pPr>
          </w:p>
        </w:tc>
        <w:tc>
          <w:tcPr>
            <w:tcW w:w="0" w:type="auto"/>
            <w:gridSpan w:val="3"/>
            <w:vAlign w:val="center"/>
            <w:hideMark/>
          </w:tcPr>
          <w:p w14:paraId="40CD59AE" w14:textId="77777777" w:rsidR="00000000" w:rsidRDefault="009B6C69">
            <w:pPr>
              <w:spacing w:after="100"/>
              <w:rPr>
                <w:rFonts w:eastAsia="Times New Roman"/>
                <w:sz w:val="20"/>
                <w:szCs w:val="20"/>
              </w:rPr>
            </w:pPr>
          </w:p>
        </w:tc>
      </w:tr>
      <w:tr w:rsidR="00000000" w14:paraId="7CE8558B" w14:textId="77777777">
        <w:trPr>
          <w:divId w:val="718282141"/>
        </w:trPr>
        <w:tc>
          <w:tcPr>
            <w:tcW w:w="0" w:type="auto"/>
            <w:gridSpan w:val="3"/>
            <w:vAlign w:val="center"/>
            <w:hideMark/>
          </w:tcPr>
          <w:p w14:paraId="203FD631" w14:textId="77777777" w:rsidR="00000000" w:rsidRDefault="009B6C69">
            <w:pPr>
              <w:spacing w:after="100"/>
              <w:rPr>
                <w:rFonts w:eastAsia="Times New Roman"/>
                <w:sz w:val="20"/>
                <w:szCs w:val="20"/>
              </w:rPr>
            </w:pPr>
          </w:p>
        </w:tc>
        <w:tc>
          <w:tcPr>
            <w:tcW w:w="0" w:type="auto"/>
            <w:gridSpan w:val="3"/>
            <w:vAlign w:val="center"/>
            <w:hideMark/>
          </w:tcPr>
          <w:p w14:paraId="4C08E633" w14:textId="77777777" w:rsidR="00000000" w:rsidRDefault="009B6C69">
            <w:pPr>
              <w:spacing w:after="100"/>
              <w:rPr>
                <w:rFonts w:eastAsia="Times New Roman"/>
                <w:sz w:val="20"/>
                <w:szCs w:val="20"/>
              </w:rPr>
            </w:pPr>
          </w:p>
        </w:tc>
        <w:tc>
          <w:tcPr>
            <w:tcW w:w="0" w:type="auto"/>
            <w:gridSpan w:val="3"/>
            <w:vAlign w:val="center"/>
            <w:hideMark/>
          </w:tcPr>
          <w:p w14:paraId="0C74088C" w14:textId="77777777" w:rsidR="00000000" w:rsidRDefault="009B6C69">
            <w:pPr>
              <w:spacing w:after="100"/>
              <w:rPr>
                <w:rFonts w:eastAsia="Times New Roman"/>
                <w:sz w:val="20"/>
                <w:szCs w:val="20"/>
              </w:rPr>
            </w:pPr>
          </w:p>
        </w:tc>
        <w:tc>
          <w:tcPr>
            <w:tcW w:w="0" w:type="auto"/>
            <w:gridSpan w:val="3"/>
            <w:vAlign w:val="center"/>
            <w:hideMark/>
          </w:tcPr>
          <w:p w14:paraId="5A78AA6A" w14:textId="77777777" w:rsidR="00000000" w:rsidRDefault="009B6C69">
            <w:pPr>
              <w:spacing w:after="100"/>
              <w:rPr>
                <w:rFonts w:eastAsia="Times New Roman"/>
                <w:sz w:val="20"/>
                <w:szCs w:val="20"/>
              </w:rPr>
            </w:pPr>
          </w:p>
        </w:tc>
        <w:tc>
          <w:tcPr>
            <w:tcW w:w="0" w:type="auto"/>
            <w:gridSpan w:val="3"/>
            <w:vAlign w:val="center"/>
            <w:hideMark/>
          </w:tcPr>
          <w:p w14:paraId="622E9041" w14:textId="77777777" w:rsidR="00000000" w:rsidRDefault="009B6C69">
            <w:pPr>
              <w:spacing w:after="100"/>
              <w:rPr>
                <w:rFonts w:eastAsia="Times New Roman"/>
                <w:sz w:val="20"/>
                <w:szCs w:val="20"/>
              </w:rPr>
            </w:pPr>
          </w:p>
        </w:tc>
        <w:tc>
          <w:tcPr>
            <w:tcW w:w="0" w:type="auto"/>
            <w:gridSpan w:val="3"/>
            <w:vAlign w:val="center"/>
            <w:hideMark/>
          </w:tcPr>
          <w:p w14:paraId="2F60EF19" w14:textId="77777777" w:rsidR="00000000" w:rsidRDefault="009B6C69">
            <w:pPr>
              <w:spacing w:after="100"/>
              <w:rPr>
                <w:rFonts w:eastAsia="Times New Roman"/>
                <w:sz w:val="20"/>
                <w:szCs w:val="20"/>
              </w:rPr>
            </w:pPr>
          </w:p>
        </w:tc>
        <w:tc>
          <w:tcPr>
            <w:tcW w:w="0" w:type="auto"/>
            <w:gridSpan w:val="3"/>
            <w:vAlign w:val="center"/>
            <w:hideMark/>
          </w:tcPr>
          <w:p w14:paraId="34C1519F" w14:textId="77777777" w:rsidR="00000000" w:rsidRDefault="009B6C69">
            <w:pPr>
              <w:spacing w:after="100"/>
              <w:rPr>
                <w:rFonts w:eastAsia="Times New Roman"/>
                <w:sz w:val="20"/>
                <w:szCs w:val="20"/>
              </w:rPr>
            </w:pPr>
          </w:p>
        </w:tc>
        <w:tc>
          <w:tcPr>
            <w:tcW w:w="0" w:type="auto"/>
            <w:gridSpan w:val="3"/>
            <w:vAlign w:val="center"/>
            <w:hideMark/>
          </w:tcPr>
          <w:p w14:paraId="77651BCC" w14:textId="77777777" w:rsidR="00000000" w:rsidRDefault="009B6C69">
            <w:pPr>
              <w:spacing w:after="100"/>
              <w:rPr>
                <w:rFonts w:eastAsia="Times New Roman"/>
                <w:sz w:val="20"/>
                <w:szCs w:val="20"/>
              </w:rPr>
            </w:pPr>
          </w:p>
        </w:tc>
      </w:tr>
      <w:tr w:rsidR="00000000" w14:paraId="53F67603" w14:textId="77777777">
        <w:trPr>
          <w:divId w:val="718282141"/>
        </w:trPr>
        <w:tc>
          <w:tcPr>
            <w:tcW w:w="0" w:type="auto"/>
            <w:gridSpan w:val="3"/>
            <w:vAlign w:val="center"/>
            <w:hideMark/>
          </w:tcPr>
          <w:p w14:paraId="7826C02F" w14:textId="77777777" w:rsidR="00000000" w:rsidRDefault="009B6C69">
            <w:pPr>
              <w:spacing w:after="100"/>
              <w:rPr>
                <w:rFonts w:eastAsia="Times New Roman"/>
                <w:sz w:val="20"/>
                <w:szCs w:val="20"/>
              </w:rPr>
            </w:pPr>
          </w:p>
        </w:tc>
        <w:tc>
          <w:tcPr>
            <w:tcW w:w="0" w:type="auto"/>
            <w:gridSpan w:val="3"/>
            <w:vAlign w:val="center"/>
            <w:hideMark/>
          </w:tcPr>
          <w:p w14:paraId="01A7D3AC" w14:textId="77777777" w:rsidR="00000000" w:rsidRDefault="009B6C69">
            <w:pPr>
              <w:spacing w:after="100"/>
              <w:rPr>
                <w:rFonts w:eastAsia="Times New Roman"/>
                <w:sz w:val="20"/>
                <w:szCs w:val="20"/>
              </w:rPr>
            </w:pPr>
          </w:p>
        </w:tc>
        <w:tc>
          <w:tcPr>
            <w:tcW w:w="0" w:type="auto"/>
            <w:gridSpan w:val="3"/>
            <w:vAlign w:val="center"/>
            <w:hideMark/>
          </w:tcPr>
          <w:p w14:paraId="1E70260F" w14:textId="77777777" w:rsidR="00000000" w:rsidRDefault="009B6C69">
            <w:pPr>
              <w:spacing w:after="100"/>
              <w:rPr>
                <w:rFonts w:eastAsia="Times New Roman"/>
                <w:sz w:val="20"/>
                <w:szCs w:val="20"/>
              </w:rPr>
            </w:pPr>
          </w:p>
        </w:tc>
        <w:tc>
          <w:tcPr>
            <w:tcW w:w="0" w:type="auto"/>
            <w:gridSpan w:val="3"/>
            <w:vAlign w:val="center"/>
            <w:hideMark/>
          </w:tcPr>
          <w:p w14:paraId="4F70C63F" w14:textId="77777777" w:rsidR="00000000" w:rsidRDefault="009B6C69">
            <w:pPr>
              <w:spacing w:after="100"/>
              <w:rPr>
                <w:rFonts w:eastAsia="Times New Roman"/>
                <w:sz w:val="20"/>
                <w:szCs w:val="20"/>
              </w:rPr>
            </w:pPr>
          </w:p>
        </w:tc>
        <w:tc>
          <w:tcPr>
            <w:tcW w:w="0" w:type="auto"/>
            <w:gridSpan w:val="3"/>
            <w:vAlign w:val="center"/>
            <w:hideMark/>
          </w:tcPr>
          <w:p w14:paraId="34723817" w14:textId="77777777" w:rsidR="00000000" w:rsidRDefault="009B6C69">
            <w:pPr>
              <w:spacing w:after="100"/>
              <w:rPr>
                <w:rFonts w:eastAsia="Times New Roman"/>
                <w:sz w:val="20"/>
                <w:szCs w:val="20"/>
              </w:rPr>
            </w:pPr>
          </w:p>
        </w:tc>
        <w:tc>
          <w:tcPr>
            <w:tcW w:w="0" w:type="auto"/>
            <w:gridSpan w:val="3"/>
            <w:vAlign w:val="center"/>
            <w:hideMark/>
          </w:tcPr>
          <w:p w14:paraId="1CDE9A62" w14:textId="77777777" w:rsidR="00000000" w:rsidRDefault="009B6C69">
            <w:pPr>
              <w:spacing w:after="100"/>
              <w:rPr>
                <w:rFonts w:eastAsia="Times New Roman"/>
                <w:sz w:val="20"/>
                <w:szCs w:val="20"/>
              </w:rPr>
            </w:pPr>
          </w:p>
        </w:tc>
        <w:tc>
          <w:tcPr>
            <w:tcW w:w="0" w:type="auto"/>
            <w:gridSpan w:val="3"/>
            <w:vAlign w:val="center"/>
            <w:hideMark/>
          </w:tcPr>
          <w:p w14:paraId="22D554C8" w14:textId="77777777" w:rsidR="00000000" w:rsidRDefault="009B6C69">
            <w:pPr>
              <w:spacing w:after="100"/>
              <w:rPr>
                <w:rFonts w:eastAsia="Times New Roman"/>
                <w:sz w:val="20"/>
                <w:szCs w:val="20"/>
              </w:rPr>
            </w:pPr>
          </w:p>
        </w:tc>
        <w:tc>
          <w:tcPr>
            <w:tcW w:w="0" w:type="auto"/>
            <w:gridSpan w:val="3"/>
            <w:vAlign w:val="center"/>
            <w:hideMark/>
          </w:tcPr>
          <w:p w14:paraId="6D223274" w14:textId="77777777" w:rsidR="00000000" w:rsidRDefault="009B6C69">
            <w:pPr>
              <w:spacing w:after="100"/>
              <w:rPr>
                <w:rFonts w:eastAsia="Times New Roman"/>
                <w:sz w:val="20"/>
                <w:szCs w:val="20"/>
              </w:rPr>
            </w:pPr>
          </w:p>
        </w:tc>
      </w:tr>
      <w:tr w:rsidR="00000000" w14:paraId="5A5FAA82" w14:textId="77777777">
        <w:trPr>
          <w:divId w:val="718282141"/>
        </w:trPr>
        <w:tc>
          <w:tcPr>
            <w:tcW w:w="0" w:type="auto"/>
            <w:gridSpan w:val="3"/>
            <w:vAlign w:val="center"/>
            <w:hideMark/>
          </w:tcPr>
          <w:p w14:paraId="311A4442" w14:textId="77777777" w:rsidR="00000000" w:rsidRDefault="009B6C69">
            <w:pPr>
              <w:spacing w:after="100"/>
              <w:rPr>
                <w:rFonts w:eastAsia="Times New Roman"/>
                <w:sz w:val="20"/>
                <w:szCs w:val="20"/>
              </w:rPr>
            </w:pPr>
          </w:p>
        </w:tc>
        <w:tc>
          <w:tcPr>
            <w:tcW w:w="0" w:type="auto"/>
            <w:gridSpan w:val="3"/>
            <w:vAlign w:val="center"/>
            <w:hideMark/>
          </w:tcPr>
          <w:p w14:paraId="57B9526B" w14:textId="77777777" w:rsidR="00000000" w:rsidRDefault="009B6C69">
            <w:pPr>
              <w:spacing w:after="100"/>
              <w:rPr>
                <w:rFonts w:eastAsia="Times New Roman"/>
                <w:sz w:val="20"/>
                <w:szCs w:val="20"/>
              </w:rPr>
            </w:pPr>
          </w:p>
        </w:tc>
        <w:tc>
          <w:tcPr>
            <w:tcW w:w="0" w:type="auto"/>
            <w:gridSpan w:val="3"/>
            <w:vAlign w:val="center"/>
            <w:hideMark/>
          </w:tcPr>
          <w:p w14:paraId="7B9BC6C8" w14:textId="77777777" w:rsidR="00000000" w:rsidRDefault="009B6C69">
            <w:pPr>
              <w:spacing w:after="100"/>
              <w:rPr>
                <w:rFonts w:eastAsia="Times New Roman"/>
                <w:sz w:val="20"/>
                <w:szCs w:val="20"/>
              </w:rPr>
            </w:pPr>
          </w:p>
        </w:tc>
        <w:tc>
          <w:tcPr>
            <w:tcW w:w="0" w:type="auto"/>
            <w:gridSpan w:val="3"/>
            <w:vAlign w:val="center"/>
            <w:hideMark/>
          </w:tcPr>
          <w:p w14:paraId="2225E6C9" w14:textId="77777777" w:rsidR="00000000" w:rsidRDefault="009B6C69">
            <w:pPr>
              <w:spacing w:after="100"/>
              <w:rPr>
                <w:rFonts w:eastAsia="Times New Roman"/>
                <w:sz w:val="20"/>
                <w:szCs w:val="20"/>
              </w:rPr>
            </w:pPr>
          </w:p>
        </w:tc>
        <w:tc>
          <w:tcPr>
            <w:tcW w:w="0" w:type="auto"/>
            <w:gridSpan w:val="3"/>
            <w:vAlign w:val="center"/>
            <w:hideMark/>
          </w:tcPr>
          <w:p w14:paraId="231377E0" w14:textId="77777777" w:rsidR="00000000" w:rsidRDefault="009B6C69">
            <w:pPr>
              <w:spacing w:after="100"/>
              <w:rPr>
                <w:rFonts w:eastAsia="Times New Roman"/>
                <w:sz w:val="20"/>
                <w:szCs w:val="20"/>
              </w:rPr>
            </w:pPr>
          </w:p>
        </w:tc>
        <w:tc>
          <w:tcPr>
            <w:tcW w:w="0" w:type="auto"/>
            <w:gridSpan w:val="3"/>
            <w:vAlign w:val="center"/>
            <w:hideMark/>
          </w:tcPr>
          <w:p w14:paraId="3CEA9176" w14:textId="77777777" w:rsidR="00000000" w:rsidRDefault="009B6C69">
            <w:pPr>
              <w:spacing w:after="100"/>
              <w:rPr>
                <w:rFonts w:eastAsia="Times New Roman"/>
                <w:sz w:val="20"/>
                <w:szCs w:val="20"/>
              </w:rPr>
            </w:pPr>
          </w:p>
        </w:tc>
        <w:tc>
          <w:tcPr>
            <w:tcW w:w="0" w:type="auto"/>
            <w:gridSpan w:val="3"/>
            <w:vAlign w:val="center"/>
            <w:hideMark/>
          </w:tcPr>
          <w:p w14:paraId="0DDB217B" w14:textId="77777777" w:rsidR="00000000" w:rsidRDefault="009B6C69">
            <w:pPr>
              <w:spacing w:after="100"/>
              <w:rPr>
                <w:rFonts w:eastAsia="Times New Roman"/>
                <w:sz w:val="20"/>
                <w:szCs w:val="20"/>
              </w:rPr>
            </w:pPr>
          </w:p>
        </w:tc>
        <w:tc>
          <w:tcPr>
            <w:tcW w:w="0" w:type="auto"/>
            <w:gridSpan w:val="3"/>
            <w:vAlign w:val="center"/>
            <w:hideMark/>
          </w:tcPr>
          <w:p w14:paraId="2AA01558" w14:textId="77777777" w:rsidR="00000000" w:rsidRDefault="009B6C69">
            <w:pPr>
              <w:spacing w:after="100"/>
              <w:rPr>
                <w:rFonts w:eastAsia="Times New Roman"/>
                <w:sz w:val="20"/>
                <w:szCs w:val="20"/>
              </w:rPr>
            </w:pPr>
          </w:p>
        </w:tc>
      </w:tr>
      <w:tr w:rsidR="00000000" w14:paraId="1C93D1FF" w14:textId="77777777">
        <w:trPr>
          <w:divId w:val="718282141"/>
        </w:trPr>
        <w:tc>
          <w:tcPr>
            <w:tcW w:w="0" w:type="auto"/>
            <w:gridSpan w:val="3"/>
            <w:vAlign w:val="center"/>
            <w:hideMark/>
          </w:tcPr>
          <w:p w14:paraId="231D1964" w14:textId="77777777" w:rsidR="00000000" w:rsidRDefault="009B6C69">
            <w:pPr>
              <w:spacing w:after="100"/>
              <w:rPr>
                <w:rFonts w:eastAsia="Times New Roman"/>
                <w:sz w:val="20"/>
                <w:szCs w:val="20"/>
              </w:rPr>
            </w:pPr>
          </w:p>
        </w:tc>
        <w:tc>
          <w:tcPr>
            <w:tcW w:w="0" w:type="auto"/>
            <w:gridSpan w:val="3"/>
            <w:vAlign w:val="center"/>
            <w:hideMark/>
          </w:tcPr>
          <w:p w14:paraId="2E63D4D7" w14:textId="77777777" w:rsidR="00000000" w:rsidRDefault="009B6C69">
            <w:pPr>
              <w:spacing w:after="100"/>
              <w:rPr>
                <w:rFonts w:eastAsia="Times New Roman"/>
                <w:sz w:val="20"/>
                <w:szCs w:val="20"/>
              </w:rPr>
            </w:pPr>
          </w:p>
        </w:tc>
        <w:tc>
          <w:tcPr>
            <w:tcW w:w="0" w:type="auto"/>
            <w:gridSpan w:val="3"/>
            <w:vAlign w:val="center"/>
            <w:hideMark/>
          </w:tcPr>
          <w:p w14:paraId="46E908D5" w14:textId="77777777" w:rsidR="00000000" w:rsidRDefault="009B6C69">
            <w:pPr>
              <w:spacing w:after="100"/>
              <w:rPr>
                <w:rFonts w:eastAsia="Times New Roman"/>
                <w:sz w:val="20"/>
                <w:szCs w:val="20"/>
              </w:rPr>
            </w:pPr>
          </w:p>
        </w:tc>
        <w:tc>
          <w:tcPr>
            <w:tcW w:w="0" w:type="auto"/>
            <w:gridSpan w:val="3"/>
            <w:vAlign w:val="center"/>
            <w:hideMark/>
          </w:tcPr>
          <w:p w14:paraId="7504AD37" w14:textId="77777777" w:rsidR="00000000" w:rsidRDefault="009B6C69">
            <w:pPr>
              <w:spacing w:after="100"/>
              <w:rPr>
                <w:rFonts w:eastAsia="Times New Roman"/>
                <w:sz w:val="20"/>
                <w:szCs w:val="20"/>
              </w:rPr>
            </w:pPr>
          </w:p>
        </w:tc>
        <w:tc>
          <w:tcPr>
            <w:tcW w:w="0" w:type="auto"/>
            <w:gridSpan w:val="3"/>
            <w:vAlign w:val="center"/>
            <w:hideMark/>
          </w:tcPr>
          <w:p w14:paraId="4F760F04" w14:textId="77777777" w:rsidR="00000000" w:rsidRDefault="009B6C69">
            <w:pPr>
              <w:spacing w:after="100"/>
              <w:rPr>
                <w:rFonts w:eastAsia="Times New Roman"/>
                <w:sz w:val="20"/>
                <w:szCs w:val="20"/>
              </w:rPr>
            </w:pPr>
          </w:p>
        </w:tc>
        <w:tc>
          <w:tcPr>
            <w:tcW w:w="0" w:type="auto"/>
            <w:gridSpan w:val="3"/>
            <w:vAlign w:val="center"/>
            <w:hideMark/>
          </w:tcPr>
          <w:p w14:paraId="7F2AE5FD" w14:textId="77777777" w:rsidR="00000000" w:rsidRDefault="009B6C69">
            <w:pPr>
              <w:spacing w:after="100"/>
              <w:rPr>
                <w:rFonts w:eastAsia="Times New Roman"/>
                <w:sz w:val="20"/>
                <w:szCs w:val="20"/>
              </w:rPr>
            </w:pPr>
          </w:p>
        </w:tc>
        <w:tc>
          <w:tcPr>
            <w:tcW w:w="0" w:type="auto"/>
            <w:gridSpan w:val="3"/>
            <w:vAlign w:val="center"/>
            <w:hideMark/>
          </w:tcPr>
          <w:p w14:paraId="2BC61D70" w14:textId="77777777" w:rsidR="00000000" w:rsidRDefault="009B6C69">
            <w:pPr>
              <w:spacing w:after="100"/>
              <w:rPr>
                <w:rFonts w:eastAsia="Times New Roman"/>
                <w:sz w:val="20"/>
                <w:szCs w:val="20"/>
              </w:rPr>
            </w:pPr>
          </w:p>
        </w:tc>
        <w:tc>
          <w:tcPr>
            <w:tcW w:w="0" w:type="auto"/>
            <w:gridSpan w:val="3"/>
            <w:vAlign w:val="center"/>
            <w:hideMark/>
          </w:tcPr>
          <w:p w14:paraId="6A641558" w14:textId="77777777" w:rsidR="00000000" w:rsidRDefault="009B6C69">
            <w:pPr>
              <w:spacing w:after="100"/>
              <w:rPr>
                <w:rFonts w:eastAsia="Times New Roman"/>
                <w:sz w:val="20"/>
                <w:szCs w:val="20"/>
              </w:rPr>
            </w:pPr>
          </w:p>
        </w:tc>
      </w:tr>
      <w:tr w:rsidR="00000000" w14:paraId="28150F21" w14:textId="77777777">
        <w:trPr>
          <w:divId w:val="718282141"/>
        </w:trPr>
        <w:tc>
          <w:tcPr>
            <w:tcW w:w="0" w:type="auto"/>
            <w:gridSpan w:val="3"/>
            <w:shd w:val="clear" w:color="auto" w:fill="FFFFFF"/>
            <w:tcMar>
              <w:top w:w="30" w:type="dxa"/>
              <w:left w:w="20" w:type="dxa"/>
              <w:bottom w:w="30" w:type="dxa"/>
              <w:right w:w="20" w:type="dxa"/>
            </w:tcMar>
            <w:vAlign w:val="bottom"/>
            <w:hideMark/>
          </w:tcPr>
          <w:p w14:paraId="6DEBF53B" w14:textId="77777777" w:rsidR="00000000" w:rsidRDefault="009B6C69">
            <w:pPr>
              <w:spacing w:after="100"/>
              <w:rPr>
                <w:rFonts w:eastAsia="Times New Roman"/>
              </w:rPr>
            </w:pPr>
            <w:r>
              <w:rPr>
                <w:rFonts w:eastAsia="Times New Roman"/>
                <w:b/>
                <w:bCs/>
                <w:color w:val="000000"/>
                <w:sz w:val="18"/>
                <w:szCs w:val="18"/>
              </w:rPr>
              <w:t>Available-for-sale debt securities: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02BD139" w14:textId="77777777" w:rsidR="00000000" w:rsidRDefault="009B6C69">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7C0623B0" w14:textId="77777777" w:rsidR="00000000" w:rsidRDefault="009B6C69">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29408AF" w14:textId="77777777" w:rsidR="00000000" w:rsidRDefault="009B6C69">
            <w:pPr>
              <w:spacing w:after="100"/>
              <w:rPr>
                <w:rFonts w:eastAsia="Times New Roman"/>
              </w:rPr>
            </w:pPr>
            <w:r>
              <w:rPr>
                <w:rFonts w:eastAsia="Times New Roman"/>
                <w:color w:val="000000"/>
                <w:sz w:val="18"/>
                <w:szCs w:val="18"/>
              </w:rPr>
              <w:t> </w:t>
            </w:r>
          </w:p>
        </w:tc>
        <w:tc>
          <w:tcPr>
            <w:tcW w:w="0" w:type="auto"/>
            <w:gridSpan w:val="3"/>
            <w:vAlign w:val="center"/>
            <w:hideMark/>
          </w:tcPr>
          <w:p w14:paraId="541DCADC" w14:textId="77777777" w:rsidR="00000000" w:rsidRDefault="009B6C69">
            <w:pPr>
              <w:spacing w:after="100"/>
              <w:rPr>
                <w:rFonts w:eastAsia="Times New Roman"/>
              </w:rPr>
            </w:pPr>
          </w:p>
        </w:tc>
        <w:tc>
          <w:tcPr>
            <w:tcW w:w="0" w:type="auto"/>
            <w:gridSpan w:val="3"/>
            <w:vAlign w:val="center"/>
            <w:hideMark/>
          </w:tcPr>
          <w:p w14:paraId="15FC36FC" w14:textId="77777777" w:rsidR="00000000" w:rsidRDefault="009B6C69">
            <w:pPr>
              <w:spacing w:after="100"/>
              <w:rPr>
                <w:rFonts w:eastAsia="Times New Roman"/>
                <w:sz w:val="20"/>
                <w:szCs w:val="20"/>
              </w:rPr>
            </w:pPr>
          </w:p>
        </w:tc>
        <w:tc>
          <w:tcPr>
            <w:tcW w:w="0" w:type="auto"/>
            <w:gridSpan w:val="3"/>
            <w:vAlign w:val="center"/>
            <w:hideMark/>
          </w:tcPr>
          <w:p w14:paraId="07D62BF4" w14:textId="77777777" w:rsidR="00000000" w:rsidRDefault="009B6C69">
            <w:pPr>
              <w:spacing w:after="100"/>
              <w:rPr>
                <w:rFonts w:eastAsia="Times New Roman"/>
                <w:sz w:val="20"/>
                <w:szCs w:val="20"/>
              </w:rPr>
            </w:pPr>
          </w:p>
        </w:tc>
        <w:tc>
          <w:tcPr>
            <w:tcW w:w="0" w:type="auto"/>
            <w:gridSpan w:val="3"/>
            <w:vAlign w:val="center"/>
            <w:hideMark/>
          </w:tcPr>
          <w:p w14:paraId="3E60F147" w14:textId="77777777" w:rsidR="00000000" w:rsidRDefault="009B6C69">
            <w:pPr>
              <w:spacing w:after="100"/>
              <w:rPr>
                <w:rFonts w:eastAsia="Times New Roman"/>
                <w:sz w:val="20"/>
                <w:szCs w:val="20"/>
              </w:rPr>
            </w:pPr>
          </w:p>
        </w:tc>
      </w:tr>
      <w:tr w:rsidR="00000000" w14:paraId="178C4812" w14:textId="77777777">
        <w:trPr>
          <w:divId w:val="718282141"/>
        </w:trPr>
        <w:tc>
          <w:tcPr>
            <w:tcW w:w="0" w:type="auto"/>
            <w:gridSpan w:val="3"/>
            <w:shd w:val="clear" w:color="auto" w:fill="CCEEFF"/>
            <w:tcMar>
              <w:top w:w="30" w:type="dxa"/>
              <w:left w:w="155" w:type="dxa"/>
              <w:bottom w:w="30" w:type="dxa"/>
              <w:right w:w="20" w:type="dxa"/>
            </w:tcMar>
            <w:vAlign w:val="bottom"/>
            <w:hideMark/>
          </w:tcPr>
          <w:p w14:paraId="4AF232C3" w14:textId="77777777" w:rsidR="00000000" w:rsidRDefault="009B6C69">
            <w:pPr>
              <w:spacing w:after="100"/>
              <w:rPr>
                <w:rFonts w:eastAsia="Times New Roman"/>
              </w:rPr>
            </w:pPr>
            <w:r>
              <w:rPr>
                <w:rFonts w:eastAsia="Times New Roman"/>
                <w:color w:val="000000"/>
                <w:sz w:val="18"/>
                <w:szCs w:val="18"/>
              </w:rPr>
              <w:t>Corporate bonds and notes</w:t>
            </w:r>
          </w:p>
        </w:tc>
        <w:tc>
          <w:tcPr>
            <w:tcW w:w="0" w:type="auto"/>
            <w:shd w:val="clear" w:color="auto" w:fill="CCEEFF"/>
            <w:tcMar>
              <w:top w:w="30" w:type="dxa"/>
              <w:left w:w="20" w:type="dxa"/>
              <w:bottom w:w="30" w:type="dxa"/>
              <w:right w:w="0" w:type="dxa"/>
            </w:tcMar>
            <w:vAlign w:val="bottom"/>
            <w:hideMark/>
          </w:tcPr>
          <w:p w14:paraId="48925182"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04DCCEE" w14:textId="77777777" w:rsidR="00000000" w:rsidRDefault="009B6C69">
            <w:pPr>
              <w:spacing w:after="100"/>
              <w:jc w:val="right"/>
              <w:rPr>
                <w:rFonts w:eastAsia="Times New Roman"/>
              </w:rPr>
            </w:pPr>
            <w:r>
              <w:rPr>
                <w:rFonts w:eastAsia="Times New Roman"/>
                <w:color w:val="000000"/>
                <w:sz w:val="18"/>
                <w:szCs w:val="18"/>
              </w:rPr>
              <w:t>3,330 </w:t>
            </w:r>
          </w:p>
        </w:tc>
        <w:tc>
          <w:tcPr>
            <w:tcW w:w="0" w:type="auto"/>
            <w:shd w:val="clear" w:color="auto" w:fill="CCEEFF"/>
            <w:tcMar>
              <w:top w:w="30" w:type="dxa"/>
              <w:left w:w="0" w:type="dxa"/>
              <w:bottom w:w="30" w:type="dxa"/>
              <w:right w:w="20" w:type="dxa"/>
            </w:tcMar>
            <w:vAlign w:val="bottom"/>
            <w:hideMark/>
          </w:tcPr>
          <w:p w14:paraId="33BBA519"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B9735E" w14:textId="77777777" w:rsidR="00000000" w:rsidRDefault="009B6C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58BBB56"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C9E9214" w14:textId="77777777" w:rsidR="00000000" w:rsidRDefault="009B6C69">
            <w:pPr>
              <w:spacing w:after="100"/>
              <w:jc w:val="right"/>
              <w:rPr>
                <w:rFonts w:eastAsia="Times New Roman"/>
              </w:rPr>
            </w:pPr>
            <w:r>
              <w:rPr>
                <w:rFonts w:eastAsia="Times New Roman"/>
                <w:color w:val="000000"/>
                <w:sz w:val="18"/>
                <w:szCs w:val="18"/>
              </w:rPr>
              <w:t>4,459 </w:t>
            </w:r>
          </w:p>
        </w:tc>
        <w:tc>
          <w:tcPr>
            <w:tcW w:w="0" w:type="auto"/>
            <w:shd w:val="clear" w:color="auto" w:fill="CCEEFF"/>
            <w:tcMar>
              <w:top w:w="30" w:type="dxa"/>
              <w:left w:w="0" w:type="dxa"/>
              <w:bottom w:w="30" w:type="dxa"/>
              <w:right w:w="20" w:type="dxa"/>
            </w:tcMar>
            <w:vAlign w:val="bottom"/>
            <w:hideMark/>
          </w:tcPr>
          <w:p w14:paraId="6A57002D" w14:textId="77777777" w:rsidR="00000000" w:rsidRDefault="009B6C69">
            <w:pPr>
              <w:spacing w:after="100"/>
              <w:jc w:val="right"/>
              <w:rPr>
                <w:rFonts w:eastAsia="Times New Roman"/>
              </w:rPr>
            </w:pPr>
          </w:p>
        </w:tc>
        <w:tc>
          <w:tcPr>
            <w:tcW w:w="0" w:type="auto"/>
            <w:gridSpan w:val="3"/>
            <w:vAlign w:val="center"/>
            <w:hideMark/>
          </w:tcPr>
          <w:p w14:paraId="26AEA261" w14:textId="77777777" w:rsidR="00000000" w:rsidRDefault="009B6C69">
            <w:pPr>
              <w:spacing w:after="100"/>
              <w:jc w:val="right"/>
              <w:rPr>
                <w:rFonts w:eastAsia="Times New Roman"/>
                <w:sz w:val="20"/>
                <w:szCs w:val="20"/>
              </w:rPr>
            </w:pPr>
          </w:p>
        </w:tc>
        <w:tc>
          <w:tcPr>
            <w:tcW w:w="0" w:type="auto"/>
            <w:gridSpan w:val="3"/>
            <w:vAlign w:val="center"/>
            <w:hideMark/>
          </w:tcPr>
          <w:p w14:paraId="14982986" w14:textId="77777777" w:rsidR="00000000" w:rsidRDefault="009B6C69">
            <w:pPr>
              <w:spacing w:after="100"/>
              <w:rPr>
                <w:rFonts w:eastAsia="Times New Roman"/>
                <w:sz w:val="20"/>
                <w:szCs w:val="20"/>
              </w:rPr>
            </w:pPr>
          </w:p>
        </w:tc>
        <w:tc>
          <w:tcPr>
            <w:tcW w:w="0" w:type="auto"/>
            <w:gridSpan w:val="3"/>
            <w:vAlign w:val="center"/>
            <w:hideMark/>
          </w:tcPr>
          <w:p w14:paraId="2C7DBBB1" w14:textId="77777777" w:rsidR="00000000" w:rsidRDefault="009B6C69">
            <w:pPr>
              <w:spacing w:after="100"/>
              <w:rPr>
                <w:rFonts w:eastAsia="Times New Roman"/>
                <w:sz w:val="20"/>
                <w:szCs w:val="20"/>
              </w:rPr>
            </w:pPr>
          </w:p>
        </w:tc>
        <w:tc>
          <w:tcPr>
            <w:tcW w:w="0" w:type="auto"/>
            <w:gridSpan w:val="3"/>
            <w:vAlign w:val="center"/>
            <w:hideMark/>
          </w:tcPr>
          <w:p w14:paraId="6E96501D" w14:textId="77777777" w:rsidR="00000000" w:rsidRDefault="009B6C69">
            <w:pPr>
              <w:spacing w:after="100"/>
              <w:rPr>
                <w:rFonts w:eastAsia="Times New Roman"/>
                <w:sz w:val="20"/>
                <w:szCs w:val="20"/>
              </w:rPr>
            </w:pPr>
          </w:p>
        </w:tc>
      </w:tr>
      <w:tr w:rsidR="00000000" w14:paraId="70F30383" w14:textId="77777777">
        <w:trPr>
          <w:divId w:val="718282141"/>
        </w:trPr>
        <w:tc>
          <w:tcPr>
            <w:tcW w:w="0" w:type="auto"/>
            <w:gridSpan w:val="3"/>
            <w:shd w:val="clear" w:color="auto" w:fill="FFFFFF"/>
            <w:tcMar>
              <w:top w:w="30" w:type="dxa"/>
              <w:left w:w="155" w:type="dxa"/>
              <w:bottom w:w="30" w:type="dxa"/>
              <w:right w:w="20" w:type="dxa"/>
            </w:tcMar>
            <w:vAlign w:val="bottom"/>
            <w:hideMark/>
          </w:tcPr>
          <w:p w14:paraId="7BB5A4CA" w14:textId="77777777" w:rsidR="00000000" w:rsidRDefault="009B6C69">
            <w:pPr>
              <w:spacing w:after="100"/>
              <w:rPr>
                <w:rFonts w:eastAsia="Times New Roman"/>
              </w:rPr>
            </w:pPr>
            <w:r>
              <w:rPr>
                <w:rFonts w:eastAsia="Times New Roman"/>
                <w:color w:val="000000"/>
                <w:sz w:val="18"/>
                <w:szCs w:val="18"/>
              </w:rPr>
              <w:t>Mortgage- and asset-backed securities</w:t>
            </w:r>
          </w:p>
        </w:tc>
        <w:tc>
          <w:tcPr>
            <w:tcW w:w="0" w:type="auto"/>
            <w:gridSpan w:val="2"/>
            <w:shd w:val="clear" w:color="auto" w:fill="FFFFFF"/>
            <w:tcMar>
              <w:top w:w="30" w:type="dxa"/>
              <w:left w:w="20" w:type="dxa"/>
              <w:bottom w:w="30" w:type="dxa"/>
              <w:right w:w="0" w:type="dxa"/>
            </w:tcMar>
            <w:vAlign w:val="bottom"/>
            <w:hideMark/>
          </w:tcPr>
          <w:p w14:paraId="027FD9D0" w14:textId="77777777" w:rsidR="00000000" w:rsidRDefault="009B6C69">
            <w:pPr>
              <w:spacing w:after="100"/>
              <w:jc w:val="right"/>
              <w:rPr>
                <w:rFonts w:eastAsia="Times New Roman"/>
              </w:rPr>
            </w:pPr>
            <w:r>
              <w:rPr>
                <w:rFonts w:eastAsia="Times New Roman"/>
                <w:color w:val="000000"/>
                <w:sz w:val="18"/>
                <w:szCs w:val="18"/>
              </w:rPr>
              <w:t>99 </w:t>
            </w:r>
          </w:p>
        </w:tc>
        <w:tc>
          <w:tcPr>
            <w:tcW w:w="0" w:type="auto"/>
            <w:shd w:val="clear" w:color="auto" w:fill="FFFFFF"/>
            <w:tcMar>
              <w:top w:w="30" w:type="dxa"/>
              <w:left w:w="0" w:type="dxa"/>
              <w:bottom w:w="30" w:type="dxa"/>
              <w:right w:w="20" w:type="dxa"/>
            </w:tcMar>
            <w:vAlign w:val="bottom"/>
            <w:hideMark/>
          </w:tcPr>
          <w:p w14:paraId="7DD3C0EC"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9D1F10"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BD8700" w14:textId="77777777" w:rsidR="00000000" w:rsidRDefault="009B6C69">
            <w:pPr>
              <w:spacing w:after="100"/>
              <w:jc w:val="right"/>
              <w:rPr>
                <w:rFonts w:eastAsia="Times New Roman"/>
              </w:rPr>
            </w:pPr>
            <w:r>
              <w:rPr>
                <w:rFonts w:eastAsia="Times New Roman"/>
                <w:color w:val="000000"/>
                <w:sz w:val="18"/>
                <w:szCs w:val="18"/>
              </w:rPr>
              <w:t>147 </w:t>
            </w:r>
          </w:p>
        </w:tc>
        <w:tc>
          <w:tcPr>
            <w:tcW w:w="0" w:type="auto"/>
            <w:shd w:val="clear" w:color="auto" w:fill="FFFFFF"/>
            <w:tcMar>
              <w:top w:w="30" w:type="dxa"/>
              <w:left w:w="0" w:type="dxa"/>
              <w:bottom w:w="30" w:type="dxa"/>
              <w:right w:w="20" w:type="dxa"/>
            </w:tcMar>
            <w:vAlign w:val="bottom"/>
            <w:hideMark/>
          </w:tcPr>
          <w:p w14:paraId="46F0CAD7" w14:textId="77777777" w:rsidR="00000000" w:rsidRDefault="009B6C69">
            <w:pPr>
              <w:spacing w:after="100"/>
              <w:jc w:val="right"/>
              <w:rPr>
                <w:rFonts w:eastAsia="Times New Roman"/>
              </w:rPr>
            </w:pPr>
          </w:p>
        </w:tc>
        <w:tc>
          <w:tcPr>
            <w:tcW w:w="0" w:type="auto"/>
            <w:gridSpan w:val="3"/>
            <w:vAlign w:val="center"/>
            <w:hideMark/>
          </w:tcPr>
          <w:p w14:paraId="1EA26AA8" w14:textId="77777777" w:rsidR="00000000" w:rsidRDefault="009B6C69">
            <w:pPr>
              <w:spacing w:after="100"/>
              <w:jc w:val="right"/>
              <w:rPr>
                <w:rFonts w:eastAsia="Times New Roman"/>
                <w:sz w:val="20"/>
                <w:szCs w:val="20"/>
              </w:rPr>
            </w:pPr>
          </w:p>
        </w:tc>
        <w:tc>
          <w:tcPr>
            <w:tcW w:w="0" w:type="auto"/>
            <w:gridSpan w:val="3"/>
            <w:vAlign w:val="center"/>
            <w:hideMark/>
          </w:tcPr>
          <w:p w14:paraId="57E26C9F" w14:textId="77777777" w:rsidR="00000000" w:rsidRDefault="009B6C69">
            <w:pPr>
              <w:spacing w:after="100"/>
              <w:rPr>
                <w:rFonts w:eastAsia="Times New Roman"/>
                <w:sz w:val="20"/>
                <w:szCs w:val="20"/>
              </w:rPr>
            </w:pPr>
          </w:p>
        </w:tc>
        <w:tc>
          <w:tcPr>
            <w:tcW w:w="0" w:type="auto"/>
            <w:gridSpan w:val="3"/>
            <w:vAlign w:val="center"/>
            <w:hideMark/>
          </w:tcPr>
          <w:p w14:paraId="246DF571" w14:textId="77777777" w:rsidR="00000000" w:rsidRDefault="009B6C69">
            <w:pPr>
              <w:spacing w:after="100"/>
              <w:rPr>
                <w:rFonts w:eastAsia="Times New Roman"/>
                <w:sz w:val="20"/>
                <w:szCs w:val="20"/>
              </w:rPr>
            </w:pPr>
          </w:p>
        </w:tc>
        <w:tc>
          <w:tcPr>
            <w:tcW w:w="0" w:type="auto"/>
            <w:gridSpan w:val="3"/>
            <w:vAlign w:val="center"/>
            <w:hideMark/>
          </w:tcPr>
          <w:p w14:paraId="296DB62F" w14:textId="77777777" w:rsidR="00000000" w:rsidRDefault="009B6C69">
            <w:pPr>
              <w:spacing w:after="100"/>
              <w:rPr>
                <w:rFonts w:eastAsia="Times New Roman"/>
                <w:sz w:val="20"/>
                <w:szCs w:val="20"/>
              </w:rPr>
            </w:pPr>
          </w:p>
        </w:tc>
      </w:tr>
      <w:tr w:rsidR="00000000" w14:paraId="0B418A8E" w14:textId="77777777">
        <w:trPr>
          <w:divId w:val="718282141"/>
        </w:trPr>
        <w:tc>
          <w:tcPr>
            <w:tcW w:w="0" w:type="auto"/>
            <w:gridSpan w:val="3"/>
            <w:shd w:val="clear" w:color="auto" w:fill="CCEEFF"/>
            <w:tcMar>
              <w:top w:w="30" w:type="dxa"/>
              <w:left w:w="155" w:type="dxa"/>
              <w:bottom w:w="30" w:type="dxa"/>
              <w:right w:w="20" w:type="dxa"/>
            </w:tcMar>
            <w:vAlign w:val="bottom"/>
            <w:hideMark/>
          </w:tcPr>
          <w:p w14:paraId="35DA9BA5" w14:textId="77777777" w:rsidR="00000000" w:rsidRDefault="009B6C69">
            <w:pPr>
              <w:spacing w:after="100"/>
              <w:rPr>
                <w:rFonts w:eastAsia="Times New Roman"/>
              </w:rPr>
            </w:pPr>
            <w:r>
              <w:rPr>
                <w:rFonts w:eastAsia="Times New Roman"/>
                <w:color w:val="000000"/>
                <w:sz w:val="18"/>
                <w:szCs w:val="18"/>
              </w:rPr>
              <w:t>U.S. Treasury securities and government-related securities</w:t>
            </w:r>
          </w:p>
        </w:tc>
        <w:tc>
          <w:tcPr>
            <w:tcW w:w="0" w:type="auto"/>
            <w:gridSpan w:val="2"/>
            <w:shd w:val="clear" w:color="auto" w:fill="CCEEFF"/>
            <w:tcMar>
              <w:top w:w="30" w:type="dxa"/>
              <w:left w:w="20" w:type="dxa"/>
              <w:bottom w:w="30" w:type="dxa"/>
              <w:right w:w="0" w:type="dxa"/>
            </w:tcMar>
            <w:vAlign w:val="bottom"/>
            <w:hideMark/>
          </w:tcPr>
          <w:p w14:paraId="1E91E7E1" w14:textId="77777777" w:rsidR="00000000" w:rsidRDefault="009B6C69">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14:paraId="5E795B88"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B96478"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50374C" w14:textId="77777777" w:rsidR="00000000" w:rsidRDefault="009B6C69">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07662113" w14:textId="77777777" w:rsidR="00000000" w:rsidRDefault="009B6C69">
            <w:pPr>
              <w:spacing w:after="100"/>
              <w:jc w:val="right"/>
              <w:rPr>
                <w:rFonts w:eastAsia="Times New Roman"/>
              </w:rPr>
            </w:pPr>
          </w:p>
        </w:tc>
        <w:tc>
          <w:tcPr>
            <w:tcW w:w="0" w:type="auto"/>
            <w:gridSpan w:val="3"/>
            <w:vAlign w:val="center"/>
            <w:hideMark/>
          </w:tcPr>
          <w:p w14:paraId="740F8DCC" w14:textId="77777777" w:rsidR="00000000" w:rsidRDefault="009B6C69">
            <w:pPr>
              <w:spacing w:after="100"/>
              <w:jc w:val="right"/>
              <w:rPr>
                <w:rFonts w:eastAsia="Times New Roman"/>
                <w:sz w:val="20"/>
                <w:szCs w:val="20"/>
              </w:rPr>
            </w:pPr>
          </w:p>
        </w:tc>
        <w:tc>
          <w:tcPr>
            <w:tcW w:w="0" w:type="auto"/>
            <w:gridSpan w:val="3"/>
            <w:vAlign w:val="center"/>
            <w:hideMark/>
          </w:tcPr>
          <w:p w14:paraId="13BFB848" w14:textId="77777777" w:rsidR="00000000" w:rsidRDefault="009B6C69">
            <w:pPr>
              <w:spacing w:after="100"/>
              <w:rPr>
                <w:rFonts w:eastAsia="Times New Roman"/>
                <w:sz w:val="20"/>
                <w:szCs w:val="20"/>
              </w:rPr>
            </w:pPr>
          </w:p>
        </w:tc>
        <w:tc>
          <w:tcPr>
            <w:tcW w:w="0" w:type="auto"/>
            <w:gridSpan w:val="3"/>
            <w:vAlign w:val="center"/>
            <w:hideMark/>
          </w:tcPr>
          <w:p w14:paraId="3D0D6EA9" w14:textId="77777777" w:rsidR="00000000" w:rsidRDefault="009B6C69">
            <w:pPr>
              <w:spacing w:after="100"/>
              <w:rPr>
                <w:rFonts w:eastAsia="Times New Roman"/>
                <w:sz w:val="20"/>
                <w:szCs w:val="20"/>
              </w:rPr>
            </w:pPr>
          </w:p>
        </w:tc>
        <w:tc>
          <w:tcPr>
            <w:tcW w:w="0" w:type="auto"/>
            <w:gridSpan w:val="3"/>
            <w:vAlign w:val="center"/>
            <w:hideMark/>
          </w:tcPr>
          <w:p w14:paraId="475B0E54" w14:textId="77777777" w:rsidR="00000000" w:rsidRDefault="009B6C69">
            <w:pPr>
              <w:spacing w:after="100"/>
              <w:rPr>
                <w:rFonts w:eastAsia="Times New Roman"/>
                <w:sz w:val="20"/>
                <w:szCs w:val="20"/>
              </w:rPr>
            </w:pPr>
          </w:p>
        </w:tc>
      </w:tr>
      <w:tr w:rsidR="00000000" w14:paraId="353571E3" w14:textId="77777777">
        <w:trPr>
          <w:divId w:val="718282141"/>
        </w:trPr>
        <w:tc>
          <w:tcPr>
            <w:tcW w:w="0" w:type="auto"/>
            <w:gridSpan w:val="3"/>
            <w:vAlign w:val="center"/>
            <w:hideMark/>
          </w:tcPr>
          <w:p w14:paraId="6C6D1B7C" w14:textId="77777777" w:rsidR="00000000" w:rsidRDefault="009B6C69">
            <w:pPr>
              <w:spacing w:after="100"/>
              <w:rPr>
                <w:rFonts w:eastAsia="Times New Roman"/>
                <w:sz w:val="20"/>
                <w:szCs w:val="20"/>
              </w:rPr>
            </w:pPr>
          </w:p>
        </w:tc>
        <w:tc>
          <w:tcPr>
            <w:tcW w:w="0" w:type="auto"/>
            <w:gridSpan w:val="3"/>
            <w:vAlign w:val="center"/>
            <w:hideMark/>
          </w:tcPr>
          <w:p w14:paraId="30C46334" w14:textId="77777777" w:rsidR="00000000" w:rsidRDefault="009B6C69">
            <w:pPr>
              <w:spacing w:after="100"/>
              <w:rPr>
                <w:rFonts w:eastAsia="Times New Roman"/>
                <w:sz w:val="20"/>
                <w:szCs w:val="20"/>
              </w:rPr>
            </w:pPr>
          </w:p>
        </w:tc>
        <w:tc>
          <w:tcPr>
            <w:tcW w:w="0" w:type="auto"/>
            <w:gridSpan w:val="3"/>
            <w:vAlign w:val="center"/>
            <w:hideMark/>
          </w:tcPr>
          <w:p w14:paraId="791E7ECE" w14:textId="77777777" w:rsidR="00000000" w:rsidRDefault="009B6C69">
            <w:pPr>
              <w:spacing w:after="100"/>
              <w:rPr>
                <w:rFonts w:eastAsia="Times New Roman"/>
                <w:sz w:val="20"/>
                <w:szCs w:val="20"/>
              </w:rPr>
            </w:pPr>
          </w:p>
        </w:tc>
        <w:tc>
          <w:tcPr>
            <w:tcW w:w="0" w:type="auto"/>
            <w:gridSpan w:val="3"/>
            <w:vAlign w:val="center"/>
            <w:hideMark/>
          </w:tcPr>
          <w:p w14:paraId="21F39887" w14:textId="77777777" w:rsidR="00000000" w:rsidRDefault="009B6C69">
            <w:pPr>
              <w:spacing w:after="100"/>
              <w:rPr>
                <w:rFonts w:eastAsia="Times New Roman"/>
                <w:sz w:val="20"/>
                <w:szCs w:val="20"/>
              </w:rPr>
            </w:pPr>
          </w:p>
        </w:tc>
        <w:tc>
          <w:tcPr>
            <w:tcW w:w="0" w:type="auto"/>
            <w:gridSpan w:val="3"/>
            <w:vAlign w:val="center"/>
            <w:hideMark/>
          </w:tcPr>
          <w:p w14:paraId="192F37E8" w14:textId="77777777" w:rsidR="00000000" w:rsidRDefault="009B6C69">
            <w:pPr>
              <w:spacing w:after="100"/>
              <w:rPr>
                <w:rFonts w:eastAsia="Times New Roman"/>
                <w:sz w:val="20"/>
                <w:szCs w:val="20"/>
              </w:rPr>
            </w:pPr>
          </w:p>
        </w:tc>
        <w:tc>
          <w:tcPr>
            <w:tcW w:w="0" w:type="auto"/>
            <w:gridSpan w:val="3"/>
            <w:vAlign w:val="center"/>
            <w:hideMark/>
          </w:tcPr>
          <w:p w14:paraId="43806FFC" w14:textId="77777777" w:rsidR="00000000" w:rsidRDefault="009B6C69">
            <w:pPr>
              <w:spacing w:after="100"/>
              <w:rPr>
                <w:rFonts w:eastAsia="Times New Roman"/>
                <w:sz w:val="20"/>
                <w:szCs w:val="20"/>
              </w:rPr>
            </w:pPr>
          </w:p>
        </w:tc>
        <w:tc>
          <w:tcPr>
            <w:tcW w:w="0" w:type="auto"/>
            <w:gridSpan w:val="3"/>
            <w:vAlign w:val="center"/>
            <w:hideMark/>
          </w:tcPr>
          <w:p w14:paraId="3154F2EF" w14:textId="77777777" w:rsidR="00000000" w:rsidRDefault="009B6C69">
            <w:pPr>
              <w:spacing w:after="100"/>
              <w:rPr>
                <w:rFonts w:eastAsia="Times New Roman"/>
                <w:sz w:val="20"/>
                <w:szCs w:val="20"/>
              </w:rPr>
            </w:pPr>
          </w:p>
        </w:tc>
        <w:tc>
          <w:tcPr>
            <w:tcW w:w="0" w:type="auto"/>
            <w:gridSpan w:val="3"/>
            <w:vAlign w:val="center"/>
            <w:hideMark/>
          </w:tcPr>
          <w:p w14:paraId="22F8933E" w14:textId="77777777" w:rsidR="00000000" w:rsidRDefault="009B6C69">
            <w:pPr>
              <w:spacing w:after="100"/>
              <w:rPr>
                <w:rFonts w:eastAsia="Times New Roman"/>
                <w:sz w:val="20"/>
                <w:szCs w:val="20"/>
              </w:rPr>
            </w:pPr>
          </w:p>
        </w:tc>
      </w:tr>
      <w:tr w:rsidR="00000000" w14:paraId="0BD60773" w14:textId="77777777">
        <w:trPr>
          <w:divId w:val="718282141"/>
        </w:trPr>
        <w:tc>
          <w:tcPr>
            <w:tcW w:w="0" w:type="auto"/>
            <w:gridSpan w:val="3"/>
            <w:vAlign w:val="center"/>
            <w:hideMark/>
          </w:tcPr>
          <w:p w14:paraId="5E5EEC6D" w14:textId="77777777" w:rsidR="00000000" w:rsidRDefault="009B6C69">
            <w:pPr>
              <w:spacing w:after="100"/>
              <w:rPr>
                <w:rFonts w:eastAsia="Times New Roman"/>
                <w:sz w:val="20"/>
                <w:szCs w:val="20"/>
              </w:rPr>
            </w:pPr>
          </w:p>
        </w:tc>
        <w:tc>
          <w:tcPr>
            <w:tcW w:w="0" w:type="auto"/>
            <w:gridSpan w:val="3"/>
            <w:vAlign w:val="center"/>
            <w:hideMark/>
          </w:tcPr>
          <w:p w14:paraId="7AA0FF11" w14:textId="77777777" w:rsidR="00000000" w:rsidRDefault="009B6C69">
            <w:pPr>
              <w:spacing w:after="100"/>
              <w:rPr>
                <w:rFonts w:eastAsia="Times New Roman"/>
                <w:sz w:val="20"/>
                <w:szCs w:val="20"/>
              </w:rPr>
            </w:pPr>
          </w:p>
        </w:tc>
        <w:tc>
          <w:tcPr>
            <w:tcW w:w="0" w:type="auto"/>
            <w:gridSpan w:val="3"/>
            <w:vAlign w:val="center"/>
            <w:hideMark/>
          </w:tcPr>
          <w:p w14:paraId="0D66177B" w14:textId="77777777" w:rsidR="00000000" w:rsidRDefault="009B6C69">
            <w:pPr>
              <w:spacing w:after="100"/>
              <w:rPr>
                <w:rFonts w:eastAsia="Times New Roman"/>
                <w:sz w:val="20"/>
                <w:szCs w:val="20"/>
              </w:rPr>
            </w:pPr>
          </w:p>
        </w:tc>
        <w:tc>
          <w:tcPr>
            <w:tcW w:w="0" w:type="auto"/>
            <w:gridSpan w:val="3"/>
            <w:vAlign w:val="center"/>
            <w:hideMark/>
          </w:tcPr>
          <w:p w14:paraId="209F772B" w14:textId="77777777" w:rsidR="00000000" w:rsidRDefault="009B6C69">
            <w:pPr>
              <w:spacing w:after="100"/>
              <w:rPr>
                <w:rFonts w:eastAsia="Times New Roman"/>
                <w:sz w:val="20"/>
                <w:szCs w:val="20"/>
              </w:rPr>
            </w:pPr>
          </w:p>
        </w:tc>
        <w:tc>
          <w:tcPr>
            <w:tcW w:w="0" w:type="auto"/>
            <w:gridSpan w:val="3"/>
            <w:vAlign w:val="center"/>
            <w:hideMark/>
          </w:tcPr>
          <w:p w14:paraId="20AB69EA" w14:textId="77777777" w:rsidR="00000000" w:rsidRDefault="009B6C69">
            <w:pPr>
              <w:spacing w:after="100"/>
              <w:rPr>
                <w:rFonts w:eastAsia="Times New Roman"/>
                <w:sz w:val="20"/>
                <w:szCs w:val="20"/>
              </w:rPr>
            </w:pPr>
          </w:p>
        </w:tc>
        <w:tc>
          <w:tcPr>
            <w:tcW w:w="0" w:type="auto"/>
            <w:gridSpan w:val="3"/>
            <w:vAlign w:val="center"/>
            <w:hideMark/>
          </w:tcPr>
          <w:p w14:paraId="6B0AFFCF" w14:textId="77777777" w:rsidR="00000000" w:rsidRDefault="009B6C69">
            <w:pPr>
              <w:spacing w:after="100"/>
              <w:rPr>
                <w:rFonts w:eastAsia="Times New Roman"/>
                <w:sz w:val="20"/>
                <w:szCs w:val="20"/>
              </w:rPr>
            </w:pPr>
          </w:p>
        </w:tc>
        <w:tc>
          <w:tcPr>
            <w:tcW w:w="0" w:type="auto"/>
            <w:gridSpan w:val="3"/>
            <w:vAlign w:val="center"/>
            <w:hideMark/>
          </w:tcPr>
          <w:p w14:paraId="2004A52F" w14:textId="77777777" w:rsidR="00000000" w:rsidRDefault="009B6C69">
            <w:pPr>
              <w:spacing w:after="100"/>
              <w:rPr>
                <w:rFonts w:eastAsia="Times New Roman"/>
                <w:sz w:val="20"/>
                <w:szCs w:val="20"/>
              </w:rPr>
            </w:pPr>
          </w:p>
        </w:tc>
        <w:tc>
          <w:tcPr>
            <w:tcW w:w="0" w:type="auto"/>
            <w:gridSpan w:val="3"/>
            <w:vAlign w:val="center"/>
            <w:hideMark/>
          </w:tcPr>
          <w:p w14:paraId="6D41AEA6" w14:textId="77777777" w:rsidR="00000000" w:rsidRDefault="009B6C69">
            <w:pPr>
              <w:spacing w:after="100"/>
              <w:rPr>
                <w:rFonts w:eastAsia="Times New Roman"/>
                <w:sz w:val="20"/>
                <w:szCs w:val="20"/>
              </w:rPr>
            </w:pPr>
          </w:p>
        </w:tc>
      </w:tr>
      <w:tr w:rsidR="00000000" w14:paraId="4EE0F340" w14:textId="77777777">
        <w:trPr>
          <w:divId w:val="718282141"/>
        </w:trPr>
        <w:tc>
          <w:tcPr>
            <w:tcW w:w="0" w:type="auto"/>
            <w:gridSpan w:val="3"/>
            <w:vAlign w:val="center"/>
            <w:hideMark/>
          </w:tcPr>
          <w:p w14:paraId="2CE8850B" w14:textId="77777777" w:rsidR="00000000" w:rsidRDefault="009B6C69">
            <w:pPr>
              <w:spacing w:after="100"/>
              <w:rPr>
                <w:rFonts w:eastAsia="Times New Roman"/>
                <w:sz w:val="20"/>
                <w:szCs w:val="20"/>
              </w:rPr>
            </w:pPr>
          </w:p>
        </w:tc>
        <w:tc>
          <w:tcPr>
            <w:tcW w:w="0" w:type="auto"/>
            <w:gridSpan w:val="3"/>
            <w:vAlign w:val="center"/>
            <w:hideMark/>
          </w:tcPr>
          <w:p w14:paraId="6F44CEA9" w14:textId="77777777" w:rsidR="00000000" w:rsidRDefault="009B6C69">
            <w:pPr>
              <w:spacing w:after="100"/>
              <w:rPr>
                <w:rFonts w:eastAsia="Times New Roman"/>
                <w:sz w:val="20"/>
                <w:szCs w:val="20"/>
              </w:rPr>
            </w:pPr>
          </w:p>
        </w:tc>
        <w:tc>
          <w:tcPr>
            <w:tcW w:w="0" w:type="auto"/>
            <w:gridSpan w:val="3"/>
            <w:vAlign w:val="center"/>
            <w:hideMark/>
          </w:tcPr>
          <w:p w14:paraId="3DB9172A" w14:textId="77777777" w:rsidR="00000000" w:rsidRDefault="009B6C69">
            <w:pPr>
              <w:spacing w:after="100"/>
              <w:rPr>
                <w:rFonts w:eastAsia="Times New Roman"/>
                <w:sz w:val="20"/>
                <w:szCs w:val="20"/>
              </w:rPr>
            </w:pPr>
          </w:p>
        </w:tc>
        <w:tc>
          <w:tcPr>
            <w:tcW w:w="0" w:type="auto"/>
            <w:gridSpan w:val="3"/>
            <w:vAlign w:val="center"/>
            <w:hideMark/>
          </w:tcPr>
          <w:p w14:paraId="00BA8426" w14:textId="77777777" w:rsidR="00000000" w:rsidRDefault="009B6C69">
            <w:pPr>
              <w:spacing w:after="100"/>
              <w:rPr>
                <w:rFonts w:eastAsia="Times New Roman"/>
                <w:sz w:val="20"/>
                <w:szCs w:val="20"/>
              </w:rPr>
            </w:pPr>
          </w:p>
        </w:tc>
        <w:tc>
          <w:tcPr>
            <w:tcW w:w="0" w:type="auto"/>
            <w:gridSpan w:val="3"/>
            <w:vAlign w:val="center"/>
            <w:hideMark/>
          </w:tcPr>
          <w:p w14:paraId="0E6C49C6" w14:textId="77777777" w:rsidR="00000000" w:rsidRDefault="009B6C69">
            <w:pPr>
              <w:spacing w:after="100"/>
              <w:rPr>
                <w:rFonts w:eastAsia="Times New Roman"/>
                <w:sz w:val="20"/>
                <w:szCs w:val="20"/>
              </w:rPr>
            </w:pPr>
          </w:p>
        </w:tc>
        <w:tc>
          <w:tcPr>
            <w:tcW w:w="0" w:type="auto"/>
            <w:gridSpan w:val="3"/>
            <w:vAlign w:val="center"/>
            <w:hideMark/>
          </w:tcPr>
          <w:p w14:paraId="6B56EB99" w14:textId="77777777" w:rsidR="00000000" w:rsidRDefault="009B6C69">
            <w:pPr>
              <w:spacing w:after="100"/>
              <w:rPr>
                <w:rFonts w:eastAsia="Times New Roman"/>
                <w:sz w:val="20"/>
                <w:szCs w:val="20"/>
              </w:rPr>
            </w:pPr>
          </w:p>
        </w:tc>
        <w:tc>
          <w:tcPr>
            <w:tcW w:w="0" w:type="auto"/>
            <w:gridSpan w:val="3"/>
            <w:vAlign w:val="center"/>
            <w:hideMark/>
          </w:tcPr>
          <w:p w14:paraId="00993A8B" w14:textId="77777777" w:rsidR="00000000" w:rsidRDefault="009B6C69">
            <w:pPr>
              <w:spacing w:after="100"/>
              <w:rPr>
                <w:rFonts w:eastAsia="Times New Roman"/>
                <w:sz w:val="20"/>
                <w:szCs w:val="20"/>
              </w:rPr>
            </w:pPr>
          </w:p>
        </w:tc>
        <w:tc>
          <w:tcPr>
            <w:tcW w:w="0" w:type="auto"/>
            <w:gridSpan w:val="3"/>
            <w:vAlign w:val="center"/>
            <w:hideMark/>
          </w:tcPr>
          <w:p w14:paraId="11679C39" w14:textId="77777777" w:rsidR="00000000" w:rsidRDefault="009B6C69">
            <w:pPr>
              <w:spacing w:after="100"/>
              <w:rPr>
                <w:rFonts w:eastAsia="Times New Roman"/>
                <w:sz w:val="20"/>
                <w:szCs w:val="20"/>
              </w:rPr>
            </w:pPr>
          </w:p>
        </w:tc>
      </w:tr>
      <w:tr w:rsidR="00000000" w14:paraId="5B60DB94" w14:textId="77777777">
        <w:trPr>
          <w:divId w:val="718282141"/>
        </w:trPr>
        <w:tc>
          <w:tcPr>
            <w:tcW w:w="0" w:type="auto"/>
            <w:gridSpan w:val="3"/>
            <w:vAlign w:val="center"/>
            <w:hideMark/>
          </w:tcPr>
          <w:p w14:paraId="26E0BA9A" w14:textId="77777777" w:rsidR="00000000" w:rsidRDefault="009B6C69">
            <w:pPr>
              <w:spacing w:after="100"/>
              <w:rPr>
                <w:rFonts w:eastAsia="Times New Roman"/>
                <w:sz w:val="20"/>
                <w:szCs w:val="20"/>
              </w:rPr>
            </w:pPr>
          </w:p>
        </w:tc>
        <w:tc>
          <w:tcPr>
            <w:tcW w:w="0" w:type="auto"/>
            <w:gridSpan w:val="3"/>
            <w:vAlign w:val="center"/>
            <w:hideMark/>
          </w:tcPr>
          <w:p w14:paraId="166367BC" w14:textId="77777777" w:rsidR="00000000" w:rsidRDefault="009B6C69">
            <w:pPr>
              <w:spacing w:after="100"/>
              <w:rPr>
                <w:rFonts w:eastAsia="Times New Roman"/>
                <w:sz w:val="20"/>
                <w:szCs w:val="20"/>
              </w:rPr>
            </w:pPr>
          </w:p>
        </w:tc>
        <w:tc>
          <w:tcPr>
            <w:tcW w:w="0" w:type="auto"/>
            <w:gridSpan w:val="3"/>
            <w:vAlign w:val="center"/>
            <w:hideMark/>
          </w:tcPr>
          <w:p w14:paraId="7E8F5D34" w14:textId="77777777" w:rsidR="00000000" w:rsidRDefault="009B6C69">
            <w:pPr>
              <w:spacing w:after="100"/>
              <w:rPr>
                <w:rFonts w:eastAsia="Times New Roman"/>
                <w:sz w:val="20"/>
                <w:szCs w:val="20"/>
              </w:rPr>
            </w:pPr>
          </w:p>
        </w:tc>
        <w:tc>
          <w:tcPr>
            <w:tcW w:w="0" w:type="auto"/>
            <w:gridSpan w:val="3"/>
            <w:vAlign w:val="center"/>
            <w:hideMark/>
          </w:tcPr>
          <w:p w14:paraId="5CF77FC9" w14:textId="77777777" w:rsidR="00000000" w:rsidRDefault="009B6C69">
            <w:pPr>
              <w:spacing w:after="100"/>
              <w:rPr>
                <w:rFonts w:eastAsia="Times New Roman"/>
                <w:sz w:val="20"/>
                <w:szCs w:val="20"/>
              </w:rPr>
            </w:pPr>
          </w:p>
        </w:tc>
        <w:tc>
          <w:tcPr>
            <w:tcW w:w="0" w:type="auto"/>
            <w:gridSpan w:val="3"/>
            <w:vAlign w:val="center"/>
            <w:hideMark/>
          </w:tcPr>
          <w:p w14:paraId="1DEE3171" w14:textId="77777777" w:rsidR="00000000" w:rsidRDefault="009B6C69">
            <w:pPr>
              <w:spacing w:after="100"/>
              <w:rPr>
                <w:rFonts w:eastAsia="Times New Roman"/>
                <w:sz w:val="20"/>
                <w:szCs w:val="20"/>
              </w:rPr>
            </w:pPr>
          </w:p>
        </w:tc>
        <w:tc>
          <w:tcPr>
            <w:tcW w:w="0" w:type="auto"/>
            <w:gridSpan w:val="3"/>
            <w:vAlign w:val="center"/>
            <w:hideMark/>
          </w:tcPr>
          <w:p w14:paraId="55EB7359" w14:textId="77777777" w:rsidR="00000000" w:rsidRDefault="009B6C69">
            <w:pPr>
              <w:spacing w:after="100"/>
              <w:rPr>
                <w:rFonts w:eastAsia="Times New Roman"/>
                <w:sz w:val="20"/>
                <w:szCs w:val="20"/>
              </w:rPr>
            </w:pPr>
          </w:p>
        </w:tc>
        <w:tc>
          <w:tcPr>
            <w:tcW w:w="0" w:type="auto"/>
            <w:gridSpan w:val="3"/>
            <w:vAlign w:val="center"/>
            <w:hideMark/>
          </w:tcPr>
          <w:p w14:paraId="44B4F91F" w14:textId="77777777" w:rsidR="00000000" w:rsidRDefault="009B6C69">
            <w:pPr>
              <w:spacing w:after="100"/>
              <w:rPr>
                <w:rFonts w:eastAsia="Times New Roman"/>
                <w:sz w:val="20"/>
                <w:szCs w:val="20"/>
              </w:rPr>
            </w:pPr>
          </w:p>
        </w:tc>
        <w:tc>
          <w:tcPr>
            <w:tcW w:w="0" w:type="auto"/>
            <w:gridSpan w:val="3"/>
            <w:vAlign w:val="center"/>
            <w:hideMark/>
          </w:tcPr>
          <w:p w14:paraId="6DC5E14B" w14:textId="77777777" w:rsidR="00000000" w:rsidRDefault="009B6C69">
            <w:pPr>
              <w:spacing w:after="100"/>
              <w:rPr>
                <w:rFonts w:eastAsia="Times New Roman"/>
                <w:sz w:val="20"/>
                <w:szCs w:val="20"/>
              </w:rPr>
            </w:pPr>
          </w:p>
        </w:tc>
      </w:tr>
      <w:tr w:rsidR="00000000" w14:paraId="0001D96B" w14:textId="77777777">
        <w:trPr>
          <w:divId w:val="718282141"/>
        </w:trPr>
        <w:tc>
          <w:tcPr>
            <w:tcW w:w="0" w:type="auto"/>
            <w:gridSpan w:val="3"/>
            <w:shd w:val="clear" w:color="auto" w:fill="FFFFFF"/>
            <w:tcMar>
              <w:top w:w="30" w:type="dxa"/>
              <w:left w:w="245" w:type="dxa"/>
              <w:bottom w:w="30" w:type="dxa"/>
              <w:right w:w="20" w:type="dxa"/>
            </w:tcMar>
            <w:vAlign w:val="bottom"/>
            <w:hideMark/>
          </w:tcPr>
          <w:p w14:paraId="2DD494CF" w14:textId="77777777" w:rsidR="00000000" w:rsidRDefault="009B6C69">
            <w:pPr>
              <w:spacing w:after="100"/>
              <w:rPr>
                <w:rFonts w:eastAsia="Times New Roman"/>
              </w:rPr>
            </w:pPr>
            <w:r>
              <w:rPr>
                <w:rFonts w:eastAsia="Times New Roman"/>
                <w:color w:val="000000"/>
                <w:sz w:val="18"/>
                <w:szCs w:val="18"/>
              </w:rPr>
              <w:t>Total available-for-sale debt securities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5D8D15" w14:textId="77777777" w:rsidR="00000000" w:rsidRDefault="009B6C69">
            <w:pPr>
              <w:spacing w:after="100"/>
              <w:jc w:val="right"/>
              <w:rPr>
                <w:rFonts w:eastAsia="Times New Roman"/>
              </w:rPr>
            </w:pPr>
            <w:r>
              <w:rPr>
                <w:rFonts w:eastAsia="Times New Roman"/>
                <w:color w:val="000000"/>
                <w:sz w:val="18"/>
                <w:szCs w:val="18"/>
              </w:rPr>
              <w:t>3,445 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FA4E32"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96BFC2" w14:textId="77777777" w:rsidR="00000000" w:rsidRDefault="009B6C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476F63" w14:textId="77777777" w:rsidR="00000000" w:rsidRDefault="009B6C69">
            <w:pPr>
              <w:spacing w:after="100"/>
              <w:jc w:val="right"/>
              <w:rPr>
                <w:rFonts w:eastAsia="Times New Roman"/>
              </w:rPr>
            </w:pPr>
            <w:r>
              <w:rPr>
                <w:rFonts w:eastAsia="Times New Roman"/>
                <w:color w:val="000000"/>
                <w:sz w:val="18"/>
                <w:szCs w:val="18"/>
              </w:rPr>
              <w:t>4,616 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88F0BF" w14:textId="77777777" w:rsidR="00000000" w:rsidRDefault="009B6C69">
            <w:pPr>
              <w:spacing w:after="100"/>
              <w:jc w:val="right"/>
              <w:rPr>
                <w:rFonts w:eastAsia="Times New Roman"/>
              </w:rPr>
            </w:pPr>
          </w:p>
        </w:tc>
        <w:tc>
          <w:tcPr>
            <w:tcW w:w="0" w:type="auto"/>
            <w:gridSpan w:val="3"/>
            <w:vAlign w:val="center"/>
            <w:hideMark/>
          </w:tcPr>
          <w:p w14:paraId="1888A9AE" w14:textId="77777777" w:rsidR="00000000" w:rsidRDefault="009B6C69">
            <w:pPr>
              <w:spacing w:after="100"/>
              <w:jc w:val="right"/>
              <w:rPr>
                <w:rFonts w:eastAsia="Times New Roman"/>
                <w:sz w:val="20"/>
                <w:szCs w:val="20"/>
              </w:rPr>
            </w:pPr>
          </w:p>
        </w:tc>
        <w:tc>
          <w:tcPr>
            <w:tcW w:w="0" w:type="auto"/>
            <w:gridSpan w:val="3"/>
            <w:vAlign w:val="center"/>
            <w:hideMark/>
          </w:tcPr>
          <w:p w14:paraId="4DE226F7" w14:textId="77777777" w:rsidR="00000000" w:rsidRDefault="009B6C69">
            <w:pPr>
              <w:spacing w:after="100"/>
              <w:rPr>
                <w:rFonts w:eastAsia="Times New Roman"/>
                <w:sz w:val="20"/>
                <w:szCs w:val="20"/>
              </w:rPr>
            </w:pPr>
          </w:p>
        </w:tc>
        <w:tc>
          <w:tcPr>
            <w:tcW w:w="0" w:type="auto"/>
            <w:gridSpan w:val="3"/>
            <w:vAlign w:val="center"/>
            <w:hideMark/>
          </w:tcPr>
          <w:p w14:paraId="77FDB8C1" w14:textId="77777777" w:rsidR="00000000" w:rsidRDefault="009B6C69">
            <w:pPr>
              <w:spacing w:after="100"/>
              <w:rPr>
                <w:rFonts w:eastAsia="Times New Roman"/>
                <w:sz w:val="20"/>
                <w:szCs w:val="20"/>
              </w:rPr>
            </w:pPr>
          </w:p>
        </w:tc>
        <w:tc>
          <w:tcPr>
            <w:tcW w:w="0" w:type="auto"/>
            <w:gridSpan w:val="3"/>
            <w:vAlign w:val="center"/>
            <w:hideMark/>
          </w:tcPr>
          <w:p w14:paraId="5BA5BAF3" w14:textId="77777777" w:rsidR="00000000" w:rsidRDefault="009B6C69">
            <w:pPr>
              <w:spacing w:after="100"/>
              <w:rPr>
                <w:rFonts w:eastAsia="Times New Roman"/>
                <w:sz w:val="20"/>
                <w:szCs w:val="20"/>
              </w:rPr>
            </w:pPr>
          </w:p>
        </w:tc>
      </w:tr>
      <w:tr w:rsidR="00000000" w14:paraId="23D3C217" w14:textId="77777777">
        <w:trPr>
          <w:divId w:val="718282141"/>
        </w:trPr>
        <w:tc>
          <w:tcPr>
            <w:tcW w:w="0" w:type="auto"/>
            <w:gridSpan w:val="3"/>
            <w:vAlign w:val="center"/>
            <w:hideMark/>
          </w:tcPr>
          <w:p w14:paraId="61FE88E1" w14:textId="77777777" w:rsidR="00000000" w:rsidRDefault="009B6C69">
            <w:pPr>
              <w:spacing w:after="100"/>
              <w:rPr>
                <w:rFonts w:eastAsia="Times New Roman"/>
                <w:sz w:val="20"/>
                <w:szCs w:val="20"/>
              </w:rPr>
            </w:pPr>
          </w:p>
        </w:tc>
        <w:tc>
          <w:tcPr>
            <w:tcW w:w="0" w:type="auto"/>
            <w:gridSpan w:val="3"/>
            <w:vAlign w:val="center"/>
            <w:hideMark/>
          </w:tcPr>
          <w:p w14:paraId="7CD6039E" w14:textId="77777777" w:rsidR="00000000" w:rsidRDefault="009B6C69">
            <w:pPr>
              <w:spacing w:after="100"/>
              <w:rPr>
                <w:rFonts w:eastAsia="Times New Roman"/>
                <w:sz w:val="20"/>
                <w:szCs w:val="20"/>
              </w:rPr>
            </w:pPr>
          </w:p>
        </w:tc>
        <w:tc>
          <w:tcPr>
            <w:tcW w:w="0" w:type="auto"/>
            <w:gridSpan w:val="3"/>
            <w:vAlign w:val="center"/>
            <w:hideMark/>
          </w:tcPr>
          <w:p w14:paraId="3955B0F8" w14:textId="77777777" w:rsidR="00000000" w:rsidRDefault="009B6C69">
            <w:pPr>
              <w:spacing w:after="100"/>
              <w:rPr>
                <w:rFonts w:eastAsia="Times New Roman"/>
                <w:sz w:val="20"/>
                <w:szCs w:val="20"/>
              </w:rPr>
            </w:pPr>
          </w:p>
        </w:tc>
        <w:tc>
          <w:tcPr>
            <w:tcW w:w="0" w:type="auto"/>
            <w:gridSpan w:val="3"/>
            <w:vAlign w:val="center"/>
            <w:hideMark/>
          </w:tcPr>
          <w:p w14:paraId="2772FB94" w14:textId="77777777" w:rsidR="00000000" w:rsidRDefault="009B6C69">
            <w:pPr>
              <w:spacing w:after="100"/>
              <w:rPr>
                <w:rFonts w:eastAsia="Times New Roman"/>
                <w:sz w:val="20"/>
                <w:szCs w:val="20"/>
              </w:rPr>
            </w:pPr>
          </w:p>
        </w:tc>
        <w:tc>
          <w:tcPr>
            <w:tcW w:w="0" w:type="auto"/>
            <w:gridSpan w:val="3"/>
            <w:vAlign w:val="center"/>
            <w:hideMark/>
          </w:tcPr>
          <w:p w14:paraId="012A1C4F" w14:textId="77777777" w:rsidR="00000000" w:rsidRDefault="009B6C69">
            <w:pPr>
              <w:spacing w:after="100"/>
              <w:rPr>
                <w:rFonts w:eastAsia="Times New Roman"/>
                <w:sz w:val="20"/>
                <w:szCs w:val="20"/>
              </w:rPr>
            </w:pPr>
          </w:p>
        </w:tc>
        <w:tc>
          <w:tcPr>
            <w:tcW w:w="0" w:type="auto"/>
            <w:gridSpan w:val="3"/>
            <w:vAlign w:val="center"/>
            <w:hideMark/>
          </w:tcPr>
          <w:p w14:paraId="478CB760" w14:textId="77777777" w:rsidR="00000000" w:rsidRDefault="009B6C69">
            <w:pPr>
              <w:spacing w:after="100"/>
              <w:rPr>
                <w:rFonts w:eastAsia="Times New Roman"/>
                <w:sz w:val="20"/>
                <w:szCs w:val="20"/>
              </w:rPr>
            </w:pPr>
          </w:p>
        </w:tc>
        <w:tc>
          <w:tcPr>
            <w:tcW w:w="0" w:type="auto"/>
            <w:gridSpan w:val="3"/>
            <w:vAlign w:val="center"/>
            <w:hideMark/>
          </w:tcPr>
          <w:p w14:paraId="7C63ABF3" w14:textId="77777777" w:rsidR="00000000" w:rsidRDefault="009B6C69">
            <w:pPr>
              <w:spacing w:after="100"/>
              <w:rPr>
                <w:rFonts w:eastAsia="Times New Roman"/>
                <w:sz w:val="20"/>
                <w:szCs w:val="20"/>
              </w:rPr>
            </w:pPr>
          </w:p>
        </w:tc>
        <w:tc>
          <w:tcPr>
            <w:tcW w:w="0" w:type="auto"/>
            <w:gridSpan w:val="3"/>
            <w:vAlign w:val="center"/>
            <w:hideMark/>
          </w:tcPr>
          <w:p w14:paraId="16C878EC" w14:textId="77777777" w:rsidR="00000000" w:rsidRDefault="009B6C69">
            <w:pPr>
              <w:spacing w:after="100"/>
              <w:rPr>
                <w:rFonts w:eastAsia="Times New Roman"/>
                <w:sz w:val="20"/>
                <w:szCs w:val="20"/>
              </w:rPr>
            </w:pPr>
          </w:p>
        </w:tc>
      </w:tr>
      <w:tr w:rsidR="00000000" w14:paraId="1467D24A" w14:textId="77777777">
        <w:trPr>
          <w:divId w:val="718282141"/>
        </w:trPr>
        <w:tc>
          <w:tcPr>
            <w:tcW w:w="0" w:type="auto"/>
            <w:gridSpan w:val="3"/>
            <w:vAlign w:val="center"/>
            <w:hideMark/>
          </w:tcPr>
          <w:p w14:paraId="0DC9A35B" w14:textId="77777777" w:rsidR="00000000" w:rsidRDefault="009B6C69">
            <w:pPr>
              <w:spacing w:after="100"/>
              <w:rPr>
                <w:rFonts w:eastAsia="Times New Roman"/>
                <w:sz w:val="20"/>
                <w:szCs w:val="20"/>
              </w:rPr>
            </w:pPr>
          </w:p>
        </w:tc>
        <w:tc>
          <w:tcPr>
            <w:tcW w:w="0" w:type="auto"/>
            <w:gridSpan w:val="3"/>
            <w:vAlign w:val="center"/>
            <w:hideMark/>
          </w:tcPr>
          <w:p w14:paraId="0B8C99FA" w14:textId="77777777" w:rsidR="00000000" w:rsidRDefault="009B6C69">
            <w:pPr>
              <w:spacing w:after="100"/>
              <w:rPr>
                <w:rFonts w:eastAsia="Times New Roman"/>
                <w:sz w:val="20"/>
                <w:szCs w:val="20"/>
              </w:rPr>
            </w:pPr>
          </w:p>
        </w:tc>
        <w:tc>
          <w:tcPr>
            <w:tcW w:w="0" w:type="auto"/>
            <w:gridSpan w:val="3"/>
            <w:vAlign w:val="center"/>
            <w:hideMark/>
          </w:tcPr>
          <w:p w14:paraId="2BFBBCFA" w14:textId="77777777" w:rsidR="00000000" w:rsidRDefault="009B6C69">
            <w:pPr>
              <w:spacing w:after="100"/>
              <w:rPr>
                <w:rFonts w:eastAsia="Times New Roman"/>
                <w:sz w:val="20"/>
                <w:szCs w:val="20"/>
              </w:rPr>
            </w:pPr>
          </w:p>
        </w:tc>
        <w:tc>
          <w:tcPr>
            <w:tcW w:w="0" w:type="auto"/>
            <w:gridSpan w:val="3"/>
            <w:vAlign w:val="center"/>
            <w:hideMark/>
          </w:tcPr>
          <w:p w14:paraId="738D7C4A" w14:textId="77777777" w:rsidR="00000000" w:rsidRDefault="009B6C69">
            <w:pPr>
              <w:spacing w:after="100"/>
              <w:rPr>
                <w:rFonts w:eastAsia="Times New Roman"/>
                <w:sz w:val="20"/>
                <w:szCs w:val="20"/>
              </w:rPr>
            </w:pPr>
          </w:p>
        </w:tc>
        <w:tc>
          <w:tcPr>
            <w:tcW w:w="0" w:type="auto"/>
            <w:gridSpan w:val="3"/>
            <w:vAlign w:val="center"/>
            <w:hideMark/>
          </w:tcPr>
          <w:p w14:paraId="15E608F0" w14:textId="77777777" w:rsidR="00000000" w:rsidRDefault="009B6C69">
            <w:pPr>
              <w:spacing w:after="100"/>
              <w:rPr>
                <w:rFonts w:eastAsia="Times New Roman"/>
                <w:sz w:val="20"/>
                <w:szCs w:val="20"/>
              </w:rPr>
            </w:pPr>
          </w:p>
        </w:tc>
        <w:tc>
          <w:tcPr>
            <w:tcW w:w="0" w:type="auto"/>
            <w:gridSpan w:val="3"/>
            <w:vAlign w:val="center"/>
            <w:hideMark/>
          </w:tcPr>
          <w:p w14:paraId="34F1A1F3" w14:textId="77777777" w:rsidR="00000000" w:rsidRDefault="009B6C69">
            <w:pPr>
              <w:spacing w:after="100"/>
              <w:rPr>
                <w:rFonts w:eastAsia="Times New Roman"/>
                <w:sz w:val="20"/>
                <w:szCs w:val="20"/>
              </w:rPr>
            </w:pPr>
          </w:p>
        </w:tc>
        <w:tc>
          <w:tcPr>
            <w:tcW w:w="0" w:type="auto"/>
            <w:gridSpan w:val="3"/>
            <w:vAlign w:val="center"/>
            <w:hideMark/>
          </w:tcPr>
          <w:p w14:paraId="34DEBB0C" w14:textId="77777777" w:rsidR="00000000" w:rsidRDefault="009B6C69">
            <w:pPr>
              <w:spacing w:after="100"/>
              <w:rPr>
                <w:rFonts w:eastAsia="Times New Roman"/>
                <w:sz w:val="20"/>
                <w:szCs w:val="20"/>
              </w:rPr>
            </w:pPr>
          </w:p>
        </w:tc>
        <w:tc>
          <w:tcPr>
            <w:tcW w:w="0" w:type="auto"/>
            <w:gridSpan w:val="3"/>
            <w:vAlign w:val="center"/>
            <w:hideMark/>
          </w:tcPr>
          <w:p w14:paraId="5FBA980B" w14:textId="77777777" w:rsidR="00000000" w:rsidRDefault="009B6C69">
            <w:pPr>
              <w:spacing w:after="100"/>
              <w:rPr>
                <w:rFonts w:eastAsia="Times New Roman"/>
                <w:sz w:val="20"/>
                <w:szCs w:val="20"/>
              </w:rPr>
            </w:pPr>
          </w:p>
        </w:tc>
      </w:tr>
      <w:tr w:rsidR="00000000" w14:paraId="7EAB13DE" w14:textId="77777777">
        <w:trPr>
          <w:divId w:val="718282141"/>
        </w:trPr>
        <w:tc>
          <w:tcPr>
            <w:tcW w:w="0" w:type="auto"/>
            <w:gridSpan w:val="3"/>
            <w:shd w:val="clear" w:color="auto" w:fill="CCEEFF"/>
            <w:tcMar>
              <w:top w:w="30" w:type="dxa"/>
              <w:left w:w="20" w:type="dxa"/>
              <w:bottom w:w="30" w:type="dxa"/>
              <w:right w:w="20" w:type="dxa"/>
            </w:tcMar>
            <w:vAlign w:val="bottom"/>
            <w:hideMark/>
          </w:tcPr>
          <w:p w14:paraId="6DFB10C2" w14:textId="77777777" w:rsidR="00000000" w:rsidRDefault="009B6C69">
            <w:pPr>
              <w:spacing w:after="100"/>
              <w:ind w:hanging="90"/>
              <w:divId w:val="1786342366"/>
              <w:rPr>
                <w:rFonts w:eastAsia="Times New Roman"/>
              </w:rPr>
            </w:pPr>
            <w:r>
              <w:rPr>
                <w:rFonts w:eastAsia="Times New Roman"/>
                <w:color w:val="000000"/>
                <w:sz w:val="18"/>
                <w:szCs w:val="18"/>
              </w:rPr>
              <w:t>Equity securities</w:t>
            </w:r>
          </w:p>
        </w:tc>
        <w:tc>
          <w:tcPr>
            <w:tcW w:w="0" w:type="auto"/>
            <w:gridSpan w:val="2"/>
            <w:shd w:val="clear" w:color="auto" w:fill="CCEEFF"/>
            <w:tcMar>
              <w:top w:w="30" w:type="dxa"/>
              <w:left w:w="20" w:type="dxa"/>
              <w:bottom w:w="30" w:type="dxa"/>
              <w:right w:w="0" w:type="dxa"/>
            </w:tcMar>
            <w:vAlign w:val="bottom"/>
            <w:hideMark/>
          </w:tcPr>
          <w:p w14:paraId="53BEE54D" w14:textId="77777777" w:rsidR="00000000" w:rsidRDefault="009B6C69">
            <w:pPr>
              <w:spacing w:after="100"/>
              <w:jc w:val="right"/>
              <w:rPr>
                <w:rFonts w:eastAsia="Times New Roman"/>
              </w:rPr>
            </w:pPr>
            <w:r>
              <w:rPr>
                <w:rFonts w:eastAsia="Times New Roman"/>
                <w:color w:val="000000"/>
                <w:sz w:val="18"/>
                <w:szCs w:val="18"/>
              </w:rPr>
              <w:t>164 </w:t>
            </w:r>
          </w:p>
        </w:tc>
        <w:tc>
          <w:tcPr>
            <w:tcW w:w="0" w:type="auto"/>
            <w:shd w:val="clear" w:color="auto" w:fill="CCEEFF"/>
            <w:tcMar>
              <w:top w:w="30" w:type="dxa"/>
              <w:left w:w="0" w:type="dxa"/>
              <w:bottom w:w="30" w:type="dxa"/>
              <w:right w:w="20" w:type="dxa"/>
            </w:tcMar>
            <w:vAlign w:val="bottom"/>
            <w:hideMark/>
          </w:tcPr>
          <w:p w14:paraId="5D6F9A8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873768"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6563E0" w14:textId="77777777" w:rsidR="00000000" w:rsidRDefault="009B6C69">
            <w:pPr>
              <w:spacing w:after="100"/>
              <w:jc w:val="right"/>
              <w:rPr>
                <w:rFonts w:eastAsia="Times New Roman"/>
              </w:rPr>
            </w:pPr>
            <w:r>
              <w:rPr>
                <w:rFonts w:eastAsia="Times New Roman"/>
                <w:color w:val="000000"/>
                <w:sz w:val="18"/>
                <w:szCs w:val="18"/>
              </w:rPr>
              <w:t>682 </w:t>
            </w:r>
          </w:p>
        </w:tc>
        <w:tc>
          <w:tcPr>
            <w:tcW w:w="0" w:type="auto"/>
            <w:shd w:val="clear" w:color="auto" w:fill="CCEEFF"/>
            <w:tcMar>
              <w:top w:w="30" w:type="dxa"/>
              <w:left w:w="0" w:type="dxa"/>
              <w:bottom w:w="30" w:type="dxa"/>
              <w:right w:w="20" w:type="dxa"/>
            </w:tcMar>
            <w:vAlign w:val="bottom"/>
            <w:hideMark/>
          </w:tcPr>
          <w:p w14:paraId="37B57313" w14:textId="77777777" w:rsidR="00000000" w:rsidRDefault="009B6C69">
            <w:pPr>
              <w:spacing w:after="100"/>
              <w:jc w:val="right"/>
              <w:rPr>
                <w:rFonts w:eastAsia="Times New Roman"/>
              </w:rPr>
            </w:pPr>
          </w:p>
        </w:tc>
        <w:tc>
          <w:tcPr>
            <w:tcW w:w="0" w:type="auto"/>
            <w:gridSpan w:val="3"/>
            <w:vAlign w:val="center"/>
            <w:hideMark/>
          </w:tcPr>
          <w:p w14:paraId="470C6C8E" w14:textId="77777777" w:rsidR="00000000" w:rsidRDefault="009B6C69">
            <w:pPr>
              <w:spacing w:after="100"/>
              <w:jc w:val="right"/>
              <w:rPr>
                <w:rFonts w:eastAsia="Times New Roman"/>
                <w:sz w:val="20"/>
                <w:szCs w:val="20"/>
              </w:rPr>
            </w:pPr>
          </w:p>
        </w:tc>
        <w:tc>
          <w:tcPr>
            <w:tcW w:w="0" w:type="auto"/>
            <w:gridSpan w:val="3"/>
            <w:vAlign w:val="center"/>
            <w:hideMark/>
          </w:tcPr>
          <w:p w14:paraId="42AD5675" w14:textId="77777777" w:rsidR="00000000" w:rsidRDefault="009B6C69">
            <w:pPr>
              <w:spacing w:after="100"/>
              <w:rPr>
                <w:rFonts w:eastAsia="Times New Roman"/>
                <w:sz w:val="20"/>
                <w:szCs w:val="20"/>
              </w:rPr>
            </w:pPr>
          </w:p>
        </w:tc>
        <w:tc>
          <w:tcPr>
            <w:tcW w:w="0" w:type="auto"/>
            <w:gridSpan w:val="3"/>
            <w:vAlign w:val="center"/>
            <w:hideMark/>
          </w:tcPr>
          <w:p w14:paraId="0EDA9C4D" w14:textId="77777777" w:rsidR="00000000" w:rsidRDefault="009B6C69">
            <w:pPr>
              <w:spacing w:after="100"/>
              <w:rPr>
                <w:rFonts w:eastAsia="Times New Roman"/>
                <w:sz w:val="20"/>
                <w:szCs w:val="20"/>
              </w:rPr>
            </w:pPr>
          </w:p>
        </w:tc>
        <w:tc>
          <w:tcPr>
            <w:tcW w:w="0" w:type="auto"/>
            <w:gridSpan w:val="3"/>
            <w:vAlign w:val="center"/>
            <w:hideMark/>
          </w:tcPr>
          <w:p w14:paraId="73AAE89F" w14:textId="77777777" w:rsidR="00000000" w:rsidRDefault="009B6C69">
            <w:pPr>
              <w:spacing w:after="100"/>
              <w:rPr>
                <w:rFonts w:eastAsia="Times New Roman"/>
                <w:sz w:val="20"/>
                <w:szCs w:val="20"/>
              </w:rPr>
            </w:pPr>
          </w:p>
        </w:tc>
      </w:tr>
      <w:tr w:rsidR="00000000" w14:paraId="688AA038" w14:textId="77777777">
        <w:trPr>
          <w:divId w:val="718282141"/>
        </w:trPr>
        <w:tc>
          <w:tcPr>
            <w:tcW w:w="0" w:type="auto"/>
            <w:gridSpan w:val="3"/>
            <w:shd w:val="clear" w:color="auto" w:fill="FFFFFF"/>
            <w:tcMar>
              <w:top w:w="30" w:type="dxa"/>
              <w:left w:w="380" w:type="dxa"/>
              <w:bottom w:w="30" w:type="dxa"/>
              <w:right w:w="20" w:type="dxa"/>
            </w:tcMar>
            <w:vAlign w:val="bottom"/>
            <w:hideMark/>
          </w:tcPr>
          <w:p w14:paraId="04263273" w14:textId="77777777" w:rsidR="00000000" w:rsidRDefault="009B6C69">
            <w:pPr>
              <w:spacing w:after="100"/>
              <w:rPr>
                <w:rFonts w:eastAsia="Times New Roman"/>
              </w:rPr>
            </w:pPr>
            <w:r>
              <w:rPr>
                <w:rFonts w:eastAsia="Times New Roman"/>
                <w:color w:val="000000"/>
                <w:sz w:val="18"/>
                <w:szCs w:val="18"/>
              </w:rPr>
              <w:t>Total marketable securities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6A1090"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80A334A" w14:textId="77777777" w:rsidR="00000000" w:rsidRDefault="009B6C69">
            <w:pPr>
              <w:spacing w:after="100"/>
              <w:jc w:val="right"/>
              <w:rPr>
                <w:rFonts w:eastAsia="Times New Roman"/>
              </w:rPr>
            </w:pPr>
            <w:r>
              <w:rPr>
                <w:rFonts w:eastAsia="Times New Roman"/>
                <w:color w:val="000000"/>
                <w:sz w:val="18"/>
                <w:szCs w:val="18"/>
              </w:rPr>
              <w:t>3,609 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A5E6298"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92A5A" w14:textId="77777777" w:rsidR="00000000" w:rsidRDefault="009B6C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EDA7CF6"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EF8C109" w14:textId="77777777" w:rsidR="00000000" w:rsidRDefault="009B6C69">
            <w:pPr>
              <w:spacing w:after="100"/>
              <w:jc w:val="right"/>
              <w:rPr>
                <w:rFonts w:eastAsia="Times New Roman"/>
              </w:rPr>
            </w:pPr>
            <w:r>
              <w:rPr>
                <w:rFonts w:eastAsia="Times New Roman"/>
                <w:color w:val="000000"/>
                <w:sz w:val="18"/>
                <w:szCs w:val="18"/>
              </w:rPr>
              <w:t>5,298 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81254AF" w14:textId="77777777" w:rsidR="00000000" w:rsidRDefault="009B6C69">
            <w:pPr>
              <w:spacing w:after="100"/>
              <w:jc w:val="right"/>
              <w:rPr>
                <w:rFonts w:eastAsia="Times New Roman"/>
              </w:rPr>
            </w:pPr>
          </w:p>
        </w:tc>
        <w:tc>
          <w:tcPr>
            <w:tcW w:w="0" w:type="auto"/>
            <w:gridSpan w:val="3"/>
            <w:vAlign w:val="center"/>
            <w:hideMark/>
          </w:tcPr>
          <w:p w14:paraId="12476BF5" w14:textId="77777777" w:rsidR="00000000" w:rsidRDefault="009B6C69">
            <w:pPr>
              <w:spacing w:after="100"/>
              <w:jc w:val="right"/>
              <w:rPr>
                <w:rFonts w:eastAsia="Times New Roman"/>
                <w:sz w:val="20"/>
                <w:szCs w:val="20"/>
              </w:rPr>
            </w:pPr>
          </w:p>
        </w:tc>
        <w:tc>
          <w:tcPr>
            <w:tcW w:w="0" w:type="auto"/>
            <w:gridSpan w:val="3"/>
            <w:vAlign w:val="center"/>
            <w:hideMark/>
          </w:tcPr>
          <w:p w14:paraId="59055A30" w14:textId="77777777" w:rsidR="00000000" w:rsidRDefault="009B6C69">
            <w:pPr>
              <w:spacing w:after="100"/>
              <w:rPr>
                <w:rFonts w:eastAsia="Times New Roman"/>
                <w:sz w:val="20"/>
                <w:szCs w:val="20"/>
              </w:rPr>
            </w:pPr>
          </w:p>
        </w:tc>
        <w:tc>
          <w:tcPr>
            <w:tcW w:w="0" w:type="auto"/>
            <w:gridSpan w:val="3"/>
            <w:vAlign w:val="center"/>
            <w:hideMark/>
          </w:tcPr>
          <w:p w14:paraId="3D61C884" w14:textId="77777777" w:rsidR="00000000" w:rsidRDefault="009B6C69">
            <w:pPr>
              <w:spacing w:after="100"/>
              <w:rPr>
                <w:rFonts w:eastAsia="Times New Roman"/>
                <w:sz w:val="20"/>
                <w:szCs w:val="20"/>
              </w:rPr>
            </w:pPr>
          </w:p>
        </w:tc>
        <w:tc>
          <w:tcPr>
            <w:tcW w:w="0" w:type="auto"/>
            <w:gridSpan w:val="3"/>
            <w:vAlign w:val="center"/>
            <w:hideMark/>
          </w:tcPr>
          <w:p w14:paraId="6B564B10" w14:textId="77777777" w:rsidR="00000000" w:rsidRDefault="009B6C69">
            <w:pPr>
              <w:spacing w:after="100"/>
              <w:rPr>
                <w:rFonts w:eastAsia="Times New Roman"/>
                <w:sz w:val="20"/>
                <w:szCs w:val="20"/>
              </w:rPr>
            </w:pPr>
          </w:p>
        </w:tc>
      </w:tr>
    </w:tbl>
    <w:p w14:paraId="2931647A" w14:textId="77777777" w:rsidR="00000000" w:rsidRDefault="009B6C69">
      <w:pPr>
        <w:ind w:firstLine="360"/>
        <w:divId w:val="655961856"/>
        <w:rPr>
          <w:rFonts w:eastAsia="Times New Roman"/>
        </w:rPr>
      </w:pPr>
      <w:r>
        <w:rPr>
          <w:rFonts w:eastAsia="Times New Roman"/>
          <w:color w:val="000000"/>
          <w:sz w:val="20"/>
          <w:szCs w:val="20"/>
          <w:shd w:val="clear" w:color="auto" w:fill="FFFFFF"/>
        </w:rPr>
        <w:t>The contractual maturities of available-for-sale debt securities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5"/>
        <w:gridCol w:w="7014"/>
        <w:gridCol w:w="36"/>
        <w:gridCol w:w="111"/>
        <w:gridCol w:w="1054"/>
        <w:gridCol w:w="36"/>
      </w:tblGrid>
      <w:tr w:rsidR="00000000" w14:paraId="36B225E1" w14:textId="77777777">
        <w:trPr>
          <w:divId w:val="142821246"/>
        </w:trPr>
        <w:tc>
          <w:tcPr>
            <w:tcW w:w="50" w:type="pct"/>
            <w:vAlign w:val="center"/>
            <w:hideMark/>
          </w:tcPr>
          <w:p w14:paraId="66E877E1" w14:textId="77777777" w:rsidR="00000000" w:rsidRDefault="009B6C69">
            <w:pPr>
              <w:ind w:firstLine="360"/>
              <w:rPr>
                <w:rFonts w:eastAsia="Times New Roman"/>
              </w:rPr>
            </w:pPr>
          </w:p>
        </w:tc>
        <w:tc>
          <w:tcPr>
            <w:tcW w:w="4238" w:type="pct"/>
            <w:vAlign w:val="center"/>
            <w:hideMark/>
          </w:tcPr>
          <w:p w14:paraId="7F4BF197" w14:textId="77777777" w:rsidR="00000000" w:rsidRDefault="009B6C69">
            <w:pPr>
              <w:spacing w:after="100"/>
              <w:rPr>
                <w:rFonts w:eastAsia="Times New Roman"/>
                <w:sz w:val="20"/>
                <w:szCs w:val="20"/>
              </w:rPr>
            </w:pPr>
          </w:p>
        </w:tc>
        <w:tc>
          <w:tcPr>
            <w:tcW w:w="5" w:type="pct"/>
            <w:vAlign w:val="center"/>
            <w:hideMark/>
          </w:tcPr>
          <w:p w14:paraId="1F801B8E" w14:textId="77777777" w:rsidR="00000000" w:rsidRDefault="009B6C69">
            <w:pPr>
              <w:spacing w:after="100"/>
              <w:rPr>
                <w:rFonts w:eastAsia="Times New Roman"/>
                <w:sz w:val="20"/>
                <w:szCs w:val="20"/>
              </w:rPr>
            </w:pPr>
          </w:p>
        </w:tc>
        <w:tc>
          <w:tcPr>
            <w:tcW w:w="50" w:type="pct"/>
            <w:vAlign w:val="center"/>
            <w:hideMark/>
          </w:tcPr>
          <w:p w14:paraId="10ADC711" w14:textId="77777777" w:rsidR="00000000" w:rsidRDefault="009B6C69">
            <w:pPr>
              <w:spacing w:after="100"/>
              <w:rPr>
                <w:rFonts w:eastAsia="Times New Roman"/>
                <w:sz w:val="20"/>
                <w:szCs w:val="20"/>
              </w:rPr>
            </w:pPr>
          </w:p>
        </w:tc>
        <w:tc>
          <w:tcPr>
            <w:tcW w:w="651" w:type="pct"/>
            <w:vAlign w:val="center"/>
            <w:hideMark/>
          </w:tcPr>
          <w:p w14:paraId="75BA9EA8" w14:textId="77777777" w:rsidR="00000000" w:rsidRDefault="009B6C69">
            <w:pPr>
              <w:spacing w:after="100"/>
              <w:rPr>
                <w:rFonts w:eastAsia="Times New Roman"/>
                <w:sz w:val="20"/>
                <w:szCs w:val="20"/>
              </w:rPr>
            </w:pPr>
          </w:p>
        </w:tc>
        <w:tc>
          <w:tcPr>
            <w:tcW w:w="5" w:type="pct"/>
            <w:vAlign w:val="center"/>
            <w:hideMark/>
          </w:tcPr>
          <w:p w14:paraId="136577D0" w14:textId="77777777" w:rsidR="00000000" w:rsidRDefault="009B6C69">
            <w:pPr>
              <w:spacing w:after="100"/>
              <w:rPr>
                <w:rFonts w:eastAsia="Times New Roman"/>
                <w:sz w:val="20"/>
                <w:szCs w:val="20"/>
              </w:rPr>
            </w:pPr>
          </w:p>
        </w:tc>
      </w:tr>
      <w:tr w:rsidR="00000000" w14:paraId="03570DE9" w14:textId="77777777">
        <w:trPr>
          <w:divId w:val="142821246"/>
        </w:trPr>
        <w:tc>
          <w:tcPr>
            <w:tcW w:w="0" w:type="auto"/>
            <w:gridSpan w:val="3"/>
            <w:shd w:val="clear" w:color="auto" w:fill="FFFFFF"/>
            <w:tcMar>
              <w:top w:w="0" w:type="dxa"/>
              <w:left w:w="20" w:type="dxa"/>
              <w:bottom w:w="0" w:type="dxa"/>
              <w:right w:w="20" w:type="dxa"/>
            </w:tcMar>
            <w:vAlign w:val="center"/>
            <w:hideMark/>
          </w:tcPr>
          <w:p w14:paraId="6B63EEDE" w14:textId="77777777" w:rsidR="00000000" w:rsidRDefault="009B6C69">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3CFBB73" w14:textId="77777777" w:rsidR="00000000" w:rsidRDefault="009B6C69">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r>
      <w:tr w:rsidR="00000000" w14:paraId="1FF305B9" w14:textId="77777777">
        <w:trPr>
          <w:divId w:val="142821246"/>
        </w:trPr>
        <w:tc>
          <w:tcPr>
            <w:tcW w:w="0" w:type="auto"/>
            <w:gridSpan w:val="3"/>
            <w:shd w:val="clear" w:color="auto" w:fill="FFFFFF"/>
            <w:tcMar>
              <w:top w:w="30" w:type="dxa"/>
              <w:left w:w="20" w:type="dxa"/>
              <w:bottom w:w="30" w:type="dxa"/>
              <w:right w:w="20" w:type="dxa"/>
            </w:tcMar>
            <w:vAlign w:val="bottom"/>
            <w:hideMark/>
          </w:tcPr>
          <w:p w14:paraId="3DBD631C" w14:textId="77777777" w:rsidR="00000000" w:rsidRDefault="009B6C69">
            <w:pPr>
              <w:spacing w:after="100"/>
              <w:rPr>
                <w:rFonts w:eastAsia="Times New Roman"/>
              </w:rPr>
            </w:pPr>
            <w:r>
              <w:rPr>
                <w:rFonts w:eastAsia="Times New Roman"/>
                <w:b/>
                <w:bCs/>
                <w:color w:val="000000"/>
                <w:sz w:val="18"/>
                <w:szCs w:val="18"/>
              </w:rPr>
              <w:t>Years to Maturity:</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58FFD3E" w14:textId="77777777" w:rsidR="00000000" w:rsidRDefault="009B6C69">
            <w:pPr>
              <w:spacing w:after="100"/>
              <w:rPr>
                <w:rFonts w:eastAsia="Times New Roman"/>
              </w:rPr>
            </w:pPr>
          </w:p>
        </w:tc>
      </w:tr>
      <w:tr w:rsidR="00000000" w14:paraId="48A6F7A5" w14:textId="77777777">
        <w:trPr>
          <w:divId w:val="142821246"/>
        </w:trPr>
        <w:tc>
          <w:tcPr>
            <w:tcW w:w="0" w:type="auto"/>
            <w:gridSpan w:val="3"/>
            <w:shd w:val="clear" w:color="auto" w:fill="CCEEFF"/>
            <w:tcMar>
              <w:top w:w="30" w:type="dxa"/>
              <w:left w:w="155" w:type="dxa"/>
              <w:bottom w:w="30" w:type="dxa"/>
              <w:right w:w="20" w:type="dxa"/>
            </w:tcMar>
            <w:vAlign w:val="bottom"/>
            <w:hideMark/>
          </w:tcPr>
          <w:p w14:paraId="492F47A6" w14:textId="77777777" w:rsidR="00000000" w:rsidRDefault="009B6C69">
            <w:pPr>
              <w:spacing w:after="100"/>
              <w:rPr>
                <w:rFonts w:eastAsia="Times New Roman"/>
              </w:rPr>
            </w:pPr>
            <w:r>
              <w:rPr>
                <w:rFonts w:eastAsia="Times New Roman"/>
                <w:color w:val="000000"/>
                <w:sz w:val="18"/>
                <w:szCs w:val="18"/>
              </w:rPr>
              <w:t>Less than one year</w:t>
            </w:r>
          </w:p>
        </w:tc>
        <w:tc>
          <w:tcPr>
            <w:tcW w:w="0" w:type="auto"/>
            <w:shd w:val="clear" w:color="auto" w:fill="CCEEFF"/>
            <w:tcMar>
              <w:top w:w="30" w:type="dxa"/>
              <w:left w:w="20" w:type="dxa"/>
              <w:bottom w:w="30" w:type="dxa"/>
              <w:right w:w="0" w:type="dxa"/>
            </w:tcMar>
            <w:vAlign w:val="bottom"/>
            <w:hideMark/>
          </w:tcPr>
          <w:p w14:paraId="35DC830C" w14:textId="77777777" w:rsidR="00000000" w:rsidRDefault="009B6C6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79C31BB" w14:textId="77777777" w:rsidR="00000000" w:rsidRDefault="009B6C69">
            <w:pPr>
              <w:spacing w:after="100"/>
              <w:jc w:val="right"/>
              <w:rPr>
                <w:rFonts w:eastAsia="Times New Roman"/>
              </w:rPr>
            </w:pPr>
            <w:r>
              <w:rPr>
                <w:rFonts w:eastAsia="Times New Roman"/>
                <w:color w:val="000000"/>
                <w:sz w:val="18"/>
                <w:szCs w:val="18"/>
              </w:rPr>
              <w:t>994 </w:t>
            </w:r>
          </w:p>
        </w:tc>
        <w:tc>
          <w:tcPr>
            <w:tcW w:w="0" w:type="auto"/>
            <w:shd w:val="clear" w:color="auto" w:fill="CCEEFF"/>
            <w:tcMar>
              <w:top w:w="30" w:type="dxa"/>
              <w:left w:w="0" w:type="dxa"/>
              <w:bottom w:w="30" w:type="dxa"/>
              <w:right w:w="20" w:type="dxa"/>
            </w:tcMar>
            <w:vAlign w:val="bottom"/>
            <w:hideMark/>
          </w:tcPr>
          <w:p w14:paraId="6E2CD2FC" w14:textId="77777777" w:rsidR="00000000" w:rsidRDefault="009B6C69">
            <w:pPr>
              <w:spacing w:after="100"/>
              <w:jc w:val="right"/>
              <w:rPr>
                <w:rFonts w:eastAsia="Times New Roman"/>
              </w:rPr>
            </w:pPr>
          </w:p>
        </w:tc>
      </w:tr>
      <w:tr w:rsidR="00000000" w14:paraId="1BE69A99" w14:textId="77777777">
        <w:trPr>
          <w:divId w:val="142821246"/>
        </w:trPr>
        <w:tc>
          <w:tcPr>
            <w:tcW w:w="0" w:type="auto"/>
            <w:gridSpan w:val="3"/>
            <w:shd w:val="clear" w:color="auto" w:fill="FFFFFF"/>
            <w:tcMar>
              <w:top w:w="30" w:type="dxa"/>
              <w:left w:w="155" w:type="dxa"/>
              <w:bottom w:w="30" w:type="dxa"/>
              <w:right w:w="20" w:type="dxa"/>
            </w:tcMar>
            <w:vAlign w:val="bottom"/>
            <w:hideMark/>
          </w:tcPr>
          <w:p w14:paraId="48775693" w14:textId="77777777" w:rsidR="00000000" w:rsidRDefault="009B6C69">
            <w:pPr>
              <w:spacing w:after="100"/>
              <w:rPr>
                <w:rFonts w:eastAsia="Times New Roman"/>
              </w:rPr>
            </w:pPr>
            <w:r>
              <w:rPr>
                <w:rFonts w:eastAsia="Times New Roman"/>
                <w:color w:val="000000"/>
                <w:sz w:val="18"/>
                <w:szCs w:val="18"/>
              </w:rPr>
              <w:t>One to five years</w:t>
            </w:r>
          </w:p>
        </w:tc>
        <w:tc>
          <w:tcPr>
            <w:tcW w:w="0" w:type="auto"/>
            <w:gridSpan w:val="2"/>
            <w:shd w:val="clear" w:color="auto" w:fill="FFFFFF"/>
            <w:tcMar>
              <w:top w:w="30" w:type="dxa"/>
              <w:left w:w="20" w:type="dxa"/>
              <w:bottom w:w="30" w:type="dxa"/>
              <w:right w:w="0" w:type="dxa"/>
            </w:tcMar>
            <w:vAlign w:val="bottom"/>
            <w:hideMark/>
          </w:tcPr>
          <w:p w14:paraId="254112E1" w14:textId="77777777" w:rsidR="00000000" w:rsidRDefault="009B6C69">
            <w:pPr>
              <w:spacing w:after="100"/>
              <w:jc w:val="right"/>
              <w:rPr>
                <w:rFonts w:eastAsia="Times New Roman"/>
              </w:rPr>
            </w:pPr>
            <w:r>
              <w:rPr>
                <w:rFonts w:eastAsia="Times New Roman"/>
                <w:color w:val="000000"/>
                <w:sz w:val="18"/>
                <w:szCs w:val="18"/>
              </w:rPr>
              <w:t>2,352 </w:t>
            </w:r>
          </w:p>
        </w:tc>
        <w:tc>
          <w:tcPr>
            <w:tcW w:w="0" w:type="auto"/>
            <w:shd w:val="clear" w:color="auto" w:fill="FFFFFF"/>
            <w:tcMar>
              <w:top w:w="30" w:type="dxa"/>
              <w:left w:w="0" w:type="dxa"/>
              <w:bottom w:w="30" w:type="dxa"/>
              <w:right w:w="20" w:type="dxa"/>
            </w:tcMar>
            <w:vAlign w:val="bottom"/>
            <w:hideMark/>
          </w:tcPr>
          <w:p w14:paraId="4C7E1489" w14:textId="77777777" w:rsidR="00000000" w:rsidRDefault="009B6C69">
            <w:pPr>
              <w:spacing w:after="100"/>
              <w:jc w:val="right"/>
              <w:rPr>
                <w:rFonts w:eastAsia="Times New Roman"/>
              </w:rPr>
            </w:pPr>
          </w:p>
        </w:tc>
      </w:tr>
      <w:tr w:rsidR="00000000" w14:paraId="7DD249FD" w14:textId="77777777">
        <w:trPr>
          <w:divId w:val="142821246"/>
        </w:trPr>
        <w:tc>
          <w:tcPr>
            <w:tcW w:w="0" w:type="auto"/>
            <w:gridSpan w:val="3"/>
            <w:vAlign w:val="center"/>
            <w:hideMark/>
          </w:tcPr>
          <w:p w14:paraId="78C5965A" w14:textId="77777777" w:rsidR="00000000" w:rsidRDefault="009B6C69">
            <w:pPr>
              <w:spacing w:after="100"/>
              <w:jc w:val="right"/>
              <w:rPr>
                <w:rFonts w:eastAsia="Times New Roman"/>
                <w:sz w:val="20"/>
                <w:szCs w:val="20"/>
              </w:rPr>
            </w:pPr>
          </w:p>
        </w:tc>
        <w:tc>
          <w:tcPr>
            <w:tcW w:w="0" w:type="auto"/>
            <w:gridSpan w:val="3"/>
            <w:vAlign w:val="center"/>
            <w:hideMark/>
          </w:tcPr>
          <w:p w14:paraId="4F25F26E" w14:textId="77777777" w:rsidR="00000000" w:rsidRDefault="009B6C69">
            <w:pPr>
              <w:spacing w:after="100"/>
              <w:rPr>
                <w:rFonts w:eastAsia="Times New Roman"/>
                <w:sz w:val="20"/>
                <w:szCs w:val="20"/>
              </w:rPr>
            </w:pPr>
          </w:p>
        </w:tc>
      </w:tr>
      <w:tr w:rsidR="00000000" w14:paraId="6AC51E06" w14:textId="77777777">
        <w:trPr>
          <w:divId w:val="142821246"/>
        </w:trPr>
        <w:tc>
          <w:tcPr>
            <w:tcW w:w="0" w:type="auto"/>
            <w:gridSpan w:val="3"/>
            <w:shd w:val="clear" w:color="auto" w:fill="CCEEFF"/>
            <w:tcMar>
              <w:top w:w="30" w:type="dxa"/>
              <w:left w:w="155" w:type="dxa"/>
              <w:bottom w:w="30" w:type="dxa"/>
              <w:right w:w="20" w:type="dxa"/>
            </w:tcMar>
            <w:vAlign w:val="bottom"/>
            <w:hideMark/>
          </w:tcPr>
          <w:p w14:paraId="076D5B8F" w14:textId="77777777" w:rsidR="00000000" w:rsidRDefault="009B6C69">
            <w:pPr>
              <w:spacing w:after="100"/>
              <w:rPr>
                <w:rFonts w:eastAsia="Times New Roman"/>
              </w:rPr>
            </w:pPr>
            <w:r>
              <w:rPr>
                <w:rFonts w:eastAsia="Times New Roman"/>
                <w:color w:val="000000"/>
                <w:sz w:val="18"/>
                <w:szCs w:val="18"/>
              </w:rPr>
              <w:t>No single maturity date</w:t>
            </w:r>
          </w:p>
        </w:tc>
        <w:tc>
          <w:tcPr>
            <w:tcW w:w="0" w:type="auto"/>
            <w:gridSpan w:val="2"/>
            <w:shd w:val="clear" w:color="auto" w:fill="CCEEFF"/>
            <w:tcMar>
              <w:top w:w="30" w:type="dxa"/>
              <w:left w:w="20" w:type="dxa"/>
              <w:bottom w:w="30" w:type="dxa"/>
              <w:right w:w="0" w:type="dxa"/>
            </w:tcMar>
            <w:vAlign w:val="bottom"/>
            <w:hideMark/>
          </w:tcPr>
          <w:p w14:paraId="095E3F1D" w14:textId="77777777" w:rsidR="00000000" w:rsidRDefault="009B6C69">
            <w:pPr>
              <w:spacing w:after="100"/>
              <w:jc w:val="right"/>
              <w:rPr>
                <w:rFonts w:eastAsia="Times New Roman"/>
              </w:rPr>
            </w:pPr>
            <w:r>
              <w:rPr>
                <w:rFonts w:eastAsia="Times New Roman"/>
                <w:color w:val="000000"/>
                <w:sz w:val="18"/>
                <w:szCs w:val="18"/>
              </w:rPr>
              <w:t>99 </w:t>
            </w:r>
          </w:p>
        </w:tc>
        <w:tc>
          <w:tcPr>
            <w:tcW w:w="0" w:type="auto"/>
            <w:shd w:val="clear" w:color="auto" w:fill="CCEEFF"/>
            <w:tcMar>
              <w:top w:w="30" w:type="dxa"/>
              <w:left w:w="0" w:type="dxa"/>
              <w:bottom w:w="30" w:type="dxa"/>
              <w:right w:w="20" w:type="dxa"/>
            </w:tcMar>
            <w:vAlign w:val="bottom"/>
            <w:hideMark/>
          </w:tcPr>
          <w:p w14:paraId="7FA7FDEB" w14:textId="77777777" w:rsidR="00000000" w:rsidRDefault="009B6C69">
            <w:pPr>
              <w:spacing w:after="100"/>
              <w:jc w:val="right"/>
              <w:rPr>
                <w:rFonts w:eastAsia="Times New Roman"/>
              </w:rPr>
            </w:pPr>
          </w:p>
        </w:tc>
      </w:tr>
      <w:tr w:rsidR="00000000" w14:paraId="5D0955D9" w14:textId="77777777">
        <w:trPr>
          <w:divId w:val="142821246"/>
        </w:trPr>
        <w:tc>
          <w:tcPr>
            <w:tcW w:w="0" w:type="auto"/>
            <w:gridSpan w:val="3"/>
            <w:shd w:val="clear" w:color="auto" w:fill="FFFFFF"/>
            <w:tcMar>
              <w:top w:w="30" w:type="dxa"/>
              <w:left w:w="245" w:type="dxa"/>
              <w:bottom w:w="30" w:type="dxa"/>
              <w:right w:w="20" w:type="dxa"/>
            </w:tcMar>
            <w:vAlign w:val="bottom"/>
            <w:hideMark/>
          </w:tcPr>
          <w:p w14:paraId="271DBD8C" w14:textId="77777777" w:rsidR="00000000" w:rsidRDefault="009B6C69">
            <w:pPr>
              <w:spacing w:after="100"/>
              <w:rPr>
                <w:rFonts w:eastAsia="Times New Roman"/>
              </w:rPr>
            </w:pPr>
            <w:r>
              <w:rPr>
                <w:rFonts w:eastAsia="Times New Roman"/>
                <w:color w:val="000000"/>
                <w:sz w:val="18"/>
                <w:szCs w:val="18"/>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AFD76F5"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8C95957" w14:textId="77777777" w:rsidR="00000000" w:rsidRDefault="009B6C69">
            <w:pPr>
              <w:spacing w:after="100"/>
              <w:jc w:val="right"/>
              <w:rPr>
                <w:rFonts w:eastAsia="Times New Roman"/>
              </w:rPr>
            </w:pPr>
            <w:r>
              <w:rPr>
                <w:rFonts w:eastAsia="Times New Roman"/>
                <w:color w:val="000000"/>
                <w:sz w:val="18"/>
                <w:szCs w:val="18"/>
              </w:rPr>
              <w:t>3,445 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F752B42" w14:textId="77777777" w:rsidR="00000000" w:rsidRDefault="009B6C69">
            <w:pPr>
              <w:spacing w:after="100"/>
              <w:jc w:val="right"/>
              <w:rPr>
                <w:rFonts w:eastAsia="Times New Roman"/>
              </w:rPr>
            </w:pPr>
          </w:p>
        </w:tc>
      </w:tr>
    </w:tbl>
    <w:p w14:paraId="4A2F3BA0" w14:textId="77777777" w:rsidR="00000000" w:rsidRDefault="009B6C69">
      <w:pPr>
        <w:ind w:firstLine="360"/>
        <w:divId w:val="1434666394"/>
        <w:rPr>
          <w:rFonts w:eastAsia="Times New Roman"/>
        </w:rPr>
      </w:pPr>
      <w:r>
        <w:rPr>
          <w:rFonts w:eastAsia="Times New Roman"/>
          <w:color w:val="000000"/>
          <w:sz w:val="20"/>
          <w:szCs w:val="20"/>
        </w:rPr>
        <w:t>Debt securities with no single maturity date included mortgage- and asset-backed securities.</w:t>
      </w:r>
    </w:p>
    <w:p w14:paraId="110F4225" w14:textId="77777777" w:rsidR="00000000" w:rsidRDefault="009B6C69">
      <w:pPr>
        <w:jc w:val="center"/>
        <w:divId w:val="1348676095"/>
        <w:rPr>
          <w:rFonts w:eastAsia="Times New Roman"/>
        </w:rPr>
      </w:pPr>
      <w:r>
        <w:rPr>
          <w:rFonts w:eastAsia="Times New Roman"/>
          <w:color w:val="000000"/>
          <w:sz w:val="20"/>
          <w:szCs w:val="20"/>
        </w:rPr>
        <w:t>F-31</w:t>
      </w:r>
    </w:p>
    <w:p w14:paraId="116930D4" w14:textId="77777777" w:rsidR="00000000" w:rsidRDefault="009B6C69">
      <w:pPr>
        <w:rPr>
          <w:rFonts w:eastAsia="Times New Roman"/>
        </w:rPr>
      </w:pPr>
      <w:r>
        <w:rPr>
          <w:rFonts w:eastAsia="Times New Roman"/>
        </w:rPr>
        <w:pict w14:anchorId="48507C19">
          <v:rect id="_x0000_i1111" style="width:0;height:1.5pt" o:hralign="center" o:hrstd="t" o:hr="t" fillcolor="#a0a0a0" stroked="f"/>
        </w:pict>
      </w:r>
    </w:p>
    <w:p w14:paraId="0B82EF03" w14:textId="77777777" w:rsidR="00000000" w:rsidRDefault="009B6C69">
      <w:pPr>
        <w:divId w:val="1526291073"/>
        <w:rPr>
          <w:rFonts w:eastAsia="Times New Roman"/>
        </w:rPr>
      </w:pPr>
    </w:p>
    <w:p w14:paraId="39181032" w14:textId="77777777" w:rsidR="00000000" w:rsidRDefault="009B6C69">
      <w:pPr>
        <w:jc w:val="center"/>
        <w:rPr>
          <w:rFonts w:eastAsia="Times New Roman"/>
        </w:rPr>
      </w:pPr>
      <w:r>
        <w:rPr>
          <w:rFonts w:eastAsia="Times New Roman"/>
          <w:b/>
          <w:bCs/>
          <w:color w:val="000000"/>
          <w:sz w:val="20"/>
          <w:szCs w:val="20"/>
        </w:rPr>
        <w:t>SCHEDULE II</w:t>
      </w:r>
    </w:p>
    <w:p w14:paraId="6B321A4A" w14:textId="77777777" w:rsidR="00000000" w:rsidRDefault="009B6C69">
      <w:pPr>
        <w:jc w:val="center"/>
        <w:rPr>
          <w:rFonts w:eastAsia="Times New Roman"/>
        </w:rPr>
      </w:pPr>
      <w:r>
        <w:rPr>
          <w:rFonts w:eastAsia="Times New Roman"/>
          <w:b/>
          <w:bCs/>
          <w:color w:val="000000"/>
          <w:sz w:val="20"/>
          <w:szCs w:val="20"/>
        </w:rPr>
        <w:t>QUALCOMM Incorporated</w:t>
      </w:r>
    </w:p>
    <w:p w14:paraId="7C2777B3" w14:textId="77777777" w:rsidR="00000000" w:rsidRDefault="009B6C69">
      <w:pPr>
        <w:jc w:val="center"/>
        <w:rPr>
          <w:rFonts w:eastAsia="Times New Roman"/>
        </w:rPr>
      </w:pPr>
      <w:r>
        <w:rPr>
          <w:rFonts w:eastAsia="Times New Roman"/>
          <w:b/>
          <w:bCs/>
          <w:color w:val="000000"/>
          <w:sz w:val="20"/>
          <w:szCs w:val="20"/>
        </w:rPr>
        <w:t>VALUATION AND QUALIFYING ACCOUNTS</w:t>
      </w:r>
    </w:p>
    <w:p w14:paraId="112800BF" w14:textId="77777777" w:rsidR="00000000" w:rsidRDefault="009B6C69">
      <w:pPr>
        <w:jc w:val="center"/>
        <w:rPr>
          <w:rFonts w:eastAsia="Times New Roman"/>
        </w:rPr>
      </w:pPr>
    </w:p>
    <w:p w14:paraId="46B15675" w14:textId="77777777" w:rsidR="00000000" w:rsidRDefault="009B6C69">
      <w:pPr>
        <w:ind w:firstLine="360"/>
        <w:divId w:val="1599215739"/>
        <w:rPr>
          <w:rFonts w:eastAsia="Times New Roman"/>
        </w:rPr>
      </w:pPr>
      <w:r>
        <w:rPr>
          <w:rFonts w:eastAsia="Times New Roman"/>
          <w:color w:val="000000"/>
          <w:sz w:val="20"/>
          <w:szCs w:val="20"/>
        </w:rPr>
        <w:t>The table below details the activity of the valuation allowance on deferred tax assets for fiscal 2022, 2021 and 2020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3700"/>
        <w:gridCol w:w="36"/>
        <w:gridCol w:w="111"/>
        <w:gridCol w:w="855"/>
        <w:gridCol w:w="36"/>
        <w:gridCol w:w="36"/>
        <w:gridCol w:w="94"/>
        <w:gridCol w:w="36"/>
        <w:gridCol w:w="111"/>
        <w:gridCol w:w="856"/>
        <w:gridCol w:w="36"/>
        <w:gridCol w:w="36"/>
        <w:gridCol w:w="36"/>
        <w:gridCol w:w="36"/>
        <w:gridCol w:w="95"/>
        <w:gridCol w:w="36"/>
        <w:gridCol w:w="111"/>
        <w:gridCol w:w="806"/>
        <w:gridCol w:w="36"/>
        <w:gridCol w:w="36"/>
        <w:gridCol w:w="95"/>
        <w:gridCol w:w="36"/>
        <w:gridCol w:w="111"/>
        <w:gridCol w:w="856"/>
        <w:gridCol w:w="36"/>
      </w:tblGrid>
      <w:tr w:rsidR="00000000" w14:paraId="166BCC33" w14:textId="77777777">
        <w:trPr>
          <w:divId w:val="144906482"/>
        </w:trPr>
        <w:tc>
          <w:tcPr>
            <w:tcW w:w="50" w:type="pct"/>
            <w:vAlign w:val="center"/>
            <w:hideMark/>
          </w:tcPr>
          <w:p w14:paraId="1C4EB3C0" w14:textId="77777777" w:rsidR="00000000" w:rsidRDefault="009B6C69">
            <w:pPr>
              <w:ind w:firstLine="360"/>
              <w:rPr>
                <w:rFonts w:eastAsia="Times New Roman"/>
              </w:rPr>
            </w:pPr>
          </w:p>
        </w:tc>
        <w:tc>
          <w:tcPr>
            <w:tcW w:w="2273" w:type="pct"/>
            <w:vAlign w:val="center"/>
            <w:hideMark/>
          </w:tcPr>
          <w:p w14:paraId="1252A026" w14:textId="77777777" w:rsidR="00000000" w:rsidRDefault="009B6C69">
            <w:pPr>
              <w:spacing w:after="100"/>
              <w:rPr>
                <w:rFonts w:eastAsia="Times New Roman"/>
                <w:sz w:val="20"/>
                <w:szCs w:val="20"/>
              </w:rPr>
            </w:pPr>
          </w:p>
        </w:tc>
        <w:tc>
          <w:tcPr>
            <w:tcW w:w="5" w:type="pct"/>
            <w:vAlign w:val="center"/>
            <w:hideMark/>
          </w:tcPr>
          <w:p w14:paraId="06D68BA7" w14:textId="77777777" w:rsidR="00000000" w:rsidRDefault="009B6C69">
            <w:pPr>
              <w:spacing w:after="100"/>
              <w:rPr>
                <w:rFonts w:eastAsia="Times New Roman"/>
                <w:sz w:val="20"/>
                <w:szCs w:val="20"/>
              </w:rPr>
            </w:pPr>
          </w:p>
        </w:tc>
        <w:tc>
          <w:tcPr>
            <w:tcW w:w="50" w:type="pct"/>
            <w:vAlign w:val="center"/>
            <w:hideMark/>
          </w:tcPr>
          <w:p w14:paraId="6FB841D5" w14:textId="77777777" w:rsidR="00000000" w:rsidRDefault="009B6C69">
            <w:pPr>
              <w:spacing w:after="100"/>
              <w:rPr>
                <w:rFonts w:eastAsia="Times New Roman"/>
                <w:sz w:val="20"/>
                <w:szCs w:val="20"/>
              </w:rPr>
            </w:pPr>
          </w:p>
        </w:tc>
        <w:tc>
          <w:tcPr>
            <w:tcW w:w="547" w:type="pct"/>
            <w:vAlign w:val="center"/>
            <w:hideMark/>
          </w:tcPr>
          <w:p w14:paraId="0AC2831D" w14:textId="77777777" w:rsidR="00000000" w:rsidRDefault="009B6C69">
            <w:pPr>
              <w:spacing w:after="100"/>
              <w:rPr>
                <w:rFonts w:eastAsia="Times New Roman"/>
                <w:sz w:val="20"/>
                <w:szCs w:val="20"/>
              </w:rPr>
            </w:pPr>
          </w:p>
        </w:tc>
        <w:tc>
          <w:tcPr>
            <w:tcW w:w="5" w:type="pct"/>
            <w:vAlign w:val="center"/>
            <w:hideMark/>
          </w:tcPr>
          <w:p w14:paraId="632CB764" w14:textId="77777777" w:rsidR="00000000" w:rsidRDefault="009B6C69">
            <w:pPr>
              <w:spacing w:after="100"/>
              <w:rPr>
                <w:rFonts w:eastAsia="Times New Roman"/>
                <w:sz w:val="20"/>
                <w:szCs w:val="20"/>
              </w:rPr>
            </w:pPr>
          </w:p>
        </w:tc>
        <w:tc>
          <w:tcPr>
            <w:tcW w:w="5" w:type="pct"/>
            <w:vAlign w:val="center"/>
            <w:hideMark/>
          </w:tcPr>
          <w:p w14:paraId="45845896" w14:textId="77777777" w:rsidR="00000000" w:rsidRDefault="009B6C69">
            <w:pPr>
              <w:spacing w:after="100"/>
              <w:rPr>
                <w:rFonts w:eastAsia="Times New Roman"/>
                <w:sz w:val="20"/>
                <w:szCs w:val="20"/>
              </w:rPr>
            </w:pPr>
          </w:p>
        </w:tc>
        <w:tc>
          <w:tcPr>
            <w:tcW w:w="86" w:type="pct"/>
            <w:vAlign w:val="center"/>
            <w:hideMark/>
          </w:tcPr>
          <w:p w14:paraId="0147437E" w14:textId="77777777" w:rsidR="00000000" w:rsidRDefault="009B6C69">
            <w:pPr>
              <w:spacing w:after="100"/>
              <w:rPr>
                <w:rFonts w:eastAsia="Times New Roman"/>
                <w:sz w:val="20"/>
                <w:szCs w:val="20"/>
              </w:rPr>
            </w:pPr>
          </w:p>
        </w:tc>
        <w:tc>
          <w:tcPr>
            <w:tcW w:w="5" w:type="pct"/>
            <w:vAlign w:val="center"/>
            <w:hideMark/>
          </w:tcPr>
          <w:p w14:paraId="25F4F9D0" w14:textId="77777777" w:rsidR="00000000" w:rsidRDefault="009B6C69">
            <w:pPr>
              <w:spacing w:after="100"/>
              <w:rPr>
                <w:rFonts w:eastAsia="Times New Roman"/>
                <w:sz w:val="20"/>
                <w:szCs w:val="20"/>
              </w:rPr>
            </w:pPr>
          </w:p>
        </w:tc>
        <w:tc>
          <w:tcPr>
            <w:tcW w:w="50" w:type="pct"/>
            <w:vAlign w:val="center"/>
            <w:hideMark/>
          </w:tcPr>
          <w:p w14:paraId="42206D84" w14:textId="77777777" w:rsidR="00000000" w:rsidRDefault="009B6C69">
            <w:pPr>
              <w:spacing w:after="100"/>
              <w:rPr>
                <w:rFonts w:eastAsia="Times New Roman"/>
                <w:sz w:val="20"/>
                <w:szCs w:val="20"/>
              </w:rPr>
            </w:pPr>
          </w:p>
        </w:tc>
        <w:tc>
          <w:tcPr>
            <w:tcW w:w="547" w:type="pct"/>
            <w:vAlign w:val="center"/>
            <w:hideMark/>
          </w:tcPr>
          <w:p w14:paraId="711634D5" w14:textId="77777777" w:rsidR="00000000" w:rsidRDefault="009B6C69">
            <w:pPr>
              <w:spacing w:after="100"/>
              <w:rPr>
                <w:rFonts w:eastAsia="Times New Roman"/>
                <w:sz w:val="20"/>
                <w:szCs w:val="20"/>
              </w:rPr>
            </w:pPr>
          </w:p>
        </w:tc>
        <w:tc>
          <w:tcPr>
            <w:tcW w:w="5" w:type="pct"/>
            <w:vAlign w:val="center"/>
            <w:hideMark/>
          </w:tcPr>
          <w:p w14:paraId="7BF5C9A9" w14:textId="77777777" w:rsidR="00000000" w:rsidRDefault="009B6C69">
            <w:pPr>
              <w:spacing w:after="100"/>
              <w:rPr>
                <w:rFonts w:eastAsia="Times New Roman"/>
                <w:sz w:val="20"/>
                <w:szCs w:val="20"/>
              </w:rPr>
            </w:pPr>
          </w:p>
        </w:tc>
        <w:tc>
          <w:tcPr>
            <w:tcW w:w="0" w:type="auto"/>
            <w:vAlign w:val="center"/>
            <w:hideMark/>
          </w:tcPr>
          <w:p w14:paraId="1F464305" w14:textId="77777777" w:rsidR="00000000" w:rsidRDefault="009B6C69">
            <w:pPr>
              <w:spacing w:after="100"/>
              <w:rPr>
                <w:rFonts w:eastAsia="Times New Roman"/>
                <w:sz w:val="20"/>
                <w:szCs w:val="20"/>
              </w:rPr>
            </w:pPr>
          </w:p>
        </w:tc>
        <w:tc>
          <w:tcPr>
            <w:tcW w:w="0" w:type="auto"/>
            <w:vAlign w:val="center"/>
            <w:hideMark/>
          </w:tcPr>
          <w:p w14:paraId="6585DC93" w14:textId="77777777" w:rsidR="00000000" w:rsidRDefault="009B6C69">
            <w:pPr>
              <w:spacing w:after="100"/>
              <w:rPr>
                <w:rFonts w:eastAsia="Times New Roman"/>
                <w:sz w:val="20"/>
                <w:szCs w:val="20"/>
              </w:rPr>
            </w:pPr>
          </w:p>
        </w:tc>
        <w:tc>
          <w:tcPr>
            <w:tcW w:w="5" w:type="pct"/>
            <w:vAlign w:val="center"/>
            <w:hideMark/>
          </w:tcPr>
          <w:p w14:paraId="5B6BD15C" w14:textId="77777777" w:rsidR="00000000" w:rsidRDefault="009B6C69">
            <w:pPr>
              <w:spacing w:after="100"/>
              <w:rPr>
                <w:rFonts w:eastAsia="Times New Roman"/>
                <w:sz w:val="20"/>
                <w:szCs w:val="20"/>
              </w:rPr>
            </w:pPr>
          </w:p>
        </w:tc>
        <w:tc>
          <w:tcPr>
            <w:tcW w:w="86" w:type="pct"/>
            <w:vAlign w:val="center"/>
            <w:hideMark/>
          </w:tcPr>
          <w:p w14:paraId="524BAE15" w14:textId="77777777" w:rsidR="00000000" w:rsidRDefault="009B6C69">
            <w:pPr>
              <w:spacing w:after="100"/>
              <w:rPr>
                <w:rFonts w:eastAsia="Times New Roman"/>
                <w:sz w:val="20"/>
                <w:szCs w:val="20"/>
              </w:rPr>
            </w:pPr>
          </w:p>
        </w:tc>
        <w:tc>
          <w:tcPr>
            <w:tcW w:w="5" w:type="pct"/>
            <w:vAlign w:val="center"/>
            <w:hideMark/>
          </w:tcPr>
          <w:p w14:paraId="3C62388A" w14:textId="77777777" w:rsidR="00000000" w:rsidRDefault="009B6C69">
            <w:pPr>
              <w:spacing w:after="100"/>
              <w:rPr>
                <w:rFonts w:eastAsia="Times New Roman"/>
                <w:sz w:val="20"/>
                <w:szCs w:val="20"/>
              </w:rPr>
            </w:pPr>
          </w:p>
        </w:tc>
        <w:tc>
          <w:tcPr>
            <w:tcW w:w="50" w:type="pct"/>
            <w:vAlign w:val="center"/>
            <w:hideMark/>
          </w:tcPr>
          <w:p w14:paraId="1F1FE8F7" w14:textId="77777777" w:rsidR="00000000" w:rsidRDefault="009B6C69">
            <w:pPr>
              <w:spacing w:after="100"/>
              <w:rPr>
                <w:rFonts w:eastAsia="Times New Roman"/>
                <w:sz w:val="20"/>
                <w:szCs w:val="20"/>
              </w:rPr>
            </w:pPr>
          </w:p>
        </w:tc>
        <w:tc>
          <w:tcPr>
            <w:tcW w:w="517" w:type="pct"/>
            <w:vAlign w:val="center"/>
            <w:hideMark/>
          </w:tcPr>
          <w:p w14:paraId="2639159D" w14:textId="77777777" w:rsidR="00000000" w:rsidRDefault="009B6C69">
            <w:pPr>
              <w:spacing w:after="100"/>
              <w:rPr>
                <w:rFonts w:eastAsia="Times New Roman"/>
                <w:sz w:val="20"/>
                <w:szCs w:val="20"/>
              </w:rPr>
            </w:pPr>
          </w:p>
        </w:tc>
        <w:tc>
          <w:tcPr>
            <w:tcW w:w="5" w:type="pct"/>
            <w:vAlign w:val="center"/>
            <w:hideMark/>
          </w:tcPr>
          <w:p w14:paraId="76FEDF41" w14:textId="77777777" w:rsidR="00000000" w:rsidRDefault="009B6C69">
            <w:pPr>
              <w:spacing w:after="100"/>
              <w:rPr>
                <w:rFonts w:eastAsia="Times New Roman"/>
                <w:sz w:val="20"/>
                <w:szCs w:val="20"/>
              </w:rPr>
            </w:pPr>
          </w:p>
        </w:tc>
        <w:tc>
          <w:tcPr>
            <w:tcW w:w="5" w:type="pct"/>
            <w:vAlign w:val="center"/>
            <w:hideMark/>
          </w:tcPr>
          <w:p w14:paraId="2AC7BBCC" w14:textId="77777777" w:rsidR="00000000" w:rsidRDefault="009B6C69">
            <w:pPr>
              <w:spacing w:after="100"/>
              <w:rPr>
                <w:rFonts w:eastAsia="Times New Roman"/>
                <w:sz w:val="20"/>
                <w:szCs w:val="20"/>
              </w:rPr>
            </w:pPr>
          </w:p>
        </w:tc>
        <w:tc>
          <w:tcPr>
            <w:tcW w:w="86" w:type="pct"/>
            <w:vAlign w:val="center"/>
            <w:hideMark/>
          </w:tcPr>
          <w:p w14:paraId="4B7C4C43" w14:textId="77777777" w:rsidR="00000000" w:rsidRDefault="009B6C69">
            <w:pPr>
              <w:spacing w:after="100"/>
              <w:rPr>
                <w:rFonts w:eastAsia="Times New Roman"/>
                <w:sz w:val="20"/>
                <w:szCs w:val="20"/>
              </w:rPr>
            </w:pPr>
          </w:p>
        </w:tc>
        <w:tc>
          <w:tcPr>
            <w:tcW w:w="5" w:type="pct"/>
            <w:vAlign w:val="center"/>
            <w:hideMark/>
          </w:tcPr>
          <w:p w14:paraId="7A86874B" w14:textId="77777777" w:rsidR="00000000" w:rsidRDefault="009B6C69">
            <w:pPr>
              <w:spacing w:after="100"/>
              <w:rPr>
                <w:rFonts w:eastAsia="Times New Roman"/>
                <w:sz w:val="20"/>
                <w:szCs w:val="20"/>
              </w:rPr>
            </w:pPr>
          </w:p>
        </w:tc>
        <w:tc>
          <w:tcPr>
            <w:tcW w:w="50" w:type="pct"/>
            <w:vAlign w:val="center"/>
            <w:hideMark/>
          </w:tcPr>
          <w:p w14:paraId="16014A1A" w14:textId="77777777" w:rsidR="00000000" w:rsidRDefault="009B6C69">
            <w:pPr>
              <w:spacing w:after="100"/>
              <w:rPr>
                <w:rFonts w:eastAsia="Times New Roman"/>
                <w:sz w:val="20"/>
                <w:szCs w:val="20"/>
              </w:rPr>
            </w:pPr>
          </w:p>
        </w:tc>
        <w:tc>
          <w:tcPr>
            <w:tcW w:w="547" w:type="pct"/>
            <w:vAlign w:val="center"/>
            <w:hideMark/>
          </w:tcPr>
          <w:p w14:paraId="4A8472AE" w14:textId="77777777" w:rsidR="00000000" w:rsidRDefault="009B6C69">
            <w:pPr>
              <w:spacing w:after="100"/>
              <w:rPr>
                <w:rFonts w:eastAsia="Times New Roman"/>
                <w:sz w:val="20"/>
                <w:szCs w:val="20"/>
              </w:rPr>
            </w:pPr>
          </w:p>
        </w:tc>
        <w:tc>
          <w:tcPr>
            <w:tcW w:w="5" w:type="pct"/>
            <w:vAlign w:val="center"/>
            <w:hideMark/>
          </w:tcPr>
          <w:p w14:paraId="56304FA2" w14:textId="77777777" w:rsidR="00000000" w:rsidRDefault="009B6C69">
            <w:pPr>
              <w:spacing w:after="100"/>
              <w:rPr>
                <w:rFonts w:eastAsia="Times New Roman"/>
                <w:sz w:val="20"/>
                <w:szCs w:val="20"/>
              </w:rPr>
            </w:pPr>
          </w:p>
        </w:tc>
      </w:tr>
      <w:tr w:rsidR="00000000" w14:paraId="5DB24507" w14:textId="77777777">
        <w:trPr>
          <w:divId w:val="144906482"/>
        </w:trPr>
        <w:tc>
          <w:tcPr>
            <w:tcW w:w="0" w:type="auto"/>
            <w:gridSpan w:val="3"/>
            <w:tcMar>
              <w:top w:w="0" w:type="dxa"/>
              <w:left w:w="20" w:type="dxa"/>
              <w:bottom w:w="0" w:type="dxa"/>
              <w:right w:w="20" w:type="dxa"/>
            </w:tcMar>
            <w:vAlign w:val="center"/>
            <w:hideMark/>
          </w:tcPr>
          <w:p w14:paraId="40858BE8"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E5512C7" w14:textId="77777777" w:rsidR="00000000" w:rsidRDefault="009B6C69">
            <w:pPr>
              <w:spacing w:after="100"/>
              <w:jc w:val="center"/>
              <w:rPr>
                <w:rFonts w:eastAsia="Times New Roman"/>
              </w:rPr>
            </w:pPr>
            <w:r>
              <w:rPr>
                <w:rFonts w:eastAsia="Times New Roman"/>
                <w:b/>
                <w:bCs/>
                <w:color w:val="000000"/>
                <w:sz w:val="18"/>
                <w:szCs w:val="18"/>
              </w:rPr>
              <w:t>Balance at</w:t>
            </w:r>
            <w:r>
              <w:rPr>
                <w:rFonts w:eastAsia="Times New Roman"/>
                <w:b/>
                <w:bCs/>
                <w:color w:val="000000"/>
                <w:sz w:val="18"/>
                <w:szCs w:val="18"/>
              </w:rPr>
              <w:br/>
              <w:t>Beginning of</w:t>
            </w:r>
            <w:r>
              <w:rPr>
                <w:rFonts w:eastAsia="Times New Roman"/>
                <w:b/>
                <w:bCs/>
                <w:color w:val="000000"/>
                <w:sz w:val="18"/>
                <w:szCs w:val="18"/>
              </w:rPr>
              <w:br/>
              <w:t>Period</w:t>
            </w:r>
          </w:p>
        </w:tc>
        <w:tc>
          <w:tcPr>
            <w:tcW w:w="0" w:type="auto"/>
            <w:gridSpan w:val="3"/>
            <w:tcMar>
              <w:top w:w="0" w:type="dxa"/>
              <w:left w:w="20" w:type="dxa"/>
              <w:bottom w:w="0" w:type="dxa"/>
              <w:right w:w="20" w:type="dxa"/>
            </w:tcMar>
            <w:vAlign w:val="center"/>
            <w:hideMark/>
          </w:tcPr>
          <w:p w14:paraId="00BE51C9"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054384E" w14:textId="77777777" w:rsidR="00000000" w:rsidRDefault="009B6C69">
            <w:pPr>
              <w:spacing w:after="100"/>
              <w:jc w:val="center"/>
              <w:rPr>
                <w:rFonts w:eastAsia="Times New Roman"/>
              </w:rPr>
            </w:pPr>
            <w:r>
              <w:rPr>
                <w:rFonts w:eastAsia="Times New Roman"/>
                <w:b/>
                <w:bCs/>
                <w:color w:val="000000"/>
                <w:sz w:val="18"/>
                <w:szCs w:val="18"/>
              </w:rPr>
              <w:t>Charged to</w:t>
            </w:r>
            <w:r>
              <w:rPr>
                <w:rFonts w:eastAsia="Times New Roman"/>
                <w:b/>
                <w:bCs/>
                <w:color w:val="000000"/>
                <w:sz w:val="18"/>
                <w:szCs w:val="18"/>
              </w:rPr>
              <w:br/>
              <w:t>Costs and</w:t>
            </w:r>
            <w:r>
              <w:rPr>
                <w:rFonts w:eastAsia="Times New Roman"/>
                <w:b/>
                <w:bCs/>
                <w:color w:val="000000"/>
                <w:sz w:val="18"/>
                <w:szCs w:val="18"/>
              </w:rPr>
              <w:br/>
              <w:t>Expenses</w:t>
            </w:r>
          </w:p>
        </w:tc>
        <w:tc>
          <w:tcPr>
            <w:tcW w:w="0" w:type="auto"/>
            <w:vAlign w:val="center"/>
            <w:hideMark/>
          </w:tcPr>
          <w:p w14:paraId="5A00C939" w14:textId="77777777" w:rsidR="00000000" w:rsidRDefault="009B6C69">
            <w:pPr>
              <w:spacing w:after="100"/>
              <w:jc w:val="center"/>
              <w:rPr>
                <w:rFonts w:eastAsia="Times New Roman"/>
              </w:rPr>
            </w:pPr>
          </w:p>
        </w:tc>
        <w:tc>
          <w:tcPr>
            <w:tcW w:w="0" w:type="auto"/>
            <w:vAlign w:val="center"/>
            <w:hideMark/>
          </w:tcPr>
          <w:p w14:paraId="6B348096" w14:textId="77777777" w:rsidR="00000000" w:rsidRDefault="009B6C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35D9CD" w14:textId="77777777" w:rsidR="00000000" w:rsidRDefault="009B6C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4F1691D" w14:textId="77777777" w:rsidR="00000000" w:rsidRDefault="009B6C69">
            <w:pPr>
              <w:spacing w:after="100"/>
              <w:jc w:val="center"/>
              <w:rPr>
                <w:rFonts w:eastAsia="Times New Roman"/>
              </w:rPr>
            </w:pPr>
            <w:r>
              <w:rPr>
                <w:rFonts w:eastAsia="Times New Roman"/>
                <w:b/>
                <w:bCs/>
                <w:color w:val="000000"/>
                <w:sz w:val="18"/>
                <w:szCs w:val="18"/>
              </w:rPr>
              <w:t>Other</w:t>
            </w:r>
          </w:p>
        </w:tc>
        <w:tc>
          <w:tcPr>
            <w:tcW w:w="0" w:type="auto"/>
            <w:gridSpan w:val="3"/>
            <w:tcMar>
              <w:top w:w="0" w:type="dxa"/>
              <w:left w:w="20" w:type="dxa"/>
              <w:bottom w:w="0" w:type="dxa"/>
              <w:right w:w="20" w:type="dxa"/>
            </w:tcMar>
            <w:vAlign w:val="center"/>
            <w:hideMark/>
          </w:tcPr>
          <w:p w14:paraId="5C5A36A1" w14:textId="77777777" w:rsidR="00000000" w:rsidRDefault="009B6C6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BEEA811" w14:textId="77777777" w:rsidR="00000000" w:rsidRDefault="009B6C69">
            <w:pPr>
              <w:spacing w:after="100"/>
              <w:jc w:val="center"/>
              <w:rPr>
                <w:rFonts w:eastAsia="Times New Roman"/>
              </w:rPr>
            </w:pPr>
            <w:r>
              <w:rPr>
                <w:rFonts w:eastAsia="Times New Roman"/>
                <w:b/>
                <w:bCs/>
                <w:color w:val="000000"/>
                <w:sz w:val="18"/>
                <w:szCs w:val="18"/>
              </w:rPr>
              <w:t>Balance at</w:t>
            </w:r>
            <w:r>
              <w:rPr>
                <w:rFonts w:eastAsia="Times New Roman"/>
                <w:b/>
                <w:bCs/>
                <w:color w:val="000000"/>
                <w:sz w:val="18"/>
                <w:szCs w:val="18"/>
              </w:rPr>
              <w:br/>
              <w:t>End of</w:t>
            </w:r>
            <w:r>
              <w:rPr>
                <w:rFonts w:eastAsia="Times New Roman"/>
                <w:b/>
                <w:bCs/>
                <w:color w:val="000000"/>
                <w:sz w:val="18"/>
                <w:szCs w:val="18"/>
              </w:rPr>
              <w:br/>
              <w:t>Period</w:t>
            </w:r>
          </w:p>
        </w:tc>
      </w:tr>
      <w:tr w:rsidR="00000000" w14:paraId="5B40276B" w14:textId="77777777">
        <w:trPr>
          <w:divId w:val="144906482"/>
        </w:trPr>
        <w:tc>
          <w:tcPr>
            <w:tcW w:w="0" w:type="auto"/>
            <w:gridSpan w:val="3"/>
            <w:shd w:val="clear" w:color="auto" w:fill="CCEEFF"/>
            <w:tcMar>
              <w:top w:w="30" w:type="dxa"/>
              <w:left w:w="20" w:type="dxa"/>
              <w:bottom w:w="30" w:type="dxa"/>
              <w:right w:w="20" w:type="dxa"/>
            </w:tcMar>
            <w:vAlign w:val="bottom"/>
            <w:hideMark/>
          </w:tcPr>
          <w:p w14:paraId="1B0F07DE" w14:textId="77777777" w:rsidR="00000000" w:rsidRDefault="009B6C69">
            <w:pPr>
              <w:spacing w:after="100"/>
              <w:rPr>
                <w:rFonts w:eastAsia="Times New Roman"/>
              </w:rPr>
            </w:pPr>
            <w:r>
              <w:rPr>
                <w:rFonts w:eastAsia="Times New Roman"/>
                <w:color w:val="000000"/>
                <w:sz w:val="18"/>
                <w:szCs w:val="18"/>
              </w:rPr>
              <w:t>Year ended September 25, 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AD9FD3"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D922C3" w14:textId="77777777" w:rsidR="00000000" w:rsidRDefault="009B6C69">
            <w:pPr>
              <w:spacing w:after="100"/>
              <w:jc w:val="right"/>
              <w:rPr>
                <w:rFonts w:eastAsia="Times New Roman"/>
              </w:rPr>
            </w:pPr>
            <w:r>
              <w:rPr>
                <w:rFonts w:eastAsia="Times New Roman"/>
                <w:color w:val="000000"/>
                <w:sz w:val="18"/>
                <w:szCs w:val="18"/>
              </w:rPr>
              <w:t>1,926 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178D1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DC8E3"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607226"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07F2CC" w14:textId="77777777" w:rsidR="00000000" w:rsidRDefault="009B6C69">
            <w:pPr>
              <w:spacing w:after="100"/>
              <w:jc w:val="right"/>
              <w:rPr>
                <w:rFonts w:eastAsia="Times New Roman"/>
              </w:rPr>
            </w:pPr>
            <w:r>
              <w:rPr>
                <w:rFonts w:eastAsia="Times New Roman"/>
                <w:color w:val="000000"/>
                <w:sz w:val="18"/>
                <w:szCs w:val="18"/>
              </w:rPr>
              <w:t>278 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FA5188" w14:textId="77777777" w:rsidR="00000000" w:rsidRDefault="009B6C69">
            <w:pPr>
              <w:spacing w:after="100"/>
              <w:jc w:val="right"/>
              <w:rPr>
                <w:rFonts w:eastAsia="Times New Roman"/>
              </w:rPr>
            </w:pPr>
          </w:p>
        </w:tc>
        <w:tc>
          <w:tcPr>
            <w:tcW w:w="0" w:type="auto"/>
            <w:vAlign w:val="center"/>
            <w:hideMark/>
          </w:tcPr>
          <w:p w14:paraId="62168494" w14:textId="77777777" w:rsidR="00000000" w:rsidRDefault="009B6C69">
            <w:pPr>
              <w:spacing w:after="100"/>
              <w:jc w:val="right"/>
              <w:rPr>
                <w:rFonts w:eastAsia="Times New Roman"/>
                <w:sz w:val="20"/>
                <w:szCs w:val="20"/>
              </w:rPr>
            </w:pPr>
          </w:p>
        </w:tc>
        <w:tc>
          <w:tcPr>
            <w:tcW w:w="0" w:type="auto"/>
            <w:vAlign w:val="center"/>
            <w:hideMark/>
          </w:tcPr>
          <w:p w14:paraId="14E9081F"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E94562" w14:textId="77777777" w:rsidR="00000000" w:rsidRDefault="009B6C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179C50"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D48F7E" w14:textId="77777777" w:rsidR="00000000" w:rsidRDefault="009B6C69">
            <w:pPr>
              <w:spacing w:after="100"/>
              <w:jc w:val="right"/>
              <w:rPr>
                <w:rFonts w:eastAsia="Times New Roman"/>
              </w:rPr>
            </w:pPr>
            <w:r>
              <w:rPr>
                <w:rFonts w:eastAsia="Times New Roman"/>
                <w:color w:val="000000"/>
                <w:sz w:val="18"/>
                <w:szCs w:val="18"/>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9193F1"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E53CBF" w14:textId="77777777" w:rsidR="00000000" w:rsidRDefault="009B6C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584E10" w14:textId="77777777" w:rsidR="00000000" w:rsidRDefault="009B6C6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B7C48F" w14:textId="77777777" w:rsidR="00000000" w:rsidRDefault="009B6C69">
            <w:pPr>
              <w:spacing w:after="100"/>
              <w:jc w:val="right"/>
              <w:rPr>
                <w:rFonts w:eastAsia="Times New Roman"/>
              </w:rPr>
            </w:pPr>
            <w:r>
              <w:rPr>
                <w:rFonts w:eastAsia="Times New Roman"/>
                <w:color w:val="000000"/>
                <w:sz w:val="18"/>
                <w:szCs w:val="18"/>
              </w:rPr>
              <w:t>2,223 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FC6875" w14:textId="77777777" w:rsidR="00000000" w:rsidRDefault="009B6C69">
            <w:pPr>
              <w:spacing w:after="100"/>
              <w:jc w:val="right"/>
              <w:rPr>
                <w:rFonts w:eastAsia="Times New Roman"/>
              </w:rPr>
            </w:pPr>
          </w:p>
        </w:tc>
      </w:tr>
      <w:tr w:rsidR="00000000" w14:paraId="2187FB5C" w14:textId="77777777">
        <w:trPr>
          <w:divId w:val="144906482"/>
        </w:trPr>
        <w:tc>
          <w:tcPr>
            <w:tcW w:w="0" w:type="auto"/>
            <w:gridSpan w:val="3"/>
            <w:shd w:val="clear" w:color="auto" w:fill="FFFFFF"/>
            <w:tcMar>
              <w:top w:w="30" w:type="dxa"/>
              <w:left w:w="20" w:type="dxa"/>
              <w:bottom w:w="30" w:type="dxa"/>
              <w:right w:w="20" w:type="dxa"/>
            </w:tcMar>
            <w:vAlign w:val="bottom"/>
            <w:hideMark/>
          </w:tcPr>
          <w:p w14:paraId="473528AF" w14:textId="77777777" w:rsidR="00000000" w:rsidRDefault="009B6C69">
            <w:pPr>
              <w:spacing w:after="100"/>
              <w:rPr>
                <w:rFonts w:eastAsia="Times New Roman"/>
              </w:rPr>
            </w:pPr>
            <w:r>
              <w:rPr>
                <w:rFonts w:eastAsia="Times New Roman"/>
                <w:color w:val="000000"/>
                <w:sz w:val="18"/>
                <w:szCs w:val="18"/>
              </w:rPr>
              <w:t>Year ended September 26, 2021</w:t>
            </w:r>
          </w:p>
        </w:tc>
        <w:tc>
          <w:tcPr>
            <w:tcW w:w="0" w:type="auto"/>
            <w:gridSpan w:val="2"/>
            <w:shd w:val="clear" w:color="auto" w:fill="FFFFFF"/>
            <w:tcMar>
              <w:top w:w="30" w:type="dxa"/>
              <w:left w:w="20" w:type="dxa"/>
              <w:bottom w:w="30" w:type="dxa"/>
              <w:right w:w="0" w:type="dxa"/>
            </w:tcMar>
            <w:vAlign w:val="bottom"/>
            <w:hideMark/>
          </w:tcPr>
          <w:p w14:paraId="5D66A23B" w14:textId="77777777" w:rsidR="00000000" w:rsidRDefault="009B6C69">
            <w:pPr>
              <w:spacing w:after="100"/>
              <w:jc w:val="right"/>
              <w:rPr>
                <w:rFonts w:eastAsia="Times New Roman"/>
              </w:rPr>
            </w:pPr>
            <w:r>
              <w:rPr>
                <w:rFonts w:eastAsia="Times New Roman"/>
                <w:color w:val="000000"/>
                <w:sz w:val="18"/>
                <w:szCs w:val="18"/>
              </w:rPr>
              <w:t>1,728 </w:t>
            </w:r>
          </w:p>
        </w:tc>
        <w:tc>
          <w:tcPr>
            <w:tcW w:w="0" w:type="auto"/>
            <w:shd w:val="clear" w:color="auto" w:fill="FFFFFF"/>
            <w:tcMar>
              <w:top w:w="30" w:type="dxa"/>
              <w:left w:w="0" w:type="dxa"/>
              <w:bottom w:w="30" w:type="dxa"/>
              <w:right w:w="20" w:type="dxa"/>
            </w:tcMar>
            <w:vAlign w:val="bottom"/>
            <w:hideMark/>
          </w:tcPr>
          <w:p w14:paraId="456A9769"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3F7927"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179720" w14:textId="77777777" w:rsidR="00000000" w:rsidRDefault="009B6C69">
            <w:pPr>
              <w:spacing w:after="100"/>
              <w:jc w:val="right"/>
              <w:rPr>
                <w:rFonts w:eastAsia="Times New Roman"/>
              </w:rPr>
            </w:pPr>
            <w:r>
              <w:rPr>
                <w:rFonts w:eastAsia="Times New Roman"/>
                <w:color w:val="000000"/>
                <w:sz w:val="18"/>
                <w:szCs w:val="18"/>
              </w:rPr>
              <w:t>197 </w:t>
            </w:r>
          </w:p>
        </w:tc>
        <w:tc>
          <w:tcPr>
            <w:tcW w:w="0" w:type="auto"/>
            <w:shd w:val="clear" w:color="auto" w:fill="FFFFFF"/>
            <w:tcMar>
              <w:top w:w="30" w:type="dxa"/>
              <w:left w:w="0" w:type="dxa"/>
              <w:bottom w:w="30" w:type="dxa"/>
              <w:right w:w="20" w:type="dxa"/>
            </w:tcMar>
            <w:vAlign w:val="bottom"/>
            <w:hideMark/>
          </w:tcPr>
          <w:p w14:paraId="170D64D1" w14:textId="77777777" w:rsidR="00000000" w:rsidRDefault="009B6C69">
            <w:pPr>
              <w:spacing w:after="100"/>
              <w:jc w:val="right"/>
              <w:rPr>
                <w:rFonts w:eastAsia="Times New Roman"/>
              </w:rPr>
            </w:pPr>
          </w:p>
        </w:tc>
        <w:tc>
          <w:tcPr>
            <w:tcW w:w="0" w:type="auto"/>
            <w:vAlign w:val="center"/>
            <w:hideMark/>
          </w:tcPr>
          <w:p w14:paraId="77E1769F" w14:textId="77777777" w:rsidR="00000000" w:rsidRDefault="009B6C69">
            <w:pPr>
              <w:spacing w:after="100"/>
              <w:jc w:val="right"/>
              <w:rPr>
                <w:rFonts w:eastAsia="Times New Roman"/>
                <w:sz w:val="20"/>
                <w:szCs w:val="20"/>
              </w:rPr>
            </w:pPr>
          </w:p>
        </w:tc>
        <w:tc>
          <w:tcPr>
            <w:tcW w:w="0" w:type="auto"/>
            <w:vAlign w:val="center"/>
            <w:hideMark/>
          </w:tcPr>
          <w:p w14:paraId="1F90A3A8" w14:textId="77777777" w:rsidR="00000000" w:rsidRDefault="009B6C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E31B1B" w14:textId="77777777" w:rsidR="00000000" w:rsidRDefault="009B6C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93A1B1" w14:textId="77777777" w:rsidR="00000000" w:rsidRDefault="009B6C69">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4BAED6B2" w14:textId="77777777" w:rsidR="00000000" w:rsidRDefault="009B6C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6F4AE0" w14:textId="77777777" w:rsidR="00000000" w:rsidRDefault="009B6C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982F8C" w14:textId="77777777" w:rsidR="00000000" w:rsidRDefault="009B6C69">
            <w:pPr>
              <w:spacing w:after="100"/>
              <w:jc w:val="right"/>
              <w:rPr>
                <w:rFonts w:eastAsia="Times New Roman"/>
              </w:rPr>
            </w:pPr>
            <w:r>
              <w:rPr>
                <w:rFonts w:eastAsia="Times New Roman"/>
                <w:color w:val="000000"/>
                <w:sz w:val="18"/>
                <w:szCs w:val="18"/>
              </w:rPr>
              <w:t>1,926 </w:t>
            </w:r>
          </w:p>
        </w:tc>
        <w:tc>
          <w:tcPr>
            <w:tcW w:w="0" w:type="auto"/>
            <w:shd w:val="clear" w:color="auto" w:fill="FFFFFF"/>
            <w:tcMar>
              <w:top w:w="30" w:type="dxa"/>
              <w:left w:w="0" w:type="dxa"/>
              <w:bottom w:w="30" w:type="dxa"/>
              <w:right w:w="20" w:type="dxa"/>
            </w:tcMar>
            <w:vAlign w:val="bottom"/>
            <w:hideMark/>
          </w:tcPr>
          <w:p w14:paraId="4664BBDE" w14:textId="77777777" w:rsidR="00000000" w:rsidRDefault="009B6C69">
            <w:pPr>
              <w:spacing w:after="100"/>
              <w:jc w:val="right"/>
              <w:rPr>
                <w:rFonts w:eastAsia="Times New Roman"/>
              </w:rPr>
            </w:pPr>
          </w:p>
        </w:tc>
      </w:tr>
      <w:tr w:rsidR="00000000" w14:paraId="46AF14EF" w14:textId="77777777">
        <w:trPr>
          <w:divId w:val="144906482"/>
        </w:trPr>
        <w:tc>
          <w:tcPr>
            <w:tcW w:w="0" w:type="auto"/>
            <w:gridSpan w:val="3"/>
            <w:shd w:val="clear" w:color="auto" w:fill="CCEEFF"/>
            <w:tcMar>
              <w:top w:w="30" w:type="dxa"/>
              <w:left w:w="20" w:type="dxa"/>
              <w:bottom w:w="30" w:type="dxa"/>
              <w:right w:w="20" w:type="dxa"/>
            </w:tcMar>
            <w:vAlign w:val="bottom"/>
            <w:hideMark/>
          </w:tcPr>
          <w:p w14:paraId="78C2B0D7" w14:textId="77777777" w:rsidR="00000000" w:rsidRDefault="009B6C69">
            <w:pPr>
              <w:spacing w:after="100"/>
              <w:rPr>
                <w:rFonts w:eastAsia="Times New Roman"/>
              </w:rPr>
            </w:pPr>
            <w:r>
              <w:rPr>
                <w:rFonts w:eastAsia="Times New Roman"/>
                <w:color w:val="000000"/>
                <w:sz w:val="18"/>
                <w:szCs w:val="18"/>
              </w:rPr>
              <w:t>Year ended September 27, 2020</w:t>
            </w:r>
          </w:p>
        </w:tc>
        <w:tc>
          <w:tcPr>
            <w:tcW w:w="0" w:type="auto"/>
            <w:gridSpan w:val="2"/>
            <w:shd w:val="clear" w:color="auto" w:fill="CCEEFF"/>
            <w:tcMar>
              <w:top w:w="30" w:type="dxa"/>
              <w:left w:w="20" w:type="dxa"/>
              <w:bottom w:w="30" w:type="dxa"/>
              <w:right w:w="0" w:type="dxa"/>
            </w:tcMar>
            <w:vAlign w:val="bottom"/>
            <w:hideMark/>
          </w:tcPr>
          <w:p w14:paraId="60071FB0" w14:textId="77777777" w:rsidR="00000000" w:rsidRDefault="009B6C69">
            <w:pPr>
              <w:spacing w:after="100"/>
              <w:jc w:val="right"/>
              <w:rPr>
                <w:rFonts w:eastAsia="Times New Roman"/>
              </w:rPr>
            </w:pPr>
            <w:r>
              <w:rPr>
                <w:rFonts w:eastAsia="Times New Roman"/>
                <w:color w:val="000000"/>
                <w:sz w:val="18"/>
                <w:szCs w:val="18"/>
              </w:rPr>
              <w:t>1,672 </w:t>
            </w:r>
          </w:p>
        </w:tc>
        <w:tc>
          <w:tcPr>
            <w:tcW w:w="0" w:type="auto"/>
            <w:shd w:val="clear" w:color="auto" w:fill="CCEEFF"/>
            <w:tcMar>
              <w:top w:w="30" w:type="dxa"/>
              <w:left w:w="0" w:type="dxa"/>
              <w:bottom w:w="30" w:type="dxa"/>
              <w:right w:w="20" w:type="dxa"/>
            </w:tcMar>
            <w:vAlign w:val="bottom"/>
            <w:hideMark/>
          </w:tcPr>
          <w:p w14:paraId="0C579F3F"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84F47A"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A3B5D3" w14:textId="77777777" w:rsidR="00000000" w:rsidRDefault="009B6C69">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bottom"/>
            <w:hideMark/>
          </w:tcPr>
          <w:p w14:paraId="068340C3" w14:textId="77777777" w:rsidR="00000000" w:rsidRDefault="009B6C69">
            <w:pPr>
              <w:spacing w:after="100"/>
              <w:jc w:val="right"/>
              <w:rPr>
                <w:rFonts w:eastAsia="Times New Roman"/>
              </w:rPr>
            </w:pPr>
          </w:p>
        </w:tc>
        <w:tc>
          <w:tcPr>
            <w:tcW w:w="0" w:type="auto"/>
            <w:vAlign w:val="center"/>
            <w:hideMark/>
          </w:tcPr>
          <w:p w14:paraId="74583BE6" w14:textId="77777777" w:rsidR="00000000" w:rsidRDefault="009B6C69">
            <w:pPr>
              <w:spacing w:after="100"/>
              <w:jc w:val="right"/>
              <w:rPr>
                <w:rFonts w:eastAsia="Times New Roman"/>
                <w:sz w:val="20"/>
                <w:szCs w:val="20"/>
              </w:rPr>
            </w:pPr>
          </w:p>
        </w:tc>
        <w:tc>
          <w:tcPr>
            <w:tcW w:w="0" w:type="auto"/>
            <w:vAlign w:val="center"/>
            <w:hideMark/>
          </w:tcPr>
          <w:p w14:paraId="77FED632" w14:textId="77777777" w:rsidR="00000000" w:rsidRDefault="009B6C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6C2EE2" w14:textId="77777777" w:rsidR="00000000" w:rsidRDefault="009B6C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4F4B2C" w14:textId="77777777" w:rsidR="00000000" w:rsidRDefault="009B6C69">
            <w:pPr>
              <w:spacing w:after="100"/>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bottom"/>
            <w:hideMark/>
          </w:tcPr>
          <w:p w14:paraId="2003C43B" w14:textId="77777777" w:rsidR="00000000" w:rsidRDefault="009B6C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8BDEFA" w14:textId="77777777" w:rsidR="00000000" w:rsidRDefault="009B6C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F60AF7" w14:textId="77777777" w:rsidR="00000000" w:rsidRDefault="009B6C69">
            <w:pPr>
              <w:spacing w:after="100"/>
              <w:jc w:val="right"/>
              <w:rPr>
                <w:rFonts w:eastAsia="Times New Roman"/>
              </w:rPr>
            </w:pPr>
            <w:r>
              <w:rPr>
                <w:rFonts w:eastAsia="Times New Roman"/>
                <w:color w:val="000000"/>
                <w:sz w:val="18"/>
                <w:szCs w:val="18"/>
              </w:rPr>
              <w:t>1,728 </w:t>
            </w:r>
          </w:p>
        </w:tc>
        <w:tc>
          <w:tcPr>
            <w:tcW w:w="0" w:type="auto"/>
            <w:shd w:val="clear" w:color="auto" w:fill="CCEEFF"/>
            <w:tcMar>
              <w:top w:w="30" w:type="dxa"/>
              <w:left w:w="0" w:type="dxa"/>
              <w:bottom w:w="30" w:type="dxa"/>
              <w:right w:w="20" w:type="dxa"/>
            </w:tcMar>
            <w:vAlign w:val="bottom"/>
            <w:hideMark/>
          </w:tcPr>
          <w:p w14:paraId="2D0F8005" w14:textId="77777777" w:rsidR="00000000" w:rsidRDefault="009B6C69">
            <w:pPr>
              <w:spacing w:after="100"/>
              <w:jc w:val="right"/>
              <w:rPr>
                <w:rFonts w:eastAsia="Times New Roman"/>
              </w:rPr>
            </w:pPr>
          </w:p>
        </w:tc>
      </w:tr>
    </w:tbl>
    <w:p w14:paraId="45C2FBDA" w14:textId="77777777" w:rsidR="00000000" w:rsidRDefault="009B6C69">
      <w:pPr>
        <w:divId w:val="2083137818"/>
        <w:rPr>
          <w:rFonts w:eastAsia="Times New Roman"/>
        </w:rPr>
      </w:pPr>
    </w:p>
    <w:p w14:paraId="6444AAAB" w14:textId="77777777" w:rsidR="009B6C69" w:rsidRDefault="009B6C69">
      <w:pPr>
        <w:jc w:val="center"/>
        <w:divId w:val="1349867009"/>
        <w:rPr>
          <w:rFonts w:eastAsia="Times New Roman"/>
        </w:rPr>
      </w:pPr>
      <w:r>
        <w:rPr>
          <w:rFonts w:eastAsia="Times New Roman"/>
          <w:color w:val="000000"/>
          <w:sz w:val="20"/>
          <w:szCs w:val="20"/>
        </w:rPr>
        <w:t>S-1</w:t>
      </w:r>
    </w:p>
    <w:sectPr w:rsidR="009B6C6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B6C69"/>
    <w:rsid w:val="009B6C69"/>
  </w:rsids>
  <m:mathPr>
    <m:mathFont m:val="Cambria Math"/>
    <m:brkBin m:val="before"/>
    <m:brkBinSub m:val="--"/>
    <m:smallFrac m:val="0"/>
    <m:dispDef/>
    <m:lMargin m:val="0"/>
    <m:rMargin m:val="0"/>
    <m:defJc m:val="centerGroup"/>
    <m:wrapIndent m:val="1440"/>
    <m:intLim m:val="subSup"/>
    <m:naryLim m:val="undOvr"/>
  </m:mathPr>
  <w:attachedSchema w:val="http://fasb.org/srt/2022"/>
  <w:attachedSchema w:val="http://fasb.org/us-gaap/2022"/>
  <w:attachedSchema w:val="http://www.xbrl.org/2013/inlineXBRL"/>
  <w:attachedSchema w:val="http://www.qualcomm.com/20220925"/>
  <w:attachedSchema w:val="http://www.xbrl.org/2003/linkbase"/>
  <w:attachedSchema w:val="http://www.sec.gov/inlineXBRL/transformation/2015-08-31"/>
  <w:attachedSchema w:val="http://xbrl.sec.gov/dei/2022"/>
  <w:attachedSchema w:val="http://www.xbrl.org/inlineXBRL/transformation/2020-02-12"/>
  <w:attachedSchema w:val="http://www.xbrl.org/2003/iso4217"/>
  <w:attachedSchema w:val="http://www.xbrl.org/2003/instance"/>
  <w:attachedSchema w:val="http://www.w3.org/1999/xlink"/>
  <w:attachedSchema w:val="http://xbrl.org/2006/xbrldi"/>
  <w:attachedSchema w:val="http://xbrl.sec.gov/currency/2022"/>
  <w:attachedSchema w:val="http://xbrl.sec.gov/country/202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483A9D"/>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1601">
      <w:marLeft w:val="0"/>
      <w:marRight w:val="0"/>
      <w:marTop w:val="120"/>
      <w:marBottom w:val="0"/>
      <w:divBdr>
        <w:top w:val="none" w:sz="0" w:space="0" w:color="auto"/>
        <w:left w:val="none" w:sz="0" w:space="0" w:color="auto"/>
        <w:bottom w:val="none" w:sz="0" w:space="0" w:color="auto"/>
        <w:right w:val="none" w:sz="0" w:space="0" w:color="auto"/>
      </w:divBdr>
    </w:div>
    <w:div w:id="4140732">
      <w:marLeft w:val="0"/>
      <w:marRight w:val="0"/>
      <w:marTop w:val="0"/>
      <w:marBottom w:val="0"/>
      <w:divBdr>
        <w:top w:val="none" w:sz="0" w:space="0" w:color="auto"/>
        <w:left w:val="none" w:sz="0" w:space="0" w:color="auto"/>
        <w:bottom w:val="none" w:sz="0" w:space="0" w:color="auto"/>
        <w:right w:val="none" w:sz="0" w:space="0" w:color="auto"/>
      </w:divBdr>
    </w:div>
    <w:div w:id="12461463">
      <w:marLeft w:val="0"/>
      <w:marRight w:val="0"/>
      <w:marTop w:val="120"/>
      <w:marBottom w:val="120"/>
      <w:divBdr>
        <w:top w:val="none" w:sz="0" w:space="0" w:color="auto"/>
        <w:left w:val="none" w:sz="0" w:space="0" w:color="auto"/>
        <w:bottom w:val="none" w:sz="0" w:space="0" w:color="auto"/>
        <w:right w:val="none" w:sz="0" w:space="0" w:color="auto"/>
      </w:divBdr>
    </w:div>
    <w:div w:id="15084187">
      <w:marLeft w:val="0"/>
      <w:marRight w:val="0"/>
      <w:marTop w:val="0"/>
      <w:marBottom w:val="0"/>
      <w:divBdr>
        <w:top w:val="none" w:sz="0" w:space="0" w:color="auto"/>
        <w:left w:val="none" w:sz="0" w:space="0" w:color="auto"/>
        <w:bottom w:val="none" w:sz="0" w:space="0" w:color="auto"/>
        <w:right w:val="none" w:sz="0" w:space="0" w:color="auto"/>
      </w:divBdr>
      <w:divsChild>
        <w:div w:id="2003003065">
          <w:marLeft w:val="0"/>
          <w:marRight w:val="0"/>
          <w:marTop w:val="0"/>
          <w:marBottom w:val="0"/>
          <w:divBdr>
            <w:top w:val="none" w:sz="0" w:space="0" w:color="auto"/>
            <w:left w:val="none" w:sz="0" w:space="0" w:color="auto"/>
            <w:bottom w:val="none" w:sz="0" w:space="0" w:color="auto"/>
            <w:right w:val="none" w:sz="0" w:space="0" w:color="auto"/>
          </w:divBdr>
        </w:div>
      </w:divsChild>
    </w:div>
    <w:div w:id="15428783">
      <w:marLeft w:val="0"/>
      <w:marRight w:val="0"/>
      <w:marTop w:val="120"/>
      <w:marBottom w:val="0"/>
      <w:divBdr>
        <w:top w:val="none" w:sz="0" w:space="0" w:color="auto"/>
        <w:left w:val="none" w:sz="0" w:space="0" w:color="auto"/>
        <w:bottom w:val="none" w:sz="0" w:space="0" w:color="auto"/>
        <w:right w:val="none" w:sz="0" w:space="0" w:color="auto"/>
      </w:divBdr>
    </w:div>
    <w:div w:id="17317176">
      <w:marLeft w:val="0"/>
      <w:marRight w:val="0"/>
      <w:marTop w:val="180"/>
      <w:marBottom w:val="120"/>
      <w:divBdr>
        <w:top w:val="none" w:sz="0" w:space="0" w:color="auto"/>
        <w:left w:val="none" w:sz="0" w:space="0" w:color="auto"/>
        <w:bottom w:val="none" w:sz="0" w:space="0" w:color="auto"/>
        <w:right w:val="none" w:sz="0" w:space="0" w:color="auto"/>
      </w:divBdr>
      <w:divsChild>
        <w:div w:id="181867042">
          <w:marLeft w:val="0"/>
          <w:marRight w:val="0"/>
          <w:marTop w:val="120"/>
          <w:marBottom w:val="0"/>
          <w:divBdr>
            <w:top w:val="none" w:sz="0" w:space="0" w:color="auto"/>
            <w:left w:val="none" w:sz="0" w:space="0" w:color="auto"/>
            <w:bottom w:val="none" w:sz="0" w:space="0" w:color="auto"/>
            <w:right w:val="none" w:sz="0" w:space="0" w:color="auto"/>
          </w:divBdr>
        </w:div>
      </w:divsChild>
    </w:div>
    <w:div w:id="19429795">
      <w:marLeft w:val="0"/>
      <w:marRight w:val="0"/>
      <w:marTop w:val="120"/>
      <w:marBottom w:val="0"/>
      <w:divBdr>
        <w:top w:val="none" w:sz="0" w:space="0" w:color="auto"/>
        <w:left w:val="none" w:sz="0" w:space="0" w:color="auto"/>
        <w:bottom w:val="none" w:sz="0" w:space="0" w:color="auto"/>
        <w:right w:val="none" w:sz="0" w:space="0" w:color="auto"/>
      </w:divBdr>
    </w:div>
    <w:div w:id="20514184">
      <w:marLeft w:val="0"/>
      <w:marRight w:val="0"/>
      <w:marTop w:val="120"/>
      <w:marBottom w:val="120"/>
      <w:divBdr>
        <w:top w:val="none" w:sz="0" w:space="0" w:color="auto"/>
        <w:left w:val="none" w:sz="0" w:space="0" w:color="auto"/>
        <w:bottom w:val="none" w:sz="0" w:space="0" w:color="auto"/>
        <w:right w:val="none" w:sz="0" w:space="0" w:color="auto"/>
      </w:divBdr>
    </w:div>
    <w:div w:id="24838517">
      <w:marLeft w:val="0"/>
      <w:marRight w:val="0"/>
      <w:marTop w:val="120"/>
      <w:marBottom w:val="0"/>
      <w:divBdr>
        <w:top w:val="none" w:sz="0" w:space="0" w:color="auto"/>
        <w:left w:val="none" w:sz="0" w:space="0" w:color="auto"/>
        <w:bottom w:val="none" w:sz="0" w:space="0" w:color="auto"/>
        <w:right w:val="none" w:sz="0" w:space="0" w:color="auto"/>
      </w:divBdr>
    </w:div>
    <w:div w:id="26293505">
      <w:marLeft w:val="0"/>
      <w:marRight w:val="0"/>
      <w:marTop w:val="0"/>
      <w:marBottom w:val="0"/>
      <w:divBdr>
        <w:top w:val="none" w:sz="0" w:space="0" w:color="auto"/>
        <w:left w:val="none" w:sz="0" w:space="0" w:color="auto"/>
        <w:bottom w:val="none" w:sz="0" w:space="0" w:color="auto"/>
        <w:right w:val="none" w:sz="0" w:space="0" w:color="auto"/>
      </w:divBdr>
    </w:div>
    <w:div w:id="27604697">
      <w:marLeft w:val="0"/>
      <w:marRight w:val="0"/>
      <w:marTop w:val="120"/>
      <w:marBottom w:val="0"/>
      <w:divBdr>
        <w:top w:val="none" w:sz="0" w:space="0" w:color="auto"/>
        <w:left w:val="none" w:sz="0" w:space="0" w:color="auto"/>
        <w:bottom w:val="none" w:sz="0" w:space="0" w:color="auto"/>
        <w:right w:val="none" w:sz="0" w:space="0" w:color="auto"/>
      </w:divBdr>
    </w:div>
    <w:div w:id="27610672">
      <w:marLeft w:val="0"/>
      <w:marRight w:val="0"/>
      <w:marTop w:val="120"/>
      <w:marBottom w:val="0"/>
      <w:divBdr>
        <w:top w:val="none" w:sz="0" w:space="0" w:color="auto"/>
        <w:left w:val="none" w:sz="0" w:space="0" w:color="auto"/>
        <w:bottom w:val="none" w:sz="0" w:space="0" w:color="auto"/>
        <w:right w:val="none" w:sz="0" w:space="0" w:color="auto"/>
      </w:divBdr>
    </w:div>
    <w:div w:id="27799877">
      <w:marLeft w:val="0"/>
      <w:marRight w:val="0"/>
      <w:marTop w:val="120"/>
      <w:marBottom w:val="120"/>
      <w:divBdr>
        <w:top w:val="none" w:sz="0" w:space="0" w:color="auto"/>
        <w:left w:val="none" w:sz="0" w:space="0" w:color="auto"/>
        <w:bottom w:val="none" w:sz="0" w:space="0" w:color="auto"/>
        <w:right w:val="none" w:sz="0" w:space="0" w:color="auto"/>
      </w:divBdr>
    </w:div>
    <w:div w:id="29502927">
      <w:marLeft w:val="0"/>
      <w:marRight w:val="0"/>
      <w:marTop w:val="120"/>
      <w:marBottom w:val="120"/>
      <w:divBdr>
        <w:top w:val="none" w:sz="0" w:space="0" w:color="auto"/>
        <w:left w:val="none" w:sz="0" w:space="0" w:color="auto"/>
        <w:bottom w:val="none" w:sz="0" w:space="0" w:color="auto"/>
        <w:right w:val="none" w:sz="0" w:space="0" w:color="auto"/>
      </w:divBdr>
    </w:div>
    <w:div w:id="30427399">
      <w:marLeft w:val="0"/>
      <w:marRight w:val="0"/>
      <w:marTop w:val="120"/>
      <w:marBottom w:val="0"/>
      <w:divBdr>
        <w:top w:val="none" w:sz="0" w:space="0" w:color="auto"/>
        <w:left w:val="none" w:sz="0" w:space="0" w:color="auto"/>
        <w:bottom w:val="none" w:sz="0" w:space="0" w:color="auto"/>
        <w:right w:val="none" w:sz="0" w:space="0" w:color="auto"/>
      </w:divBdr>
    </w:div>
    <w:div w:id="37241507">
      <w:marLeft w:val="0"/>
      <w:marRight w:val="0"/>
      <w:marTop w:val="0"/>
      <w:marBottom w:val="0"/>
      <w:divBdr>
        <w:top w:val="none" w:sz="0" w:space="0" w:color="auto"/>
        <w:left w:val="none" w:sz="0" w:space="0" w:color="auto"/>
        <w:bottom w:val="none" w:sz="0" w:space="0" w:color="auto"/>
        <w:right w:val="none" w:sz="0" w:space="0" w:color="auto"/>
      </w:divBdr>
    </w:div>
    <w:div w:id="40793086">
      <w:marLeft w:val="0"/>
      <w:marRight w:val="0"/>
      <w:marTop w:val="120"/>
      <w:marBottom w:val="120"/>
      <w:divBdr>
        <w:top w:val="none" w:sz="0" w:space="0" w:color="auto"/>
        <w:left w:val="none" w:sz="0" w:space="0" w:color="auto"/>
        <w:bottom w:val="none" w:sz="0" w:space="0" w:color="auto"/>
        <w:right w:val="none" w:sz="0" w:space="0" w:color="auto"/>
      </w:divBdr>
    </w:div>
    <w:div w:id="41178400">
      <w:marLeft w:val="0"/>
      <w:marRight w:val="0"/>
      <w:marTop w:val="120"/>
      <w:marBottom w:val="0"/>
      <w:divBdr>
        <w:top w:val="none" w:sz="0" w:space="0" w:color="auto"/>
        <w:left w:val="none" w:sz="0" w:space="0" w:color="auto"/>
        <w:bottom w:val="none" w:sz="0" w:space="0" w:color="auto"/>
        <w:right w:val="none" w:sz="0" w:space="0" w:color="auto"/>
      </w:divBdr>
    </w:div>
    <w:div w:id="41751201">
      <w:marLeft w:val="0"/>
      <w:marRight w:val="0"/>
      <w:marTop w:val="120"/>
      <w:marBottom w:val="0"/>
      <w:divBdr>
        <w:top w:val="none" w:sz="0" w:space="0" w:color="auto"/>
        <w:left w:val="none" w:sz="0" w:space="0" w:color="auto"/>
        <w:bottom w:val="none" w:sz="0" w:space="0" w:color="auto"/>
        <w:right w:val="none" w:sz="0" w:space="0" w:color="auto"/>
      </w:divBdr>
    </w:div>
    <w:div w:id="44836299">
      <w:marLeft w:val="0"/>
      <w:marRight w:val="0"/>
      <w:marTop w:val="120"/>
      <w:marBottom w:val="120"/>
      <w:divBdr>
        <w:top w:val="none" w:sz="0" w:space="0" w:color="auto"/>
        <w:left w:val="none" w:sz="0" w:space="0" w:color="auto"/>
        <w:bottom w:val="none" w:sz="0" w:space="0" w:color="auto"/>
        <w:right w:val="none" w:sz="0" w:space="0" w:color="auto"/>
      </w:divBdr>
    </w:div>
    <w:div w:id="45108918">
      <w:marLeft w:val="0"/>
      <w:marRight w:val="0"/>
      <w:marTop w:val="120"/>
      <w:marBottom w:val="0"/>
      <w:divBdr>
        <w:top w:val="none" w:sz="0" w:space="0" w:color="auto"/>
        <w:left w:val="none" w:sz="0" w:space="0" w:color="auto"/>
        <w:bottom w:val="none" w:sz="0" w:space="0" w:color="auto"/>
        <w:right w:val="none" w:sz="0" w:space="0" w:color="auto"/>
      </w:divBdr>
    </w:div>
    <w:div w:id="46733014">
      <w:marLeft w:val="0"/>
      <w:marRight w:val="0"/>
      <w:marTop w:val="0"/>
      <w:marBottom w:val="0"/>
      <w:divBdr>
        <w:top w:val="none" w:sz="0" w:space="0" w:color="auto"/>
        <w:left w:val="none" w:sz="0" w:space="0" w:color="auto"/>
        <w:bottom w:val="none" w:sz="0" w:space="0" w:color="auto"/>
        <w:right w:val="none" w:sz="0" w:space="0" w:color="auto"/>
      </w:divBdr>
    </w:div>
    <w:div w:id="48892343">
      <w:marLeft w:val="0"/>
      <w:marRight w:val="0"/>
      <w:marTop w:val="0"/>
      <w:marBottom w:val="0"/>
      <w:divBdr>
        <w:top w:val="none" w:sz="0" w:space="0" w:color="auto"/>
        <w:left w:val="none" w:sz="0" w:space="0" w:color="auto"/>
        <w:bottom w:val="none" w:sz="0" w:space="0" w:color="auto"/>
        <w:right w:val="none" w:sz="0" w:space="0" w:color="auto"/>
      </w:divBdr>
    </w:div>
    <w:div w:id="50009986">
      <w:marLeft w:val="0"/>
      <w:marRight w:val="0"/>
      <w:marTop w:val="0"/>
      <w:marBottom w:val="0"/>
      <w:divBdr>
        <w:top w:val="none" w:sz="0" w:space="0" w:color="auto"/>
        <w:left w:val="none" w:sz="0" w:space="0" w:color="auto"/>
        <w:bottom w:val="none" w:sz="0" w:space="0" w:color="auto"/>
        <w:right w:val="none" w:sz="0" w:space="0" w:color="auto"/>
      </w:divBdr>
      <w:divsChild>
        <w:div w:id="1339233475">
          <w:marLeft w:val="0"/>
          <w:marRight w:val="0"/>
          <w:marTop w:val="0"/>
          <w:marBottom w:val="0"/>
          <w:divBdr>
            <w:top w:val="none" w:sz="0" w:space="0" w:color="auto"/>
            <w:left w:val="none" w:sz="0" w:space="0" w:color="auto"/>
            <w:bottom w:val="none" w:sz="0" w:space="0" w:color="auto"/>
            <w:right w:val="none" w:sz="0" w:space="0" w:color="auto"/>
          </w:divBdr>
        </w:div>
      </w:divsChild>
    </w:div>
    <w:div w:id="51007292">
      <w:marLeft w:val="0"/>
      <w:marRight w:val="0"/>
      <w:marTop w:val="0"/>
      <w:marBottom w:val="0"/>
      <w:divBdr>
        <w:top w:val="none" w:sz="0" w:space="0" w:color="auto"/>
        <w:left w:val="none" w:sz="0" w:space="0" w:color="auto"/>
        <w:bottom w:val="none" w:sz="0" w:space="0" w:color="auto"/>
        <w:right w:val="none" w:sz="0" w:space="0" w:color="auto"/>
      </w:divBdr>
    </w:div>
    <w:div w:id="53941335">
      <w:marLeft w:val="0"/>
      <w:marRight w:val="0"/>
      <w:marTop w:val="0"/>
      <w:marBottom w:val="0"/>
      <w:divBdr>
        <w:top w:val="none" w:sz="0" w:space="0" w:color="auto"/>
        <w:left w:val="none" w:sz="0" w:space="0" w:color="auto"/>
        <w:bottom w:val="none" w:sz="0" w:space="0" w:color="auto"/>
        <w:right w:val="none" w:sz="0" w:space="0" w:color="auto"/>
      </w:divBdr>
    </w:div>
    <w:div w:id="56713392">
      <w:marLeft w:val="0"/>
      <w:marRight w:val="0"/>
      <w:marTop w:val="120"/>
      <w:marBottom w:val="120"/>
      <w:divBdr>
        <w:top w:val="none" w:sz="0" w:space="0" w:color="auto"/>
        <w:left w:val="none" w:sz="0" w:space="0" w:color="auto"/>
        <w:bottom w:val="none" w:sz="0" w:space="0" w:color="auto"/>
        <w:right w:val="none" w:sz="0" w:space="0" w:color="auto"/>
      </w:divBdr>
    </w:div>
    <w:div w:id="60760611">
      <w:marLeft w:val="0"/>
      <w:marRight w:val="0"/>
      <w:marTop w:val="0"/>
      <w:marBottom w:val="0"/>
      <w:divBdr>
        <w:top w:val="none" w:sz="0" w:space="0" w:color="auto"/>
        <w:left w:val="none" w:sz="0" w:space="0" w:color="auto"/>
        <w:bottom w:val="none" w:sz="0" w:space="0" w:color="auto"/>
        <w:right w:val="none" w:sz="0" w:space="0" w:color="auto"/>
      </w:divBdr>
      <w:divsChild>
        <w:div w:id="1765959440">
          <w:marLeft w:val="0"/>
          <w:marRight w:val="0"/>
          <w:marTop w:val="0"/>
          <w:marBottom w:val="0"/>
          <w:divBdr>
            <w:top w:val="none" w:sz="0" w:space="0" w:color="auto"/>
            <w:left w:val="none" w:sz="0" w:space="0" w:color="auto"/>
            <w:bottom w:val="none" w:sz="0" w:space="0" w:color="auto"/>
            <w:right w:val="none" w:sz="0" w:space="0" w:color="auto"/>
          </w:divBdr>
        </w:div>
      </w:divsChild>
    </w:div>
    <w:div w:id="61342345">
      <w:marLeft w:val="0"/>
      <w:marRight w:val="0"/>
      <w:marTop w:val="0"/>
      <w:marBottom w:val="0"/>
      <w:divBdr>
        <w:top w:val="none" w:sz="0" w:space="0" w:color="auto"/>
        <w:left w:val="none" w:sz="0" w:space="0" w:color="auto"/>
        <w:bottom w:val="none" w:sz="0" w:space="0" w:color="auto"/>
        <w:right w:val="none" w:sz="0" w:space="0" w:color="auto"/>
      </w:divBdr>
    </w:div>
    <w:div w:id="62531144">
      <w:marLeft w:val="0"/>
      <w:marRight w:val="0"/>
      <w:marTop w:val="120"/>
      <w:marBottom w:val="120"/>
      <w:divBdr>
        <w:top w:val="none" w:sz="0" w:space="0" w:color="auto"/>
        <w:left w:val="none" w:sz="0" w:space="0" w:color="auto"/>
        <w:bottom w:val="none" w:sz="0" w:space="0" w:color="auto"/>
        <w:right w:val="none" w:sz="0" w:space="0" w:color="auto"/>
      </w:divBdr>
    </w:div>
    <w:div w:id="63963992">
      <w:marLeft w:val="0"/>
      <w:marRight w:val="0"/>
      <w:marTop w:val="120"/>
      <w:marBottom w:val="120"/>
      <w:divBdr>
        <w:top w:val="none" w:sz="0" w:space="0" w:color="auto"/>
        <w:left w:val="none" w:sz="0" w:space="0" w:color="auto"/>
        <w:bottom w:val="none" w:sz="0" w:space="0" w:color="auto"/>
        <w:right w:val="none" w:sz="0" w:space="0" w:color="auto"/>
      </w:divBdr>
    </w:div>
    <w:div w:id="66464913">
      <w:marLeft w:val="0"/>
      <w:marRight w:val="0"/>
      <w:marTop w:val="120"/>
      <w:marBottom w:val="0"/>
      <w:divBdr>
        <w:top w:val="none" w:sz="0" w:space="0" w:color="auto"/>
        <w:left w:val="none" w:sz="0" w:space="0" w:color="auto"/>
        <w:bottom w:val="none" w:sz="0" w:space="0" w:color="auto"/>
        <w:right w:val="none" w:sz="0" w:space="0" w:color="auto"/>
      </w:divBdr>
    </w:div>
    <w:div w:id="68550789">
      <w:marLeft w:val="0"/>
      <w:marRight w:val="0"/>
      <w:marTop w:val="0"/>
      <w:marBottom w:val="0"/>
      <w:divBdr>
        <w:top w:val="none" w:sz="0" w:space="0" w:color="auto"/>
        <w:left w:val="none" w:sz="0" w:space="0" w:color="auto"/>
        <w:bottom w:val="none" w:sz="0" w:space="0" w:color="auto"/>
        <w:right w:val="none" w:sz="0" w:space="0" w:color="auto"/>
      </w:divBdr>
    </w:div>
    <w:div w:id="70662762">
      <w:marLeft w:val="0"/>
      <w:marRight w:val="0"/>
      <w:marTop w:val="120"/>
      <w:marBottom w:val="0"/>
      <w:divBdr>
        <w:top w:val="none" w:sz="0" w:space="0" w:color="auto"/>
        <w:left w:val="none" w:sz="0" w:space="0" w:color="auto"/>
        <w:bottom w:val="none" w:sz="0" w:space="0" w:color="auto"/>
        <w:right w:val="none" w:sz="0" w:space="0" w:color="auto"/>
      </w:divBdr>
    </w:div>
    <w:div w:id="71706169">
      <w:marLeft w:val="0"/>
      <w:marRight w:val="0"/>
      <w:marTop w:val="120"/>
      <w:marBottom w:val="120"/>
      <w:divBdr>
        <w:top w:val="none" w:sz="0" w:space="0" w:color="auto"/>
        <w:left w:val="none" w:sz="0" w:space="0" w:color="auto"/>
        <w:bottom w:val="none" w:sz="0" w:space="0" w:color="auto"/>
        <w:right w:val="none" w:sz="0" w:space="0" w:color="auto"/>
      </w:divBdr>
    </w:div>
    <w:div w:id="72699660">
      <w:marLeft w:val="0"/>
      <w:marRight w:val="0"/>
      <w:marTop w:val="120"/>
      <w:marBottom w:val="120"/>
      <w:divBdr>
        <w:top w:val="none" w:sz="0" w:space="0" w:color="auto"/>
        <w:left w:val="none" w:sz="0" w:space="0" w:color="auto"/>
        <w:bottom w:val="none" w:sz="0" w:space="0" w:color="auto"/>
        <w:right w:val="none" w:sz="0" w:space="0" w:color="auto"/>
      </w:divBdr>
    </w:div>
    <w:div w:id="74866351">
      <w:marLeft w:val="0"/>
      <w:marRight w:val="0"/>
      <w:marTop w:val="120"/>
      <w:marBottom w:val="120"/>
      <w:divBdr>
        <w:top w:val="none" w:sz="0" w:space="0" w:color="auto"/>
        <w:left w:val="none" w:sz="0" w:space="0" w:color="auto"/>
        <w:bottom w:val="none" w:sz="0" w:space="0" w:color="auto"/>
        <w:right w:val="none" w:sz="0" w:space="0" w:color="auto"/>
      </w:divBdr>
    </w:div>
    <w:div w:id="77682262">
      <w:marLeft w:val="0"/>
      <w:marRight w:val="0"/>
      <w:marTop w:val="0"/>
      <w:marBottom w:val="0"/>
      <w:divBdr>
        <w:top w:val="none" w:sz="0" w:space="0" w:color="auto"/>
        <w:left w:val="none" w:sz="0" w:space="0" w:color="auto"/>
        <w:bottom w:val="none" w:sz="0" w:space="0" w:color="auto"/>
        <w:right w:val="none" w:sz="0" w:space="0" w:color="auto"/>
      </w:divBdr>
    </w:div>
    <w:div w:id="79260307">
      <w:marLeft w:val="0"/>
      <w:marRight w:val="0"/>
      <w:marTop w:val="60"/>
      <w:marBottom w:val="0"/>
      <w:divBdr>
        <w:top w:val="none" w:sz="0" w:space="0" w:color="auto"/>
        <w:left w:val="none" w:sz="0" w:space="0" w:color="auto"/>
        <w:bottom w:val="none" w:sz="0" w:space="0" w:color="auto"/>
        <w:right w:val="none" w:sz="0" w:space="0" w:color="auto"/>
      </w:divBdr>
    </w:div>
    <w:div w:id="80640583">
      <w:marLeft w:val="0"/>
      <w:marRight w:val="0"/>
      <w:marTop w:val="120"/>
      <w:marBottom w:val="120"/>
      <w:divBdr>
        <w:top w:val="none" w:sz="0" w:space="0" w:color="auto"/>
        <w:left w:val="none" w:sz="0" w:space="0" w:color="auto"/>
        <w:bottom w:val="none" w:sz="0" w:space="0" w:color="auto"/>
        <w:right w:val="none" w:sz="0" w:space="0" w:color="auto"/>
      </w:divBdr>
    </w:div>
    <w:div w:id="81923232">
      <w:marLeft w:val="0"/>
      <w:marRight w:val="0"/>
      <w:marTop w:val="120"/>
      <w:marBottom w:val="120"/>
      <w:divBdr>
        <w:top w:val="none" w:sz="0" w:space="0" w:color="auto"/>
        <w:left w:val="none" w:sz="0" w:space="0" w:color="auto"/>
        <w:bottom w:val="none" w:sz="0" w:space="0" w:color="auto"/>
        <w:right w:val="none" w:sz="0" w:space="0" w:color="auto"/>
      </w:divBdr>
    </w:div>
    <w:div w:id="85618394">
      <w:marLeft w:val="0"/>
      <w:marRight w:val="0"/>
      <w:marTop w:val="120"/>
      <w:marBottom w:val="0"/>
      <w:divBdr>
        <w:top w:val="none" w:sz="0" w:space="0" w:color="auto"/>
        <w:left w:val="none" w:sz="0" w:space="0" w:color="auto"/>
        <w:bottom w:val="none" w:sz="0" w:space="0" w:color="auto"/>
        <w:right w:val="none" w:sz="0" w:space="0" w:color="auto"/>
      </w:divBdr>
    </w:div>
    <w:div w:id="86270327">
      <w:marLeft w:val="0"/>
      <w:marRight w:val="0"/>
      <w:marTop w:val="0"/>
      <w:marBottom w:val="0"/>
      <w:divBdr>
        <w:top w:val="none" w:sz="0" w:space="0" w:color="auto"/>
        <w:left w:val="none" w:sz="0" w:space="0" w:color="auto"/>
        <w:bottom w:val="none" w:sz="0" w:space="0" w:color="auto"/>
        <w:right w:val="none" w:sz="0" w:space="0" w:color="auto"/>
      </w:divBdr>
    </w:div>
    <w:div w:id="97677104">
      <w:marLeft w:val="0"/>
      <w:marRight w:val="0"/>
      <w:marTop w:val="120"/>
      <w:marBottom w:val="120"/>
      <w:divBdr>
        <w:top w:val="none" w:sz="0" w:space="0" w:color="auto"/>
        <w:left w:val="none" w:sz="0" w:space="0" w:color="auto"/>
        <w:bottom w:val="none" w:sz="0" w:space="0" w:color="auto"/>
        <w:right w:val="none" w:sz="0" w:space="0" w:color="auto"/>
      </w:divBdr>
    </w:div>
    <w:div w:id="99689645">
      <w:marLeft w:val="0"/>
      <w:marRight w:val="0"/>
      <w:marTop w:val="120"/>
      <w:marBottom w:val="0"/>
      <w:divBdr>
        <w:top w:val="none" w:sz="0" w:space="0" w:color="auto"/>
        <w:left w:val="none" w:sz="0" w:space="0" w:color="auto"/>
        <w:bottom w:val="none" w:sz="0" w:space="0" w:color="auto"/>
        <w:right w:val="none" w:sz="0" w:space="0" w:color="auto"/>
      </w:divBdr>
    </w:div>
    <w:div w:id="105009492">
      <w:marLeft w:val="0"/>
      <w:marRight w:val="0"/>
      <w:marTop w:val="120"/>
      <w:marBottom w:val="0"/>
      <w:divBdr>
        <w:top w:val="none" w:sz="0" w:space="0" w:color="auto"/>
        <w:left w:val="none" w:sz="0" w:space="0" w:color="auto"/>
        <w:bottom w:val="none" w:sz="0" w:space="0" w:color="auto"/>
        <w:right w:val="none" w:sz="0" w:space="0" w:color="auto"/>
      </w:divBdr>
    </w:div>
    <w:div w:id="108789934">
      <w:marLeft w:val="0"/>
      <w:marRight w:val="0"/>
      <w:marTop w:val="120"/>
      <w:marBottom w:val="120"/>
      <w:divBdr>
        <w:top w:val="none" w:sz="0" w:space="0" w:color="auto"/>
        <w:left w:val="none" w:sz="0" w:space="0" w:color="auto"/>
        <w:bottom w:val="none" w:sz="0" w:space="0" w:color="auto"/>
        <w:right w:val="none" w:sz="0" w:space="0" w:color="auto"/>
      </w:divBdr>
    </w:div>
    <w:div w:id="109280202">
      <w:marLeft w:val="0"/>
      <w:marRight w:val="0"/>
      <w:marTop w:val="0"/>
      <w:marBottom w:val="0"/>
      <w:divBdr>
        <w:top w:val="none" w:sz="0" w:space="0" w:color="auto"/>
        <w:left w:val="none" w:sz="0" w:space="0" w:color="auto"/>
        <w:bottom w:val="none" w:sz="0" w:space="0" w:color="auto"/>
        <w:right w:val="none" w:sz="0" w:space="0" w:color="auto"/>
      </w:divBdr>
    </w:div>
    <w:div w:id="110056980">
      <w:marLeft w:val="0"/>
      <w:marRight w:val="0"/>
      <w:marTop w:val="120"/>
      <w:marBottom w:val="120"/>
      <w:divBdr>
        <w:top w:val="none" w:sz="0" w:space="0" w:color="auto"/>
        <w:left w:val="none" w:sz="0" w:space="0" w:color="auto"/>
        <w:bottom w:val="none" w:sz="0" w:space="0" w:color="auto"/>
        <w:right w:val="none" w:sz="0" w:space="0" w:color="auto"/>
      </w:divBdr>
    </w:div>
    <w:div w:id="112138099">
      <w:marLeft w:val="0"/>
      <w:marRight w:val="0"/>
      <w:marTop w:val="0"/>
      <w:marBottom w:val="0"/>
      <w:divBdr>
        <w:top w:val="none" w:sz="0" w:space="0" w:color="auto"/>
        <w:left w:val="none" w:sz="0" w:space="0" w:color="auto"/>
        <w:bottom w:val="none" w:sz="0" w:space="0" w:color="auto"/>
        <w:right w:val="none" w:sz="0" w:space="0" w:color="auto"/>
      </w:divBdr>
    </w:div>
    <w:div w:id="113409094">
      <w:marLeft w:val="0"/>
      <w:marRight w:val="0"/>
      <w:marTop w:val="0"/>
      <w:marBottom w:val="0"/>
      <w:divBdr>
        <w:top w:val="none" w:sz="0" w:space="0" w:color="auto"/>
        <w:left w:val="none" w:sz="0" w:space="0" w:color="auto"/>
        <w:bottom w:val="none" w:sz="0" w:space="0" w:color="auto"/>
        <w:right w:val="none" w:sz="0" w:space="0" w:color="auto"/>
      </w:divBdr>
      <w:divsChild>
        <w:div w:id="52315638">
          <w:marLeft w:val="0"/>
          <w:marRight w:val="0"/>
          <w:marTop w:val="0"/>
          <w:marBottom w:val="0"/>
          <w:divBdr>
            <w:top w:val="none" w:sz="0" w:space="0" w:color="auto"/>
            <w:left w:val="none" w:sz="0" w:space="0" w:color="auto"/>
            <w:bottom w:val="none" w:sz="0" w:space="0" w:color="auto"/>
            <w:right w:val="none" w:sz="0" w:space="0" w:color="auto"/>
          </w:divBdr>
        </w:div>
      </w:divsChild>
    </w:div>
    <w:div w:id="114836455">
      <w:marLeft w:val="0"/>
      <w:marRight w:val="0"/>
      <w:marTop w:val="120"/>
      <w:marBottom w:val="120"/>
      <w:divBdr>
        <w:top w:val="none" w:sz="0" w:space="0" w:color="auto"/>
        <w:left w:val="none" w:sz="0" w:space="0" w:color="auto"/>
        <w:bottom w:val="none" w:sz="0" w:space="0" w:color="auto"/>
        <w:right w:val="none" w:sz="0" w:space="0" w:color="auto"/>
      </w:divBdr>
    </w:div>
    <w:div w:id="115830984">
      <w:marLeft w:val="0"/>
      <w:marRight w:val="0"/>
      <w:marTop w:val="120"/>
      <w:marBottom w:val="120"/>
      <w:divBdr>
        <w:top w:val="none" w:sz="0" w:space="0" w:color="auto"/>
        <w:left w:val="none" w:sz="0" w:space="0" w:color="auto"/>
        <w:bottom w:val="none" w:sz="0" w:space="0" w:color="auto"/>
        <w:right w:val="none" w:sz="0" w:space="0" w:color="auto"/>
      </w:divBdr>
    </w:div>
    <w:div w:id="120348952">
      <w:marLeft w:val="0"/>
      <w:marRight w:val="0"/>
      <w:marTop w:val="0"/>
      <w:marBottom w:val="0"/>
      <w:divBdr>
        <w:top w:val="none" w:sz="0" w:space="0" w:color="auto"/>
        <w:left w:val="none" w:sz="0" w:space="0" w:color="auto"/>
        <w:bottom w:val="none" w:sz="0" w:space="0" w:color="auto"/>
        <w:right w:val="none" w:sz="0" w:space="0" w:color="auto"/>
      </w:divBdr>
      <w:divsChild>
        <w:div w:id="590626687">
          <w:marLeft w:val="0"/>
          <w:marRight w:val="0"/>
          <w:marTop w:val="0"/>
          <w:marBottom w:val="0"/>
          <w:divBdr>
            <w:top w:val="none" w:sz="0" w:space="0" w:color="auto"/>
            <w:left w:val="none" w:sz="0" w:space="0" w:color="auto"/>
            <w:bottom w:val="none" w:sz="0" w:space="0" w:color="auto"/>
            <w:right w:val="none" w:sz="0" w:space="0" w:color="auto"/>
          </w:divBdr>
        </w:div>
      </w:divsChild>
    </w:div>
    <w:div w:id="122505992">
      <w:marLeft w:val="0"/>
      <w:marRight w:val="0"/>
      <w:marTop w:val="120"/>
      <w:marBottom w:val="120"/>
      <w:divBdr>
        <w:top w:val="none" w:sz="0" w:space="0" w:color="auto"/>
        <w:left w:val="none" w:sz="0" w:space="0" w:color="auto"/>
        <w:bottom w:val="none" w:sz="0" w:space="0" w:color="auto"/>
        <w:right w:val="none" w:sz="0" w:space="0" w:color="auto"/>
      </w:divBdr>
    </w:div>
    <w:div w:id="122626955">
      <w:marLeft w:val="0"/>
      <w:marRight w:val="0"/>
      <w:marTop w:val="120"/>
      <w:marBottom w:val="120"/>
      <w:divBdr>
        <w:top w:val="none" w:sz="0" w:space="0" w:color="auto"/>
        <w:left w:val="none" w:sz="0" w:space="0" w:color="auto"/>
        <w:bottom w:val="none" w:sz="0" w:space="0" w:color="auto"/>
        <w:right w:val="none" w:sz="0" w:space="0" w:color="auto"/>
      </w:divBdr>
    </w:div>
    <w:div w:id="127206263">
      <w:marLeft w:val="0"/>
      <w:marRight w:val="0"/>
      <w:marTop w:val="120"/>
      <w:marBottom w:val="120"/>
      <w:divBdr>
        <w:top w:val="none" w:sz="0" w:space="0" w:color="auto"/>
        <w:left w:val="none" w:sz="0" w:space="0" w:color="auto"/>
        <w:bottom w:val="none" w:sz="0" w:space="0" w:color="auto"/>
        <w:right w:val="none" w:sz="0" w:space="0" w:color="auto"/>
      </w:divBdr>
    </w:div>
    <w:div w:id="127941383">
      <w:marLeft w:val="0"/>
      <w:marRight w:val="0"/>
      <w:marTop w:val="120"/>
      <w:marBottom w:val="120"/>
      <w:divBdr>
        <w:top w:val="none" w:sz="0" w:space="0" w:color="auto"/>
        <w:left w:val="none" w:sz="0" w:space="0" w:color="auto"/>
        <w:bottom w:val="none" w:sz="0" w:space="0" w:color="auto"/>
        <w:right w:val="none" w:sz="0" w:space="0" w:color="auto"/>
      </w:divBdr>
    </w:div>
    <w:div w:id="128014222">
      <w:marLeft w:val="0"/>
      <w:marRight w:val="0"/>
      <w:marTop w:val="0"/>
      <w:marBottom w:val="0"/>
      <w:divBdr>
        <w:top w:val="none" w:sz="0" w:space="0" w:color="auto"/>
        <w:left w:val="none" w:sz="0" w:space="0" w:color="auto"/>
        <w:bottom w:val="none" w:sz="0" w:space="0" w:color="auto"/>
        <w:right w:val="none" w:sz="0" w:space="0" w:color="auto"/>
      </w:divBdr>
      <w:divsChild>
        <w:div w:id="853375819">
          <w:marLeft w:val="0"/>
          <w:marRight w:val="0"/>
          <w:marTop w:val="0"/>
          <w:marBottom w:val="0"/>
          <w:divBdr>
            <w:top w:val="none" w:sz="0" w:space="0" w:color="auto"/>
            <w:left w:val="none" w:sz="0" w:space="0" w:color="auto"/>
            <w:bottom w:val="none" w:sz="0" w:space="0" w:color="auto"/>
            <w:right w:val="none" w:sz="0" w:space="0" w:color="auto"/>
          </w:divBdr>
        </w:div>
      </w:divsChild>
    </w:div>
    <w:div w:id="131338246">
      <w:marLeft w:val="0"/>
      <w:marRight w:val="0"/>
      <w:marTop w:val="120"/>
      <w:marBottom w:val="0"/>
      <w:divBdr>
        <w:top w:val="none" w:sz="0" w:space="0" w:color="auto"/>
        <w:left w:val="none" w:sz="0" w:space="0" w:color="auto"/>
        <w:bottom w:val="none" w:sz="0" w:space="0" w:color="auto"/>
        <w:right w:val="none" w:sz="0" w:space="0" w:color="auto"/>
      </w:divBdr>
    </w:div>
    <w:div w:id="131600348">
      <w:marLeft w:val="0"/>
      <w:marRight w:val="0"/>
      <w:marTop w:val="120"/>
      <w:marBottom w:val="0"/>
      <w:divBdr>
        <w:top w:val="none" w:sz="0" w:space="0" w:color="auto"/>
        <w:left w:val="none" w:sz="0" w:space="0" w:color="auto"/>
        <w:bottom w:val="none" w:sz="0" w:space="0" w:color="auto"/>
        <w:right w:val="none" w:sz="0" w:space="0" w:color="auto"/>
      </w:divBdr>
    </w:div>
    <w:div w:id="133064095">
      <w:marLeft w:val="0"/>
      <w:marRight w:val="0"/>
      <w:marTop w:val="120"/>
      <w:marBottom w:val="120"/>
      <w:divBdr>
        <w:top w:val="none" w:sz="0" w:space="0" w:color="auto"/>
        <w:left w:val="none" w:sz="0" w:space="0" w:color="auto"/>
        <w:bottom w:val="none" w:sz="0" w:space="0" w:color="auto"/>
        <w:right w:val="none" w:sz="0" w:space="0" w:color="auto"/>
      </w:divBdr>
    </w:div>
    <w:div w:id="135732122">
      <w:marLeft w:val="0"/>
      <w:marRight w:val="0"/>
      <w:marTop w:val="120"/>
      <w:marBottom w:val="0"/>
      <w:divBdr>
        <w:top w:val="none" w:sz="0" w:space="0" w:color="auto"/>
        <w:left w:val="none" w:sz="0" w:space="0" w:color="auto"/>
        <w:bottom w:val="none" w:sz="0" w:space="0" w:color="auto"/>
        <w:right w:val="none" w:sz="0" w:space="0" w:color="auto"/>
      </w:divBdr>
      <w:divsChild>
        <w:div w:id="1087461707">
          <w:marLeft w:val="0"/>
          <w:marRight w:val="0"/>
          <w:marTop w:val="0"/>
          <w:marBottom w:val="0"/>
          <w:divBdr>
            <w:top w:val="none" w:sz="0" w:space="0" w:color="auto"/>
            <w:left w:val="none" w:sz="0" w:space="0" w:color="auto"/>
            <w:bottom w:val="none" w:sz="0" w:space="0" w:color="auto"/>
            <w:right w:val="none" w:sz="0" w:space="0" w:color="auto"/>
          </w:divBdr>
        </w:div>
        <w:div w:id="1188761887">
          <w:marLeft w:val="0"/>
          <w:marRight w:val="0"/>
          <w:marTop w:val="0"/>
          <w:marBottom w:val="0"/>
          <w:divBdr>
            <w:top w:val="none" w:sz="0" w:space="0" w:color="auto"/>
            <w:left w:val="none" w:sz="0" w:space="0" w:color="auto"/>
            <w:bottom w:val="none" w:sz="0" w:space="0" w:color="auto"/>
            <w:right w:val="none" w:sz="0" w:space="0" w:color="auto"/>
          </w:divBdr>
        </w:div>
        <w:div w:id="1494760912">
          <w:marLeft w:val="0"/>
          <w:marRight w:val="0"/>
          <w:marTop w:val="0"/>
          <w:marBottom w:val="0"/>
          <w:divBdr>
            <w:top w:val="none" w:sz="0" w:space="0" w:color="auto"/>
            <w:left w:val="none" w:sz="0" w:space="0" w:color="auto"/>
            <w:bottom w:val="none" w:sz="0" w:space="0" w:color="auto"/>
            <w:right w:val="none" w:sz="0" w:space="0" w:color="auto"/>
          </w:divBdr>
        </w:div>
        <w:div w:id="2019312043">
          <w:marLeft w:val="0"/>
          <w:marRight w:val="0"/>
          <w:marTop w:val="0"/>
          <w:marBottom w:val="0"/>
          <w:divBdr>
            <w:top w:val="none" w:sz="0" w:space="0" w:color="auto"/>
            <w:left w:val="none" w:sz="0" w:space="0" w:color="auto"/>
            <w:bottom w:val="none" w:sz="0" w:space="0" w:color="auto"/>
            <w:right w:val="none" w:sz="0" w:space="0" w:color="auto"/>
          </w:divBdr>
        </w:div>
        <w:div w:id="1476795958">
          <w:marLeft w:val="0"/>
          <w:marRight w:val="0"/>
          <w:marTop w:val="0"/>
          <w:marBottom w:val="0"/>
          <w:divBdr>
            <w:top w:val="none" w:sz="0" w:space="0" w:color="auto"/>
            <w:left w:val="none" w:sz="0" w:space="0" w:color="auto"/>
            <w:bottom w:val="none" w:sz="0" w:space="0" w:color="auto"/>
            <w:right w:val="none" w:sz="0" w:space="0" w:color="auto"/>
          </w:divBdr>
        </w:div>
        <w:div w:id="437603490">
          <w:marLeft w:val="0"/>
          <w:marRight w:val="0"/>
          <w:marTop w:val="0"/>
          <w:marBottom w:val="0"/>
          <w:divBdr>
            <w:top w:val="none" w:sz="0" w:space="0" w:color="auto"/>
            <w:left w:val="none" w:sz="0" w:space="0" w:color="auto"/>
            <w:bottom w:val="none" w:sz="0" w:space="0" w:color="auto"/>
            <w:right w:val="none" w:sz="0" w:space="0" w:color="auto"/>
          </w:divBdr>
        </w:div>
        <w:div w:id="2038190623">
          <w:marLeft w:val="0"/>
          <w:marRight w:val="0"/>
          <w:marTop w:val="0"/>
          <w:marBottom w:val="0"/>
          <w:divBdr>
            <w:top w:val="none" w:sz="0" w:space="0" w:color="auto"/>
            <w:left w:val="none" w:sz="0" w:space="0" w:color="auto"/>
            <w:bottom w:val="none" w:sz="0" w:space="0" w:color="auto"/>
            <w:right w:val="none" w:sz="0" w:space="0" w:color="auto"/>
          </w:divBdr>
        </w:div>
        <w:div w:id="2119569227">
          <w:marLeft w:val="0"/>
          <w:marRight w:val="0"/>
          <w:marTop w:val="0"/>
          <w:marBottom w:val="0"/>
          <w:divBdr>
            <w:top w:val="none" w:sz="0" w:space="0" w:color="auto"/>
            <w:left w:val="none" w:sz="0" w:space="0" w:color="auto"/>
            <w:bottom w:val="none" w:sz="0" w:space="0" w:color="auto"/>
            <w:right w:val="none" w:sz="0" w:space="0" w:color="auto"/>
          </w:divBdr>
        </w:div>
        <w:div w:id="1031689664">
          <w:marLeft w:val="0"/>
          <w:marRight w:val="0"/>
          <w:marTop w:val="0"/>
          <w:marBottom w:val="0"/>
          <w:divBdr>
            <w:top w:val="none" w:sz="0" w:space="0" w:color="auto"/>
            <w:left w:val="none" w:sz="0" w:space="0" w:color="auto"/>
            <w:bottom w:val="none" w:sz="0" w:space="0" w:color="auto"/>
            <w:right w:val="none" w:sz="0" w:space="0" w:color="auto"/>
          </w:divBdr>
        </w:div>
        <w:div w:id="1183782195">
          <w:marLeft w:val="0"/>
          <w:marRight w:val="0"/>
          <w:marTop w:val="0"/>
          <w:marBottom w:val="0"/>
          <w:divBdr>
            <w:top w:val="none" w:sz="0" w:space="0" w:color="auto"/>
            <w:left w:val="none" w:sz="0" w:space="0" w:color="auto"/>
            <w:bottom w:val="none" w:sz="0" w:space="0" w:color="auto"/>
            <w:right w:val="none" w:sz="0" w:space="0" w:color="auto"/>
          </w:divBdr>
        </w:div>
        <w:div w:id="1454203696">
          <w:marLeft w:val="0"/>
          <w:marRight w:val="0"/>
          <w:marTop w:val="0"/>
          <w:marBottom w:val="0"/>
          <w:divBdr>
            <w:top w:val="none" w:sz="0" w:space="0" w:color="auto"/>
            <w:left w:val="none" w:sz="0" w:space="0" w:color="auto"/>
            <w:bottom w:val="none" w:sz="0" w:space="0" w:color="auto"/>
            <w:right w:val="none" w:sz="0" w:space="0" w:color="auto"/>
          </w:divBdr>
        </w:div>
        <w:div w:id="1256593102">
          <w:marLeft w:val="0"/>
          <w:marRight w:val="0"/>
          <w:marTop w:val="0"/>
          <w:marBottom w:val="0"/>
          <w:divBdr>
            <w:top w:val="none" w:sz="0" w:space="0" w:color="auto"/>
            <w:left w:val="none" w:sz="0" w:space="0" w:color="auto"/>
            <w:bottom w:val="none" w:sz="0" w:space="0" w:color="auto"/>
            <w:right w:val="none" w:sz="0" w:space="0" w:color="auto"/>
          </w:divBdr>
        </w:div>
        <w:div w:id="2082824397">
          <w:marLeft w:val="0"/>
          <w:marRight w:val="0"/>
          <w:marTop w:val="0"/>
          <w:marBottom w:val="0"/>
          <w:divBdr>
            <w:top w:val="none" w:sz="0" w:space="0" w:color="auto"/>
            <w:left w:val="none" w:sz="0" w:space="0" w:color="auto"/>
            <w:bottom w:val="none" w:sz="0" w:space="0" w:color="auto"/>
            <w:right w:val="none" w:sz="0" w:space="0" w:color="auto"/>
          </w:divBdr>
        </w:div>
        <w:div w:id="989559131">
          <w:marLeft w:val="0"/>
          <w:marRight w:val="0"/>
          <w:marTop w:val="0"/>
          <w:marBottom w:val="0"/>
          <w:divBdr>
            <w:top w:val="none" w:sz="0" w:space="0" w:color="auto"/>
            <w:left w:val="none" w:sz="0" w:space="0" w:color="auto"/>
            <w:bottom w:val="none" w:sz="0" w:space="0" w:color="auto"/>
            <w:right w:val="none" w:sz="0" w:space="0" w:color="auto"/>
          </w:divBdr>
        </w:div>
        <w:div w:id="901062616">
          <w:marLeft w:val="0"/>
          <w:marRight w:val="0"/>
          <w:marTop w:val="0"/>
          <w:marBottom w:val="0"/>
          <w:divBdr>
            <w:top w:val="none" w:sz="0" w:space="0" w:color="auto"/>
            <w:left w:val="none" w:sz="0" w:space="0" w:color="auto"/>
            <w:bottom w:val="none" w:sz="0" w:space="0" w:color="auto"/>
            <w:right w:val="none" w:sz="0" w:space="0" w:color="auto"/>
          </w:divBdr>
        </w:div>
        <w:div w:id="664482077">
          <w:marLeft w:val="0"/>
          <w:marRight w:val="0"/>
          <w:marTop w:val="0"/>
          <w:marBottom w:val="0"/>
          <w:divBdr>
            <w:top w:val="none" w:sz="0" w:space="0" w:color="auto"/>
            <w:left w:val="none" w:sz="0" w:space="0" w:color="auto"/>
            <w:bottom w:val="none" w:sz="0" w:space="0" w:color="auto"/>
            <w:right w:val="none" w:sz="0" w:space="0" w:color="auto"/>
          </w:divBdr>
        </w:div>
        <w:div w:id="937643662">
          <w:marLeft w:val="0"/>
          <w:marRight w:val="0"/>
          <w:marTop w:val="0"/>
          <w:marBottom w:val="0"/>
          <w:divBdr>
            <w:top w:val="none" w:sz="0" w:space="0" w:color="auto"/>
            <w:left w:val="none" w:sz="0" w:space="0" w:color="auto"/>
            <w:bottom w:val="none" w:sz="0" w:space="0" w:color="auto"/>
            <w:right w:val="none" w:sz="0" w:space="0" w:color="auto"/>
          </w:divBdr>
        </w:div>
        <w:div w:id="1071270152">
          <w:marLeft w:val="0"/>
          <w:marRight w:val="0"/>
          <w:marTop w:val="0"/>
          <w:marBottom w:val="0"/>
          <w:divBdr>
            <w:top w:val="none" w:sz="0" w:space="0" w:color="auto"/>
            <w:left w:val="none" w:sz="0" w:space="0" w:color="auto"/>
            <w:bottom w:val="none" w:sz="0" w:space="0" w:color="auto"/>
            <w:right w:val="none" w:sz="0" w:space="0" w:color="auto"/>
          </w:divBdr>
        </w:div>
        <w:div w:id="1484734268">
          <w:marLeft w:val="0"/>
          <w:marRight w:val="0"/>
          <w:marTop w:val="0"/>
          <w:marBottom w:val="0"/>
          <w:divBdr>
            <w:top w:val="none" w:sz="0" w:space="0" w:color="auto"/>
            <w:left w:val="none" w:sz="0" w:space="0" w:color="auto"/>
            <w:bottom w:val="none" w:sz="0" w:space="0" w:color="auto"/>
            <w:right w:val="none" w:sz="0" w:space="0" w:color="auto"/>
          </w:divBdr>
        </w:div>
        <w:div w:id="29886503">
          <w:marLeft w:val="0"/>
          <w:marRight w:val="0"/>
          <w:marTop w:val="0"/>
          <w:marBottom w:val="0"/>
          <w:divBdr>
            <w:top w:val="none" w:sz="0" w:space="0" w:color="auto"/>
            <w:left w:val="none" w:sz="0" w:space="0" w:color="auto"/>
            <w:bottom w:val="none" w:sz="0" w:space="0" w:color="auto"/>
            <w:right w:val="none" w:sz="0" w:space="0" w:color="auto"/>
          </w:divBdr>
        </w:div>
      </w:divsChild>
    </w:div>
    <w:div w:id="135992459">
      <w:marLeft w:val="0"/>
      <w:marRight w:val="0"/>
      <w:marTop w:val="120"/>
      <w:marBottom w:val="120"/>
      <w:divBdr>
        <w:top w:val="none" w:sz="0" w:space="0" w:color="auto"/>
        <w:left w:val="none" w:sz="0" w:space="0" w:color="auto"/>
        <w:bottom w:val="none" w:sz="0" w:space="0" w:color="auto"/>
        <w:right w:val="none" w:sz="0" w:space="0" w:color="auto"/>
      </w:divBdr>
    </w:div>
    <w:div w:id="136412995">
      <w:marLeft w:val="0"/>
      <w:marRight w:val="0"/>
      <w:marTop w:val="120"/>
      <w:marBottom w:val="0"/>
      <w:divBdr>
        <w:top w:val="none" w:sz="0" w:space="0" w:color="auto"/>
        <w:left w:val="none" w:sz="0" w:space="0" w:color="auto"/>
        <w:bottom w:val="none" w:sz="0" w:space="0" w:color="auto"/>
        <w:right w:val="none" w:sz="0" w:space="0" w:color="auto"/>
      </w:divBdr>
    </w:div>
    <w:div w:id="138039803">
      <w:marLeft w:val="0"/>
      <w:marRight w:val="0"/>
      <w:marTop w:val="0"/>
      <w:marBottom w:val="0"/>
      <w:divBdr>
        <w:top w:val="none" w:sz="0" w:space="0" w:color="auto"/>
        <w:left w:val="none" w:sz="0" w:space="0" w:color="auto"/>
        <w:bottom w:val="none" w:sz="0" w:space="0" w:color="auto"/>
        <w:right w:val="none" w:sz="0" w:space="0" w:color="auto"/>
      </w:divBdr>
      <w:divsChild>
        <w:div w:id="2142572255">
          <w:marLeft w:val="0"/>
          <w:marRight w:val="0"/>
          <w:marTop w:val="0"/>
          <w:marBottom w:val="0"/>
          <w:divBdr>
            <w:top w:val="none" w:sz="0" w:space="0" w:color="auto"/>
            <w:left w:val="none" w:sz="0" w:space="0" w:color="auto"/>
            <w:bottom w:val="none" w:sz="0" w:space="0" w:color="auto"/>
            <w:right w:val="none" w:sz="0" w:space="0" w:color="auto"/>
          </w:divBdr>
        </w:div>
      </w:divsChild>
    </w:div>
    <w:div w:id="141432781">
      <w:marLeft w:val="0"/>
      <w:marRight w:val="0"/>
      <w:marTop w:val="0"/>
      <w:marBottom w:val="0"/>
      <w:divBdr>
        <w:top w:val="none" w:sz="0" w:space="0" w:color="auto"/>
        <w:left w:val="none" w:sz="0" w:space="0" w:color="auto"/>
        <w:bottom w:val="none" w:sz="0" w:space="0" w:color="auto"/>
        <w:right w:val="none" w:sz="0" w:space="0" w:color="auto"/>
      </w:divBdr>
      <w:divsChild>
        <w:div w:id="1548685196">
          <w:marLeft w:val="0"/>
          <w:marRight w:val="0"/>
          <w:marTop w:val="0"/>
          <w:marBottom w:val="0"/>
          <w:divBdr>
            <w:top w:val="none" w:sz="0" w:space="0" w:color="auto"/>
            <w:left w:val="none" w:sz="0" w:space="0" w:color="auto"/>
            <w:bottom w:val="none" w:sz="0" w:space="0" w:color="auto"/>
            <w:right w:val="none" w:sz="0" w:space="0" w:color="auto"/>
          </w:divBdr>
        </w:div>
      </w:divsChild>
    </w:div>
    <w:div w:id="142821246">
      <w:marLeft w:val="0"/>
      <w:marRight w:val="0"/>
      <w:marTop w:val="180"/>
      <w:marBottom w:val="120"/>
      <w:divBdr>
        <w:top w:val="none" w:sz="0" w:space="0" w:color="auto"/>
        <w:left w:val="none" w:sz="0" w:space="0" w:color="auto"/>
        <w:bottom w:val="none" w:sz="0" w:space="0" w:color="auto"/>
        <w:right w:val="none" w:sz="0" w:space="0" w:color="auto"/>
      </w:divBdr>
    </w:div>
    <w:div w:id="143743992">
      <w:marLeft w:val="0"/>
      <w:marRight w:val="0"/>
      <w:marTop w:val="120"/>
      <w:marBottom w:val="0"/>
      <w:divBdr>
        <w:top w:val="none" w:sz="0" w:space="0" w:color="auto"/>
        <w:left w:val="none" w:sz="0" w:space="0" w:color="auto"/>
        <w:bottom w:val="none" w:sz="0" w:space="0" w:color="auto"/>
        <w:right w:val="none" w:sz="0" w:space="0" w:color="auto"/>
      </w:divBdr>
    </w:div>
    <w:div w:id="144906482">
      <w:marLeft w:val="0"/>
      <w:marRight w:val="0"/>
      <w:marTop w:val="120"/>
      <w:marBottom w:val="0"/>
      <w:divBdr>
        <w:top w:val="none" w:sz="0" w:space="0" w:color="auto"/>
        <w:left w:val="none" w:sz="0" w:space="0" w:color="auto"/>
        <w:bottom w:val="none" w:sz="0" w:space="0" w:color="auto"/>
        <w:right w:val="none" w:sz="0" w:space="0" w:color="auto"/>
      </w:divBdr>
    </w:div>
    <w:div w:id="145359957">
      <w:marLeft w:val="0"/>
      <w:marRight w:val="0"/>
      <w:marTop w:val="120"/>
      <w:marBottom w:val="0"/>
      <w:divBdr>
        <w:top w:val="none" w:sz="0" w:space="0" w:color="auto"/>
        <w:left w:val="none" w:sz="0" w:space="0" w:color="auto"/>
        <w:bottom w:val="none" w:sz="0" w:space="0" w:color="auto"/>
        <w:right w:val="none" w:sz="0" w:space="0" w:color="auto"/>
      </w:divBdr>
    </w:div>
    <w:div w:id="148717511">
      <w:marLeft w:val="0"/>
      <w:marRight w:val="0"/>
      <w:marTop w:val="120"/>
      <w:marBottom w:val="0"/>
      <w:divBdr>
        <w:top w:val="none" w:sz="0" w:space="0" w:color="auto"/>
        <w:left w:val="none" w:sz="0" w:space="0" w:color="auto"/>
        <w:bottom w:val="none" w:sz="0" w:space="0" w:color="auto"/>
        <w:right w:val="none" w:sz="0" w:space="0" w:color="auto"/>
      </w:divBdr>
    </w:div>
    <w:div w:id="150561530">
      <w:marLeft w:val="0"/>
      <w:marRight w:val="0"/>
      <w:marTop w:val="120"/>
      <w:marBottom w:val="120"/>
      <w:divBdr>
        <w:top w:val="none" w:sz="0" w:space="0" w:color="auto"/>
        <w:left w:val="none" w:sz="0" w:space="0" w:color="auto"/>
        <w:bottom w:val="none" w:sz="0" w:space="0" w:color="auto"/>
        <w:right w:val="none" w:sz="0" w:space="0" w:color="auto"/>
      </w:divBdr>
    </w:div>
    <w:div w:id="151605082">
      <w:marLeft w:val="0"/>
      <w:marRight w:val="0"/>
      <w:marTop w:val="0"/>
      <w:marBottom w:val="0"/>
      <w:divBdr>
        <w:top w:val="none" w:sz="0" w:space="0" w:color="auto"/>
        <w:left w:val="none" w:sz="0" w:space="0" w:color="auto"/>
        <w:bottom w:val="none" w:sz="0" w:space="0" w:color="auto"/>
        <w:right w:val="none" w:sz="0" w:space="0" w:color="auto"/>
      </w:divBdr>
    </w:div>
    <w:div w:id="152141779">
      <w:marLeft w:val="0"/>
      <w:marRight w:val="0"/>
      <w:marTop w:val="120"/>
      <w:marBottom w:val="120"/>
      <w:divBdr>
        <w:top w:val="none" w:sz="0" w:space="0" w:color="auto"/>
        <w:left w:val="none" w:sz="0" w:space="0" w:color="auto"/>
        <w:bottom w:val="none" w:sz="0" w:space="0" w:color="auto"/>
        <w:right w:val="none" w:sz="0" w:space="0" w:color="auto"/>
      </w:divBdr>
    </w:div>
    <w:div w:id="153567180">
      <w:marLeft w:val="0"/>
      <w:marRight w:val="0"/>
      <w:marTop w:val="0"/>
      <w:marBottom w:val="0"/>
      <w:divBdr>
        <w:top w:val="none" w:sz="0" w:space="0" w:color="auto"/>
        <w:left w:val="none" w:sz="0" w:space="0" w:color="auto"/>
        <w:bottom w:val="none" w:sz="0" w:space="0" w:color="auto"/>
        <w:right w:val="none" w:sz="0" w:space="0" w:color="auto"/>
      </w:divBdr>
      <w:divsChild>
        <w:div w:id="1251430409">
          <w:marLeft w:val="0"/>
          <w:marRight w:val="0"/>
          <w:marTop w:val="0"/>
          <w:marBottom w:val="0"/>
          <w:divBdr>
            <w:top w:val="none" w:sz="0" w:space="0" w:color="auto"/>
            <w:left w:val="none" w:sz="0" w:space="0" w:color="auto"/>
            <w:bottom w:val="none" w:sz="0" w:space="0" w:color="auto"/>
            <w:right w:val="none" w:sz="0" w:space="0" w:color="auto"/>
          </w:divBdr>
        </w:div>
      </w:divsChild>
    </w:div>
    <w:div w:id="157157262">
      <w:marLeft w:val="0"/>
      <w:marRight w:val="0"/>
      <w:marTop w:val="120"/>
      <w:marBottom w:val="0"/>
      <w:divBdr>
        <w:top w:val="none" w:sz="0" w:space="0" w:color="auto"/>
        <w:left w:val="none" w:sz="0" w:space="0" w:color="auto"/>
        <w:bottom w:val="none" w:sz="0" w:space="0" w:color="auto"/>
        <w:right w:val="none" w:sz="0" w:space="0" w:color="auto"/>
      </w:divBdr>
    </w:div>
    <w:div w:id="157498123">
      <w:marLeft w:val="0"/>
      <w:marRight w:val="0"/>
      <w:marTop w:val="0"/>
      <w:marBottom w:val="0"/>
      <w:divBdr>
        <w:top w:val="none" w:sz="0" w:space="0" w:color="auto"/>
        <w:left w:val="none" w:sz="0" w:space="0" w:color="auto"/>
        <w:bottom w:val="none" w:sz="0" w:space="0" w:color="auto"/>
        <w:right w:val="none" w:sz="0" w:space="0" w:color="auto"/>
      </w:divBdr>
      <w:divsChild>
        <w:div w:id="338393667">
          <w:marLeft w:val="0"/>
          <w:marRight w:val="0"/>
          <w:marTop w:val="0"/>
          <w:marBottom w:val="0"/>
          <w:divBdr>
            <w:top w:val="none" w:sz="0" w:space="0" w:color="auto"/>
            <w:left w:val="none" w:sz="0" w:space="0" w:color="auto"/>
            <w:bottom w:val="none" w:sz="0" w:space="0" w:color="auto"/>
            <w:right w:val="none" w:sz="0" w:space="0" w:color="auto"/>
          </w:divBdr>
        </w:div>
      </w:divsChild>
    </w:div>
    <w:div w:id="164443219">
      <w:marLeft w:val="0"/>
      <w:marRight w:val="0"/>
      <w:marTop w:val="120"/>
      <w:marBottom w:val="0"/>
      <w:divBdr>
        <w:top w:val="none" w:sz="0" w:space="0" w:color="auto"/>
        <w:left w:val="none" w:sz="0" w:space="0" w:color="auto"/>
        <w:bottom w:val="none" w:sz="0" w:space="0" w:color="auto"/>
        <w:right w:val="none" w:sz="0" w:space="0" w:color="auto"/>
      </w:divBdr>
    </w:div>
    <w:div w:id="166361400">
      <w:marLeft w:val="0"/>
      <w:marRight w:val="0"/>
      <w:marTop w:val="0"/>
      <w:marBottom w:val="0"/>
      <w:divBdr>
        <w:top w:val="none" w:sz="0" w:space="0" w:color="auto"/>
        <w:left w:val="none" w:sz="0" w:space="0" w:color="auto"/>
        <w:bottom w:val="none" w:sz="0" w:space="0" w:color="auto"/>
        <w:right w:val="none" w:sz="0" w:space="0" w:color="auto"/>
      </w:divBdr>
      <w:divsChild>
        <w:div w:id="1349867009">
          <w:marLeft w:val="0"/>
          <w:marRight w:val="0"/>
          <w:marTop w:val="0"/>
          <w:marBottom w:val="0"/>
          <w:divBdr>
            <w:top w:val="none" w:sz="0" w:space="0" w:color="auto"/>
            <w:left w:val="none" w:sz="0" w:space="0" w:color="auto"/>
            <w:bottom w:val="none" w:sz="0" w:space="0" w:color="auto"/>
            <w:right w:val="none" w:sz="0" w:space="0" w:color="auto"/>
          </w:divBdr>
        </w:div>
      </w:divsChild>
    </w:div>
    <w:div w:id="167792164">
      <w:marLeft w:val="0"/>
      <w:marRight w:val="0"/>
      <w:marTop w:val="0"/>
      <w:marBottom w:val="0"/>
      <w:divBdr>
        <w:top w:val="none" w:sz="0" w:space="0" w:color="auto"/>
        <w:left w:val="none" w:sz="0" w:space="0" w:color="auto"/>
        <w:bottom w:val="none" w:sz="0" w:space="0" w:color="auto"/>
        <w:right w:val="none" w:sz="0" w:space="0" w:color="auto"/>
      </w:divBdr>
    </w:div>
    <w:div w:id="169763947">
      <w:marLeft w:val="0"/>
      <w:marRight w:val="0"/>
      <w:marTop w:val="120"/>
      <w:marBottom w:val="120"/>
      <w:divBdr>
        <w:top w:val="none" w:sz="0" w:space="0" w:color="auto"/>
        <w:left w:val="none" w:sz="0" w:space="0" w:color="auto"/>
        <w:bottom w:val="none" w:sz="0" w:space="0" w:color="auto"/>
        <w:right w:val="none" w:sz="0" w:space="0" w:color="auto"/>
      </w:divBdr>
    </w:div>
    <w:div w:id="171189419">
      <w:marLeft w:val="0"/>
      <w:marRight w:val="0"/>
      <w:marTop w:val="0"/>
      <w:marBottom w:val="0"/>
      <w:divBdr>
        <w:top w:val="none" w:sz="0" w:space="0" w:color="auto"/>
        <w:left w:val="none" w:sz="0" w:space="0" w:color="auto"/>
        <w:bottom w:val="none" w:sz="0" w:space="0" w:color="auto"/>
        <w:right w:val="none" w:sz="0" w:space="0" w:color="auto"/>
      </w:divBdr>
      <w:divsChild>
        <w:div w:id="368996971">
          <w:marLeft w:val="0"/>
          <w:marRight w:val="0"/>
          <w:marTop w:val="0"/>
          <w:marBottom w:val="0"/>
          <w:divBdr>
            <w:top w:val="none" w:sz="0" w:space="0" w:color="auto"/>
            <w:left w:val="none" w:sz="0" w:space="0" w:color="auto"/>
            <w:bottom w:val="none" w:sz="0" w:space="0" w:color="auto"/>
            <w:right w:val="none" w:sz="0" w:space="0" w:color="auto"/>
          </w:divBdr>
        </w:div>
      </w:divsChild>
    </w:div>
    <w:div w:id="171575290">
      <w:marLeft w:val="0"/>
      <w:marRight w:val="0"/>
      <w:marTop w:val="120"/>
      <w:marBottom w:val="0"/>
      <w:divBdr>
        <w:top w:val="none" w:sz="0" w:space="0" w:color="auto"/>
        <w:left w:val="none" w:sz="0" w:space="0" w:color="auto"/>
        <w:bottom w:val="none" w:sz="0" w:space="0" w:color="auto"/>
        <w:right w:val="none" w:sz="0" w:space="0" w:color="auto"/>
      </w:divBdr>
    </w:div>
    <w:div w:id="175198833">
      <w:marLeft w:val="0"/>
      <w:marRight w:val="0"/>
      <w:marTop w:val="240"/>
      <w:marBottom w:val="0"/>
      <w:divBdr>
        <w:top w:val="none" w:sz="0" w:space="0" w:color="auto"/>
        <w:left w:val="none" w:sz="0" w:space="0" w:color="auto"/>
        <w:bottom w:val="none" w:sz="0" w:space="0" w:color="auto"/>
        <w:right w:val="none" w:sz="0" w:space="0" w:color="auto"/>
      </w:divBdr>
    </w:div>
    <w:div w:id="179659959">
      <w:marLeft w:val="0"/>
      <w:marRight w:val="0"/>
      <w:marTop w:val="120"/>
      <w:marBottom w:val="120"/>
      <w:divBdr>
        <w:top w:val="none" w:sz="0" w:space="0" w:color="auto"/>
        <w:left w:val="none" w:sz="0" w:space="0" w:color="auto"/>
        <w:bottom w:val="none" w:sz="0" w:space="0" w:color="auto"/>
        <w:right w:val="none" w:sz="0" w:space="0" w:color="auto"/>
      </w:divBdr>
    </w:div>
    <w:div w:id="179979286">
      <w:marLeft w:val="0"/>
      <w:marRight w:val="0"/>
      <w:marTop w:val="120"/>
      <w:marBottom w:val="0"/>
      <w:divBdr>
        <w:top w:val="none" w:sz="0" w:space="0" w:color="auto"/>
        <w:left w:val="none" w:sz="0" w:space="0" w:color="auto"/>
        <w:bottom w:val="none" w:sz="0" w:space="0" w:color="auto"/>
        <w:right w:val="none" w:sz="0" w:space="0" w:color="auto"/>
      </w:divBdr>
    </w:div>
    <w:div w:id="180895284">
      <w:marLeft w:val="0"/>
      <w:marRight w:val="0"/>
      <w:marTop w:val="120"/>
      <w:marBottom w:val="120"/>
      <w:divBdr>
        <w:top w:val="none" w:sz="0" w:space="0" w:color="auto"/>
        <w:left w:val="none" w:sz="0" w:space="0" w:color="auto"/>
        <w:bottom w:val="none" w:sz="0" w:space="0" w:color="auto"/>
        <w:right w:val="none" w:sz="0" w:space="0" w:color="auto"/>
      </w:divBdr>
    </w:div>
    <w:div w:id="183640352">
      <w:marLeft w:val="0"/>
      <w:marRight w:val="0"/>
      <w:marTop w:val="0"/>
      <w:marBottom w:val="0"/>
      <w:divBdr>
        <w:top w:val="none" w:sz="0" w:space="0" w:color="auto"/>
        <w:left w:val="none" w:sz="0" w:space="0" w:color="auto"/>
        <w:bottom w:val="none" w:sz="0" w:space="0" w:color="auto"/>
        <w:right w:val="none" w:sz="0" w:space="0" w:color="auto"/>
      </w:divBdr>
      <w:divsChild>
        <w:div w:id="1997296372">
          <w:marLeft w:val="0"/>
          <w:marRight w:val="0"/>
          <w:marTop w:val="0"/>
          <w:marBottom w:val="0"/>
          <w:divBdr>
            <w:top w:val="none" w:sz="0" w:space="0" w:color="auto"/>
            <w:left w:val="none" w:sz="0" w:space="0" w:color="auto"/>
            <w:bottom w:val="none" w:sz="0" w:space="0" w:color="auto"/>
            <w:right w:val="none" w:sz="0" w:space="0" w:color="auto"/>
          </w:divBdr>
        </w:div>
      </w:divsChild>
    </w:div>
    <w:div w:id="184254412">
      <w:marLeft w:val="0"/>
      <w:marRight w:val="0"/>
      <w:marTop w:val="120"/>
      <w:marBottom w:val="0"/>
      <w:divBdr>
        <w:top w:val="none" w:sz="0" w:space="0" w:color="auto"/>
        <w:left w:val="none" w:sz="0" w:space="0" w:color="auto"/>
        <w:bottom w:val="none" w:sz="0" w:space="0" w:color="auto"/>
        <w:right w:val="none" w:sz="0" w:space="0" w:color="auto"/>
      </w:divBdr>
    </w:div>
    <w:div w:id="184556927">
      <w:marLeft w:val="0"/>
      <w:marRight w:val="0"/>
      <w:marTop w:val="0"/>
      <w:marBottom w:val="0"/>
      <w:divBdr>
        <w:top w:val="none" w:sz="0" w:space="0" w:color="auto"/>
        <w:left w:val="none" w:sz="0" w:space="0" w:color="auto"/>
        <w:bottom w:val="none" w:sz="0" w:space="0" w:color="auto"/>
        <w:right w:val="none" w:sz="0" w:space="0" w:color="auto"/>
      </w:divBdr>
    </w:div>
    <w:div w:id="185293845">
      <w:marLeft w:val="0"/>
      <w:marRight w:val="0"/>
      <w:marTop w:val="120"/>
      <w:marBottom w:val="0"/>
      <w:divBdr>
        <w:top w:val="none" w:sz="0" w:space="0" w:color="auto"/>
        <w:left w:val="none" w:sz="0" w:space="0" w:color="auto"/>
        <w:bottom w:val="none" w:sz="0" w:space="0" w:color="auto"/>
        <w:right w:val="none" w:sz="0" w:space="0" w:color="auto"/>
      </w:divBdr>
    </w:div>
    <w:div w:id="187567625">
      <w:marLeft w:val="0"/>
      <w:marRight w:val="0"/>
      <w:marTop w:val="240"/>
      <w:marBottom w:val="120"/>
      <w:divBdr>
        <w:top w:val="none" w:sz="0" w:space="0" w:color="auto"/>
        <w:left w:val="none" w:sz="0" w:space="0" w:color="auto"/>
        <w:bottom w:val="none" w:sz="0" w:space="0" w:color="auto"/>
        <w:right w:val="none" w:sz="0" w:space="0" w:color="auto"/>
      </w:divBdr>
    </w:div>
    <w:div w:id="189412544">
      <w:marLeft w:val="0"/>
      <w:marRight w:val="0"/>
      <w:marTop w:val="120"/>
      <w:marBottom w:val="0"/>
      <w:divBdr>
        <w:top w:val="none" w:sz="0" w:space="0" w:color="auto"/>
        <w:left w:val="none" w:sz="0" w:space="0" w:color="auto"/>
        <w:bottom w:val="none" w:sz="0" w:space="0" w:color="auto"/>
        <w:right w:val="none" w:sz="0" w:space="0" w:color="auto"/>
      </w:divBdr>
    </w:div>
    <w:div w:id="189488884">
      <w:marLeft w:val="0"/>
      <w:marRight w:val="0"/>
      <w:marTop w:val="120"/>
      <w:marBottom w:val="120"/>
      <w:divBdr>
        <w:top w:val="none" w:sz="0" w:space="0" w:color="auto"/>
        <w:left w:val="none" w:sz="0" w:space="0" w:color="auto"/>
        <w:bottom w:val="none" w:sz="0" w:space="0" w:color="auto"/>
        <w:right w:val="none" w:sz="0" w:space="0" w:color="auto"/>
      </w:divBdr>
    </w:div>
    <w:div w:id="195309961">
      <w:marLeft w:val="0"/>
      <w:marRight w:val="0"/>
      <w:marTop w:val="120"/>
      <w:marBottom w:val="0"/>
      <w:divBdr>
        <w:top w:val="none" w:sz="0" w:space="0" w:color="auto"/>
        <w:left w:val="none" w:sz="0" w:space="0" w:color="auto"/>
        <w:bottom w:val="none" w:sz="0" w:space="0" w:color="auto"/>
        <w:right w:val="none" w:sz="0" w:space="0" w:color="auto"/>
      </w:divBdr>
    </w:div>
    <w:div w:id="196352770">
      <w:marLeft w:val="0"/>
      <w:marRight w:val="0"/>
      <w:marTop w:val="120"/>
      <w:marBottom w:val="0"/>
      <w:divBdr>
        <w:top w:val="none" w:sz="0" w:space="0" w:color="auto"/>
        <w:left w:val="none" w:sz="0" w:space="0" w:color="auto"/>
        <w:bottom w:val="none" w:sz="0" w:space="0" w:color="auto"/>
        <w:right w:val="none" w:sz="0" w:space="0" w:color="auto"/>
      </w:divBdr>
    </w:div>
    <w:div w:id="197090541">
      <w:marLeft w:val="0"/>
      <w:marRight w:val="0"/>
      <w:marTop w:val="120"/>
      <w:marBottom w:val="0"/>
      <w:divBdr>
        <w:top w:val="none" w:sz="0" w:space="0" w:color="auto"/>
        <w:left w:val="none" w:sz="0" w:space="0" w:color="auto"/>
        <w:bottom w:val="none" w:sz="0" w:space="0" w:color="auto"/>
        <w:right w:val="none" w:sz="0" w:space="0" w:color="auto"/>
      </w:divBdr>
    </w:div>
    <w:div w:id="197471370">
      <w:marLeft w:val="0"/>
      <w:marRight w:val="0"/>
      <w:marTop w:val="120"/>
      <w:marBottom w:val="120"/>
      <w:divBdr>
        <w:top w:val="none" w:sz="0" w:space="0" w:color="auto"/>
        <w:left w:val="none" w:sz="0" w:space="0" w:color="auto"/>
        <w:bottom w:val="none" w:sz="0" w:space="0" w:color="auto"/>
        <w:right w:val="none" w:sz="0" w:space="0" w:color="auto"/>
      </w:divBdr>
    </w:div>
    <w:div w:id="201527521">
      <w:marLeft w:val="0"/>
      <w:marRight w:val="0"/>
      <w:marTop w:val="120"/>
      <w:marBottom w:val="0"/>
      <w:divBdr>
        <w:top w:val="none" w:sz="0" w:space="0" w:color="auto"/>
        <w:left w:val="none" w:sz="0" w:space="0" w:color="auto"/>
        <w:bottom w:val="none" w:sz="0" w:space="0" w:color="auto"/>
        <w:right w:val="none" w:sz="0" w:space="0" w:color="auto"/>
      </w:divBdr>
    </w:div>
    <w:div w:id="203635978">
      <w:marLeft w:val="0"/>
      <w:marRight w:val="0"/>
      <w:marTop w:val="120"/>
      <w:marBottom w:val="0"/>
      <w:divBdr>
        <w:top w:val="none" w:sz="0" w:space="0" w:color="auto"/>
        <w:left w:val="none" w:sz="0" w:space="0" w:color="auto"/>
        <w:bottom w:val="none" w:sz="0" w:space="0" w:color="auto"/>
        <w:right w:val="none" w:sz="0" w:space="0" w:color="auto"/>
      </w:divBdr>
    </w:div>
    <w:div w:id="203834170">
      <w:marLeft w:val="0"/>
      <w:marRight w:val="0"/>
      <w:marTop w:val="120"/>
      <w:marBottom w:val="0"/>
      <w:divBdr>
        <w:top w:val="none" w:sz="0" w:space="0" w:color="auto"/>
        <w:left w:val="none" w:sz="0" w:space="0" w:color="auto"/>
        <w:bottom w:val="none" w:sz="0" w:space="0" w:color="auto"/>
        <w:right w:val="none" w:sz="0" w:space="0" w:color="auto"/>
      </w:divBdr>
    </w:div>
    <w:div w:id="204103378">
      <w:marLeft w:val="0"/>
      <w:marRight w:val="0"/>
      <w:marTop w:val="0"/>
      <w:marBottom w:val="0"/>
      <w:divBdr>
        <w:top w:val="none" w:sz="0" w:space="0" w:color="auto"/>
        <w:left w:val="none" w:sz="0" w:space="0" w:color="auto"/>
        <w:bottom w:val="none" w:sz="0" w:space="0" w:color="auto"/>
        <w:right w:val="none" w:sz="0" w:space="0" w:color="auto"/>
      </w:divBdr>
    </w:div>
    <w:div w:id="207374238">
      <w:marLeft w:val="0"/>
      <w:marRight w:val="0"/>
      <w:marTop w:val="0"/>
      <w:marBottom w:val="0"/>
      <w:divBdr>
        <w:top w:val="none" w:sz="0" w:space="0" w:color="auto"/>
        <w:left w:val="none" w:sz="0" w:space="0" w:color="auto"/>
        <w:bottom w:val="none" w:sz="0" w:space="0" w:color="auto"/>
        <w:right w:val="none" w:sz="0" w:space="0" w:color="auto"/>
      </w:divBdr>
    </w:div>
    <w:div w:id="207571101">
      <w:marLeft w:val="0"/>
      <w:marRight w:val="0"/>
      <w:marTop w:val="120"/>
      <w:marBottom w:val="120"/>
      <w:divBdr>
        <w:top w:val="none" w:sz="0" w:space="0" w:color="auto"/>
        <w:left w:val="none" w:sz="0" w:space="0" w:color="auto"/>
        <w:bottom w:val="none" w:sz="0" w:space="0" w:color="auto"/>
        <w:right w:val="none" w:sz="0" w:space="0" w:color="auto"/>
      </w:divBdr>
    </w:div>
    <w:div w:id="209805003">
      <w:marLeft w:val="0"/>
      <w:marRight w:val="0"/>
      <w:marTop w:val="0"/>
      <w:marBottom w:val="0"/>
      <w:divBdr>
        <w:top w:val="none" w:sz="0" w:space="0" w:color="auto"/>
        <w:left w:val="none" w:sz="0" w:space="0" w:color="auto"/>
        <w:bottom w:val="none" w:sz="0" w:space="0" w:color="auto"/>
        <w:right w:val="none" w:sz="0" w:space="0" w:color="auto"/>
      </w:divBdr>
      <w:divsChild>
        <w:div w:id="1546795646">
          <w:marLeft w:val="0"/>
          <w:marRight w:val="0"/>
          <w:marTop w:val="0"/>
          <w:marBottom w:val="0"/>
          <w:divBdr>
            <w:top w:val="none" w:sz="0" w:space="0" w:color="auto"/>
            <w:left w:val="none" w:sz="0" w:space="0" w:color="auto"/>
            <w:bottom w:val="none" w:sz="0" w:space="0" w:color="auto"/>
            <w:right w:val="none" w:sz="0" w:space="0" w:color="auto"/>
          </w:divBdr>
        </w:div>
      </w:divsChild>
    </w:div>
    <w:div w:id="210924164">
      <w:marLeft w:val="0"/>
      <w:marRight w:val="0"/>
      <w:marTop w:val="120"/>
      <w:marBottom w:val="120"/>
      <w:divBdr>
        <w:top w:val="none" w:sz="0" w:space="0" w:color="auto"/>
        <w:left w:val="none" w:sz="0" w:space="0" w:color="auto"/>
        <w:bottom w:val="none" w:sz="0" w:space="0" w:color="auto"/>
        <w:right w:val="none" w:sz="0" w:space="0" w:color="auto"/>
      </w:divBdr>
    </w:div>
    <w:div w:id="212425900">
      <w:marLeft w:val="0"/>
      <w:marRight w:val="0"/>
      <w:marTop w:val="240"/>
      <w:marBottom w:val="120"/>
      <w:divBdr>
        <w:top w:val="none" w:sz="0" w:space="0" w:color="auto"/>
        <w:left w:val="none" w:sz="0" w:space="0" w:color="auto"/>
        <w:bottom w:val="none" w:sz="0" w:space="0" w:color="auto"/>
        <w:right w:val="none" w:sz="0" w:space="0" w:color="auto"/>
      </w:divBdr>
    </w:div>
    <w:div w:id="218126395">
      <w:marLeft w:val="0"/>
      <w:marRight w:val="0"/>
      <w:marTop w:val="120"/>
      <w:marBottom w:val="0"/>
      <w:divBdr>
        <w:top w:val="none" w:sz="0" w:space="0" w:color="auto"/>
        <w:left w:val="none" w:sz="0" w:space="0" w:color="auto"/>
        <w:bottom w:val="none" w:sz="0" w:space="0" w:color="auto"/>
        <w:right w:val="none" w:sz="0" w:space="0" w:color="auto"/>
      </w:divBdr>
    </w:div>
    <w:div w:id="218171518">
      <w:marLeft w:val="0"/>
      <w:marRight w:val="0"/>
      <w:marTop w:val="0"/>
      <w:marBottom w:val="0"/>
      <w:divBdr>
        <w:top w:val="none" w:sz="0" w:space="0" w:color="auto"/>
        <w:left w:val="none" w:sz="0" w:space="0" w:color="auto"/>
        <w:bottom w:val="none" w:sz="0" w:space="0" w:color="auto"/>
        <w:right w:val="none" w:sz="0" w:space="0" w:color="auto"/>
      </w:divBdr>
    </w:div>
    <w:div w:id="219173894">
      <w:marLeft w:val="0"/>
      <w:marRight w:val="0"/>
      <w:marTop w:val="120"/>
      <w:marBottom w:val="120"/>
      <w:divBdr>
        <w:top w:val="none" w:sz="0" w:space="0" w:color="auto"/>
        <w:left w:val="none" w:sz="0" w:space="0" w:color="auto"/>
        <w:bottom w:val="none" w:sz="0" w:space="0" w:color="auto"/>
        <w:right w:val="none" w:sz="0" w:space="0" w:color="auto"/>
      </w:divBdr>
    </w:div>
    <w:div w:id="220558040">
      <w:marLeft w:val="0"/>
      <w:marRight w:val="0"/>
      <w:marTop w:val="120"/>
      <w:marBottom w:val="0"/>
      <w:divBdr>
        <w:top w:val="none" w:sz="0" w:space="0" w:color="auto"/>
        <w:left w:val="none" w:sz="0" w:space="0" w:color="auto"/>
        <w:bottom w:val="none" w:sz="0" w:space="0" w:color="auto"/>
        <w:right w:val="none" w:sz="0" w:space="0" w:color="auto"/>
      </w:divBdr>
    </w:div>
    <w:div w:id="220561338">
      <w:marLeft w:val="0"/>
      <w:marRight w:val="0"/>
      <w:marTop w:val="120"/>
      <w:marBottom w:val="120"/>
      <w:divBdr>
        <w:top w:val="none" w:sz="0" w:space="0" w:color="auto"/>
        <w:left w:val="none" w:sz="0" w:space="0" w:color="auto"/>
        <w:bottom w:val="none" w:sz="0" w:space="0" w:color="auto"/>
        <w:right w:val="none" w:sz="0" w:space="0" w:color="auto"/>
      </w:divBdr>
    </w:div>
    <w:div w:id="220599996">
      <w:marLeft w:val="0"/>
      <w:marRight w:val="0"/>
      <w:marTop w:val="120"/>
      <w:marBottom w:val="0"/>
      <w:divBdr>
        <w:top w:val="none" w:sz="0" w:space="0" w:color="auto"/>
        <w:left w:val="none" w:sz="0" w:space="0" w:color="auto"/>
        <w:bottom w:val="none" w:sz="0" w:space="0" w:color="auto"/>
        <w:right w:val="none" w:sz="0" w:space="0" w:color="auto"/>
      </w:divBdr>
    </w:div>
    <w:div w:id="221332051">
      <w:marLeft w:val="0"/>
      <w:marRight w:val="0"/>
      <w:marTop w:val="180"/>
      <w:marBottom w:val="120"/>
      <w:divBdr>
        <w:top w:val="none" w:sz="0" w:space="0" w:color="auto"/>
        <w:left w:val="none" w:sz="0" w:space="0" w:color="auto"/>
        <w:bottom w:val="none" w:sz="0" w:space="0" w:color="auto"/>
        <w:right w:val="none" w:sz="0" w:space="0" w:color="auto"/>
      </w:divBdr>
    </w:div>
    <w:div w:id="223637273">
      <w:marLeft w:val="0"/>
      <w:marRight w:val="0"/>
      <w:marTop w:val="120"/>
      <w:marBottom w:val="0"/>
      <w:divBdr>
        <w:top w:val="none" w:sz="0" w:space="0" w:color="auto"/>
        <w:left w:val="none" w:sz="0" w:space="0" w:color="auto"/>
        <w:bottom w:val="none" w:sz="0" w:space="0" w:color="auto"/>
        <w:right w:val="none" w:sz="0" w:space="0" w:color="auto"/>
      </w:divBdr>
    </w:div>
    <w:div w:id="223878133">
      <w:marLeft w:val="0"/>
      <w:marRight w:val="0"/>
      <w:marTop w:val="0"/>
      <w:marBottom w:val="0"/>
      <w:divBdr>
        <w:top w:val="none" w:sz="0" w:space="0" w:color="auto"/>
        <w:left w:val="none" w:sz="0" w:space="0" w:color="auto"/>
        <w:bottom w:val="none" w:sz="0" w:space="0" w:color="auto"/>
        <w:right w:val="none" w:sz="0" w:space="0" w:color="auto"/>
      </w:divBdr>
      <w:divsChild>
        <w:div w:id="986055087">
          <w:marLeft w:val="0"/>
          <w:marRight w:val="0"/>
          <w:marTop w:val="0"/>
          <w:marBottom w:val="0"/>
          <w:divBdr>
            <w:top w:val="none" w:sz="0" w:space="0" w:color="auto"/>
            <w:left w:val="none" w:sz="0" w:space="0" w:color="auto"/>
            <w:bottom w:val="none" w:sz="0" w:space="0" w:color="auto"/>
            <w:right w:val="none" w:sz="0" w:space="0" w:color="auto"/>
          </w:divBdr>
        </w:div>
      </w:divsChild>
    </w:div>
    <w:div w:id="224728617">
      <w:marLeft w:val="0"/>
      <w:marRight w:val="0"/>
      <w:marTop w:val="120"/>
      <w:marBottom w:val="120"/>
      <w:divBdr>
        <w:top w:val="none" w:sz="0" w:space="0" w:color="auto"/>
        <w:left w:val="none" w:sz="0" w:space="0" w:color="auto"/>
        <w:bottom w:val="none" w:sz="0" w:space="0" w:color="auto"/>
        <w:right w:val="none" w:sz="0" w:space="0" w:color="auto"/>
      </w:divBdr>
    </w:div>
    <w:div w:id="225842044">
      <w:marLeft w:val="0"/>
      <w:marRight w:val="0"/>
      <w:marTop w:val="0"/>
      <w:marBottom w:val="0"/>
      <w:divBdr>
        <w:top w:val="none" w:sz="0" w:space="0" w:color="auto"/>
        <w:left w:val="none" w:sz="0" w:space="0" w:color="auto"/>
        <w:bottom w:val="none" w:sz="0" w:space="0" w:color="auto"/>
        <w:right w:val="none" w:sz="0" w:space="0" w:color="auto"/>
      </w:divBdr>
    </w:div>
    <w:div w:id="225920447">
      <w:marLeft w:val="0"/>
      <w:marRight w:val="0"/>
      <w:marTop w:val="120"/>
      <w:marBottom w:val="0"/>
      <w:divBdr>
        <w:top w:val="none" w:sz="0" w:space="0" w:color="auto"/>
        <w:left w:val="none" w:sz="0" w:space="0" w:color="auto"/>
        <w:bottom w:val="none" w:sz="0" w:space="0" w:color="auto"/>
        <w:right w:val="none" w:sz="0" w:space="0" w:color="auto"/>
      </w:divBdr>
    </w:div>
    <w:div w:id="226957743">
      <w:marLeft w:val="0"/>
      <w:marRight w:val="0"/>
      <w:marTop w:val="120"/>
      <w:marBottom w:val="120"/>
      <w:divBdr>
        <w:top w:val="none" w:sz="0" w:space="0" w:color="auto"/>
        <w:left w:val="none" w:sz="0" w:space="0" w:color="auto"/>
        <w:bottom w:val="none" w:sz="0" w:space="0" w:color="auto"/>
        <w:right w:val="none" w:sz="0" w:space="0" w:color="auto"/>
      </w:divBdr>
    </w:div>
    <w:div w:id="228737816">
      <w:marLeft w:val="0"/>
      <w:marRight w:val="0"/>
      <w:marTop w:val="120"/>
      <w:marBottom w:val="0"/>
      <w:divBdr>
        <w:top w:val="none" w:sz="0" w:space="0" w:color="auto"/>
        <w:left w:val="none" w:sz="0" w:space="0" w:color="auto"/>
        <w:bottom w:val="none" w:sz="0" w:space="0" w:color="auto"/>
        <w:right w:val="none" w:sz="0" w:space="0" w:color="auto"/>
      </w:divBdr>
    </w:div>
    <w:div w:id="228925501">
      <w:marLeft w:val="0"/>
      <w:marRight w:val="0"/>
      <w:marTop w:val="120"/>
      <w:marBottom w:val="120"/>
      <w:divBdr>
        <w:top w:val="none" w:sz="0" w:space="0" w:color="auto"/>
        <w:left w:val="none" w:sz="0" w:space="0" w:color="auto"/>
        <w:bottom w:val="none" w:sz="0" w:space="0" w:color="auto"/>
        <w:right w:val="none" w:sz="0" w:space="0" w:color="auto"/>
      </w:divBdr>
    </w:div>
    <w:div w:id="237402668">
      <w:marLeft w:val="0"/>
      <w:marRight w:val="0"/>
      <w:marTop w:val="120"/>
      <w:marBottom w:val="0"/>
      <w:divBdr>
        <w:top w:val="none" w:sz="0" w:space="0" w:color="auto"/>
        <w:left w:val="none" w:sz="0" w:space="0" w:color="auto"/>
        <w:bottom w:val="none" w:sz="0" w:space="0" w:color="auto"/>
        <w:right w:val="none" w:sz="0" w:space="0" w:color="auto"/>
      </w:divBdr>
    </w:div>
    <w:div w:id="239020198">
      <w:marLeft w:val="0"/>
      <w:marRight w:val="0"/>
      <w:marTop w:val="120"/>
      <w:marBottom w:val="0"/>
      <w:divBdr>
        <w:top w:val="none" w:sz="0" w:space="0" w:color="auto"/>
        <w:left w:val="none" w:sz="0" w:space="0" w:color="auto"/>
        <w:bottom w:val="none" w:sz="0" w:space="0" w:color="auto"/>
        <w:right w:val="none" w:sz="0" w:space="0" w:color="auto"/>
      </w:divBdr>
    </w:div>
    <w:div w:id="241372763">
      <w:marLeft w:val="0"/>
      <w:marRight w:val="0"/>
      <w:marTop w:val="120"/>
      <w:marBottom w:val="0"/>
      <w:divBdr>
        <w:top w:val="none" w:sz="0" w:space="0" w:color="auto"/>
        <w:left w:val="none" w:sz="0" w:space="0" w:color="auto"/>
        <w:bottom w:val="none" w:sz="0" w:space="0" w:color="auto"/>
        <w:right w:val="none" w:sz="0" w:space="0" w:color="auto"/>
      </w:divBdr>
    </w:div>
    <w:div w:id="241532150">
      <w:marLeft w:val="0"/>
      <w:marRight w:val="0"/>
      <w:marTop w:val="0"/>
      <w:marBottom w:val="0"/>
      <w:divBdr>
        <w:top w:val="none" w:sz="0" w:space="0" w:color="auto"/>
        <w:left w:val="none" w:sz="0" w:space="0" w:color="auto"/>
        <w:bottom w:val="none" w:sz="0" w:space="0" w:color="auto"/>
        <w:right w:val="none" w:sz="0" w:space="0" w:color="auto"/>
      </w:divBdr>
    </w:div>
    <w:div w:id="242299188">
      <w:marLeft w:val="0"/>
      <w:marRight w:val="0"/>
      <w:marTop w:val="120"/>
      <w:marBottom w:val="120"/>
      <w:divBdr>
        <w:top w:val="none" w:sz="0" w:space="0" w:color="auto"/>
        <w:left w:val="none" w:sz="0" w:space="0" w:color="auto"/>
        <w:bottom w:val="none" w:sz="0" w:space="0" w:color="auto"/>
        <w:right w:val="none" w:sz="0" w:space="0" w:color="auto"/>
      </w:divBdr>
    </w:div>
    <w:div w:id="244459155">
      <w:marLeft w:val="0"/>
      <w:marRight w:val="0"/>
      <w:marTop w:val="120"/>
      <w:marBottom w:val="120"/>
      <w:divBdr>
        <w:top w:val="none" w:sz="0" w:space="0" w:color="auto"/>
        <w:left w:val="none" w:sz="0" w:space="0" w:color="auto"/>
        <w:bottom w:val="none" w:sz="0" w:space="0" w:color="auto"/>
        <w:right w:val="none" w:sz="0" w:space="0" w:color="auto"/>
      </w:divBdr>
    </w:div>
    <w:div w:id="245725929">
      <w:marLeft w:val="0"/>
      <w:marRight w:val="0"/>
      <w:marTop w:val="0"/>
      <w:marBottom w:val="0"/>
      <w:divBdr>
        <w:top w:val="none" w:sz="0" w:space="0" w:color="auto"/>
        <w:left w:val="none" w:sz="0" w:space="0" w:color="auto"/>
        <w:bottom w:val="none" w:sz="0" w:space="0" w:color="auto"/>
        <w:right w:val="none" w:sz="0" w:space="0" w:color="auto"/>
      </w:divBdr>
    </w:div>
    <w:div w:id="247348657">
      <w:marLeft w:val="0"/>
      <w:marRight w:val="0"/>
      <w:marTop w:val="120"/>
      <w:marBottom w:val="120"/>
      <w:divBdr>
        <w:top w:val="none" w:sz="0" w:space="0" w:color="auto"/>
        <w:left w:val="none" w:sz="0" w:space="0" w:color="auto"/>
        <w:bottom w:val="none" w:sz="0" w:space="0" w:color="auto"/>
        <w:right w:val="none" w:sz="0" w:space="0" w:color="auto"/>
      </w:divBdr>
    </w:div>
    <w:div w:id="248856240">
      <w:marLeft w:val="0"/>
      <w:marRight w:val="0"/>
      <w:marTop w:val="120"/>
      <w:marBottom w:val="120"/>
      <w:divBdr>
        <w:top w:val="none" w:sz="0" w:space="0" w:color="auto"/>
        <w:left w:val="none" w:sz="0" w:space="0" w:color="auto"/>
        <w:bottom w:val="none" w:sz="0" w:space="0" w:color="auto"/>
        <w:right w:val="none" w:sz="0" w:space="0" w:color="auto"/>
      </w:divBdr>
    </w:div>
    <w:div w:id="249193138">
      <w:marLeft w:val="0"/>
      <w:marRight w:val="0"/>
      <w:marTop w:val="180"/>
      <w:marBottom w:val="120"/>
      <w:divBdr>
        <w:top w:val="none" w:sz="0" w:space="0" w:color="auto"/>
        <w:left w:val="none" w:sz="0" w:space="0" w:color="auto"/>
        <w:bottom w:val="none" w:sz="0" w:space="0" w:color="auto"/>
        <w:right w:val="none" w:sz="0" w:space="0" w:color="auto"/>
      </w:divBdr>
    </w:div>
    <w:div w:id="253366171">
      <w:marLeft w:val="0"/>
      <w:marRight w:val="0"/>
      <w:marTop w:val="0"/>
      <w:marBottom w:val="0"/>
      <w:divBdr>
        <w:top w:val="none" w:sz="0" w:space="0" w:color="auto"/>
        <w:left w:val="none" w:sz="0" w:space="0" w:color="auto"/>
        <w:bottom w:val="none" w:sz="0" w:space="0" w:color="auto"/>
        <w:right w:val="none" w:sz="0" w:space="0" w:color="auto"/>
      </w:divBdr>
      <w:divsChild>
        <w:div w:id="1677027589">
          <w:marLeft w:val="0"/>
          <w:marRight w:val="0"/>
          <w:marTop w:val="0"/>
          <w:marBottom w:val="0"/>
          <w:divBdr>
            <w:top w:val="none" w:sz="0" w:space="0" w:color="auto"/>
            <w:left w:val="none" w:sz="0" w:space="0" w:color="auto"/>
            <w:bottom w:val="none" w:sz="0" w:space="0" w:color="auto"/>
            <w:right w:val="none" w:sz="0" w:space="0" w:color="auto"/>
          </w:divBdr>
        </w:div>
      </w:divsChild>
    </w:div>
    <w:div w:id="260991134">
      <w:marLeft w:val="0"/>
      <w:marRight w:val="0"/>
      <w:marTop w:val="120"/>
      <w:marBottom w:val="0"/>
      <w:divBdr>
        <w:top w:val="none" w:sz="0" w:space="0" w:color="auto"/>
        <w:left w:val="none" w:sz="0" w:space="0" w:color="auto"/>
        <w:bottom w:val="none" w:sz="0" w:space="0" w:color="auto"/>
        <w:right w:val="none" w:sz="0" w:space="0" w:color="auto"/>
      </w:divBdr>
    </w:div>
    <w:div w:id="265040481">
      <w:marLeft w:val="0"/>
      <w:marRight w:val="0"/>
      <w:marTop w:val="120"/>
      <w:marBottom w:val="120"/>
      <w:divBdr>
        <w:top w:val="none" w:sz="0" w:space="0" w:color="auto"/>
        <w:left w:val="none" w:sz="0" w:space="0" w:color="auto"/>
        <w:bottom w:val="none" w:sz="0" w:space="0" w:color="auto"/>
        <w:right w:val="none" w:sz="0" w:space="0" w:color="auto"/>
      </w:divBdr>
    </w:div>
    <w:div w:id="267083662">
      <w:marLeft w:val="0"/>
      <w:marRight w:val="0"/>
      <w:marTop w:val="120"/>
      <w:marBottom w:val="120"/>
      <w:divBdr>
        <w:top w:val="none" w:sz="0" w:space="0" w:color="auto"/>
        <w:left w:val="none" w:sz="0" w:space="0" w:color="auto"/>
        <w:bottom w:val="none" w:sz="0" w:space="0" w:color="auto"/>
        <w:right w:val="none" w:sz="0" w:space="0" w:color="auto"/>
      </w:divBdr>
    </w:div>
    <w:div w:id="276062692">
      <w:marLeft w:val="0"/>
      <w:marRight w:val="0"/>
      <w:marTop w:val="120"/>
      <w:marBottom w:val="120"/>
      <w:divBdr>
        <w:top w:val="none" w:sz="0" w:space="0" w:color="auto"/>
        <w:left w:val="none" w:sz="0" w:space="0" w:color="auto"/>
        <w:bottom w:val="none" w:sz="0" w:space="0" w:color="auto"/>
        <w:right w:val="none" w:sz="0" w:space="0" w:color="auto"/>
      </w:divBdr>
    </w:div>
    <w:div w:id="276134589">
      <w:marLeft w:val="0"/>
      <w:marRight w:val="0"/>
      <w:marTop w:val="0"/>
      <w:marBottom w:val="0"/>
      <w:divBdr>
        <w:top w:val="none" w:sz="0" w:space="0" w:color="auto"/>
        <w:left w:val="none" w:sz="0" w:space="0" w:color="auto"/>
        <w:bottom w:val="none" w:sz="0" w:space="0" w:color="auto"/>
        <w:right w:val="none" w:sz="0" w:space="0" w:color="auto"/>
      </w:divBdr>
      <w:divsChild>
        <w:div w:id="601570545">
          <w:marLeft w:val="0"/>
          <w:marRight w:val="0"/>
          <w:marTop w:val="0"/>
          <w:marBottom w:val="0"/>
          <w:divBdr>
            <w:top w:val="none" w:sz="0" w:space="0" w:color="auto"/>
            <w:left w:val="none" w:sz="0" w:space="0" w:color="auto"/>
            <w:bottom w:val="none" w:sz="0" w:space="0" w:color="auto"/>
            <w:right w:val="none" w:sz="0" w:space="0" w:color="auto"/>
          </w:divBdr>
        </w:div>
      </w:divsChild>
    </w:div>
    <w:div w:id="276646577">
      <w:marLeft w:val="0"/>
      <w:marRight w:val="0"/>
      <w:marTop w:val="0"/>
      <w:marBottom w:val="0"/>
      <w:divBdr>
        <w:top w:val="none" w:sz="0" w:space="0" w:color="auto"/>
        <w:left w:val="none" w:sz="0" w:space="0" w:color="auto"/>
        <w:bottom w:val="none" w:sz="0" w:space="0" w:color="auto"/>
        <w:right w:val="none" w:sz="0" w:space="0" w:color="auto"/>
      </w:divBdr>
    </w:div>
    <w:div w:id="276958398">
      <w:marLeft w:val="0"/>
      <w:marRight w:val="0"/>
      <w:marTop w:val="120"/>
      <w:marBottom w:val="0"/>
      <w:divBdr>
        <w:top w:val="none" w:sz="0" w:space="0" w:color="auto"/>
        <w:left w:val="none" w:sz="0" w:space="0" w:color="auto"/>
        <w:bottom w:val="none" w:sz="0" w:space="0" w:color="auto"/>
        <w:right w:val="none" w:sz="0" w:space="0" w:color="auto"/>
      </w:divBdr>
    </w:div>
    <w:div w:id="281768368">
      <w:marLeft w:val="0"/>
      <w:marRight w:val="0"/>
      <w:marTop w:val="120"/>
      <w:marBottom w:val="120"/>
      <w:divBdr>
        <w:top w:val="none" w:sz="0" w:space="0" w:color="auto"/>
        <w:left w:val="none" w:sz="0" w:space="0" w:color="auto"/>
        <w:bottom w:val="none" w:sz="0" w:space="0" w:color="auto"/>
        <w:right w:val="none" w:sz="0" w:space="0" w:color="auto"/>
      </w:divBdr>
    </w:div>
    <w:div w:id="282469972">
      <w:marLeft w:val="0"/>
      <w:marRight w:val="0"/>
      <w:marTop w:val="120"/>
      <w:marBottom w:val="120"/>
      <w:divBdr>
        <w:top w:val="none" w:sz="0" w:space="0" w:color="auto"/>
        <w:left w:val="none" w:sz="0" w:space="0" w:color="auto"/>
        <w:bottom w:val="none" w:sz="0" w:space="0" w:color="auto"/>
        <w:right w:val="none" w:sz="0" w:space="0" w:color="auto"/>
      </w:divBdr>
    </w:div>
    <w:div w:id="284847801">
      <w:marLeft w:val="0"/>
      <w:marRight w:val="0"/>
      <w:marTop w:val="120"/>
      <w:marBottom w:val="0"/>
      <w:divBdr>
        <w:top w:val="none" w:sz="0" w:space="0" w:color="auto"/>
        <w:left w:val="none" w:sz="0" w:space="0" w:color="auto"/>
        <w:bottom w:val="none" w:sz="0" w:space="0" w:color="auto"/>
        <w:right w:val="none" w:sz="0" w:space="0" w:color="auto"/>
      </w:divBdr>
    </w:div>
    <w:div w:id="287593730">
      <w:marLeft w:val="0"/>
      <w:marRight w:val="0"/>
      <w:marTop w:val="120"/>
      <w:marBottom w:val="120"/>
      <w:divBdr>
        <w:top w:val="none" w:sz="0" w:space="0" w:color="auto"/>
        <w:left w:val="none" w:sz="0" w:space="0" w:color="auto"/>
        <w:bottom w:val="none" w:sz="0" w:space="0" w:color="auto"/>
        <w:right w:val="none" w:sz="0" w:space="0" w:color="auto"/>
      </w:divBdr>
    </w:div>
    <w:div w:id="298078326">
      <w:marLeft w:val="0"/>
      <w:marRight w:val="0"/>
      <w:marTop w:val="120"/>
      <w:marBottom w:val="0"/>
      <w:divBdr>
        <w:top w:val="none" w:sz="0" w:space="0" w:color="auto"/>
        <w:left w:val="none" w:sz="0" w:space="0" w:color="auto"/>
        <w:bottom w:val="none" w:sz="0" w:space="0" w:color="auto"/>
        <w:right w:val="none" w:sz="0" w:space="0" w:color="auto"/>
      </w:divBdr>
    </w:div>
    <w:div w:id="298732560">
      <w:marLeft w:val="0"/>
      <w:marRight w:val="0"/>
      <w:marTop w:val="120"/>
      <w:marBottom w:val="120"/>
      <w:divBdr>
        <w:top w:val="none" w:sz="0" w:space="0" w:color="auto"/>
        <w:left w:val="none" w:sz="0" w:space="0" w:color="auto"/>
        <w:bottom w:val="none" w:sz="0" w:space="0" w:color="auto"/>
        <w:right w:val="none" w:sz="0" w:space="0" w:color="auto"/>
      </w:divBdr>
    </w:div>
    <w:div w:id="299000494">
      <w:marLeft w:val="0"/>
      <w:marRight w:val="0"/>
      <w:marTop w:val="120"/>
      <w:marBottom w:val="0"/>
      <w:divBdr>
        <w:top w:val="none" w:sz="0" w:space="0" w:color="auto"/>
        <w:left w:val="none" w:sz="0" w:space="0" w:color="auto"/>
        <w:bottom w:val="none" w:sz="0" w:space="0" w:color="auto"/>
        <w:right w:val="none" w:sz="0" w:space="0" w:color="auto"/>
      </w:divBdr>
    </w:div>
    <w:div w:id="299919357">
      <w:marLeft w:val="0"/>
      <w:marRight w:val="0"/>
      <w:marTop w:val="0"/>
      <w:marBottom w:val="0"/>
      <w:divBdr>
        <w:top w:val="none" w:sz="0" w:space="0" w:color="auto"/>
        <w:left w:val="none" w:sz="0" w:space="0" w:color="auto"/>
        <w:bottom w:val="none" w:sz="0" w:space="0" w:color="auto"/>
        <w:right w:val="none" w:sz="0" w:space="0" w:color="auto"/>
      </w:divBdr>
      <w:divsChild>
        <w:div w:id="1165970805">
          <w:marLeft w:val="0"/>
          <w:marRight w:val="0"/>
          <w:marTop w:val="0"/>
          <w:marBottom w:val="0"/>
          <w:divBdr>
            <w:top w:val="none" w:sz="0" w:space="0" w:color="auto"/>
            <w:left w:val="none" w:sz="0" w:space="0" w:color="auto"/>
            <w:bottom w:val="none" w:sz="0" w:space="0" w:color="auto"/>
            <w:right w:val="none" w:sz="0" w:space="0" w:color="auto"/>
          </w:divBdr>
        </w:div>
      </w:divsChild>
    </w:div>
    <w:div w:id="300115443">
      <w:marLeft w:val="0"/>
      <w:marRight w:val="0"/>
      <w:marTop w:val="120"/>
      <w:marBottom w:val="0"/>
      <w:divBdr>
        <w:top w:val="none" w:sz="0" w:space="0" w:color="auto"/>
        <w:left w:val="none" w:sz="0" w:space="0" w:color="auto"/>
        <w:bottom w:val="none" w:sz="0" w:space="0" w:color="auto"/>
        <w:right w:val="none" w:sz="0" w:space="0" w:color="auto"/>
      </w:divBdr>
    </w:div>
    <w:div w:id="300965023">
      <w:marLeft w:val="0"/>
      <w:marRight w:val="0"/>
      <w:marTop w:val="0"/>
      <w:marBottom w:val="0"/>
      <w:divBdr>
        <w:top w:val="none" w:sz="0" w:space="0" w:color="auto"/>
        <w:left w:val="none" w:sz="0" w:space="0" w:color="auto"/>
        <w:bottom w:val="none" w:sz="0" w:space="0" w:color="auto"/>
        <w:right w:val="none" w:sz="0" w:space="0" w:color="auto"/>
      </w:divBdr>
      <w:divsChild>
        <w:div w:id="932593622">
          <w:marLeft w:val="0"/>
          <w:marRight w:val="0"/>
          <w:marTop w:val="0"/>
          <w:marBottom w:val="0"/>
          <w:divBdr>
            <w:top w:val="none" w:sz="0" w:space="0" w:color="auto"/>
            <w:left w:val="none" w:sz="0" w:space="0" w:color="auto"/>
            <w:bottom w:val="none" w:sz="0" w:space="0" w:color="auto"/>
            <w:right w:val="none" w:sz="0" w:space="0" w:color="auto"/>
          </w:divBdr>
        </w:div>
      </w:divsChild>
    </w:div>
    <w:div w:id="301007173">
      <w:marLeft w:val="0"/>
      <w:marRight w:val="0"/>
      <w:marTop w:val="120"/>
      <w:marBottom w:val="120"/>
      <w:divBdr>
        <w:top w:val="none" w:sz="0" w:space="0" w:color="auto"/>
        <w:left w:val="none" w:sz="0" w:space="0" w:color="auto"/>
        <w:bottom w:val="none" w:sz="0" w:space="0" w:color="auto"/>
        <w:right w:val="none" w:sz="0" w:space="0" w:color="auto"/>
      </w:divBdr>
    </w:div>
    <w:div w:id="301620625">
      <w:marLeft w:val="0"/>
      <w:marRight w:val="0"/>
      <w:marTop w:val="0"/>
      <w:marBottom w:val="0"/>
      <w:divBdr>
        <w:top w:val="none" w:sz="0" w:space="0" w:color="auto"/>
        <w:left w:val="none" w:sz="0" w:space="0" w:color="auto"/>
        <w:bottom w:val="none" w:sz="0" w:space="0" w:color="auto"/>
        <w:right w:val="none" w:sz="0" w:space="0" w:color="auto"/>
      </w:divBdr>
    </w:div>
    <w:div w:id="303589516">
      <w:marLeft w:val="0"/>
      <w:marRight w:val="0"/>
      <w:marTop w:val="120"/>
      <w:marBottom w:val="0"/>
      <w:divBdr>
        <w:top w:val="none" w:sz="0" w:space="0" w:color="auto"/>
        <w:left w:val="none" w:sz="0" w:space="0" w:color="auto"/>
        <w:bottom w:val="none" w:sz="0" w:space="0" w:color="auto"/>
        <w:right w:val="none" w:sz="0" w:space="0" w:color="auto"/>
      </w:divBdr>
    </w:div>
    <w:div w:id="305017958">
      <w:marLeft w:val="0"/>
      <w:marRight w:val="0"/>
      <w:marTop w:val="0"/>
      <w:marBottom w:val="0"/>
      <w:divBdr>
        <w:top w:val="none" w:sz="0" w:space="0" w:color="auto"/>
        <w:left w:val="none" w:sz="0" w:space="0" w:color="auto"/>
        <w:bottom w:val="none" w:sz="0" w:space="0" w:color="auto"/>
        <w:right w:val="none" w:sz="0" w:space="0" w:color="auto"/>
      </w:divBdr>
      <w:divsChild>
        <w:div w:id="697585450">
          <w:marLeft w:val="0"/>
          <w:marRight w:val="0"/>
          <w:marTop w:val="0"/>
          <w:marBottom w:val="0"/>
          <w:divBdr>
            <w:top w:val="none" w:sz="0" w:space="0" w:color="auto"/>
            <w:left w:val="none" w:sz="0" w:space="0" w:color="auto"/>
            <w:bottom w:val="none" w:sz="0" w:space="0" w:color="auto"/>
            <w:right w:val="none" w:sz="0" w:space="0" w:color="auto"/>
          </w:divBdr>
        </w:div>
      </w:divsChild>
    </w:div>
    <w:div w:id="308635433">
      <w:marLeft w:val="0"/>
      <w:marRight w:val="0"/>
      <w:marTop w:val="120"/>
      <w:marBottom w:val="0"/>
      <w:divBdr>
        <w:top w:val="none" w:sz="0" w:space="0" w:color="auto"/>
        <w:left w:val="none" w:sz="0" w:space="0" w:color="auto"/>
        <w:bottom w:val="none" w:sz="0" w:space="0" w:color="auto"/>
        <w:right w:val="none" w:sz="0" w:space="0" w:color="auto"/>
      </w:divBdr>
    </w:div>
    <w:div w:id="310715611">
      <w:marLeft w:val="0"/>
      <w:marRight w:val="0"/>
      <w:marTop w:val="0"/>
      <w:marBottom w:val="0"/>
      <w:divBdr>
        <w:top w:val="none" w:sz="0" w:space="0" w:color="auto"/>
        <w:left w:val="none" w:sz="0" w:space="0" w:color="auto"/>
        <w:bottom w:val="none" w:sz="0" w:space="0" w:color="auto"/>
        <w:right w:val="none" w:sz="0" w:space="0" w:color="auto"/>
      </w:divBdr>
    </w:div>
    <w:div w:id="312301382">
      <w:marLeft w:val="0"/>
      <w:marRight w:val="0"/>
      <w:marTop w:val="120"/>
      <w:marBottom w:val="0"/>
      <w:divBdr>
        <w:top w:val="none" w:sz="0" w:space="0" w:color="auto"/>
        <w:left w:val="none" w:sz="0" w:space="0" w:color="auto"/>
        <w:bottom w:val="none" w:sz="0" w:space="0" w:color="auto"/>
        <w:right w:val="none" w:sz="0" w:space="0" w:color="auto"/>
      </w:divBdr>
    </w:div>
    <w:div w:id="313026318">
      <w:marLeft w:val="0"/>
      <w:marRight w:val="0"/>
      <w:marTop w:val="120"/>
      <w:marBottom w:val="120"/>
      <w:divBdr>
        <w:top w:val="none" w:sz="0" w:space="0" w:color="auto"/>
        <w:left w:val="none" w:sz="0" w:space="0" w:color="auto"/>
        <w:bottom w:val="none" w:sz="0" w:space="0" w:color="auto"/>
        <w:right w:val="none" w:sz="0" w:space="0" w:color="auto"/>
      </w:divBdr>
    </w:div>
    <w:div w:id="313067496">
      <w:marLeft w:val="0"/>
      <w:marRight w:val="0"/>
      <w:marTop w:val="120"/>
      <w:marBottom w:val="120"/>
      <w:divBdr>
        <w:top w:val="none" w:sz="0" w:space="0" w:color="auto"/>
        <w:left w:val="none" w:sz="0" w:space="0" w:color="auto"/>
        <w:bottom w:val="none" w:sz="0" w:space="0" w:color="auto"/>
        <w:right w:val="none" w:sz="0" w:space="0" w:color="auto"/>
      </w:divBdr>
    </w:div>
    <w:div w:id="315691816">
      <w:marLeft w:val="0"/>
      <w:marRight w:val="0"/>
      <w:marTop w:val="0"/>
      <w:marBottom w:val="0"/>
      <w:divBdr>
        <w:top w:val="none" w:sz="0" w:space="0" w:color="auto"/>
        <w:left w:val="none" w:sz="0" w:space="0" w:color="auto"/>
        <w:bottom w:val="none" w:sz="0" w:space="0" w:color="auto"/>
        <w:right w:val="none" w:sz="0" w:space="0" w:color="auto"/>
      </w:divBdr>
    </w:div>
    <w:div w:id="316998088">
      <w:marLeft w:val="0"/>
      <w:marRight w:val="0"/>
      <w:marTop w:val="120"/>
      <w:marBottom w:val="120"/>
      <w:divBdr>
        <w:top w:val="none" w:sz="0" w:space="0" w:color="auto"/>
        <w:left w:val="none" w:sz="0" w:space="0" w:color="auto"/>
        <w:bottom w:val="none" w:sz="0" w:space="0" w:color="auto"/>
        <w:right w:val="none" w:sz="0" w:space="0" w:color="auto"/>
      </w:divBdr>
    </w:div>
    <w:div w:id="318273997">
      <w:marLeft w:val="0"/>
      <w:marRight w:val="0"/>
      <w:marTop w:val="0"/>
      <w:marBottom w:val="0"/>
      <w:divBdr>
        <w:top w:val="none" w:sz="0" w:space="0" w:color="auto"/>
        <w:left w:val="none" w:sz="0" w:space="0" w:color="auto"/>
        <w:bottom w:val="none" w:sz="0" w:space="0" w:color="auto"/>
        <w:right w:val="none" w:sz="0" w:space="0" w:color="auto"/>
      </w:divBdr>
      <w:divsChild>
        <w:div w:id="690301792">
          <w:marLeft w:val="0"/>
          <w:marRight w:val="0"/>
          <w:marTop w:val="0"/>
          <w:marBottom w:val="0"/>
          <w:divBdr>
            <w:top w:val="none" w:sz="0" w:space="0" w:color="auto"/>
            <w:left w:val="none" w:sz="0" w:space="0" w:color="auto"/>
            <w:bottom w:val="none" w:sz="0" w:space="0" w:color="auto"/>
            <w:right w:val="none" w:sz="0" w:space="0" w:color="auto"/>
          </w:divBdr>
        </w:div>
      </w:divsChild>
    </w:div>
    <w:div w:id="318535718">
      <w:marLeft w:val="0"/>
      <w:marRight w:val="0"/>
      <w:marTop w:val="120"/>
      <w:marBottom w:val="0"/>
      <w:divBdr>
        <w:top w:val="none" w:sz="0" w:space="0" w:color="auto"/>
        <w:left w:val="none" w:sz="0" w:space="0" w:color="auto"/>
        <w:bottom w:val="none" w:sz="0" w:space="0" w:color="auto"/>
        <w:right w:val="none" w:sz="0" w:space="0" w:color="auto"/>
      </w:divBdr>
    </w:div>
    <w:div w:id="321812422">
      <w:marLeft w:val="0"/>
      <w:marRight w:val="0"/>
      <w:marTop w:val="120"/>
      <w:marBottom w:val="120"/>
      <w:divBdr>
        <w:top w:val="none" w:sz="0" w:space="0" w:color="auto"/>
        <w:left w:val="none" w:sz="0" w:space="0" w:color="auto"/>
        <w:bottom w:val="none" w:sz="0" w:space="0" w:color="auto"/>
        <w:right w:val="none" w:sz="0" w:space="0" w:color="auto"/>
      </w:divBdr>
    </w:div>
    <w:div w:id="325549451">
      <w:marLeft w:val="0"/>
      <w:marRight w:val="0"/>
      <w:marTop w:val="120"/>
      <w:marBottom w:val="60"/>
      <w:divBdr>
        <w:top w:val="none" w:sz="0" w:space="0" w:color="auto"/>
        <w:left w:val="none" w:sz="0" w:space="0" w:color="auto"/>
        <w:bottom w:val="none" w:sz="0" w:space="0" w:color="auto"/>
        <w:right w:val="none" w:sz="0" w:space="0" w:color="auto"/>
      </w:divBdr>
    </w:div>
    <w:div w:id="327101880">
      <w:marLeft w:val="0"/>
      <w:marRight w:val="0"/>
      <w:marTop w:val="120"/>
      <w:marBottom w:val="120"/>
      <w:divBdr>
        <w:top w:val="none" w:sz="0" w:space="0" w:color="auto"/>
        <w:left w:val="none" w:sz="0" w:space="0" w:color="auto"/>
        <w:bottom w:val="none" w:sz="0" w:space="0" w:color="auto"/>
        <w:right w:val="none" w:sz="0" w:space="0" w:color="auto"/>
      </w:divBdr>
    </w:div>
    <w:div w:id="327292667">
      <w:marLeft w:val="0"/>
      <w:marRight w:val="0"/>
      <w:marTop w:val="120"/>
      <w:marBottom w:val="120"/>
      <w:divBdr>
        <w:top w:val="none" w:sz="0" w:space="0" w:color="auto"/>
        <w:left w:val="none" w:sz="0" w:space="0" w:color="auto"/>
        <w:bottom w:val="none" w:sz="0" w:space="0" w:color="auto"/>
        <w:right w:val="none" w:sz="0" w:space="0" w:color="auto"/>
      </w:divBdr>
    </w:div>
    <w:div w:id="328412762">
      <w:marLeft w:val="0"/>
      <w:marRight w:val="0"/>
      <w:marTop w:val="120"/>
      <w:marBottom w:val="0"/>
      <w:divBdr>
        <w:top w:val="none" w:sz="0" w:space="0" w:color="auto"/>
        <w:left w:val="none" w:sz="0" w:space="0" w:color="auto"/>
        <w:bottom w:val="none" w:sz="0" w:space="0" w:color="auto"/>
        <w:right w:val="none" w:sz="0" w:space="0" w:color="auto"/>
      </w:divBdr>
    </w:div>
    <w:div w:id="331376766">
      <w:marLeft w:val="0"/>
      <w:marRight w:val="0"/>
      <w:marTop w:val="0"/>
      <w:marBottom w:val="0"/>
      <w:divBdr>
        <w:top w:val="none" w:sz="0" w:space="0" w:color="auto"/>
        <w:left w:val="none" w:sz="0" w:space="0" w:color="auto"/>
        <w:bottom w:val="none" w:sz="0" w:space="0" w:color="auto"/>
        <w:right w:val="none" w:sz="0" w:space="0" w:color="auto"/>
      </w:divBdr>
    </w:div>
    <w:div w:id="331496193">
      <w:marLeft w:val="0"/>
      <w:marRight w:val="0"/>
      <w:marTop w:val="120"/>
      <w:marBottom w:val="0"/>
      <w:divBdr>
        <w:top w:val="none" w:sz="0" w:space="0" w:color="auto"/>
        <w:left w:val="none" w:sz="0" w:space="0" w:color="auto"/>
        <w:bottom w:val="none" w:sz="0" w:space="0" w:color="auto"/>
        <w:right w:val="none" w:sz="0" w:space="0" w:color="auto"/>
      </w:divBdr>
    </w:div>
    <w:div w:id="331766155">
      <w:marLeft w:val="0"/>
      <w:marRight w:val="0"/>
      <w:marTop w:val="0"/>
      <w:marBottom w:val="0"/>
      <w:divBdr>
        <w:top w:val="none" w:sz="0" w:space="0" w:color="auto"/>
        <w:left w:val="none" w:sz="0" w:space="0" w:color="auto"/>
        <w:bottom w:val="none" w:sz="0" w:space="0" w:color="auto"/>
        <w:right w:val="none" w:sz="0" w:space="0" w:color="auto"/>
      </w:divBdr>
      <w:divsChild>
        <w:div w:id="1533613798">
          <w:marLeft w:val="0"/>
          <w:marRight w:val="0"/>
          <w:marTop w:val="0"/>
          <w:marBottom w:val="0"/>
          <w:divBdr>
            <w:top w:val="none" w:sz="0" w:space="0" w:color="auto"/>
            <w:left w:val="none" w:sz="0" w:space="0" w:color="auto"/>
            <w:bottom w:val="none" w:sz="0" w:space="0" w:color="auto"/>
            <w:right w:val="none" w:sz="0" w:space="0" w:color="auto"/>
          </w:divBdr>
        </w:div>
      </w:divsChild>
    </w:div>
    <w:div w:id="334457534">
      <w:marLeft w:val="0"/>
      <w:marRight w:val="0"/>
      <w:marTop w:val="120"/>
      <w:marBottom w:val="0"/>
      <w:divBdr>
        <w:top w:val="none" w:sz="0" w:space="0" w:color="auto"/>
        <w:left w:val="none" w:sz="0" w:space="0" w:color="auto"/>
        <w:bottom w:val="none" w:sz="0" w:space="0" w:color="auto"/>
        <w:right w:val="none" w:sz="0" w:space="0" w:color="auto"/>
      </w:divBdr>
    </w:div>
    <w:div w:id="336152211">
      <w:marLeft w:val="0"/>
      <w:marRight w:val="0"/>
      <w:marTop w:val="0"/>
      <w:marBottom w:val="0"/>
      <w:divBdr>
        <w:top w:val="none" w:sz="0" w:space="0" w:color="auto"/>
        <w:left w:val="none" w:sz="0" w:space="0" w:color="auto"/>
        <w:bottom w:val="none" w:sz="0" w:space="0" w:color="auto"/>
        <w:right w:val="none" w:sz="0" w:space="0" w:color="auto"/>
      </w:divBdr>
    </w:div>
    <w:div w:id="337200087">
      <w:marLeft w:val="0"/>
      <w:marRight w:val="0"/>
      <w:marTop w:val="120"/>
      <w:marBottom w:val="0"/>
      <w:divBdr>
        <w:top w:val="none" w:sz="0" w:space="0" w:color="auto"/>
        <w:left w:val="none" w:sz="0" w:space="0" w:color="auto"/>
        <w:bottom w:val="none" w:sz="0" w:space="0" w:color="auto"/>
        <w:right w:val="none" w:sz="0" w:space="0" w:color="auto"/>
      </w:divBdr>
    </w:div>
    <w:div w:id="338850590">
      <w:marLeft w:val="0"/>
      <w:marRight w:val="0"/>
      <w:marTop w:val="0"/>
      <w:marBottom w:val="0"/>
      <w:divBdr>
        <w:top w:val="none" w:sz="0" w:space="0" w:color="auto"/>
        <w:left w:val="none" w:sz="0" w:space="0" w:color="auto"/>
        <w:bottom w:val="none" w:sz="0" w:space="0" w:color="auto"/>
        <w:right w:val="none" w:sz="0" w:space="0" w:color="auto"/>
      </w:divBdr>
    </w:div>
    <w:div w:id="342630440">
      <w:marLeft w:val="0"/>
      <w:marRight w:val="0"/>
      <w:marTop w:val="0"/>
      <w:marBottom w:val="0"/>
      <w:divBdr>
        <w:top w:val="none" w:sz="0" w:space="0" w:color="auto"/>
        <w:left w:val="none" w:sz="0" w:space="0" w:color="auto"/>
        <w:bottom w:val="none" w:sz="0" w:space="0" w:color="auto"/>
        <w:right w:val="none" w:sz="0" w:space="0" w:color="auto"/>
      </w:divBdr>
    </w:div>
    <w:div w:id="343216104">
      <w:marLeft w:val="0"/>
      <w:marRight w:val="0"/>
      <w:marTop w:val="120"/>
      <w:marBottom w:val="120"/>
      <w:divBdr>
        <w:top w:val="none" w:sz="0" w:space="0" w:color="auto"/>
        <w:left w:val="none" w:sz="0" w:space="0" w:color="auto"/>
        <w:bottom w:val="none" w:sz="0" w:space="0" w:color="auto"/>
        <w:right w:val="none" w:sz="0" w:space="0" w:color="auto"/>
      </w:divBdr>
    </w:div>
    <w:div w:id="343823084">
      <w:marLeft w:val="0"/>
      <w:marRight w:val="0"/>
      <w:marTop w:val="120"/>
      <w:marBottom w:val="0"/>
      <w:divBdr>
        <w:top w:val="none" w:sz="0" w:space="0" w:color="auto"/>
        <w:left w:val="none" w:sz="0" w:space="0" w:color="auto"/>
        <w:bottom w:val="none" w:sz="0" w:space="0" w:color="auto"/>
        <w:right w:val="none" w:sz="0" w:space="0" w:color="auto"/>
      </w:divBdr>
    </w:div>
    <w:div w:id="344331865">
      <w:marLeft w:val="0"/>
      <w:marRight w:val="0"/>
      <w:marTop w:val="120"/>
      <w:marBottom w:val="0"/>
      <w:divBdr>
        <w:top w:val="none" w:sz="0" w:space="0" w:color="auto"/>
        <w:left w:val="none" w:sz="0" w:space="0" w:color="auto"/>
        <w:bottom w:val="none" w:sz="0" w:space="0" w:color="auto"/>
        <w:right w:val="none" w:sz="0" w:space="0" w:color="auto"/>
      </w:divBdr>
      <w:divsChild>
        <w:div w:id="1775662660">
          <w:marLeft w:val="0"/>
          <w:marRight w:val="0"/>
          <w:marTop w:val="120"/>
          <w:marBottom w:val="0"/>
          <w:divBdr>
            <w:top w:val="none" w:sz="0" w:space="0" w:color="auto"/>
            <w:left w:val="none" w:sz="0" w:space="0" w:color="auto"/>
            <w:bottom w:val="none" w:sz="0" w:space="0" w:color="auto"/>
            <w:right w:val="none" w:sz="0" w:space="0" w:color="auto"/>
          </w:divBdr>
        </w:div>
      </w:divsChild>
    </w:div>
    <w:div w:id="345593435">
      <w:marLeft w:val="0"/>
      <w:marRight w:val="0"/>
      <w:marTop w:val="0"/>
      <w:marBottom w:val="0"/>
      <w:divBdr>
        <w:top w:val="none" w:sz="0" w:space="0" w:color="auto"/>
        <w:left w:val="none" w:sz="0" w:space="0" w:color="auto"/>
        <w:bottom w:val="none" w:sz="0" w:space="0" w:color="auto"/>
        <w:right w:val="none" w:sz="0" w:space="0" w:color="auto"/>
      </w:divBdr>
      <w:divsChild>
        <w:div w:id="1969625437">
          <w:marLeft w:val="0"/>
          <w:marRight w:val="0"/>
          <w:marTop w:val="0"/>
          <w:marBottom w:val="0"/>
          <w:divBdr>
            <w:top w:val="none" w:sz="0" w:space="0" w:color="auto"/>
            <w:left w:val="none" w:sz="0" w:space="0" w:color="auto"/>
            <w:bottom w:val="none" w:sz="0" w:space="0" w:color="auto"/>
            <w:right w:val="none" w:sz="0" w:space="0" w:color="auto"/>
          </w:divBdr>
        </w:div>
      </w:divsChild>
    </w:div>
    <w:div w:id="348142818">
      <w:marLeft w:val="0"/>
      <w:marRight w:val="0"/>
      <w:marTop w:val="120"/>
      <w:marBottom w:val="120"/>
      <w:divBdr>
        <w:top w:val="none" w:sz="0" w:space="0" w:color="auto"/>
        <w:left w:val="none" w:sz="0" w:space="0" w:color="auto"/>
        <w:bottom w:val="none" w:sz="0" w:space="0" w:color="auto"/>
        <w:right w:val="none" w:sz="0" w:space="0" w:color="auto"/>
      </w:divBdr>
      <w:divsChild>
        <w:div w:id="1699350187">
          <w:marLeft w:val="0"/>
          <w:marRight w:val="0"/>
          <w:marTop w:val="0"/>
          <w:marBottom w:val="0"/>
          <w:divBdr>
            <w:top w:val="none" w:sz="0" w:space="0" w:color="auto"/>
            <w:left w:val="none" w:sz="0" w:space="0" w:color="auto"/>
            <w:bottom w:val="none" w:sz="0" w:space="0" w:color="auto"/>
            <w:right w:val="none" w:sz="0" w:space="0" w:color="auto"/>
          </w:divBdr>
        </w:div>
        <w:div w:id="1755318183">
          <w:marLeft w:val="0"/>
          <w:marRight w:val="0"/>
          <w:marTop w:val="0"/>
          <w:marBottom w:val="0"/>
          <w:divBdr>
            <w:top w:val="none" w:sz="0" w:space="0" w:color="auto"/>
            <w:left w:val="none" w:sz="0" w:space="0" w:color="auto"/>
            <w:bottom w:val="none" w:sz="0" w:space="0" w:color="auto"/>
            <w:right w:val="none" w:sz="0" w:space="0" w:color="auto"/>
          </w:divBdr>
        </w:div>
        <w:div w:id="326253071">
          <w:marLeft w:val="0"/>
          <w:marRight w:val="0"/>
          <w:marTop w:val="0"/>
          <w:marBottom w:val="0"/>
          <w:divBdr>
            <w:top w:val="none" w:sz="0" w:space="0" w:color="auto"/>
            <w:left w:val="none" w:sz="0" w:space="0" w:color="auto"/>
            <w:bottom w:val="none" w:sz="0" w:space="0" w:color="auto"/>
            <w:right w:val="none" w:sz="0" w:space="0" w:color="auto"/>
          </w:divBdr>
        </w:div>
        <w:div w:id="1817799166">
          <w:marLeft w:val="0"/>
          <w:marRight w:val="0"/>
          <w:marTop w:val="0"/>
          <w:marBottom w:val="0"/>
          <w:divBdr>
            <w:top w:val="none" w:sz="0" w:space="0" w:color="auto"/>
            <w:left w:val="none" w:sz="0" w:space="0" w:color="auto"/>
            <w:bottom w:val="none" w:sz="0" w:space="0" w:color="auto"/>
            <w:right w:val="none" w:sz="0" w:space="0" w:color="auto"/>
          </w:divBdr>
        </w:div>
      </w:divsChild>
    </w:div>
    <w:div w:id="358817933">
      <w:marLeft w:val="0"/>
      <w:marRight w:val="0"/>
      <w:marTop w:val="120"/>
      <w:marBottom w:val="120"/>
      <w:divBdr>
        <w:top w:val="none" w:sz="0" w:space="0" w:color="auto"/>
        <w:left w:val="none" w:sz="0" w:space="0" w:color="auto"/>
        <w:bottom w:val="none" w:sz="0" w:space="0" w:color="auto"/>
        <w:right w:val="none" w:sz="0" w:space="0" w:color="auto"/>
      </w:divBdr>
    </w:div>
    <w:div w:id="359865404">
      <w:marLeft w:val="0"/>
      <w:marRight w:val="0"/>
      <w:marTop w:val="0"/>
      <w:marBottom w:val="0"/>
      <w:divBdr>
        <w:top w:val="none" w:sz="0" w:space="0" w:color="auto"/>
        <w:left w:val="none" w:sz="0" w:space="0" w:color="auto"/>
        <w:bottom w:val="none" w:sz="0" w:space="0" w:color="auto"/>
        <w:right w:val="none" w:sz="0" w:space="0" w:color="auto"/>
      </w:divBdr>
      <w:divsChild>
        <w:div w:id="1525048741">
          <w:marLeft w:val="0"/>
          <w:marRight w:val="0"/>
          <w:marTop w:val="0"/>
          <w:marBottom w:val="0"/>
          <w:divBdr>
            <w:top w:val="none" w:sz="0" w:space="0" w:color="auto"/>
            <w:left w:val="none" w:sz="0" w:space="0" w:color="auto"/>
            <w:bottom w:val="none" w:sz="0" w:space="0" w:color="auto"/>
            <w:right w:val="none" w:sz="0" w:space="0" w:color="auto"/>
          </w:divBdr>
        </w:div>
      </w:divsChild>
    </w:div>
    <w:div w:id="362831558">
      <w:marLeft w:val="0"/>
      <w:marRight w:val="0"/>
      <w:marTop w:val="120"/>
      <w:marBottom w:val="0"/>
      <w:divBdr>
        <w:top w:val="none" w:sz="0" w:space="0" w:color="auto"/>
        <w:left w:val="none" w:sz="0" w:space="0" w:color="auto"/>
        <w:bottom w:val="none" w:sz="0" w:space="0" w:color="auto"/>
        <w:right w:val="none" w:sz="0" w:space="0" w:color="auto"/>
      </w:divBdr>
    </w:div>
    <w:div w:id="363096026">
      <w:marLeft w:val="0"/>
      <w:marRight w:val="0"/>
      <w:marTop w:val="0"/>
      <w:marBottom w:val="0"/>
      <w:divBdr>
        <w:top w:val="none" w:sz="0" w:space="0" w:color="auto"/>
        <w:left w:val="none" w:sz="0" w:space="0" w:color="auto"/>
        <w:bottom w:val="none" w:sz="0" w:space="0" w:color="auto"/>
        <w:right w:val="none" w:sz="0" w:space="0" w:color="auto"/>
      </w:divBdr>
    </w:div>
    <w:div w:id="363289713">
      <w:marLeft w:val="0"/>
      <w:marRight w:val="0"/>
      <w:marTop w:val="120"/>
      <w:marBottom w:val="120"/>
      <w:divBdr>
        <w:top w:val="none" w:sz="0" w:space="0" w:color="auto"/>
        <w:left w:val="none" w:sz="0" w:space="0" w:color="auto"/>
        <w:bottom w:val="none" w:sz="0" w:space="0" w:color="auto"/>
        <w:right w:val="none" w:sz="0" w:space="0" w:color="auto"/>
      </w:divBdr>
    </w:div>
    <w:div w:id="363559496">
      <w:marLeft w:val="0"/>
      <w:marRight w:val="0"/>
      <w:marTop w:val="120"/>
      <w:marBottom w:val="120"/>
      <w:divBdr>
        <w:top w:val="none" w:sz="0" w:space="0" w:color="auto"/>
        <w:left w:val="none" w:sz="0" w:space="0" w:color="auto"/>
        <w:bottom w:val="none" w:sz="0" w:space="0" w:color="auto"/>
        <w:right w:val="none" w:sz="0" w:space="0" w:color="auto"/>
      </w:divBdr>
    </w:div>
    <w:div w:id="364871655">
      <w:marLeft w:val="0"/>
      <w:marRight w:val="0"/>
      <w:marTop w:val="0"/>
      <w:marBottom w:val="0"/>
      <w:divBdr>
        <w:top w:val="none" w:sz="0" w:space="0" w:color="auto"/>
        <w:left w:val="none" w:sz="0" w:space="0" w:color="auto"/>
        <w:bottom w:val="none" w:sz="0" w:space="0" w:color="auto"/>
        <w:right w:val="none" w:sz="0" w:space="0" w:color="auto"/>
      </w:divBdr>
    </w:div>
    <w:div w:id="366372509">
      <w:marLeft w:val="0"/>
      <w:marRight w:val="0"/>
      <w:marTop w:val="120"/>
      <w:marBottom w:val="0"/>
      <w:divBdr>
        <w:top w:val="none" w:sz="0" w:space="0" w:color="auto"/>
        <w:left w:val="none" w:sz="0" w:space="0" w:color="auto"/>
        <w:bottom w:val="none" w:sz="0" w:space="0" w:color="auto"/>
        <w:right w:val="none" w:sz="0" w:space="0" w:color="auto"/>
      </w:divBdr>
    </w:div>
    <w:div w:id="367067909">
      <w:marLeft w:val="0"/>
      <w:marRight w:val="0"/>
      <w:marTop w:val="0"/>
      <w:marBottom w:val="0"/>
      <w:divBdr>
        <w:top w:val="none" w:sz="0" w:space="0" w:color="auto"/>
        <w:left w:val="none" w:sz="0" w:space="0" w:color="auto"/>
        <w:bottom w:val="none" w:sz="0" w:space="0" w:color="auto"/>
        <w:right w:val="none" w:sz="0" w:space="0" w:color="auto"/>
      </w:divBdr>
    </w:div>
    <w:div w:id="370888230">
      <w:marLeft w:val="0"/>
      <w:marRight w:val="0"/>
      <w:marTop w:val="0"/>
      <w:marBottom w:val="0"/>
      <w:divBdr>
        <w:top w:val="none" w:sz="0" w:space="0" w:color="auto"/>
        <w:left w:val="none" w:sz="0" w:space="0" w:color="auto"/>
        <w:bottom w:val="none" w:sz="0" w:space="0" w:color="auto"/>
        <w:right w:val="none" w:sz="0" w:space="0" w:color="auto"/>
      </w:divBdr>
    </w:div>
    <w:div w:id="375160457">
      <w:marLeft w:val="0"/>
      <w:marRight w:val="0"/>
      <w:marTop w:val="120"/>
      <w:marBottom w:val="120"/>
      <w:divBdr>
        <w:top w:val="none" w:sz="0" w:space="0" w:color="auto"/>
        <w:left w:val="none" w:sz="0" w:space="0" w:color="auto"/>
        <w:bottom w:val="none" w:sz="0" w:space="0" w:color="auto"/>
        <w:right w:val="none" w:sz="0" w:space="0" w:color="auto"/>
      </w:divBdr>
    </w:div>
    <w:div w:id="378629613">
      <w:marLeft w:val="0"/>
      <w:marRight w:val="0"/>
      <w:marTop w:val="0"/>
      <w:marBottom w:val="0"/>
      <w:divBdr>
        <w:top w:val="none" w:sz="0" w:space="0" w:color="auto"/>
        <w:left w:val="none" w:sz="0" w:space="0" w:color="auto"/>
        <w:bottom w:val="none" w:sz="0" w:space="0" w:color="auto"/>
        <w:right w:val="none" w:sz="0" w:space="0" w:color="auto"/>
      </w:divBdr>
    </w:div>
    <w:div w:id="379138453">
      <w:marLeft w:val="0"/>
      <w:marRight w:val="0"/>
      <w:marTop w:val="240"/>
      <w:marBottom w:val="0"/>
      <w:divBdr>
        <w:top w:val="none" w:sz="0" w:space="0" w:color="auto"/>
        <w:left w:val="none" w:sz="0" w:space="0" w:color="auto"/>
        <w:bottom w:val="none" w:sz="0" w:space="0" w:color="auto"/>
        <w:right w:val="none" w:sz="0" w:space="0" w:color="auto"/>
      </w:divBdr>
    </w:div>
    <w:div w:id="379399238">
      <w:marLeft w:val="0"/>
      <w:marRight w:val="0"/>
      <w:marTop w:val="0"/>
      <w:marBottom w:val="0"/>
      <w:divBdr>
        <w:top w:val="none" w:sz="0" w:space="0" w:color="auto"/>
        <w:left w:val="none" w:sz="0" w:space="0" w:color="auto"/>
        <w:bottom w:val="none" w:sz="0" w:space="0" w:color="auto"/>
        <w:right w:val="none" w:sz="0" w:space="0" w:color="auto"/>
      </w:divBdr>
    </w:div>
    <w:div w:id="388385383">
      <w:marLeft w:val="0"/>
      <w:marRight w:val="0"/>
      <w:marTop w:val="0"/>
      <w:marBottom w:val="0"/>
      <w:divBdr>
        <w:top w:val="none" w:sz="0" w:space="0" w:color="auto"/>
        <w:left w:val="none" w:sz="0" w:space="0" w:color="auto"/>
        <w:bottom w:val="none" w:sz="0" w:space="0" w:color="auto"/>
        <w:right w:val="none" w:sz="0" w:space="0" w:color="auto"/>
      </w:divBdr>
    </w:div>
    <w:div w:id="391346411">
      <w:marLeft w:val="0"/>
      <w:marRight w:val="0"/>
      <w:marTop w:val="0"/>
      <w:marBottom w:val="0"/>
      <w:divBdr>
        <w:top w:val="none" w:sz="0" w:space="0" w:color="auto"/>
        <w:left w:val="none" w:sz="0" w:space="0" w:color="auto"/>
        <w:bottom w:val="none" w:sz="0" w:space="0" w:color="auto"/>
        <w:right w:val="none" w:sz="0" w:space="0" w:color="auto"/>
      </w:divBdr>
    </w:div>
    <w:div w:id="393084932">
      <w:marLeft w:val="0"/>
      <w:marRight w:val="0"/>
      <w:marTop w:val="120"/>
      <w:marBottom w:val="0"/>
      <w:divBdr>
        <w:top w:val="none" w:sz="0" w:space="0" w:color="auto"/>
        <w:left w:val="none" w:sz="0" w:space="0" w:color="auto"/>
        <w:bottom w:val="none" w:sz="0" w:space="0" w:color="auto"/>
        <w:right w:val="none" w:sz="0" w:space="0" w:color="auto"/>
      </w:divBdr>
    </w:div>
    <w:div w:id="395323979">
      <w:marLeft w:val="0"/>
      <w:marRight w:val="0"/>
      <w:marTop w:val="120"/>
      <w:marBottom w:val="120"/>
      <w:divBdr>
        <w:top w:val="none" w:sz="0" w:space="0" w:color="auto"/>
        <w:left w:val="none" w:sz="0" w:space="0" w:color="auto"/>
        <w:bottom w:val="none" w:sz="0" w:space="0" w:color="auto"/>
        <w:right w:val="none" w:sz="0" w:space="0" w:color="auto"/>
      </w:divBdr>
    </w:div>
    <w:div w:id="395863531">
      <w:marLeft w:val="0"/>
      <w:marRight w:val="0"/>
      <w:marTop w:val="120"/>
      <w:marBottom w:val="0"/>
      <w:divBdr>
        <w:top w:val="none" w:sz="0" w:space="0" w:color="auto"/>
        <w:left w:val="none" w:sz="0" w:space="0" w:color="auto"/>
        <w:bottom w:val="none" w:sz="0" w:space="0" w:color="auto"/>
        <w:right w:val="none" w:sz="0" w:space="0" w:color="auto"/>
      </w:divBdr>
    </w:div>
    <w:div w:id="402214541">
      <w:marLeft w:val="0"/>
      <w:marRight w:val="0"/>
      <w:marTop w:val="120"/>
      <w:marBottom w:val="0"/>
      <w:divBdr>
        <w:top w:val="none" w:sz="0" w:space="0" w:color="auto"/>
        <w:left w:val="none" w:sz="0" w:space="0" w:color="auto"/>
        <w:bottom w:val="none" w:sz="0" w:space="0" w:color="auto"/>
        <w:right w:val="none" w:sz="0" w:space="0" w:color="auto"/>
      </w:divBdr>
    </w:div>
    <w:div w:id="405763013">
      <w:marLeft w:val="0"/>
      <w:marRight w:val="0"/>
      <w:marTop w:val="120"/>
      <w:marBottom w:val="120"/>
      <w:divBdr>
        <w:top w:val="none" w:sz="0" w:space="0" w:color="auto"/>
        <w:left w:val="none" w:sz="0" w:space="0" w:color="auto"/>
        <w:bottom w:val="none" w:sz="0" w:space="0" w:color="auto"/>
        <w:right w:val="none" w:sz="0" w:space="0" w:color="auto"/>
      </w:divBdr>
    </w:div>
    <w:div w:id="406535555">
      <w:marLeft w:val="0"/>
      <w:marRight w:val="0"/>
      <w:marTop w:val="120"/>
      <w:marBottom w:val="120"/>
      <w:divBdr>
        <w:top w:val="none" w:sz="0" w:space="0" w:color="auto"/>
        <w:left w:val="none" w:sz="0" w:space="0" w:color="auto"/>
        <w:bottom w:val="none" w:sz="0" w:space="0" w:color="auto"/>
        <w:right w:val="none" w:sz="0" w:space="0" w:color="auto"/>
      </w:divBdr>
    </w:div>
    <w:div w:id="407338603">
      <w:marLeft w:val="0"/>
      <w:marRight w:val="0"/>
      <w:marTop w:val="120"/>
      <w:marBottom w:val="0"/>
      <w:divBdr>
        <w:top w:val="none" w:sz="0" w:space="0" w:color="auto"/>
        <w:left w:val="none" w:sz="0" w:space="0" w:color="auto"/>
        <w:bottom w:val="none" w:sz="0" w:space="0" w:color="auto"/>
        <w:right w:val="none" w:sz="0" w:space="0" w:color="auto"/>
      </w:divBdr>
    </w:div>
    <w:div w:id="410930958">
      <w:marLeft w:val="0"/>
      <w:marRight w:val="0"/>
      <w:marTop w:val="120"/>
      <w:marBottom w:val="0"/>
      <w:divBdr>
        <w:top w:val="none" w:sz="0" w:space="0" w:color="auto"/>
        <w:left w:val="none" w:sz="0" w:space="0" w:color="auto"/>
        <w:bottom w:val="none" w:sz="0" w:space="0" w:color="auto"/>
        <w:right w:val="none" w:sz="0" w:space="0" w:color="auto"/>
      </w:divBdr>
      <w:divsChild>
        <w:div w:id="684091862">
          <w:marLeft w:val="0"/>
          <w:marRight w:val="0"/>
          <w:marTop w:val="0"/>
          <w:marBottom w:val="0"/>
          <w:divBdr>
            <w:top w:val="none" w:sz="0" w:space="0" w:color="auto"/>
            <w:left w:val="none" w:sz="0" w:space="0" w:color="auto"/>
            <w:bottom w:val="none" w:sz="0" w:space="0" w:color="auto"/>
            <w:right w:val="none" w:sz="0" w:space="0" w:color="auto"/>
          </w:divBdr>
        </w:div>
        <w:div w:id="1690059610">
          <w:marLeft w:val="0"/>
          <w:marRight w:val="0"/>
          <w:marTop w:val="0"/>
          <w:marBottom w:val="0"/>
          <w:divBdr>
            <w:top w:val="none" w:sz="0" w:space="0" w:color="auto"/>
            <w:left w:val="none" w:sz="0" w:space="0" w:color="auto"/>
            <w:bottom w:val="none" w:sz="0" w:space="0" w:color="auto"/>
            <w:right w:val="none" w:sz="0" w:space="0" w:color="auto"/>
          </w:divBdr>
        </w:div>
        <w:div w:id="1592011644">
          <w:marLeft w:val="0"/>
          <w:marRight w:val="0"/>
          <w:marTop w:val="0"/>
          <w:marBottom w:val="0"/>
          <w:divBdr>
            <w:top w:val="none" w:sz="0" w:space="0" w:color="auto"/>
            <w:left w:val="none" w:sz="0" w:space="0" w:color="auto"/>
            <w:bottom w:val="none" w:sz="0" w:space="0" w:color="auto"/>
            <w:right w:val="none" w:sz="0" w:space="0" w:color="auto"/>
          </w:divBdr>
        </w:div>
        <w:div w:id="967397710">
          <w:marLeft w:val="0"/>
          <w:marRight w:val="0"/>
          <w:marTop w:val="0"/>
          <w:marBottom w:val="0"/>
          <w:divBdr>
            <w:top w:val="none" w:sz="0" w:space="0" w:color="auto"/>
            <w:left w:val="none" w:sz="0" w:space="0" w:color="auto"/>
            <w:bottom w:val="none" w:sz="0" w:space="0" w:color="auto"/>
            <w:right w:val="none" w:sz="0" w:space="0" w:color="auto"/>
          </w:divBdr>
        </w:div>
        <w:div w:id="1227111361">
          <w:marLeft w:val="0"/>
          <w:marRight w:val="0"/>
          <w:marTop w:val="0"/>
          <w:marBottom w:val="0"/>
          <w:divBdr>
            <w:top w:val="none" w:sz="0" w:space="0" w:color="auto"/>
            <w:left w:val="none" w:sz="0" w:space="0" w:color="auto"/>
            <w:bottom w:val="none" w:sz="0" w:space="0" w:color="auto"/>
            <w:right w:val="none" w:sz="0" w:space="0" w:color="auto"/>
          </w:divBdr>
        </w:div>
        <w:div w:id="1812747095">
          <w:marLeft w:val="0"/>
          <w:marRight w:val="0"/>
          <w:marTop w:val="0"/>
          <w:marBottom w:val="0"/>
          <w:divBdr>
            <w:top w:val="none" w:sz="0" w:space="0" w:color="auto"/>
            <w:left w:val="none" w:sz="0" w:space="0" w:color="auto"/>
            <w:bottom w:val="none" w:sz="0" w:space="0" w:color="auto"/>
            <w:right w:val="none" w:sz="0" w:space="0" w:color="auto"/>
          </w:divBdr>
        </w:div>
        <w:div w:id="1210919412">
          <w:marLeft w:val="0"/>
          <w:marRight w:val="0"/>
          <w:marTop w:val="0"/>
          <w:marBottom w:val="0"/>
          <w:divBdr>
            <w:top w:val="none" w:sz="0" w:space="0" w:color="auto"/>
            <w:left w:val="none" w:sz="0" w:space="0" w:color="auto"/>
            <w:bottom w:val="none" w:sz="0" w:space="0" w:color="auto"/>
            <w:right w:val="none" w:sz="0" w:space="0" w:color="auto"/>
          </w:divBdr>
        </w:div>
      </w:divsChild>
    </w:div>
    <w:div w:id="412775707">
      <w:marLeft w:val="0"/>
      <w:marRight w:val="0"/>
      <w:marTop w:val="120"/>
      <w:marBottom w:val="120"/>
      <w:divBdr>
        <w:top w:val="none" w:sz="0" w:space="0" w:color="auto"/>
        <w:left w:val="none" w:sz="0" w:space="0" w:color="auto"/>
        <w:bottom w:val="none" w:sz="0" w:space="0" w:color="auto"/>
        <w:right w:val="none" w:sz="0" w:space="0" w:color="auto"/>
      </w:divBdr>
    </w:div>
    <w:div w:id="412776044">
      <w:marLeft w:val="0"/>
      <w:marRight w:val="0"/>
      <w:marTop w:val="120"/>
      <w:marBottom w:val="0"/>
      <w:divBdr>
        <w:top w:val="none" w:sz="0" w:space="0" w:color="auto"/>
        <w:left w:val="none" w:sz="0" w:space="0" w:color="auto"/>
        <w:bottom w:val="none" w:sz="0" w:space="0" w:color="auto"/>
        <w:right w:val="none" w:sz="0" w:space="0" w:color="auto"/>
      </w:divBdr>
    </w:div>
    <w:div w:id="413094752">
      <w:marLeft w:val="0"/>
      <w:marRight w:val="0"/>
      <w:marTop w:val="120"/>
      <w:marBottom w:val="0"/>
      <w:divBdr>
        <w:top w:val="none" w:sz="0" w:space="0" w:color="auto"/>
        <w:left w:val="none" w:sz="0" w:space="0" w:color="auto"/>
        <w:bottom w:val="none" w:sz="0" w:space="0" w:color="auto"/>
        <w:right w:val="none" w:sz="0" w:space="0" w:color="auto"/>
      </w:divBdr>
    </w:div>
    <w:div w:id="414206728">
      <w:marLeft w:val="0"/>
      <w:marRight w:val="0"/>
      <w:marTop w:val="120"/>
      <w:marBottom w:val="0"/>
      <w:divBdr>
        <w:top w:val="none" w:sz="0" w:space="0" w:color="auto"/>
        <w:left w:val="none" w:sz="0" w:space="0" w:color="auto"/>
        <w:bottom w:val="none" w:sz="0" w:space="0" w:color="auto"/>
        <w:right w:val="none" w:sz="0" w:space="0" w:color="auto"/>
      </w:divBdr>
    </w:div>
    <w:div w:id="414593789">
      <w:marLeft w:val="0"/>
      <w:marRight w:val="0"/>
      <w:marTop w:val="0"/>
      <w:marBottom w:val="0"/>
      <w:divBdr>
        <w:top w:val="none" w:sz="0" w:space="0" w:color="auto"/>
        <w:left w:val="none" w:sz="0" w:space="0" w:color="auto"/>
        <w:bottom w:val="none" w:sz="0" w:space="0" w:color="auto"/>
        <w:right w:val="none" w:sz="0" w:space="0" w:color="auto"/>
      </w:divBdr>
      <w:divsChild>
        <w:div w:id="1450511034">
          <w:marLeft w:val="0"/>
          <w:marRight w:val="0"/>
          <w:marTop w:val="0"/>
          <w:marBottom w:val="0"/>
          <w:divBdr>
            <w:top w:val="none" w:sz="0" w:space="0" w:color="auto"/>
            <w:left w:val="none" w:sz="0" w:space="0" w:color="auto"/>
            <w:bottom w:val="none" w:sz="0" w:space="0" w:color="auto"/>
            <w:right w:val="none" w:sz="0" w:space="0" w:color="auto"/>
          </w:divBdr>
        </w:div>
      </w:divsChild>
    </w:div>
    <w:div w:id="416367957">
      <w:marLeft w:val="0"/>
      <w:marRight w:val="0"/>
      <w:marTop w:val="0"/>
      <w:marBottom w:val="0"/>
      <w:divBdr>
        <w:top w:val="none" w:sz="0" w:space="0" w:color="auto"/>
        <w:left w:val="none" w:sz="0" w:space="0" w:color="auto"/>
        <w:bottom w:val="none" w:sz="0" w:space="0" w:color="auto"/>
        <w:right w:val="none" w:sz="0" w:space="0" w:color="auto"/>
      </w:divBdr>
    </w:div>
    <w:div w:id="417754420">
      <w:marLeft w:val="0"/>
      <w:marRight w:val="0"/>
      <w:marTop w:val="0"/>
      <w:marBottom w:val="0"/>
      <w:divBdr>
        <w:top w:val="none" w:sz="0" w:space="0" w:color="auto"/>
        <w:left w:val="none" w:sz="0" w:space="0" w:color="auto"/>
        <w:bottom w:val="none" w:sz="0" w:space="0" w:color="auto"/>
        <w:right w:val="none" w:sz="0" w:space="0" w:color="auto"/>
      </w:divBdr>
    </w:div>
    <w:div w:id="418909803">
      <w:marLeft w:val="0"/>
      <w:marRight w:val="0"/>
      <w:marTop w:val="0"/>
      <w:marBottom w:val="0"/>
      <w:divBdr>
        <w:top w:val="none" w:sz="0" w:space="0" w:color="auto"/>
        <w:left w:val="none" w:sz="0" w:space="0" w:color="auto"/>
        <w:bottom w:val="none" w:sz="0" w:space="0" w:color="auto"/>
        <w:right w:val="none" w:sz="0" w:space="0" w:color="auto"/>
      </w:divBdr>
    </w:div>
    <w:div w:id="419763066">
      <w:marLeft w:val="0"/>
      <w:marRight w:val="0"/>
      <w:marTop w:val="0"/>
      <w:marBottom w:val="0"/>
      <w:divBdr>
        <w:top w:val="none" w:sz="0" w:space="0" w:color="auto"/>
        <w:left w:val="none" w:sz="0" w:space="0" w:color="auto"/>
        <w:bottom w:val="none" w:sz="0" w:space="0" w:color="auto"/>
        <w:right w:val="none" w:sz="0" w:space="0" w:color="auto"/>
      </w:divBdr>
    </w:div>
    <w:div w:id="421032022">
      <w:marLeft w:val="0"/>
      <w:marRight w:val="0"/>
      <w:marTop w:val="120"/>
      <w:marBottom w:val="0"/>
      <w:divBdr>
        <w:top w:val="none" w:sz="0" w:space="0" w:color="auto"/>
        <w:left w:val="none" w:sz="0" w:space="0" w:color="auto"/>
        <w:bottom w:val="none" w:sz="0" w:space="0" w:color="auto"/>
        <w:right w:val="none" w:sz="0" w:space="0" w:color="auto"/>
      </w:divBdr>
    </w:div>
    <w:div w:id="425805368">
      <w:marLeft w:val="0"/>
      <w:marRight w:val="0"/>
      <w:marTop w:val="120"/>
      <w:marBottom w:val="120"/>
      <w:divBdr>
        <w:top w:val="none" w:sz="0" w:space="0" w:color="auto"/>
        <w:left w:val="none" w:sz="0" w:space="0" w:color="auto"/>
        <w:bottom w:val="none" w:sz="0" w:space="0" w:color="auto"/>
        <w:right w:val="none" w:sz="0" w:space="0" w:color="auto"/>
      </w:divBdr>
    </w:div>
    <w:div w:id="427115182">
      <w:marLeft w:val="0"/>
      <w:marRight w:val="0"/>
      <w:marTop w:val="120"/>
      <w:marBottom w:val="120"/>
      <w:divBdr>
        <w:top w:val="none" w:sz="0" w:space="0" w:color="auto"/>
        <w:left w:val="none" w:sz="0" w:space="0" w:color="auto"/>
        <w:bottom w:val="none" w:sz="0" w:space="0" w:color="auto"/>
        <w:right w:val="none" w:sz="0" w:space="0" w:color="auto"/>
      </w:divBdr>
    </w:div>
    <w:div w:id="430055590">
      <w:marLeft w:val="0"/>
      <w:marRight w:val="0"/>
      <w:marTop w:val="120"/>
      <w:marBottom w:val="0"/>
      <w:divBdr>
        <w:top w:val="none" w:sz="0" w:space="0" w:color="auto"/>
        <w:left w:val="none" w:sz="0" w:space="0" w:color="auto"/>
        <w:bottom w:val="none" w:sz="0" w:space="0" w:color="auto"/>
        <w:right w:val="none" w:sz="0" w:space="0" w:color="auto"/>
      </w:divBdr>
    </w:div>
    <w:div w:id="430467279">
      <w:marLeft w:val="0"/>
      <w:marRight w:val="0"/>
      <w:marTop w:val="120"/>
      <w:marBottom w:val="120"/>
      <w:divBdr>
        <w:top w:val="none" w:sz="0" w:space="0" w:color="auto"/>
        <w:left w:val="none" w:sz="0" w:space="0" w:color="auto"/>
        <w:bottom w:val="none" w:sz="0" w:space="0" w:color="auto"/>
        <w:right w:val="none" w:sz="0" w:space="0" w:color="auto"/>
      </w:divBdr>
    </w:div>
    <w:div w:id="431632332">
      <w:marLeft w:val="0"/>
      <w:marRight w:val="0"/>
      <w:marTop w:val="0"/>
      <w:marBottom w:val="0"/>
      <w:divBdr>
        <w:top w:val="none" w:sz="0" w:space="0" w:color="auto"/>
        <w:left w:val="none" w:sz="0" w:space="0" w:color="auto"/>
        <w:bottom w:val="none" w:sz="0" w:space="0" w:color="auto"/>
        <w:right w:val="none" w:sz="0" w:space="0" w:color="auto"/>
      </w:divBdr>
    </w:div>
    <w:div w:id="432406618">
      <w:marLeft w:val="0"/>
      <w:marRight w:val="0"/>
      <w:marTop w:val="0"/>
      <w:marBottom w:val="0"/>
      <w:divBdr>
        <w:top w:val="none" w:sz="0" w:space="0" w:color="auto"/>
        <w:left w:val="none" w:sz="0" w:space="0" w:color="auto"/>
        <w:bottom w:val="none" w:sz="0" w:space="0" w:color="auto"/>
        <w:right w:val="none" w:sz="0" w:space="0" w:color="auto"/>
      </w:divBdr>
      <w:divsChild>
        <w:div w:id="2081100819">
          <w:marLeft w:val="0"/>
          <w:marRight w:val="0"/>
          <w:marTop w:val="0"/>
          <w:marBottom w:val="0"/>
          <w:divBdr>
            <w:top w:val="none" w:sz="0" w:space="0" w:color="auto"/>
            <w:left w:val="none" w:sz="0" w:space="0" w:color="auto"/>
            <w:bottom w:val="none" w:sz="0" w:space="0" w:color="auto"/>
            <w:right w:val="none" w:sz="0" w:space="0" w:color="auto"/>
          </w:divBdr>
        </w:div>
      </w:divsChild>
    </w:div>
    <w:div w:id="438136243">
      <w:marLeft w:val="0"/>
      <w:marRight w:val="0"/>
      <w:marTop w:val="120"/>
      <w:marBottom w:val="120"/>
      <w:divBdr>
        <w:top w:val="none" w:sz="0" w:space="0" w:color="auto"/>
        <w:left w:val="none" w:sz="0" w:space="0" w:color="auto"/>
        <w:bottom w:val="none" w:sz="0" w:space="0" w:color="auto"/>
        <w:right w:val="none" w:sz="0" w:space="0" w:color="auto"/>
      </w:divBdr>
    </w:div>
    <w:div w:id="438647546">
      <w:marLeft w:val="0"/>
      <w:marRight w:val="0"/>
      <w:marTop w:val="120"/>
      <w:marBottom w:val="120"/>
      <w:divBdr>
        <w:top w:val="none" w:sz="0" w:space="0" w:color="auto"/>
        <w:left w:val="none" w:sz="0" w:space="0" w:color="auto"/>
        <w:bottom w:val="none" w:sz="0" w:space="0" w:color="auto"/>
        <w:right w:val="none" w:sz="0" w:space="0" w:color="auto"/>
      </w:divBdr>
    </w:div>
    <w:div w:id="439183723">
      <w:marLeft w:val="0"/>
      <w:marRight w:val="0"/>
      <w:marTop w:val="120"/>
      <w:marBottom w:val="0"/>
      <w:divBdr>
        <w:top w:val="none" w:sz="0" w:space="0" w:color="auto"/>
        <w:left w:val="none" w:sz="0" w:space="0" w:color="auto"/>
        <w:bottom w:val="none" w:sz="0" w:space="0" w:color="auto"/>
        <w:right w:val="none" w:sz="0" w:space="0" w:color="auto"/>
      </w:divBdr>
    </w:div>
    <w:div w:id="440035497">
      <w:marLeft w:val="0"/>
      <w:marRight w:val="0"/>
      <w:marTop w:val="120"/>
      <w:marBottom w:val="120"/>
      <w:divBdr>
        <w:top w:val="none" w:sz="0" w:space="0" w:color="auto"/>
        <w:left w:val="none" w:sz="0" w:space="0" w:color="auto"/>
        <w:bottom w:val="none" w:sz="0" w:space="0" w:color="auto"/>
        <w:right w:val="none" w:sz="0" w:space="0" w:color="auto"/>
      </w:divBdr>
    </w:div>
    <w:div w:id="441147722">
      <w:marLeft w:val="0"/>
      <w:marRight w:val="0"/>
      <w:marTop w:val="120"/>
      <w:marBottom w:val="0"/>
      <w:divBdr>
        <w:top w:val="none" w:sz="0" w:space="0" w:color="auto"/>
        <w:left w:val="none" w:sz="0" w:space="0" w:color="auto"/>
        <w:bottom w:val="none" w:sz="0" w:space="0" w:color="auto"/>
        <w:right w:val="none" w:sz="0" w:space="0" w:color="auto"/>
      </w:divBdr>
    </w:div>
    <w:div w:id="441189656">
      <w:marLeft w:val="0"/>
      <w:marRight w:val="0"/>
      <w:marTop w:val="120"/>
      <w:marBottom w:val="0"/>
      <w:divBdr>
        <w:top w:val="none" w:sz="0" w:space="0" w:color="auto"/>
        <w:left w:val="none" w:sz="0" w:space="0" w:color="auto"/>
        <w:bottom w:val="none" w:sz="0" w:space="0" w:color="auto"/>
        <w:right w:val="none" w:sz="0" w:space="0" w:color="auto"/>
      </w:divBdr>
    </w:div>
    <w:div w:id="443114969">
      <w:marLeft w:val="0"/>
      <w:marRight w:val="0"/>
      <w:marTop w:val="0"/>
      <w:marBottom w:val="120"/>
      <w:divBdr>
        <w:top w:val="none" w:sz="0" w:space="0" w:color="auto"/>
        <w:left w:val="none" w:sz="0" w:space="0" w:color="auto"/>
        <w:bottom w:val="none" w:sz="0" w:space="0" w:color="auto"/>
        <w:right w:val="none" w:sz="0" w:space="0" w:color="auto"/>
      </w:divBdr>
    </w:div>
    <w:div w:id="444882226">
      <w:marLeft w:val="0"/>
      <w:marRight w:val="0"/>
      <w:marTop w:val="120"/>
      <w:marBottom w:val="0"/>
      <w:divBdr>
        <w:top w:val="none" w:sz="0" w:space="0" w:color="auto"/>
        <w:left w:val="none" w:sz="0" w:space="0" w:color="auto"/>
        <w:bottom w:val="none" w:sz="0" w:space="0" w:color="auto"/>
        <w:right w:val="none" w:sz="0" w:space="0" w:color="auto"/>
      </w:divBdr>
    </w:div>
    <w:div w:id="447284405">
      <w:marLeft w:val="0"/>
      <w:marRight w:val="0"/>
      <w:marTop w:val="0"/>
      <w:marBottom w:val="0"/>
      <w:divBdr>
        <w:top w:val="none" w:sz="0" w:space="0" w:color="auto"/>
        <w:left w:val="none" w:sz="0" w:space="0" w:color="auto"/>
        <w:bottom w:val="none" w:sz="0" w:space="0" w:color="auto"/>
        <w:right w:val="none" w:sz="0" w:space="0" w:color="auto"/>
      </w:divBdr>
    </w:div>
    <w:div w:id="454832251">
      <w:marLeft w:val="0"/>
      <w:marRight w:val="0"/>
      <w:marTop w:val="0"/>
      <w:marBottom w:val="0"/>
      <w:divBdr>
        <w:top w:val="none" w:sz="0" w:space="0" w:color="auto"/>
        <w:left w:val="none" w:sz="0" w:space="0" w:color="auto"/>
        <w:bottom w:val="none" w:sz="0" w:space="0" w:color="auto"/>
        <w:right w:val="none" w:sz="0" w:space="0" w:color="auto"/>
      </w:divBdr>
      <w:divsChild>
        <w:div w:id="1770081319">
          <w:marLeft w:val="0"/>
          <w:marRight w:val="0"/>
          <w:marTop w:val="0"/>
          <w:marBottom w:val="0"/>
          <w:divBdr>
            <w:top w:val="none" w:sz="0" w:space="0" w:color="auto"/>
            <w:left w:val="none" w:sz="0" w:space="0" w:color="auto"/>
            <w:bottom w:val="none" w:sz="0" w:space="0" w:color="auto"/>
            <w:right w:val="none" w:sz="0" w:space="0" w:color="auto"/>
          </w:divBdr>
        </w:div>
      </w:divsChild>
    </w:div>
    <w:div w:id="455224870">
      <w:marLeft w:val="0"/>
      <w:marRight w:val="0"/>
      <w:marTop w:val="120"/>
      <w:marBottom w:val="0"/>
      <w:divBdr>
        <w:top w:val="none" w:sz="0" w:space="0" w:color="auto"/>
        <w:left w:val="none" w:sz="0" w:space="0" w:color="auto"/>
        <w:bottom w:val="none" w:sz="0" w:space="0" w:color="auto"/>
        <w:right w:val="none" w:sz="0" w:space="0" w:color="auto"/>
      </w:divBdr>
    </w:div>
    <w:div w:id="455762839">
      <w:marLeft w:val="0"/>
      <w:marRight w:val="0"/>
      <w:marTop w:val="0"/>
      <w:marBottom w:val="0"/>
      <w:divBdr>
        <w:top w:val="none" w:sz="0" w:space="0" w:color="auto"/>
        <w:left w:val="none" w:sz="0" w:space="0" w:color="auto"/>
        <w:bottom w:val="none" w:sz="0" w:space="0" w:color="auto"/>
        <w:right w:val="none" w:sz="0" w:space="0" w:color="auto"/>
      </w:divBdr>
    </w:div>
    <w:div w:id="458038901">
      <w:marLeft w:val="0"/>
      <w:marRight w:val="0"/>
      <w:marTop w:val="120"/>
      <w:marBottom w:val="0"/>
      <w:divBdr>
        <w:top w:val="none" w:sz="0" w:space="0" w:color="auto"/>
        <w:left w:val="none" w:sz="0" w:space="0" w:color="auto"/>
        <w:bottom w:val="none" w:sz="0" w:space="0" w:color="auto"/>
        <w:right w:val="none" w:sz="0" w:space="0" w:color="auto"/>
      </w:divBdr>
    </w:div>
    <w:div w:id="459809750">
      <w:marLeft w:val="0"/>
      <w:marRight w:val="0"/>
      <w:marTop w:val="0"/>
      <w:marBottom w:val="0"/>
      <w:divBdr>
        <w:top w:val="none" w:sz="0" w:space="0" w:color="auto"/>
        <w:left w:val="none" w:sz="0" w:space="0" w:color="auto"/>
        <w:bottom w:val="none" w:sz="0" w:space="0" w:color="auto"/>
        <w:right w:val="none" w:sz="0" w:space="0" w:color="auto"/>
      </w:divBdr>
    </w:div>
    <w:div w:id="461386555">
      <w:marLeft w:val="0"/>
      <w:marRight w:val="0"/>
      <w:marTop w:val="120"/>
      <w:marBottom w:val="0"/>
      <w:divBdr>
        <w:top w:val="none" w:sz="0" w:space="0" w:color="auto"/>
        <w:left w:val="none" w:sz="0" w:space="0" w:color="auto"/>
        <w:bottom w:val="none" w:sz="0" w:space="0" w:color="auto"/>
        <w:right w:val="none" w:sz="0" w:space="0" w:color="auto"/>
      </w:divBdr>
    </w:div>
    <w:div w:id="462382906">
      <w:marLeft w:val="0"/>
      <w:marRight w:val="0"/>
      <w:marTop w:val="60"/>
      <w:marBottom w:val="120"/>
      <w:divBdr>
        <w:top w:val="none" w:sz="0" w:space="0" w:color="auto"/>
        <w:left w:val="none" w:sz="0" w:space="0" w:color="auto"/>
        <w:bottom w:val="none" w:sz="0" w:space="0" w:color="auto"/>
        <w:right w:val="none" w:sz="0" w:space="0" w:color="auto"/>
      </w:divBdr>
    </w:div>
    <w:div w:id="462503518">
      <w:marLeft w:val="0"/>
      <w:marRight w:val="0"/>
      <w:marTop w:val="180"/>
      <w:marBottom w:val="120"/>
      <w:divBdr>
        <w:top w:val="none" w:sz="0" w:space="0" w:color="auto"/>
        <w:left w:val="none" w:sz="0" w:space="0" w:color="auto"/>
        <w:bottom w:val="none" w:sz="0" w:space="0" w:color="auto"/>
        <w:right w:val="none" w:sz="0" w:space="0" w:color="auto"/>
      </w:divBdr>
    </w:div>
    <w:div w:id="464205698">
      <w:marLeft w:val="0"/>
      <w:marRight w:val="0"/>
      <w:marTop w:val="0"/>
      <w:marBottom w:val="0"/>
      <w:divBdr>
        <w:top w:val="none" w:sz="0" w:space="0" w:color="auto"/>
        <w:left w:val="none" w:sz="0" w:space="0" w:color="auto"/>
        <w:bottom w:val="none" w:sz="0" w:space="0" w:color="auto"/>
        <w:right w:val="none" w:sz="0" w:space="0" w:color="auto"/>
      </w:divBdr>
      <w:divsChild>
        <w:div w:id="1768187411">
          <w:marLeft w:val="0"/>
          <w:marRight w:val="0"/>
          <w:marTop w:val="0"/>
          <w:marBottom w:val="0"/>
          <w:divBdr>
            <w:top w:val="none" w:sz="0" w:space="0" w:color="auto"/>
            <w:left w:val="none" w:sz="0" w:space="0" w:color="auto"/>
            <w:bottom w:val="none" w:sz="0" w:space="0" w:color="auto"/>
            <w:right w:val="none" w:sz="0" w:space="0" w:color="auto"/>
          </w:divBdr>
        </w:div>
      </w:divsChild>
    </w:div>
    <w:div w:id="465900228">
      <w:marLeft w:val="0"/>
      <w:marRight w:val="0"/>
      <w:marTop w:val="120"/>
      <w:marBottom w:val="0"/>
      <w:divBdr>
        <w:top w:val="none" w:sz="0" w:space="0" w:color="auto"/>
        <w:left w:val="none" w:sz="0" w:space="0" w:color="auto"/>
        <w:bottom w:val="none" w:sz="0" w:space="0" w:color="auto"/>
        <w:right w:val="none" w:sz="0" w:space="0" w:color="auto"/>
      </w:divBdr>
    </w:div>
    <w:div w:id="468940949">
      <w:marLeft w:val="0"/>
      <w:marRight w:val="0"/>
      <w:marTop w:val="60"/>
      <w:marBottom w:val="0"/>
      <w:divBdr>
        <w:top w:val="none" w:sz="0" w:space="0" w:color="auto"/>
        <w:left w:val="none" w:sz="0" w:space="0" w:color="auto"/>
        <w:bottom w:val="none" w:sz="0" w:space="0" w:color="auto"/>
        <w:right w:val="none" w:sz="0" w:space="0" w:color="auto"/>
      </w:divBdr>
    </w:div>
    <w:div w:id="469828522">
      <w:marLeft w:val="0"/>
      <w:marRight w:val="0"/>
      <w:marTop w:val="120"/>
      <w:marBottom w:val="0"/>
      <w:divBdr>
        <w:top w:val="none" w:sz="0" w:space="0" w:color="auto"/>
        <w:left w:val="none" w:sz="0" w:space="0" w:color="auto"/>
        <w:bottom w:val="none" w:sz="0" w:space="0" w:color="auto"/>
        <w:right w:val="none" w:sz="0" w:space="0" w:color="auto"/>
      </w:divBdr>
    </w:div>
    <w:div w:id="471675534">
      <w:marLeft w:val="0"/>
      <w:marRight w:val="0"/>
      <w:marTop w:val="120"/>
      <w:marBottom w:val="60"/>
      <w:divBdr>
        <w:top w:val="none" w:sz="0" w:space="0" w:color="auto"/>
        <w:left w:val="none" w:sz="0" w:space="0" w:color="auto"/>
        <w:bottom w:val="none" w:sz="0" w:space="0" w:color="auto"/>
        <w:right w:val="none" w:sz="0" w:space="0" w:color="auto"/>
      </w:divBdr>
    </w:div>
    <w:div w:id="471678518">
      <w:marLeft w:val="0"/>
      <w:marRight w:val="0"/>
      <w:marTop w:val="240"/>
      <w:marBottom w:val="120"/>
      <w:divBdr>
        <w:top w:val="none" w:sz="0" w:space="0" w:color="auto"/>
        <w:left w:val="none" w:sz="0" w:space="0" w:color="auto"/>
        <w:bottom w:val="none" w:sz="0" w:space="0" w:color="auto"/>
        <w:right w:val="none" w:sz="0" w:space="0" w:color="auto"/>
      </w:divBdr>
    </w:div>
    <w:div w:id="473134241">
      <w:marLeft w:val="0"/>
      <w:marRight w:val="0"/>
      <w:marTop w:val="0"/>
      <w:marBottom w:val="0"/>
      <w:divBdr>
        <w:top w:val="none" w:sz="0" w:space="0" w:color="auto"/>
        <w:left w:val="none" w:sz="0" w:space="0" w:color="auto"/>
        <w:bottom w:val="none" w:sz="0" w:space="0" w:color="auto"/>
        <w:right w:val="none" w:sz="0" w:space="0" w:color="auto"/>
      </w:divBdr>
    </w:div>
    <w:div w:id="479733857">
      <w:marLeft w:val="0"/>
      <w:marRight w:val="0"/>
      <w:marTop w:val="120"/>
      <w:marBottom w:val="120"/>
      <w:divBdr>
        <w:top w:val="none" w:sz="0" w:space="0" w:color="auto"/>
        <w:left w:val="none" w:sz="0" w:space="0" w:color="auto"/>
        <w:bottom w:val="none" w:sz="0" w:space="0" w:color="auto"/>
        <w:right w:val="none" w:sz="0" w:space="0" w:color="auto"/>
      </w:divBdr>
    </w:div>
    <w:div w:id="485366238">
      <w:marLeft w:val="0"/>
      <w:marRight w:val="0"/>
      <w:marTop w:val="0"/>
      <w:marBottom w:val="0"/>
      <w:divBdr>
        <w:top w:val="none" w:sz="0" w:space="0" w:color="auto"/>
        <w:left w:val="none" w:sz="0" w:space="0" w:color="auto"/>
        <w:bottom w:val="none" w:sz="0" w:space="0" w:color="auto"/>
        <w:right w:val="none" w:sz="0" w:space="0" w:color="auto"/>
      </w:divBdr>
      <w:divsChild>
        <w:div w:id="1303926077">
          <w:marLeft w:val="0"/>
          <w:marRight w:val="0"/>
          <w:marTop w:val="0"/>
          <w:marBottom w:val="0"/>
          <w:divBdr>
            <w:top w:val="none" w:sz="0" w:space="0" w:color="auto"/>
            <w:left w:val="none" w:sz="0" w:space="0" w:color="auto"/>
            <w:bottom w:val="none" w:sz="0" w:space="0" w:color="auto"/>
            <w:right w:val="none" w:sz="0" w:space="0" w:color="auto"/>
          </w:divBdr>
        </w:div>
      </w:divsChild>
    </w:div>
    <w:div w:id="490486730">
      <w:marLeft w:val="0"/>
      <w:marRight w:val="0"/>
      <w:marTop w:val="0"/>
      <w:marBottom w:val="0"/>
      <w:divBdr>
        <w:top w:val="none" w:sz="0" w:space="0" w:color="auto"/>
        <w:left w:val="none" w:sz="0" w:space="0" w:color="auto"/>
        <w:bottom w:val="none" w:sz="0" w:space="0" w:color="auto"/>
        <w:right w:val="none" w:sz="0" w:space="0" w:color="auto"/>
      </w:divBdr>
      <w:divsChild>
        <w:div w:id="630213491">
          <w:marLeft w:val="0"/>
          <w:marRight w:val="0"/>
          <w:marTop w:val="0"/>
          <w:marBottom w:val="0"/>
          <w:divBdr>
            <w:top w:val="none" w:sz="0" w:space="0" w:color="auto"/>
            <w:left w:val="none" w:sz="0" w:space="0" w:color="auto"/>
            <w:bottom w:val="none" w:sz="0" w:space="0" w:color="auto"/>
            <w:right w:val="none" w:sz="0" w:space="0" w:color="auto"/>
          </w:divBdr>
        </w:div>
      </w:divsChild>
    </w:div>
    <w:div w:id="491019857">
      <w:marLeft w:val="0"/>
      <w:marRight w:val="0"/>
      <w:marTop w:val="0"/>
      <w:marBottom w:val="0"/>
      <w:divBdr>
        <w:top w:val="none" w:sz="0" w:space="0" w:color="auto"/>
        <w:left w:val="none" w:sz="0" w:space="0" w:color="auto"/>
        <w:bottom w:val="none" w:sz="0" w:space="0" w:color="auto"/>
        <w:right w:val="none" w:sz="0" w:space="0" w:color="auto"/>
      </w:divBdr>
      <w:divsChild>
        <w:div w:id="280503326">
          <w:marLeft w:val="0"/>
          <w:marRight w:val="0"/>
          <w:marTop w:val="0"/>
          <w:marBottom w:val="0"/>
          <w:divBdr>
            <w:top w:val="none" w:sz="0" w:space="0" w:color="auto"/>
            <w:left w:val="none" w:sz="0" w:space="0" w:color="auto"/>
            <w:bottom w:val="none" w:sz="0" w:space="0" w:color="auto"/>
            <w:right w:val="none" w:sz="0" w:space="0" w:color="auto"/>
          </w:divBdr>
        </w:div>
      </w:divsChild>
    </w:div>
    <w:div w:id="492532102">
      <w:marLeft w:val="0"/>
      <w:marRight w:val="0"/>
      <w:marTop w:val="0"/>
      <w:marBottom w:val="0"/>
      <w:divBdr>
        <w:top w:val="none" w:sz="0" w:space="0" w:color="auto"/>
        <w:left w:val="none" w:sz="0" w:space="0" w:color="auto"/>
        <w:bottom w:val="none" w:sz="0" w:space="0" w:color="auto"/>
        <w:right w:val="none" w:sz="0" w:space="0" w:color="auto"/>
      </w:divBdr>
    </w:div>
    <w:div w:id="498272277">
      <w:marLeft w:val="0"/>
      <w:marRight w:val="0"/>
      <w:marTop w:val="120"/>
      <w:marBottom w:val="120"/>
      <w:divBdr>
        <w:top w:val="none" w:sz="0" w:space="0" w:color="auto"/>
        <w:left w:val="none" w:sz="0" w:space="0" w:color="auto"/>
        <w:bottom w:val="none" w:sz="0" w:space="0" w:color="auto"/>
        <w:right w:val="none" w:sz="0" w:space="0" w:color="auto"/>
      </w:divBdr>
    </w:div>
    <w:div w:id="498619345">
      <w:marLeft w:val="0"/>
      <w:marRight w:val="0"/>
      <w:marTop w:val="0"/>
      <w:marBottom w:val="0"/>
      <w:divBdr>
        <w:top w:val="none" w:sz="0" w:space="0" w:color="auto"/>
        <w:left w:val="none" w:sz="0" w:space="0" w:color="auto"/>
        <w:bottom w:val="none" w:sz="0" w:space="0" w:color="auto"/>
        <w:right w:val="none" w:sz="0" w:space="0" w:color="auto"/>
      </w:divBdr>
      <w:divsChild>
        <w:div w:id="1379402976">
          <w:marLeft w:val="0"/>
          <w:marRight w:val="0"/>
          <w:marTop w:val="0"/>
          <w:marBottom w:val="0"/>
          <w:divBdr>
            <w:top w:val="none" w:sz="0" w:space="0" w:color="auto"/>
            <w:left w:val="none" w:sz="0" w:space="0" w:color="auto"/>
            <w:bottom w:val="none" w:sz="0" w:space="0" w:color="auto"/>
            <w:right w:val="none" w:sz="0" w:space="0" w:color="auto"/>
          </w:divBdr>
        </w:div>
      </w:divsChild>
    </w:div>
    <w:div w:id="501744204">
      <w:marLeft w:val="0"/>
      <w:marRight w:val="0"/>
      <w:marTop w:val="120"/>
      <w:marBottom w:val="120"/>
      <w:divBdr>
        <w:top w:val="none" w:sz="0" w:space="0" w:color="auto"/>
        <w:left w:val="none" w:sz="0" w:space="0" w:color="auto"/>
        <w:bottom w:val="none" w:sz="0" w:space="0" w:color="auto"/>
        <w:right w:val="none" w:sz="0" w:space="0" w:color="auto"/>
      </w:divBdr>
    </w:div>
    <w:div w:id="506596104">
      <w:marLeft w:val="0"/>
      <w:marRight w:val="0"/>
      <w:marTop w:val="120"/>
      <w:marBottom w:val="0"/>
      <w:divBdr>
        <w:top w:val="none" w:sz="0" w:space="0" w:color="auto"/>
        <w:left w:val="none" w:sz="0" w:space="0" w:color="auto"/>
        <w:bottom w:val="none" w:sz="0" w:space="0" w:color="auto"/>
        <w:right w:val="none" w:sz="0" w:space="0" w:color="auto"/>
      </w:divBdr>
    </w:div>
    <w:div w:id="507401594">
      <w:marLeft w:val="0"/>
      <w:marRight w:val="0"/>
      <w:marTop w:val="60"/>
      <w:marBottom w:val="60"/>
      <w:divBdr>
        <w:top w:val="none" w:sz="0" w:space="0" w:color="auto"/>
        <w:left w:val="none" w:sz="0" w:space="0" w:color="auto"/>
        <w:bottom w:val="none" w:sz="0" w:space="0" w:color="auto"/>
        <w:right w:val="none" w:sz="0" w:space="0" w:color="auto"/>
      </w:divBdr>
    </w:div>
    <w:div w:id="507986396">
      <w:marLeft w:val="0"/>
      <w:marRight w:val="0"/>
      <w:marTop w:val="120"/>
      <w:marBottom w:val="0"/>
      <w:divBdr>
        <w:top w:val="none" w:sz="0" w:space="0" w:color="auto"/>
        <w:left w:val="none" w:sz="0" w:space="0" w:color="auto"/>
        <w:bottom w:val="none" w:sz="0" w:space="0" w:color="auto"/>
        <w:right w:val="none" w:sz="0" w:space="0" w:color="auto"/>
      </w:divBdr>
    </w:div>
    <w:div w:id="508175844">
      <w:marLeft w:val="0"/>
      <w:marRight w:val="0"/>
      <w:marTop w:val="0"/>
      <w:marBottom w:val="0"/>
      <w:divBdr>
        <w:top w:val="none" w:sz="0" w:space="0" w:color="auto"/>
        <w:left w:val="none" w:sz="0" w:space="0" w:color="auto"/>
        <w:bottom w:val="none" w:sz="0" w:space="0" w:color="auto"/>
        <w:right w:val="none" w:sz="0" w:space="0" w:color="auto"/>
      </w:divBdr>
      <w:divsChild>
        <w:div w:id="1032461898">
          <w:marLeft w:val="0"/>
          <w:marRight w:val="0"/>
          <w:marTop w:val="0"/>
          <w:marBottom w:val="0"/>
          <w:divBdr>
            <w:top w:val="none" w:sz="0" w:space="0" w:color="auto"/>
            <w:left w:val="none" w:sz="0" w:space="0" w:color="auto"/>
            <w:bottom w:val="none" w:sz="0" w:space="0" w:color="auto"/>
            <w:right w:val="none" w:sz="0" w:space="0" w:color="auto"/>
          </w:divBdr>
        </w:div>
      </w:divsChild>
    </w:div>
    <w:div w:id="510946409">
      <w:marLeft w:val="0"/>
      <w:marRight w:val="0"/>
      <w:marTop w:val="120"/>
      <w:marBottom w:val="0"/>
      <w:divBdr>
        <w:top w:val="none" w:sz="0" w:space="0" w:color="auto"/>
        <w:left w:val="none" w:sz="0" w:space="0" w:color="auto"/>
        <w:bottom w:val="none" w:sz="0" w:space="0" w:color="auto"/>
        <w:right w:val="none" w:sz="0" w:space="0" w:color="auto"/>
      </w:divBdr>
    </w:div>
    <w:div w:id="512301270">
      <w:marLeft w:val="0"/>
      <w:marRight w:val="0"/>
      <w:marTop w:val="120"/>
      <w:marBottom w:val="120"/>
      <w:divBdr>
        <w:top w:val="none" w:sz="0" w:space="0" w:color="auto"/>
        <w:left w:val="none" w:sz="0" w:space="0" w:color="auto"/>
        <w:bottom w:val="none" w:sz="0" w:space="0" w:color="auto"/>
        <w:right w:val="none" w:sz="0" w:space="0" w:color="auto"/>
      </w:divBdr>
    </w:div>
    <w:div w:id="517233216">
      <w:marLeft w:val="0"/>
      <w:marRight w:val="0"/>
      <w:marTop w:val="180"/>
      <w:marBottom w:val="120"/>
      <w:divBdr>
        <w:top w:val="none" w:sz="0" w:space="0" w:color="auto"/>
        <w:left w:val="none" w:sz="0" w:space="0" w:color="auto"/>
        <w:bottom w:val="none" w:sz="0" w:space="0" w:color="auto"/>
        <w:right w:val="none" w:sz="0" w:space="0" w:color="auto"/>
      </w:divBdr>
    </w:div>
    <w:div w:id="519009875">
      <w:marLeft w:val="0"/>
      <w:marRight w:val="0"/>
      <w:marTop w:val="0"/>
      <w:marBottom w:val="0"/>
      <w:divBdr>
        <w:top w:val="none" w:sz="0" w:space="0" w:color="auto"/>
        <w:left w:val="none" w:sz="0" w:space="0" w:color="auto"/>
        <w:bottom w:val="none" w:sz="0" w:space="0" w:color="auto"/>
        <w:right w:val="none" w:sz="0" w:space="0" w:color="auto"/>
      </w:divBdr>
      <w:divsChild>
        <w:div w:id="1092899409">
          <w:marLeft w:val="0"/>
          <w:marRight w:val="0"/>
          <w:marTop w:val="0"/>
          <w:marBottom w:val="0"/>
          <w:divBdr>
            <w:top w:val="none" w:sz="0" w:space="0" w:color="auto"/>
            <w:left w:val="none" w:sz="0" w:space="0" w:color="auto"/>
            <w:bottom w:val="none" w:sz="0" w:space="0" w:color="auto"/>
            <w:right w:val="none" w:sz="0" w:space="0" w:color="auto"/>
          </w:divBdr>
        </w:div>
      </w:divsChild>
    </w:div>
    <w:div w:id="520818086">
      <w:marLeft w:val="0"/>
      <w:marRight w:val="0"/>
      <w:marTop w:val="180"/>
      <w:marBottom w:val="120"/>
      <w:divBdr>
        <w:top w:val="none" w:sz="0" w:space="0" w:color="auto"/>
        <w:left w:val="none" w:sz="0" w:space="0" w:color="auto"/>
        <w:bottom w:val="none" w:sz="0" w:space="0" w:color="auto"/>
        <w:right w:val="none" w:sz="0" w:space="0" w:color="auto"/>
      </w:divBdr>
    </w:div>
    <w:div w:id="520977171">
      <w:marLeft w:val="0"/>
      <w:marRight w:val="0"/>
      <w:marTop w:val="120"/>
      <w:marBottom w:val="120"/>
      <w:divBdr>
        <w:top w:val="none" w:sz="0" w:space="0" w:color="auto"/>
        <w:left w:val="none" w:sz="0" w:space="0" w:color="auto"/>
        <w:bottom w:val="none" w:sz="0" w:space="0" w:color="auto"/>
        <w:right w:val="none" w:sz="0" w:space="0" w:color="auto"/>
      </w:divBdr>
    </w:div>
    <w:div w:id="526455155">
      <w:marLeft w:val="0"/>
      <w:marRight w:val="0"/>
      <w:marTop w:val="60"/>
      <w:marBottom w:val="0"/>
      <w:divBdr>
        <w:top w:val="none" w:sz="0" w:space="0" w:color="auto"/>
        <w:left w:val="none" w:sz="0" w:space="0" w:color="auto"/>
        <w:bottom w:val="none" w:sz="0" w:space="0" w:color="auto"/>
        <w:right w:val="none" w:sz="0" w:space="0" w:color="auto"/>
      </w:divBdr>
    </w:div>
    <w:div w:id="532573416">
      <w:marLeft w:val="0"/>
      <w:marRight w:val="0"/>
      <w:marTop w:val="120"/>
      <w:marBottom w:val="120"/>
      <w:divBdr>
        <w:top w:val="none" w:sz="0" w:space="0" w:color="auto"/>
        <w:left w:val="none" w:sz="0" w:space="0" w:color="auto"/>
        <w:bottom w:val="none" w:sz="0" w:space="0" w:color="auto"/>
        <w:right w:val="none" w:sz="0" w:space="0" w:color="auto"/>
      </w:divBdr>
    </w:div>
    <w:div w:id="536353243">
      <w:marLeft w:val="0"/>
      <w:marRight w:val="0"/>
      <w:marTop w:val="0"/>
      <w:marBottom w:val="0"/>
      <w:divBdr>
        <w:top w:val="none" w:sz="0" w:space="0" w:color="auto"/>
        <w:left w:val="none" w:sz="0" w:space="0" w:color="auto"/>
        <w:bottom w:val="none" w:sz="0" w:space="0" w:color="auto"/>
        <w:right w:val="none" w:sz="0" w:space="0" w:color="auto"/>
      </w:divBdr>
    </w:div>
    <w:div w:id="539393155">
      <w:marLeft w:val="0"/>
      <w:marRight w:val="0"/>
      <w:marTop w:val="120"/>
      <w:marBottom w:val="0"/>
      <w:divBdr>
        <w:top w:val="none" w:sz="0" w:space="0" w:color="auto"/>
        <w:left w:val="none" w:sz="0" w:space="0" w:color="auto"/>
        <w:bottom w:val="none" w:sz="0" w:space="0" w:color="auto"/>
        <w:right w:val="none" w:sz="0" w:space="0" w:color="auto"/>
      </w:divBdr>
    </w:div>
    <w:div w:id="540284683">
      <w:marLeft w:val="0"/>
      <w:marRight w:val="0"/>
      <w:marTop w:val="120"/>
      <w:marBottom w:val="120"/>
      <w:divBdr>
        <w:top w:val="none" w:sz="0" w:space="0" w:color="auto"/>
        <w:left w:val="none" w:sz="0" w:space="0" w:color="auto"/>
        <w:bottom w:val="none" w:sz="0" w:space="0" w:color="auto"/>
        <w:right w:val="none" w:sz="0" w:space="0" w:color="auto"/>
      </w:divBdr>
    </w:div>
    <w:div w:id="540554386">
      <w:marLeft w:val="0"/>
      <w:marRight w:val="0"/>
      <w:marTop w:val="0"/>
      <w:marBottom w:val="0"/>
      <w:divBdr>
        <w:top w:val="none" w:sz="0" w:space="0" w:color="auto"/>
        <w:left w:val="none" w:sz="0" w:space="0" w:color="auto"/>
        <w:bottom w:val="none" w:sz="0" w:space="0" w:color="auto"/>
        <w:right w:val="none" w:sz="0" w:space="0" w:color="auto"/>
      </w:divBdr>
      <w:divsChild>
        <w:div w:id="1600799122">
          <w:marLeft w:val="0"/>
          <w:marRight w:val="0"/>
          <w:marTop w:val="0"/>
          <w:marBottom w:val="0"/>
          <w:divBdr>
            <w:top w:val="none" w:sz="0" w:space="0" w:color="auto"/>
            <w:left w:val="none" w:sz="0" w:space="0" w:color="auto"/>
            <w:bottom w:val="none" w:sz="0" w:space="0" w:color="auto"/>
            <w:right w:val="none" w:sz="0" w:space="0" w:color="auto"/>
          </w:divBdr>
        </w:div>
      </w:divsChild>
    </w:div>
    <w:div w:id="540823171">
      <w:marLeft w:val="0"/>
      <w:marRight w:val="0"/>
      <w:marTop w:val="240"/>
      <w:marBottom w:val="120"/>
      <w:divBdr>
        <w:top w:val="none" w:sz="0" w:space="0" w:color="auto"/>
        <w:left w:val="none" w:sz="0" w:space="0" w:color="auto"/>
        <w:bottom w:val="none" w:sz="0" w:space="0" w:color="auto"/>
        <w:right w:val="none" w:sz="0" w:space="0" w:color="auto"/>
      </w:divBdr>
    </w:div>
    <w:div w:id="543372639">
      <w:marLeft w:val="0"/>
      <w:marRight w:val="0"/>
      <w:marTop w:val="0"/>
      <w:marBottom w:val="0"/>
      <w:divBdr>
        <w:top w:val="none" w:sz="0" w:space="0" w:color="auto"/>
        <w:left w:val="none" w:sz="0" w:space="0" w:color="auto"/>
        <w:bottom w:val="none" w:sz="0" w:space="0" w:color="auto"/>
        <w:right w:val="none" w:sz="0" w:space="0" w:color="auto"/>
      </w:divBdr>
    </w:div>
    <w:div w:id="543752985">
      <w:marLeft w:val="0"/>
      <w:marRight w:val="0"/>
      <w:marTop w:val="120"/>
      <w:marBottom w:val="120"/>
      <w:divBdr>
        <w:top w:val="none" w:sz="0" w:space="0" w:color="auto"/>
        <w:left w:val="none" w:sz="0" w:space="0" w:color="auto"/>
        <w:bottom w:val="none" w:sz="0" w:space="0" w:color="auto"/>
        <w:right w:val="none" w:sz="0" w:space="0" w:color="auto"/>
      </w:divBdr>
    </w:div>
    <w:div w:id="544828581">
      <w:marLeft w:val="0"/>
      <w:marRight w:val="0"/>
      <w:marTop w:val="120"/>
      <w:marBottom w:val="120"/>
      <w:divBdr>
        <w:top w:val="none" w:sz="0" w:space="0" w:color="auto"/>
        <w:left w:val="none" w:sz="0" w:space="0" w:color="auto"/>
        <w:bottom w:val="none" w:sz="0" w:space="0" w:color="auto"/>
        <w:right w:val="none" w:sz="0" w:space="0" w:color="auto"/>
      </w:divBdr>
    </w:div>
    <w:div w:id="545987369">
      <w:marLeft w:val="0"/>
      <w:marRight w:val="0"/>
      <w:marTop w:val="120"/>
      <w:marBottom w:val="120"/>
      <w:divBdr>
        <w:top w:val="none" w:sz="0" w:space="0" w:color="auto"/>
        <w:left w:val="none" w:sz="0" w:space="0" w:color="auto"/>
        <w:bottom w:val="none" w:sz="0" w:space="0" w:color="auto"/>
        <w:right w:val="none" w:sz="0" w:space="0" w:color="auto"/>
      </w:divBdr>
    </w:div>
    <w:div w:id="549615023">
      <w:marLeft w:val="0"/>
      <w:marRight w:val="0"/>
      <w:marTop w:val="0"/>
      <w:marBottom w:val="0"/>
      <w:divBdr>
        <w:top w:val="none" w:sz="0" w:space="0" w:color="auto"/>
        <w:left w:val="none" w:sz="0" w:space="0" w:color="auto"/>
        <w:bottom w:val="none" w:sz="0" w:space="0" w:color="auto"/>
        <w:right w:val="none" w:sz="0" w:space="0" w:color="auto"/>
      </w:divBdr>
      <w:divsChild>
        <w:div w:id="93674920">
          <w:marLeft w:val="0"/>
          <w:marRight w:val="0"/>
          <w:marTop w:val="0"/>
          <w:marBottom w:val="0"/>
          <w:divBdr>
            <w:top w:val="none" w:sz="0" w:space="0" w:color="auto"/>
            <w:left w:val="none" w:sz="0" w:space="0" w:color="auto"/>
            <w:bottom w:val="none" w:sz="0" w:space="0" w:color="auto"/>
            <w:right w:val="none" w:sz="0" w:space="0" w:color="auto"/>
          </w:divBdr>
        </w:div>
      </w:divsChild>
    </w:div>
    <w:div w:id="549920622">
      <w:marLeft w:val="0"/>
      <w:marRight w:val="0"/>
      <w:marTop w:val="0"/>
      <w:marBottom w:val="0"/>
      <w:divBdr>
        <w:top w:val="none" w:sz="0" w:space="0" w:color="auto"/>
        <w:left w:val="none" w:sz="0" w:space="0" w:color="auto"/>
        <w:bottom w:val="none" w:sz="0" w:space="0" w:color="auto"/>
        <w:right w:val="none" w:sz="0" w:space="0" w:color="auto"/>
      </w:divBdr>
    </w:div>
    <w:div w:id="550965389">
      <w:marLeft w:val="0"/>
      <w:marRight w:val="0"/>
      <w:marTop w:val="120"/>
      <w:marBottom w:val="0"/>
      <w:divBdr>
        <w:top w:val="none" w:sz="0" w:space="0" w:color="auto"/>
        <w:left w:val="none" w:sz="0" w:space="0" w:color="auto"/>
        <w:bottom w:val="none" w:sz="0" w:space="0" w:color="auto"/>
        <w:right w:val="none" w:sz="0" w:space="0" w:color="auto"/>
      </w:divBdr>
    </w:div>
    <w:div w:id="551624623">
      <w:marLeft w:val="0"/>
      <w:marRight w:val="0"/>
      <w:marTop w:val="180"/>
      <w:marBottom w:val="120"/>
      <w:divBdr>
        <w:top w:val="none" w:sz="0" w:space="0" w:color="auto"/>
        <w:left w:val="none" w:sz="0" w:space="0" w:color="auto"/>
        <w:bottom w:val="none" w:sz="0" w:space="0" w:color="auto"/>
        <w:right w:val="none" w:sz="0" w:space="0" w:color="auto"/>
      </w:divBdr>
    </w:div>
    <w:div w:id="554506477">
      <w:marLeft w:val="0"/>
      <w:marRight w:val="0"/>
      <w:marTop w:val="120"/>
      <w:marBottom w:val="20"/>
      <w:divBdr>
        <w:top w:val="none" w:sz="0" w:space="0" w:color="auto"/>
        <w:left w:val="none" w:sz="0" w:space="0" w:color="auto"/>
        <w:bottom w:val="none" w:sz="0" w:space="0" w:color="auto"/>
        <w:right w:val="none" w:sz="0" w:space="0" w:color="auto"/>
      </w:divBdr>
    </w:div>
    <w:div w:id="555120060">
      <w:marLeft w:val="0"/>
      <w:marRight w:val="0"/>
      <w:marTop w:val="120"/>
      <w:marBottom w:val="0"/>
      <w:divBdr>
        <w:top w:val="none" w:sz="0" w:space="0" w:color="auto"/>
        <w:left w:val="none" w:sz="0" w:space="0" w:color="auto"/>
        <w:bottom w:val="none" w:sz="0" w:space="0" w:color="auto"/>
        <w:right w:val="none" w:sz="0" w:space="0" w:color="auto"/>
      </w:divBdr>
    </w:div>
    <w:div w:id="558251031">
      <w:marLeft w:val="0"/>
      <w:marRight w:val="0"/>
      <w:marTop w:val="180"/>
      <w:marBottom w:val="120"/>
      <w:divBdr>
        <w:top w:val="none" w:sz="0" w:space="0" w:color="auto"/>
        <w:left w:val="none" w:sz="0" w:space="0" w:color="auto"/>
        <w:bottom w:val="none" w:sz="0" w:space="0" w:color="auto"/>
        <w:right w:val="none" w:sz="0" w:space="0" w:color="auto"/>
      </w:divBdr>
    </w:div>
    <w:div w:id="560215867">
      <w:marLeft w:val="0"/>
      <w:marRight w:val="0"/>
      <w:marTop w:val="0"/>
      <w:marBottom w:val="0"/>
      <w:divBdr>
        <w:top w:val="none" w:sz="0" w:space="0" w:color="auto"/>
        <w:left w:val="none" w:sz="0" w:space="0" w:color="auto"/>
        <w:bottom w:val="none" w:sz="0" w:space="0" w:color="auto"/>
        <w:right w:val="none" w:sz="0" w:space="0" w:color="auto"/>
      </w:divBdr>
    </w:div>
    <w:div w:id="561060528">
      <w:marLeft w:val="0"/>
      <w:marRight w:val="0"/>
      <w:marTop w:val="120"/>
      <w:marBottom w:val="120"/>
      <w:divBdr>
        <w:top w:val="none" w:sz="0" w:space="0" w:color="auto"/>
        <w:left w:val="none" w:sz="0" w:space="0" w:color="auto"/>
        <w:bottom w:val="none" w:sz="0" w:space="0" w:color="auto"/>
        <w:right w:val="none" w:sz="0" w:space="0" w:color="auto"/>
      </w:divBdr>
    </w:div>
    <w:div w:id="561330376">
      <w:marLeft w:val="0"/>
      <w:marRight w:val="0"/>
      <w:marTop w:val="0"/>
      <w:marBottom w:val="0"/>
      <w:divBdr>
        <w:top w:val="none" w:sz="0" w:space="0" w:color="auto"/>
        <w:left w:val="none" w:sz="0" w:space="0" w:color="auto"/>
        <w:bottom w:val="none" w:sz="0" w:space="0" w:color="auto"/>
        <w:right w:val="none" w:sz="0" w:space="0" w:color="auto"/>
      </w:divBdr>
      <w:divsChild>
        <w:div w:id="606618309">
          <w:marLeft w:val="0"/>
          <w:marRight w:val="0"/>
          <w:marTop w:val="0"/>
          <w:marBottom w:val="0"/>
          <w:divBdr>
            <w:top w:val="none" w:sz="0" w:space="0" w:color="auto"/>
            <w:left w:val="none" w:sz="0" w:space="0" w:color="auto"/>
            <w:bottom w:val="none" w:sz="0" w:space="0" w:color="auto"/>
            <w:right w:val="none" w:sz="0" w:space="0" w:color="auto"/>
          </w:divBdr>
        </w:div>
      </w:divsChild>
    </w:div>
    <w:div w:id="561914309">
      <w:marLeft w:val="0"/>
      <w:marRight w:val="0"/>
      <w:marTop w:val="0"/>
      <w:marBottom w:val="0"/>
      <w:divBdr>
        <w:top w:val="none" w:sz="0" w:space="0" w:color="auto"/>
        <w:left w:val="none" w:sz="0" w:space="0" w:color="auto"/>
        <w:bottom w:val="none" w:sz="0" w:space="0" w:color="auto"/>
        <w:right w:val="none" w:sz="0" w:space="0" w:color="auto"/>
      </w:divBdr>
      <w:divsChild>
        <w:div w:id="349841592">
          <w:marLeft w:val="0"/>
          <w:marRight w:val="0"/>
          <w:marTop w:val="0"/>
          <w:marBottom w:val="0"/>
          <w:divBdr>
            <w:top w:val="none" w:sz="0" w:space="0" w:color="auto"/>
            <w:left w:val="none" w:sz="0" w:space="0" w:color="auto"/>
            <w:bottom w:val="none" w:sz="0" w:space="0" w:color="auto"/>
            <w:right w:val="none" w:sz="0" w:space="0" w:color="auto"/>
          </w:divBdr>
        </w:div>
      </w:divsChild>
    </w:div>
    <w:div w:id="562907392">
      <w:marLeft w:val="0"/>
      <w:marRight w:val="0"/>
      <w:marTop w:val="240"/>
      <w:marBottom w:val="0"/>
      <w:divBdr>
        <w:top w:val="none" w:sz="0" w:space="0" w:color="auto"/>
        <w:left w:val="none" w:sz="0" w:space="0" w:color="auto"/>
        <w:bottom w:val="none" w:sz="0" w:space="0" w:color="auto"/>
        <w:right w:val="none" w:sz="0" w:space="0" w:color="auto"/>
      </w:divBdr>
    </w:div>
    <w:div w:id="563758423">
      <w:marLeft w:val="0"/>
      <w:marRight w:val="0"/>
      <w:marTop w:val="0"/>
      <w:marBottom w:val="0"/>
      <w:divBdr>
        <w:top w:val="none" w:sz="0" w:space="0" w:color="auto"/>
        <w:left w:val="none" w:sz="0" w:space="0" w:color="auto"/>
        <w:bottom w:val="none" w:sz="0" w:space="0" w:color="auto"/>
        <w:right w:val="none" w:sz="0" w:space="0" w:color="auto"/>
      </w:divBdr>
      <w:divsChild>
        <w:div w:id="228535990">
          <w:marLeft w:val="0"/>
          <w:marRight w:val="0"/>
          <w:marTop w:val="0"/>
          <w:marBottom w:val="0"/>
          <w:divBdr>
            <w:top w:val="none" w:sz="0" w:space="0" w:color="auto"/>
            <w:left w:val="none" w:sz="0" w:space="0" w:color="auto"/>
            <w:bottom w:val="none" w:sz="0" w:space="0" w:color="auto"/>
            <w:right w:val="none" w:sz="0" w:space="0" w:color="auto"/>
          </w:divBdr>
        </w:div>
      </w:divsChild>
    </w:div>
    <w:div w:id="569583429">
      <w:marLeft w:val="0"/>
      <w:marRight w:val="0"/>
      <w:marTop w:val="0"/>
      <w:marBottom w:val="120"/>
      <w:divBdr>
        <w:top w:val="none" w:sz="0" w:space="0" w:color="auto"/>
        <w:left w:val="none" w:sz="0" w:space="0" w:color="auto"/>
        <w:bottom w:val="none" w:sz="0" w:space="0" w:color="auto"/>
        <w:right w:val="none" w:sz="0" w:space="0" w:color="auto"/>
      </w:divBdr>
    </w:div>
    <w:div w:id="570426838">
      <w:marLeft w:val="0"/>
      <w:marRight w:val="0"/>
      <w:marTop w:val="240"/>
      <w:marBottom w:val="120"/>
      <w:divBdr>
        <w:top w:val="none" w:sz="0" w:space="0" w:color="auto"/>
        <w:left w:val="none" w:sz="0" w:space="0" w:color="auto"/>
        <w:bottom w:val="none" w:sz="0" w:space="0" w:color="auto"/>
        <w:right w:val="none" w:sz="0" w:space="0" w:color="auto"/>
      </w:divBdr>
    </w:div>
    <w:div w:id="571500538">
      <w:marLeft w:val="0"/>
      <w:marRight w:val="0"/>
      <w:marTop w:val="120"/>
      <w:marBottom w:val="120"/>
      <w:divBdr>
        <w:top w:val="none" w:sz="0" w:space="0" w:color="auto"/>
        <w:left w:val="none" w:sz="0" w:space="0" w:color="auto"/>
        <w:bottom w:val="none" w:sz="0" w:space="0" w:color="auto"/>
        <w:right w:val="none" w:sz="0" w:space="0" w:color="auto"/>
      </w:divBdr>
    </w:div>
    <w:div w:id="572156524">
      <w:marLeft w:val="0"/>
      <w:marRight w:val="0"/>
      <w:marTop w:val="120"/>
      <w:marBottom w:val="0"/>
      <w:divBdr>
        <w:top w:val="none" w:sz="0" w:space="0" w:color="auto"/>
        <w:left w:val="none" w:sz="0" w:space="0" w:color="auto"/>
        <w:bottom w:val="none" w:sz="0" w:space="0" w:color="auto"/>
        <w:right w:val="none" w:sz="0" w:space="0" w:color="auto"/>
      </w:divBdr>
    </w:div>
    <w:div w:id="572810572">
      <w:marLeft w:val="0"/>
      <w:marRight w:val="0"/>
      <w:marTop w:val="0"/>
      <w:marBottom w:val="0"/>
      <w:divBdr>
        <w:top w:val="none" w:sz="0" w:space="0" w:color="auto"/>
        <w:left w:val="none" w:sz="0" w:space="0" w:color="auto"/>
        <w:bottom w:val="none" w:sz="0" w:space="0" w:color="auto"/>
        <w:right w:val="none" w:sz="0" w:space="0" w:color="auto"/>
      </w:divBdr>
    </w:div>
    <w:div w:id="573128665">
      <w:marLeft w:val="0"/>
      <w:marRight w:val="0"/>
      <w:marTop w:val="120"/>
      <w:marBottom w:val="0"/>
      <w:divBdr>
        <w:top w:val="none" w:sz="0" w:space="0" w:color="auto"/>
        <w:left w:val="none" w:sz="0" w:space="0" w:color="auto"/>
        <w:bottom w:val="none" w:sz="0" w:space="0" w:color="auto"/>
        <w:right w:val="none" w:sz="0" w:space="0" w:color="auto"/>
      </w:divBdr>
    </w:div>
    <w:div w:id="574821731">
      <w:marLeft w:val="0"/>
      <w:marRight w:val="0"/>
      <w:marTop w:val="120"/>
      <w:marBottom w:val="120"/>
      <w:divBdr>
        <w:top w:val="none" w:sz="0" w:space="0" w:color="auto"/>
        <w:left w:val="none" w:sz="0" w:space="0" w:color="auto"/>
        <w:bottom w:val="none" w:sz="0" w:space="0" w:color="auto"/>
        <w:right w:val="none" w:sz="0" w:space="0" w:color="auto"/>
      </w:divBdr>
    </w:div>
    <w:div w:id="576089698">
      <w:marLeft w:val="0"/>
      <w:marRight w:val="0"/>
      <w:marTop w:val="60"/>
      <w:marBottom w:val="120"/>
      <w:divBdr>
        <w:top w:val="none" w:sz="0" w:space="0" w:color="auto"/>
        <w:left w:val="none" w:sz="0" w:space="0" w:color="auto"/>
        <w:bottom w:val="none" w:sz="0" w:space="0" w:color="auto"/>
        <w:right w:val="none" w:sz="0" w:space="0" w:color="auto"/>
      </w:divBdr>
    </w:div>
    <w:div w:id="584992428">
      <w:marLeft w:val="0"/>
      <w:marRight w:val="0"/>
      <w:marTop w:val="120"/>
      <w:marBottom w:val="0"/>
      <w:divBdr>
        <w:top w:val="none" w:sz="0" w:space="0" w:color="auto"/>
        <w:left w:val="none" w:sz="0" w:space="0" w:color="auto"/>
        <w:bottom w:val="none" w:sz="0" w:space="0" w:color="auto"/>
        <w:right w:val="none" w:sz="0" w:space="0" w:color="auto"/>
      </w:divBdr>
    </w:div>
    <w:div w:id="588195452">
      <w:marLeft w:val="0"/>
      <w:marRight w:val="0"/>
      <w:marTop w:val="120"/>
      <w:marBottom w:val="120"/>
      <w:divBdr>
        <w:top w:val="none" w:sz="0" w:space="0" w:color="auto"/>
        <w:left w:val="none" w:sz="0" w:space="0" w:color="auto"/>
        <w:bottom w:val="none" w:sz="0" w:space="0" w:color="auto"/>
        <w:right w:val="none" w:sz="0" w:space="0" w:color="auto"/>
      </w:divBdr>
    </w:div>
    <w:div w:id="588198341">
      <w:marLeft w:val="0"/>
      <w:marRight w:val="0"/>
      <w:marTop w:val="60"/>
      <w:marBottom w:val="0"/>
      <w:divBdr>
        <w:top w:val="none" w:sz="0" w:space="0" w:color="auto"/>
        <w:left w:val="none" w:sz="0" w:space="0" w:color="auto"/>
        <w:bottom w:val="none" w:sz="0" w:space="0" w:color="auto"/>
        <w:right w:val="none" w:sz="0" w:space="0" w:color="auto"/>
      </w:divBdr>
    </w:div>
    <w:div w:id="591358724">
      <w:marLeft w:val="0"/>
      <w:marRight w:val="0"/>
      <w:marTop w:val="120"/>
      <w:marBottom w:val="120"/>
      <w:divBdr>
        <w:top w:val="none" w:sz="0" w:space="0" w:color="auto"/>
        <w:left w:val="none" w:sz="0" w:space="0" w:color="auto"/>
        <w:bottom w:val="none" w:sz="0" w:space="0" w:color="auto"/>
        <w:right w:val="none" w:sz="0" w:space="0" w:color="auto"/>
      </w:divBdr>
    </w:div>
    <w:div w:id="591397103">
      <w:marLeft w:val="0"/>
      <w:marRight w:val="0"/>
      <w:marTop w:val="0"/>
      <w:marBottom w:val="0"/>
      <w:divBdr>
        <w:top w:val="none" w:sz="0" w:space="0" w:color="auto"/>
        <w:left w:val="none" w:sz="0" w:space="0" w:color="auto"/>
        <w:bottom w:val="none" w:sz="0" w:space="0" w:color="auto"/>
        <w:right w:val="none" w:sz="0" w:space="0" w:color="auto"/>
      </w:divBdr>
      <w:divsChild>
        <w:div w:id="55591678">
          <w:marLeft w:val="0"/>
          <w:marRight w:val="0"/>
          <w:marTop w:val="0"/>
          <w:marBottom w:val="0"/>
          <w:divBdr>
            <w:top w:val="none" w:sz="0" w:space="0" w:color="auto"/>
            <w:left w:val="none" w:sz="0" w:space="0" w:color="auto"/>
            <w:bottom w:val="none" w:sz="0" w:space="0" w:color="auto"/>
            <w:right w:val="none" w:sz="0" w:space="0" w:color="auto"/>
          </w:divBdr>
        </w:div>
      </w:divsChild>
    </w:div>
    <w:div w:id="592393688">
      <w:marLeft w:val="0"/>
      <w:marRight w:val="0"/>
      <w:marTop w:val="0"/>
      <w:marBottom w:val="0"/>
      <w:divBdr>
        <w:top w:val="none" w:sz="0" w:space="0" w:color="auto"/>
        <w:left w:val="none" w:sz="0" w:space="0" w:color="auto"/>
        <w:bottom w:val="none" w:sz="0" w:space="0" w:color="auto"/>
        <w:right w:val="none" w:sz="0" w:space="0" w:color="auto"/>
      </w:divBdr>
    </w:div>
    <w:div w:id="592400805">
      <w:marLeft w:val="0"/>
      <w:marRight w:val="0"/>
      <w:marTop w:val="240"/>
      <w:marBottom w:val="120"/>
      <w:divBdr>
        <w:top w:val="none" w:sz="0" w:space="0" w:color="auto"/>
        <w:left w:val="none" w:sz="0" w:space="0" w:color="auto"/>
        <w:bottom w:val="none" w:sz="0" w:space="0" w:color="auto"/>
        <w:right w:val="none" w:sz="0" w:space="0" w:color="auto"/>
      </w:divBdr>
    </w:div>
    <w:div w:id="592972959">
      <w:marLeft w:val="0"/>
      <w:marRight w:val="0"/>
      <w:marTop w:val="120"/>
      <w:marBottom w:val="120"/>
      <w:divBdr>
        <w:top w:val="none" w:sz="0" w:space="0" w:color="auto"/>
        <w:left w:val="none" w:sz="0" w:space="0" w:color="auto"/>
        <w:bottom w:val="none" w:sz="0" w:space="0" w:color="auto"/>
        <w:right w:val="none" w:sz="0" w:space="0" w:color="auto"/>
      </w:divBdr>
    </w:div>
    <w:div w:id="595602338">
      <w:marLeft w:val="0"/>
      <w:marRight w:val="0"/>
      <w:marTop w:val="120"/>
      <w:marBottom w:val="120"/>
      <w:divBdr>
        <w:top w:val="none" w:sz="0" w:space="0" w:color="auto"/>
        <w:left w:val="none" w:sz="0" w:space="0" w:color="auto"/>
        <w:bottom w:val="none" w:sz="0" w:space="0" w:color="auto"/>
        <w:right w:val="none" w:sz="0" w:space="0" w:color="auto"/>
      </w:divBdr>
    </w:div>
    <w:div w:id="596183163">
      <w:marLeft w:val="0"/>
      <w:marRight w:val="0"/>
      <w:marTop w:val="0"/>
      <w:marBottom w:val="0"/>
      <w:divBdr>
        <w:top w:val="none" w:sz="0" w:space="0" w:color="auto"/>
        <w:left w:val="none" w:sz="0" w:space="0" w:color="auto"/>
        <w:bottom w:val="none" w:sz="0" w:space="0" w:color="auto"/>
        <w:right w:val="none" w:sz="0" w:space="0" w:color="auto"/>
      </w:divBdr>
    </w:div>
    <w:div w:id="596914242">
      <w:marLeft w:val="0"/>
      <w:marRight w:val="0"/>
      <w:marTop w:val="0"/>
      <w:marBottom w:val="0"/>
      <w:divBdr>
        <w:top w:val="none" w:sz="0" w:space="0" w:color="auto"/>
        <w:left w:val="none" w:sz="0" w:space="0" w:color="auto"/>
        <w:bottom w:val="none" w:sz="0" w:space="0" w:color="auto"/>
        <w:right w:val="none" w:sz="0" w:space="0" w:color="auto"/>
      </w:divBdr>
      <w:divsChild>
        <w:div w:id="204145471">
          <w:marLeft w:val="0"/>
          <w:marRight w:val="0"/>
          <w:marTop w:val="0"/>
          <w:marBottom w:val="0"/>
          <w:divBdr>
            <w:top w:val="none" w:sz="0" w:space="0" w:color="auto"/>
            <w:left w:val="none" w:sz="0" w:space="0" w:color="auto"/>
            <w:bottom w:val="none" w:sz="0" w:space="0" w:color="auto"/>
            <w:right w:val="none" w:sz="0" w:space="0" w:color="auto"/>
          </w:divBdr>
        </w:div>
      </w:divsChild>
    </w:div>
    <w:div w:id="598954998">
      <w:marLeft w:val="0"/>
      <w:marRight w:val="0"/>
      <w:marTop w:val="180"/>
      <w:marBottom w:val="120"/>
      <w:divBdr>
        <w:top w:val="none" w:sz="0" w:space="0" w:color="auto"/>
        <w:left w:val="none" w:sz="0" w:space="0" w:color="auto"/>
        <w:bottom w:val="none" w:sz="0" w:space="0" w:color="auto"/>
        <w:right w:val="none" w:sz="0" w:space="0" w:color="auto"/>
      </w:divBdr>
    </w:div>
    <w:div w:id="599029070">
      <w:marLeft w:val="0"/>
      <w:marRight w:val="0"/>
      <w:marTop w:val="120"/>
      <w:marBottom w:val="120"/>
      <w:divBdr>
        <w:top w:val="none" w:sz="0" w:space="0" w:color="auto"/>
        <w:left w:val="none" w:sz="0" w:space="0" w:color="auto"/>
        <w:bottom w:val="none" w:sz="0" w:space="0" w:color="auto"/>
        <w:right w:val="none" w:sz="0" w:space="0" w:color="auto"/>
      </w:divBdr>
    </w:div>
    <w:div w:id="599218278">
      <w:marLeft w:val="0"/>
      <w:marRight w:val="0"/>
      <w:marTop w:val="0"/>
      <w:marBottom w:val="0"/>
      <w:divBdr>
        <w:top w:val="none" w:sz="0" w:space="0" w:color="auto"/>
        <w:left w:val="none" w:sz="0" w:space="0" w:color="auto"/>
        <w:bottom w:val="none" w:sz="0" w:space="0" w:color="auto"/>
        <w:right w:val="none" w:sz="0" w:space="0" w:color="auto"/>
      </w:divBdr>
    </w:div>
    <w:div w:id="604651864">
      <w:marLeft w:val="0"/>
      <w:marRight w:val="0"/>
      <w:marTop w:val="0"/>
      <w:marBottom w:val="0"/>
      <w:divBdr>
        <w:top w:val="none" w:sz="0" w:space="0" w:color="auto"/>
        <w:left w:val="none" w:sz="0" w:space="0" w:color="auto"/>
        <w:bottom w:val="none" w:sz="0" w:space="0" w:color="auto"/>
        <w:right w:val="none" w:sz="0" w:space="0" w:color="auto"/>
      </w:divBdr>
    </w:div>
    <w:div w:id="606279867">
      <w:marLeft w:val="0"/>
      <w:marRight w:val="0"/>
      <w:marTop w:val="120"/>
      <w:marBottom w:val="0"/>
      <w:divBdr>
        <w:top w:val="none" w:sz="0" w:space="0" w:color="auto"/>
        <w:left w:val="none" w:sz="0" w:space="0" w:color="auto"/>
        <w:bottom w:val="none" w:sz="0" w:space="0" w:color="auto"/>
        <w:right w:val="none" w:sz="0" w:space="0" w:color="auto"/>
      </w:divBdr>
    </w:div>
    <w:div w:id="606737690">
      <w:marLeft w:val="0"/>
      <w:marRight w:val="0"/>
      <w:marTop w:val="0"/>
      <w:marBottom w:val="0"/>
      <w:divBdr>
        <w:top w:val="none" w:sz="0" w:space="0" w:color="auto"/>
        <w:left w:val="none" w:sz="0" w:space="0" w:color="auto"/>
        <w:bottom w:val="none" w:sz="0" w:space="0" w:color="auto"/>
        <w:right w:val="none" w:sz="0" w:space="0" w:color="auto"/>
      </w:divBdr>
      <w:divsChild>
        <w:div w:id="1923483913">
          <w:marLeft w:val="0"/>
          <w:marRight w:val="0"/>
          <w:marTop w:val="0"/>
          <w:marBottom w:val="0"/>
          <w:divBdr>
            <w:top w:val="none" w:sz="0" w:space="0" w:color="auto"/>
            <w:left w:val="none" w:sz="0" w:space="0" w:color="auto"/>
            <w:bottom w:val="none" w:sz="0" w:space="0" w:color="auto"/>
            <w:right w:val="none" w:sz="0" w:space="0" w:color="auto"/>
          </w:divBdr>
        </w:div>
      </w:divsChild>
    </w:div>
    <w:div w:id="610750003">
      <w:marLeft w:val="0"/>
      <w:marRight w:val="0"/>
      <w:marTop w:val="120"/>
      <w:marBottom w:val="120"/>
      <w:divBdr>
        <w:top w:val="none" w:sz="0" w:space="0" w:color="auto"/>
        <w:left w:val="none" w:sz="0" w:space="0" w:color="auto"/>
        <w:bottom w:val="none" w:sz="0" w:space="0" w:color="auto"/>
        <w:right w:val="none" w:sz="0" w:space="0" w:color="auto"/>
      </w:divBdr>
    </w:div>
    <w:div w:id="611674183">
      <w:marLeft w:val="0"/>
      <w:marRight w:val="0"/>
      <w:marTop w:val="0"/>
      <w:marBottom w:val="0"/>
      <w:divBdr>
        <w:top w:val="none" w:sz="0" w:space="0" w:color="auto"/>
        <w:left w:val="none" w:sz="0" w:space="0" w:color="auto"/>
        <w:bottom w:val="none" w:sz="0" w:space="0" w:color="auto"/>
        <w:right w:val="none" w:sz="0" w:space="0" w:color="auto"/>
      </w:divBdr>
    </w:div>
    <w:div w:id="613750028">
      <w:marLeft w:val="0"/>
      <w:marRight w:val="0"/>
      <w:marTop w:val="240"/>
      <w:marBottom w:val="120"/>
      <w:divBdr>
        <w:top w:val="none" w:sz="0" w:space="0" w:color="auto"/>
        <w:left w:val="none" w:sz="0" w:space="0" w:color="auto"/>
        <w:bottom w:val="none" w:sz="0" w:space="0" w:color="auto"/>
        <w:right w:val="none" w:sz="0" w:space="0" w:color="auto"/>
      </w:divBdr>
    </w:div>
    <w:div w:id="613756055">
      <w:marLeft w:val="0"/>
      <w:marRight w:val="0"/>
      <w:marTop w:val="0"/>
      <w:marBottom w:val="0"/>
      <w:divBdr>
        <w:top w:val="none" w:sz="0" w:space="0" w:color="auto"/>
        <w:left w:val="none" w:sz="0" w:space="0" w:color="auto"/>
        <w:bottom w:val="none" w:sz="0" w:space="0" w:color="auto"/>
        <w:right w:val="none" w:sz="0" w:space="0" w:color="auto"/>
      </w:divBdr>
      <w:divsChild>
        <w:div w:id="1516459879">
          <w:marLeft w:val="0"/>
          <w:marRight w:val="0"/>
          <w:marTop w:val="0"/>
          <w:marBottom w:val="0"/>
          <w:divBdr>
            <w:top w:val="none" w:sz="0" w:space="0" w:color="auto"/>
            <w:left w:val="none" w:sz="0" w:space="0" w:color="auto"/>
            <w:bottom w:val="none" w:sz="0" w:space="0" w:color="auto"/>
            <w:right w:val="none" w:sz="0" w:space="0" w:color="auto"/>
          </w:divBdr>
        </w:div>
      </w:divsChild>
    </w:div>
    <w:div w:id="616764802">
      <w:marLeft w:val="0"/>
      <w:marRight w:val="0"/>
      <w:marTop w:val="0"/>
      <w:marBottom w:val="0"/>
      <w:divBdr>
        <w:top w:val="none" w:sz="0" w:space="0" w:color="auto"/>
        <w:left w:val="none" w:sz="0" w:space="0" w:color="auto"/>
        <w:bottom w:val="none" w:sz="0" w:space="0" w:color="auto"/>
        <w:right w:val="none" w:sz="0" w:space="0" w:color="auto"/>
      </w:divBdr>
      <w:divsChild>
        <w:div w:id="412316708">
          <w:marLeft w:val="0"/>
          <w:marRight w:val="0"/>
          <w:marTop w:val="0"/>
          <w:marBottom w:val="0"/>
          <w:divBdr>
            <w:top w:val="none" w:sz="0" w:space="0" w:color="auto"/>
            <w:left w:val="none" w:sz="0" w:space="0" w:color="auto"/>
            <w:bottom w:val="none" w:sz="0" w:space="0" w:color="auto"/>
            <w:right w:val="none" w:sz="0" w:space="0" w:color="auto"/>
          </w:divBdr>
        </w:div>
      </w:divsChild>
    </w:div>
    <w:div w:id="618410715">
      <w:marLeft w:val="0"/>
      <w:marRight w:val="0"/>
      <w:marTop w:val="120"/>
      <w:marBottom w:val="120"/>
      <w:divBdr>
        <w:top w:val="none" w:sz="0" w:space="0" w:color="auto"/>
        <w:left w:val="none" w:sz="0" w:space="0" w:color="auto"/>
        <w:bottom w:val="none" w:sz="0" w:space="0" w:color="auto"/>
        <w:right w:val="none" w:sz="0" w:space="0" w:color="auto"/>
      </w:divBdr>
    </w:div>
    <w:div w:id="619265637">
      <w:marLeft w:val="0"/>
      <w:marRight w:val="0"/>
      <w:marTop w:val="180"/>
      <w:marBottom w:val="120"/>
      <w:divBdr>
        <w:top w:val="none" w:sz="0" w:space="0" w:color="auto"/>
        <w:left w:val="none" w:sz="0" w:space="0" w:color="auto"/>
        <w:bottom w:val="none" w:sz="0" w:space="0" w:color="auto"/>
        <w:right w:val="none" w:sz="0" w:space="0" w:color="auto"/>
      </w:divBdr>
    </w:div>
    <w:div w:id="629164582">
      <w:marLeft w:val="0"/>
      <w:marRight w:val="0"/>
      <w:marTop w:val="120"/>
      <w:marBottom w:val="120"/>
      <w:divBdr>
        <w:top w:val="none" w:sz="0" w:space="0" w:color="auto"/>
        <w:left w:val="none" w:sz="0" w:space="0" w:color="auto"/>
        <w:bottom w:val="none" w:sz="0" w:space="0" w:color="auto"/>
        <w:right w:val="none" w:sz="0" w:space="0" w:color="auto"/>
      </w:divBdr>
    </w:div>
    <w:div w:id="631131512">
      <w:marLeft w:val="0"/>
      <w:marRight w:val="0"/>
      <w:marTop w:val="0"/>
      <w:marBottom w:val="0"/>
      <w:divBdr>
        <w:top w:val="none" w:sz="0" w:space="0" w:color="auto"/>
        <w:left w:val="none" w:sz="0" w:space="0" w:color="auto"/>
        <w:bottom w:val="none" w:sz="0" w:space="0" w:color="auto"/>
        <w:right w:val="none" w:sz="0" w:space="0" w:color="auto"/>
      </w:divBdr>
    </w:div>
    <w:div w:id="634339521">
      <w:marLeft w:val="0"/>
      <w:marRight w:val="0"/>
      <w:marTop w:val="120"/>
      <w:marBottom w:val="0"/>
      <w:divBdr>
        <w:top w:val="none" w:sz="0" w:space="0" w:color="auto"/>
        <w:left w:val="none" w:sz="0" w:space="0" w:color="auto"/>
        <w:bottom w:val="none" w:sz="0" w:space="0" w:color="auto"/>
        <w:right w:val="none" w:sz="0" w:space="0" w:color="auto"/>
      </w:divBdr>
    </w:div>
    <w:div w:id="634679549">
      <w:marLeft w:val="0"/>
      <w:marRight w:val="0"/>
      <w:marTop w:val="180"/>
      <w:marBottom w:val="120"/>
      <w:divBdr>
        <w:top w:val="none" w:sz="0" w:space="0" w:color="auto"/>
        <w:left w:val="none" w:sz="0" w:space="0" w:color="auto"/>
        <w:bottom w:val="none" w:sz="0" w:space="0" w:color="auto"/>
        <w:right w:val="none" w:sz="0" w:space="0" w:color="auto"/>
      </w:divBdr>
    </w:div>
    <w:div w:id="635374255">
      <w:marLeft w:val="0"/>
      <w:marRight w:val="0"/>
      <w:marTop w:val="0"/>
      <w:marBottom w:val="0"/>
      <w:divBdr>
        <w:top w:val="none" w:sz="0" w:space="0" w:color="auto"/>
        <w:left w:val="none" w:sz="0" w:space="0" w:color="auto"/>
        <w:bottom w:val="none" w:sz="0" w:space="0" w:color="auto"/>
        <w:right w:val="none" w:sz="0" w:space="0" w:color="auto"/>
      </w:divBdr>
      <w:divsChild>
        <w:div w:id="1994601964">
          <w:marLeft w:val="0"/>
          <w:marRight w:val="0"/>
          <w:marTop w:val="0"/>
          <w:marBottom w:val="0"/>
          <w:divBdr>
            <w:top w:val="none" w:sz="0" w:space="0" w:color="auto"/>
            <w:left w:val="none" w:sz="0" w:space="0" w:color="auto"/>
            <w:bottom w:val="none" w:sz="0" w:space="0" w:color="auto"/>
            <w:right w:val="none" w:sz="0" w:space="0" w:color="auto"/>
          </w:divBdr>
        </w:div>
      </w:divsChild>
    </w:div>
    <w:div w:id="636224636">
      <w:marLeft w:val="0"/>
      <w:marRight w:val="0"/>
      <w:marTop w:val="120"/>
      <w:marBottom w:val="0"/>
      <w:divBdr>
        <w:top w:val="none" w:sz="0" w:space="0" w:color="auto"/>
        <w:left w:val="none" w:sz="0" w:space="0" w:color="auto"/>
        <w:bottom w:val="none" w:sz="0" w:space="0" w:color="auto"/>
        <w:right w:val="none" w:sz="0" w:space="0" w:color="auto"/>
      </w:divBdr>
    </w:div>
    <w:div w:id="638193887">
      <w:marLeft w:val="0"/>
      <w:marRight w:val="0"/>
      <w:marTop w:val="60"/>
      <w:marBottom w:val="0"/>
      <w:divBdr>
        <w:top w:val="none" w:sz="0" w:space="0" w:color="auto"/>
        <w:left w:val="none" w:sz="0" w:space="0" w:color="auto"/>
        <w:bottom w:val="none" w:sz="0" w:space="0" w:color="auto"/>
        <w:right w:val="none" w:sz="0" w:space="0" w:color="auto"/>
      </w:divBdr>
    </w:div>
    <w:div w:id="638655662">
      <w:marLeft w:val="0"/>
      <w:marRight w:val="0"/>
      <w:marTop w:val="0"/>
      <w:marBottom w:val="0"/>
      <w:divBdr>
        <w:top w:val="none" w:sz="0" w:space="0" w:color="auto"/>
        <w:left w:val="none" w:sz="0" w:space="0" w:color="auto"/>
        <w:bottom w:val="none" w:sz="0" w:space="0" w:color="auto"/>
        <w:right w:val="none" w:sz="0" w:space="0" w:color="auto"/>
      </w:divBdr>
    </w:div>
    <w:div w:id="642850193">
      <w:marLeft w:val="0"/>
      <w:marRight w:val="0"/>
      <w:marTop w:val="120"/>
      <w:marBottom w:val="0"/>
      <w:divBdr>
        <w:top w:val="none" w:sz="0" w:space="0" w:color="auto"/>
        <w:left w:val="none" w:sz="0" w:space="0" w:color="auto"/>
        <w:bottom w:val="none" w:sz="0" w:space="0" w:color="auto"/>
        <w:right w:val="none" w:sz="0" w:space="0" w:color="auto"/>
      </w:divBdr>
    </w:div>
    <w:div w:id="642924897">
      <w:marLeft w:val="0"/>
      <w:marRight w:val="0"/>
      <w:marTop w:val="120"/>
      <w:marBottom w:val="0"/>
      <w:divBdr>
        <w:top w:val="none" w:sz="0" w:space="0" w:color="auto"/>
        <w:left w:val="none" w:sz="0" w:space="0" w:color="auto"/>
        <w:bottom w:val="none" w:sz="0" w:space="0" w:color="auto"/>
        <w:right w:val="none" w:sz="0" w:space="0" w:color="auto"/>
      </w:divBdr>
    </w:div>
    <w:div w:id="649211597">
      <w:marLeft w:val="0"/>
      <w:marRight w:val="0"/>
      <w:marTop w:val="120"/>
      <w:marBottom w:val="120"/>
      <w:divBdr>
        <w:top w:val="none" w:sz="0" w:space="0" w:color="auto"/>
        <w:left w:val="none" w:sz="0" w:space="0" w:color="auto"/>
        <w:bottom w:val="none" w:sz="0" w:space="0" w:color="auto"/>
        <w:right w:val="none" w:sz="0" w:space="0" w:color="auto"/>
      </w:divBdr>
    </w:div>
    <w:div w:id="650522096">
      <w:marLeft w:val="0"/>
      <w:marRight w:val="0"/>
      <w:marTop w:val="0"/>
      <w:marBottom w:val="0"/>
      <w:divBdr>
        <w:top w:val="none" w:sz="0" w:space="0" w:color="auto"/>
        <w:left w:val="none" w:sz="0" w:space="0" w:color="auto"/>
        <w:bottom w:val="none" w:sz="0" w:space="0" w:color="auto"/>
        <w:right w:val="none" w:sz="0" w:space="0" w:color="auto"/>
      </w:divBdr>
      <w:divsChild>
        <w:div w:id="1098870466">
          <w:marLeft w:val="0"/>
          <w:marRight w:val="0"/>
          <w:marTop w:val="0"/>
          <w:marBottom w:val="0"/>
          <w:divBdr>
            <w:top w:val="none" w:sz="0" w:space="0" w:color="auto"/>
            <w:left w:val="none" w:sz="0" w:space="0" w:color="auto"/>
            <w:bottom w:val="none" w:sz="0" w:space="0" w:color="auto"/>
            <w:right w:val="none" w:sz="0" w:space="0" w:color="auto"/>
          </w:divBdr>
        </w:div>
      </w:divsChild>
    </w:div>
    <w:div w:id="652375424">
      <w:marLeft w:val="0"/>
      <w:marRight w:val="0"/>
      <w:marTop w:val="0"/>
      <w:marBottom w:val="0"/>
      <w:divBdr>
        <w:top w:val="none" w:sz="0" w:space="0" w:color="auto"/>
        <w:left w:val="none" w:sz="0" w:space="0" w:color="auto"/>
        <w:bottom w:val="none" w:sz="0" w:space="0" w:color="auto"/>
        <w:right w:val="none" w:sz="0" w:space="0" w:color="auto"/>
      </w:divBdr>
      <w:divsChild>
        <w:div w:id="1377729993">
          <w:marLeft w:val="0"/>
          <w:marRight w:val="0"/>
          <w:marTop w:val="0"/>
          <w:marBottom w:val="0"/>
          <w:divBdr>
            <w:top w:val="none" w:sz="0" w:space="0" w:color="auto"/>
            <w:left w:val="none" w:sz="0" w:space="0" w:color="auto"/>
            <w:bottom w:val="none" w:sz="0" w:space="0" w:color="auto"/>
            <w:right w:val="none" w:sz="0" w:space="0" w:color="auto"/>
          </w:divBdr>
        </w:div>
      </w:divsChild>
    </w:div>
    <w:div w:id="655261125">
      <w:marLeft w:val="0"/>
      <w:marRight w:val="0"/>
      <w:marTop w:val="120"/>
      <w:marBottom w:val="0"/>
      <w:divBdr>
        <w:top w:val="none" w:sz="0" w:space="0" w:color="auto"/>
        <w:left w:val="none" w:sz="0" w:space="0" w:color="auto"/>
        <w:bottom w:val="none" w:sz="0" w:space="0" w:color="auto"/>
        <w:right w:val="none" w:sz="0" w:space="0" w:color="auto"/>
      </w:divBdr>
    </w:div>
    <w:div w:id="655842304">
      <w:marLeft w:val="0"/>
      <w:marRight w:val="0"/>
      <w:marTop w:val="0"/>
      <w:marBottom w:val="0"/>
      <w:divBdr>
        <w:top w:val="none" w:sz="0" w:space="0" w:color="auto"/>
        <w:left w:val="none" w:sz="0" w:space="0" w:color="auto"/>
        <w:bottom w:val="none" w:sz="0" w:space="0" w:color="auto"/>
        <w:right w:val="none" w:sz="0" w:space="0" w:color="auto"/>
      </w:divBdr>
    </w:div>
    <w:div w:id="655961856">
      <w:marLeft w:val="0"/>
      <w:marRight w:val="0"/>
      <w:marTop w:val="180"/>
      <w:marBottom w:val="120"/>
      <w:divBdr>
        <w:top w:val="none" w:sz="0" w:space="0" w:color="auto"/>
        <w:left w:val="none" w:sz="0" w:space="0" w:color="auto"/>
        <w:bottom w:val="none" w:sz="0" w:space="0" w:color="auto"/>
        <w:right w:val="none" w:sz="0" w:space="0" w:color="auto"/>
      </w:divBdr>
    </w:div>
    <w:div w:id="657536332">
      <w:marLeft w:val="0"/>
      <w:marRight w:val="0"/>
      <w:marTop w:val="0"/>
      <w:marBottom w:val="0"/>
      <w:divBdr>
        <w:top w:val="none" w:sz="0" w:space="0" w:color="auto"/>
        <w:left w:val="none" w:sz="0" w:space="0" w:color="auto"/>
        <w:bottom w:val="none" w:sz="0" w:space="0" w:color="auto"/>
        <w:right w:val="none" w:sz="0" w:space="0" w:color="auto"/>
      </w:divBdr>
      <w:divsChild>
        <w:div w:id="971640223">
          <w:marLeft w:val="0"/>
          <w:marRight w:val="0"/>
          <w:marTop w:val="0"/>
          <w:marBottom w:val="0"/>
          <w:divBdr>
            <w:top w:val="none" w:sz="0" w:space="0" w:color="auto"/>
            <w:left w:val="none" w:sz="0" w:space="0" w:color="auto"/>
            <w:bottom w:val="none" w:sz="0" w:space="0" w:color="auto"/>
            <w:right w:val="none" w:sz="0" w:space="0" w:color="auto"/>
          </w:divBdr>
        </w:div>
      </w:divsChild>
    </w:div>
    <w:div w:id="663507176">
      <w:marLeft w:val="0"/>
      <w:marRight w:val="0"/>
      <w:marTop w:val="120"/>
      <w:marBottom w:val="120"/>
      <w:divBdr>
        <w:top w:val="none" w:sz="0" w:space="0" w:color="auto"/>
        <w:left w:val="none" w:sz="0" w:space="0" w:color="auto"/>
        <w:bottom w:val="none" w:sz="0" w:space="0" w:color="auto"/>
        <w:right w:val="none" w:sz="0" w:space="0" w:color="auto"/>
      </w:divBdr>
    </w:div>
    <w:div w:id="664014272">
      <w:marLeft w:val="0"/>
      <w:marRight w:val="0"/>
      <w:marTop w:val="0"/>
      <w:marBottom w:val="0"/>
      <w:divBdr>
        <w:top w:val="none" w:sz="0" w:space="0" w:color="auto"/>
        <w:left w:val="none" w:sz="0" w:space="0" w:color="auto"/>
        <w:bottom w:val="none" w:sz="0" w:space="0" w:color="auto"/>
        <w:right w:val="none" w:sz="0" w:space="0" w:color="auto"/>
      </w:divBdr>
      <w:divsChild>
        <w:div w:id="1990816413">
          <w:marLeft w:val="0"/>
          <w:marRight w:val="0"/>
          <w:marTop w:val="0"/>
          <w:marBottom w:val="0"/>
          <w:divBdr>
            <w:top w:val="none" w:sz="0" w:space="0" w:color="auto"/>
            <w:left w:val="none" w:sz="0" w:space="0" w:color="auto"/>
            <w:bottom w:val="none" w:sz="0" w:space="0" w:color="auto"/>
            <w:right w:val="none" w:sz="0" w:space="0" w:color="auto"/>
          </w:divBdr>
        </w:div>
      </w:divsChild>
    </w:div>
    <w:div w:id="666787932">
      <w:marLeft w:val="0"/>
      <w:marRight w:val="0"/>
      <w:marTop w:val="120"/>
      <w:marBottom w:val="120"/>
      <w:divBdr>
        <w:top w:val="none" w:sz="0" w:space="0" w:color="auto"/>
        <w:left w:val="none" w:sz="0" w:space="0" w:color="auto"/>
        <w:bottom w:val="none" w:sz="0" w:space="0" w:color="auto"/>
        <w:right w:val="none" w:sz="0" w:space="0" w:color="auto"/>
      </w:divBdr>
    </w:div>
    <w:div w:id="668564155">
      <w:marLeft w:val="0"/>
      <w:marRight w:val="0"/>
      <w:marTop w:val="0"/>
      <w:marBottom w:val="0"/>
      <w:divBdr>
        <w:top w:val="none" w:sz="0" w:space="0" w:color="auto"/>
        <w:left w:val="none" w:sz="0" w:space="0" w:color="auto"/>
        <w:bottom w:val="none" w:sz="0" w:space="0" w:color="auto"/>
        <w:right w:val="none" w:sz="0" w:space="0" w:color="auto"/>
      </w:divBdr>
      <w:divsChild>
        <w:div w:id="1272517731">
          <w:marLeft w:val="0"/>
          <w:marRight w:val="0"/>
          <w:marTop w:val="0"/>
          <w:marBottom w:val="0"/>
          <w:divBdr>
            <w:top w:val="none" w:sz="0" w:space="0" w:color="auto"/>
            <w:left w:val="none" w:sz="0" w:space="0" w:color="auto"/>
            <w:bottom w:val="none" w:sz="0" w:space="0" w:color="auto"/>
            <w:right w:val="none" w:sz="0" w:space="0" w:color="auto"/>
          </w:divBdr>
        </w:div>
      </w:divsChild>
    </w:div>
    <w:div w:id="669871466">
      <w:marLeft w:val="0"/>
      <w:marRight w:val="0"/>
      <w:marTop w:val="120"/>
      <w:marBottom w:val="120"/>
      <w:divBdr>
        <w:top w:val="none" w:sz="0" w:space="0" w:color="auto"/>
        <w:left w:val="none" w:sz="0" w:space="0" w:color="auto"/>
        <w:bottom w:val="none" w:sz="0" w:space="0" w:color="auto"/>
        <w:right w:val="none" w:sz="0" w:space="0" w:color="auto"/>
      </w:divBdr>
    </w:div>
    <w:div w:id="670642770">
      <w:marLeft w:val="0"/>
      <w:marRight w:val="0"/>
      <w:marTop w:val="180"/>
      <w:marBottom w:val="0"/>
      <w:divBdr>
        <w:top w:val="none" w:sz="0" w:space="0" w:color="auto"/>
        <w:left w:val="none" w:sz="0" w:space="0" w:color="auto"/>
        <w:bottom w:val="none" w:sz="0" w:space="0" w:color="auto"/>
        <w:right w:val="none" w:sz="0" w:space="0" w:color="auto"/>
      </w:divBdr>
    </w:div>
    <w:div w:id="670762662">
      <w:marLeft w:val="0"/>
      <w:marRight w:val="0"/>
      <w:marTop w:val="120"/>
      <w:marBottom w:val="120"/>
      <w:divBdr>
        <w:top w:val="none" w:sz="0" w:space="0" w:color="auto"/>
        <w:left w:val="none" w:sz="0" w:space="0" w:color="auto"/>
        <w:bottom w:val="none" w:sz="0" w:space="0" w:color="auto"/>
        <w:right w:val="none" w:sz="0" w:space="0" w:color="auto"/>
      </w:divBdr>
    </w:div>
    <w:div w:id="672227671">
      <w:marLeft w:val="0"/>
      <w:marRight w:val="0"/>
      <w:marTop w:val="120"/>
      <w:marBottom w:val="120"/>
      <w:divBdr>
        <w:top w:val="none" w:sz="0" w:space="0" w:color="auto"/>
        <w:left w:val="none" w:sz="0" w:space="0" w:color="auto"/>
        <w:bottom w:val="none" w:sz="0" w:space="0" w:color="auto"/>
        <w:right w:val="none" w:sz="0" w:space="0" w:color="auto"/>
      </w:divBdr>
    </w:div>
    <w:div w:id="674263889">
      <w:marLeft w:val="0"/>
      <w:marRight w:val="0"/>
      <w:marTop w:val="120"/>
      <w:marBottom w:val="0"/>
      <w:divBdr>
        <w:top w:val="none" w:sz="0" w:space="0" w:color="auto"/>
        <w:left w:val="none" w:sz="0" w:space="0" w:color="auto"/>
        <w:bottom w:val="none" w:sz="0" w:space="0" w:color="auto"/>
        <w:right w:val="none" w:sz="0" w:space="0" w:color="auto"/>
      </w:divBdr>
    </w:div>
    <w:div w:id="675501123">
      <w:marLeft w:val="0"/>
      <w:marRight w:val="0"/>
      <w:marTop w:val="120"/>
      <w:marBottom w:val="0"/>
      <w:divBdr>
        <w:top w:val="none" w:sz="0" w:space="0" w:color="auto"/>
        <w:left w:val="none" w:sz="0" w:space="0" w:color="auto"/>
        <w:bottom w:val="none" w:sz="0" w:space="0" w:color="auto"/>
        <w:right w:val="none" w:sz="0" w:space="0" w:color="auto"/>
      </w:divBdr>
    </w:div>
    <w:div w:id="676273223">
      <w:marLeft w:val="0"/>
      <w:marRight w:val="0"/>
      <w:marTop w:val="120"/>
      <w:marBottom w:val="0"/>
      <w:divBdr>
        <w:top w:val="none" w:sz="0" w:space="0" w:color="auto"/>
        <w:left w:val="none" w:sz="0" w:space="0" w:color="auto"/>
        <w:bottom w:val="none" w:sz="0" w:space="0" w:color="auto"/>
        <w:right w:val="none" w:sz="0" w:space="0" w:color="auto"/>
      </w:divBdr>
    </w:div>
    <w:div w:id="676924925">
      <w:marLeft w:val="0"/>
      <w:marRight w:val="0"/>
      <w:marTop w:val="120"/>
      <w:marBottom w:val="120"/>
      <w:divBdr>
        <w:top w:val="none" w:sz="0" w:space="0" w:color="auto"/>
        <w:left w:val="none" w:sz="0" w:space="0" w:color="auto"/>
        <w:bottom w:val="none" w:sz="0" w:space="0" w:color="auto"/>
        <w:right w:val="none" w:sz="0" w:space="0" w:color="auto"/>
      </w:divBdr>
    </w:div>
    <w:div w:id="679813540">
      <w:marLeft w:val="0"/>
      <w:marRight w:val="0"/>
      <w:marTop w:val="240"/>
      <w:marBottom w:val="0"/>
      <w:divBdr>
        <w:top w:val="none" w:sz="0" w:space="0" w:color="auto"/>
        <w:left w:val="none" w:sz="0" w:space="0" w:color="auto"/>
        <w:bottom w:val="none" w:sz="0" w:space="0" w:color="auto"/>
        <w:right w:val="none" w:sz="0" w:space="0" w:color="auto"/>
      </w:divBdr>
    </w:div>
    <w:div w:id="681973667">
      <w:marLeft w:val="0"/>
      <w:marRight w:val="0"/>
      <w:marTop w:val="120"/>
      <w:marBottom w:val="120"/>
      <w:divBdr>
        <w:top w:val="none" w:sz="0" w:space="0" w:color="auto"/>
        <w:left w:val="none" w:sz="0" w:space="0" w:color="auto"/>
        <w:bottom w:val="none" w:sz="0" w:space="0" w:color="auto"/>
        <w:right w:val="none" w:sz="0" w:space="0" w:color="auto"/>
      </w:divBdr>
    </w:div>
    <w:div w:id="682515587">
      <w:marLeft w:val="0"/>
      <w:marRight w:val="0"/>
      <w:marTop w:val="120"/>
      <w:marBottom w:val="120"/>
      <w:divBdr>
        <w:top w:val="none" w:sz="0" w:space="0" w:color="auto"/>
        <w:left w:val="none" w:sz="0" w:space="0" w:color="auto"/>
        <w:bottom w:val="none" w:sz="0" w:space="0" w:color="auto"/>
        <w:right w:val="none" w:sz="0" w:space="0" w:color="auto"/>
      </w:divBdr>
    </w:div>
    <w:div w:id="685447087">
      <w:marLeft w:val="0"/>
      <w:marRight w:val="0"/>
      <w:marTop w:val="0"/>
      <w:marBottom w:val="0"/>
      <w:divBdr>
        <w:top w:val="none" w:sz="0" w:space="0" w:color="auto"/>
        <w:left w:val="none" w:sz="0" w:space="0" w:color="auto"/>
        <w:bottom w:val="none" w:sz="0" w:space="0" w:color="auto"/>
        <w:right w:val="none" w:sz="0" w:space="0" w:color="auto"/>
      </w:divBdr>
    </w:div>
    <w:div w:id="686753416">
      <w:marLeft w:val="0"/>
      <w:marRight w:val="0"/>
      <w:marTop w:val="180"/>
      <w:marBottom w:val="0"/>
      <w:divBdr>
        <w:top w:val="none" w:sz="0" w:space="0" w:color="auto"/>
        <w:left w:val="none" w:sz="0" w:space="0" w:color="auto"/>
        <w:bottom w:val="none" w:sz="0" w:space="0" w:color="auto"/>
        <w:right w:val="none" w:sz="0" w:space="0" w:color="auto"/>
      </w:divBdr>
    </w:div>
    <w:div w:id="690254211">
      <w:marLeft w:val="0"/>
      <w:marRight w:val="0"/>
      <w:marTop w:val="0"/>
      <w:marBottom w:val="0"/>
      <w:divBdr>
        <w:top w:val="none" w:sz="0" w:space="0" w:color="auto"/>
        <w:left w:val="none" w:sz="0" w:space="0" w:color="auto"/>
        <w:bottom w:val="none" w:sz="0" w:space="0" w:color="auto"/>
        <w:right w:val="none" w:sz="0" w:space="0" w:color="auto"/>
      </w:divBdr>
      <w:divsChild>
        <w:div w:id="804856625">
          <w:marLeft w:val="0"/>
          <w:marRight w:val="0"/>
          <w:marTop w:val="0"/>
          <w:marBottom w:val="0"/>
          <w:divBdr>
            <w:top w:val="none" w:sz="0" w:space="0" w:color="auto"/>
            <w:left w:val="none" w:sz="0" w:space="0" w:color="auto"/>
            <w:bottom w:val="none" w:sz="0" w:space="0" w:color="auto"/>
            <w:right w:val="none" w:sz="0" w:space="0" w:color="auto"/>
          </w:divBdr>
        </w:div>
      </w:divsChild>
    </w:div>
    <w:div w:id="690911419">
      <w:marLeft w:val="0"/>
      <w:marRight w:val="0"/>
      <w:marTop w:val="120"/>
      <w:marBottom w:val="0"/>
      <w:divBdr>
        <w:top w:val="none" w:sz="0" w:space="0" w:color="auto"/>
        <w:left w:val="none" w:sz="0" w:space="0" w:color="auto"/>
        <w:bottom w:val="none" w:sz="0" w:space="0" w:color="auto"/>
        <w:right w:val="none" w:sz="0" w:space="0" w:color="auto"/>
      </w:divBdr>
    </w:div>
    <w:div w:id="695544688">
      <w:marLeft w:val="0"/>
      <w:marRight w:val="0"/>
      <w:marTop w:val="120"/>
      <w:marBottom w:val="0"/>
      <w:divBdr>
        <w:top w:val="none" w:sz="0" w:space="0" w:color="auto"/>
        <w:left w:val="none" w:sz="0" w:space="0" w:color="auto"/>
        <w:bottom w:val="none" w:sz="0" w:space="0" w:color="auto"/>
        <w:right w:val="none" w:sz="0" w:space="0" w:color="auto"/>
      </w:divBdr>
    </w:div>
    <w:div w:id="695883299">
      <w:marLeft w:val="0"/>
      <w:marRight w:val="0"/>
      <w:marTop w:val="120"/>
      <w:marBottom w:val="120"/>
      <w:divBdr>
        <w:top w:val="none" w:sz="0" w:space="0" w:color="auto"/>
        <w:left w:val="none" w:sz="0" w:space="0" w:color="auto"/>
        <w:bottom w:val="none" w:sz="0" w:space="0" w:color="auto"/>
        <w:right w:val="none" w:sz="0" w:space="0" w:color="auto"/>
      </w:divBdr>
    </w:div>
    <w:div w:id="696733794">
      <w:marLeft w:val="0"/>
      <w:marRight w:val="0"/>
      <w:marTop w:val="120"/>
      <w:marBottom w:val="120"/>
      <w:divBdr>
        <w:top w:val="none" w:sz="0" w:space="0" w:color="auto"/>
        <w:left w:val="none" w:sz="0" w:space="0" w:color="auto"/>
        <w:bottom w:val="none" w:sz="0" w:space="0" w:color="auto"/>
        <w:right w:val="none" w:sz="0" w:space="0" w:color="auto"/>
      </w:divBdr>
    </w:div>
    <w:div w:id="697508382">
      <w:marLeft w:val="0"/>
      <w:marRight w:val="0"/>
      <w:marTop w:val="0"/>
      <w:marBottom w:val="0"/>
      <w:divBdr>
        <w:top w:val="none" w:sz="0" w:space="0" w:color="auto"/>
        <w:left w:val="none" w:sz="0" w:space="0" w:color="auto"/>
        <w:bottom w:val="none" w:sz="0" w:space="0" w:color="auto"/>
        <w:right w:val="none" w:sz="0" w:space="0" w:color="auto"/>
      </w:divBdr>
    </w:div>
    <w:div w:id="697698305">
      <w:marLeft w:val="0"/>
      <w:marRight w:val="0"/>
      <w:marTop w:val="120"/>
      <w:marBottom w:val="120"/>
      <w:divBdr>
        <w:top w:val="none" w:sz="0" w:space="0" w:color="auto"/>
        <w:left w:val="none" w:sz="0" w:space="0" w:color="auto"/>
        <w:bottom w:val="none" w:sz="0" w:space="0" w:color="auto"/>
        <w:right w:val="none" w:sz="0" w:space="0" w:color="auto"/>
      </w:divBdr>
    </w:div>
    <w:div w:id="697848949">
      <w:marLeft w:val="0"/>
      <w:marRight w:val="0"/>
      <w:marTop w:val="0"/>
      <w:marBottom w:val="0"/>
      <w:divBdr>
        <w:top w:val="none" w:sz="0" w:space="0" w:color="auto"/>
        <w:left w:val="none" w:sz="0" w:space="0" w:color="auto"/>
        <w:bottom w:val="none" w:sz="0" w:space="0" w:color="auto"/>
        <w:right w:val="none" w:sz="0" w:space="0" w:color="auto"/>
      </w:divBdr>
    </w:div>
    <w:div w:id="698429832">
      <w:marLeft w:val="0"/>
      <w:marRight w:val="0"/>
      <w:marTop w:val="0"/>
      <w:marBottom w:val="0"/>
      <w:divBdr>
        <w:top w:val="none" w:sz="0" w:space="0" w:color="auto"/>
        <w:left w:val="none" w:sz="0" w:space="0" w:color="auto"/>
        <w:bottom w:val="none" w:sz="0" w:space="0" w:color="auto"/>
        <w:right w:val="none" w:sz="0" w:space="0" w:color="auto"/>
      </w:divBdr>
    </w:div>
    <w:div w:id="698511045">
      <w:marLeft w:val="0"/>
      <w:marRight w:val="0"/>
      <w:marTop w:val="120"/>
      <w:marBottom w:val="0"/>
      <w:divBdr>
        <w:top w:val="none" w:sz="0" w:space="0" w:color="auto"/>
        <w:left w:val="none" w:sz="0" w:space="0" w:color="auto"/>
        <w:bottom w:val="none" w:sz="0" w:space="0" w:color="auto"/>
        <w:right w:val="none" w:sz="0" w:space="0" w:color="auto"/>
      </w:divBdr>
    </w:div>
    <w:div w:id="700478777">
      <w:marLeft w:val="0"/>
      <w:marRight w:val="0"/>
      <w:marTop w:val="0"/>
      <w:marBottom w:val="0"/>
      <w:divBdr>
        <w:top w:val="none" w:sz="0" w:space="0" w:color="auto"/>
        <w:left w:val="none" w:sz="0" w:space="0" w:color="auto"/>
        <w:bottom w:val="none" w:sz="0" w:space="0" w:color="auto"/>
        <w:right w:val="none" w:sz="0" w:space="0" w:color="auto"/>
      </w:divBdr>
      <w:divsChild>
        <w:div w:id="2000845510">
          <w:marLeft w:val="0"/>
          <w:marRight w:val="0"/>
          <w:marTop w:val="0"/>
          <w:marBottom w:val="0"/>
          <w:divBdr>
            <w:top w:val="none" w:sz="0" w:space="0" w:color="auto"/>
            <w:left w:val="none" w:sz="0" w:space="0" w:color="auto"/>
            <w:bottom w:val="none" w:sz="0" w:space="0" w:color="auto"/>
            <w:right w:val="none" w:sz="0" w:space="0" w:color="auto"/>
          </w:divBdr>
        </w:div>
      </w:divsChild>
    </w:div>
    <w:div w:id="701630690">
      <w:marLeft w:val="0"/>
      <w:marRight w:val="0"/>
      <w:marTop w:val="120"/>
      <w:marBottom w:val="0"/>
      <w:divBdr>
        <w:top w:val="none" w:sz="0" w:space="0" w:color="auto"/>
        <w:left w:val="none" w:sz="0" w:space="0" w:color="auto"/>
        <w:bottom w:val="none" w:sz="0" w:space="0" w:color="auto"/>
        <w:right w:val="none" w:sz="0" w:space="0" w:color="auto"/>
      </w:divBdr>
    </w:div>
    <w:div w:id="702092447">
      <w:marLeft w:val="0"/>
      <w:marRight w:val="0"/>
      <w:marTop w:val="120"/>
      <w:marBottom w:val="120"/>
      <w:divBdr>
        <w:top w:val="none" w:sz="0" w:space="0" w:color="auto"/>
        <w:left w:val="none" w:sz="0" w:space="0" w:color="auto"/>
        <w:bottom w:val="none" w:sz="0" w:space="0" w:color="auto"/>
        <w:right w:val="none" w:sz="0" w:space="0" w:color="auto"/>
      </w:divBdr>
    </w:div>
    <w:div w:id="703019014">
      <w:marLeft w:val="0"/>
      <w:marRight w:val="0"/>
      <w:marTop w:val="120"/>
      <w:marBottom w:val="0"/>
      <w:divBdr>
        <w:top w:val="none" w:sz="0" w:space="0" w:color="auto"/>
        <w:left w:val="none" w:sz="0" w:space="0" w:color="auto"/>
        <w:bottom w:val="none" w:sz="0" w:space="0" w:color="auto"/>
        <w:right w:val="none" w:sz="0" w:space="0" w:color="auto"/>
      </w:divBdr>
    </w:div>
    <w:div w:id="703404214">
      <w:marLeft w:val="0"/>
      <w:marRight w:val="0"/>
      <w:marTop w:val="0"/>
      <w:marBottom w:val="0"/>
      <w:divBdr>
        <w:top w:val="none" w:sz="0" w:space="0" w:color="auto"/>
        <w:left w:val="none" w:sz="0" w:space="0" w:color="auto"/>
        <w:bottom w:val="none" w:sz="0" w:space="0" w:color="auto"/>
        <w:right w:val="none" w:sz="0" w:space="0" w:color="auto"/>
      </w:divBdr>
    </w:div>
    <w:div w:id="703411463">
      <w:marLeft w:val="0"/>
      <w:marRight w:val="0"/>
      <w:marTop w:val="0"/>
      <w:marBottom w:val="0"/>
      <w:divBdr>
        <w:top w:val="none" w:sz="0" w:space="0" w:color="auto"/>
        <w:left w:val="none" w:sz="0" w:space="0" w:color="auto"/>
        <w:bottom w:val="none" w:sz="0" w:space="0" w:color="auto"/>
        <w:right w:val="none" w:sz="0" w:space="0" w:color="auto"/>
      </w:divBdr>
    </w:div>
    <w:div w:id="705451976">
      <w:marLeft w:val="0"/>
      <w:marRight w:val="0"/>
      <w:marTop w:val="120"/>
      <w:marBottom w:val="0"/>
      <w:divBdr>
        <w:top w:val="none" w:sz="0" w:space="0" w:color="auto"/>
        <w:left w:val="none" w:sz="0" w:space="0" w:color="auto"/>
        <w:bottom w:val="none" w:sz="0" w:space="0" w:color="auto"/>
        <w:right w:val="none" w:sz="0" w:space="0" w:color="auto"/>
      </w:divBdr>
    </w:div>
    <w:div w:id="706298267">
      <w:marLeft w:val="0"/>
      <w:marRight w:val="0"/>
      <w:marTop w:val="120"/>
      <w:marBottom w:val="120"/>
      <w:divBdr>
        <w:top w:val="none" w:sz="0" w:space="0" w:color="auto"/>
        <w:left w:val="none" w:sz="0" w:space="0" w:color="auto"/>
        <w:bottom w:val="none" w:sz="0" w:space="0" w:color="auto"/>
        <w:right w:val="none" w:sz="0" w:space="0" w:color="auto"/>
      </w:divBdr>
    </w:div>
    <w:div w:id="706873339">
      <w:marLeft w:val="0"/>
      <w:marRight w:val="0"/>
      <w:marTop w:val="120"/>
      <w:marBottom w:val="0"/>
      <w:divBdr>
        <w:top w:val="none" w:sz="0" w:space="0" w:color="auto"/>
        <w:left w:val="none" w:sz="0" w:space="0" w:color="auto"/>
        <w:bottom w:val="none" w:sz="0" w:space="0" w:color="auto"/>
        <w:right w:val="none" w:sz="0" w:space="0" w:color="auto"/>
      </w:divBdr>
    </w:div>
    <w:div w:id="708804438">
      <w:marLeft w:val="0"/>
      <w:marRight w:val="0"/>
      <w:marTop w:val="120"/>
      <w:marBottom w:val="0"/>
      <w:divBdr>
        <w:top w:val="none" w:sz="0" w:space="0" w:color="auto"/>
        <w:left w:val="none" w:sz="0" w:space="0" w:color="auto"/>
        <w:bottom w:val="none" w:sz="0" w:space="0" w:color="auto"/>
        <w:right w:val="none" w:sz="0" w:space="0" w:color="auto"/>
      </w:divBdr>
    </w:div>
    <w:div w:id="709110675">
      <w:marLeft w:val="0"/>
      <w:marRight w:val="0"/>
      <w:marTop w:val="0"/>
      <w:marBottom w:val="0"/>
      <w:divBdr>
        <w:top w:val="none" w:sz="0" w:space="0" w:color="auto"/>
        <w:left w:val="none" w:sz="0" w:space="0" w:color="auto"/>
        <w:bottom w:val="none" w:sz="0" w:space="0" w:color="auto"/>
        <w:right w:val="none" w:sz="0" w:space="0" w:color="auto"/>
      </w:divBdr>
    </w:div>
    <w:div w:id="717167155">
      <w:marLeft w:val="0"/>
      <w:marRight w:val="0"/>
      <w:marTop w:val="0"/>
      <w:marBottom w:val="0"/>
      <w:divBdr>
        <w:top w:val="none" w:sz="0" w:space="0" w:color="auto"/>
        <w:left w:val="none" w:sz="0" w:space="0" w:color="auto"/>
        <w:bottom w:val="none" w:sz="0" w:space="0" w:color="auto"/>
        <w:right w:val="none" w:sz="0" w:space="0" w:color="auto"/>
      </w:divBdr>
    </w:div>
    <w:div w:id="718282141">
      <w:marLeft w:val="0"/>
      <w:marRight w:val="0"/>
      <w:marTop w:val="120"/>
      <w:marBottom w:val="0"/>
      <w:divBdr>
        <w:top w:val="none" w:sz="0" w:space="0" w:color="auto"/>
        <w:left w:val="none" w:sz="0" w:space="0" w:color="auto"/>
        <w:bottom w:val="none" w:sz="0" w:space="0" w:color="auto"/>
        <w:right w:val="none" w:sz="0" w:space="0" w:color="auto"/>
      </w:divBdr>
      <w:divsChild>
        <w:div w:id="1786342366">
          <w:marLeft w:val="0"/>
          <w:marRight w:val="0"/>
          <w:marTop w:val="0"/>
          <w:marBottom w:val="0"/>
          <w:divBdr>
            <w:top w:val="none" w:sz="0" w:space="0" w:color="auto"/>
            <w:left w:val="none" w:sz="0" w:space="0" w:color="auto"/>
            <w:bottom w:val="none" w:sz="0" w:space="0" w:color="auto"/>
            <w:right w:val="none" w:sz="0" w:space="0" w:color="auto"/>
          </w:divBdr>
        </w:div>
      </w:divsChild>
    </w:div>
    <w:div w:id="719287525">
      <w:marLeft w:val="0"/>
      <w:marRight w:val="0"/>
      <w:marTop w:val="240"/>
      <w:marBottom w:val="120"/>
      <w:divBdr>
        <w:top w:val="none" w:sz="0" w:space="0" w:color="auto"/>
        <w:left w:val="none" w:sz="0" w:space="0" w:color="auto"/>
        <w:bottom w:val="none" w:sz="0" w:space="0" w:color="auto"/>
        <w:right w:val="none" w:sz="0" w:space="0" w:color="auto"/>
      </w:divBdr>
    </w:div>
    <w:div w:id="720245890">
      <w:marLeft w:val="0"/>
      <w:marRight w:val="0"/>
      <w:marTop w:val="0"/>
      <w:marBottom w:val="0"/>
      <w:divBdr>
        <w:top w:val="none" w:sz="0" w:space="0" w:color="auto"/>
        <w:left w:val="none" w:sz="0" w:space="0" w:color="auto"/>
        <w:bottom w:val="none" w:sz="0" w:space="0" w:color="auto"/>
        <w:right w:val="none" w:sz="0" w:space="0" w:color="auto"/>
      </w:divBdr>
    </w:div>
    <w:div w:id="722994473">
      <w:marLeft w:val="0"/>
      <w:marRight w:val="0"/>
      <w:marTop w:val="120"/>
      <w:marBottom w:val="0"/>
      <w:divBdr>
        <w:top w:val="none" w:sz="0" w:space="0" w:color="auto"/>
        <w:left w:val="none" w:sz="0" w:space="0" w:color="auto"/>
        <w:bottom w:val="none" w:sz="0" w:space="0" w:color="auto"/>
        <w:right w:val="none" w:sz="0" w:space="0" w:color="auto"/>
      </w:divBdr>
    </w:div>
    <w:div w:id="725026670">
      <w:marLeft w:val="0"/>
      <w:marRight w:val="0"/>
      <w:marTop w:val="120"/>
      <w:marBottom w:val="0"/>
      <w:divBdr>
        <w:top w:val="none" w:sz="0" w:space="0" w:color="auto"/>
        <w:left w:val="none" w:sz="0" w:space="0" w:color="auto"/>
        <w:bottom w:val="none" w:sz="0" w:space="0" w:color="auto"/>
        <w:right w:val="none" w:sz="0" w:space="0" w:color="auto"/>
      </w:divBdr>
    </w:div>
    <w:div w:id="725564487">
      <w:marLeft w:val="0"/>
      <w:marRight w:val="0"/>
      <w:marTop w:val="120"/>
      <w:marBottom w:val="120"/>
      <w:divBdr>
        <w:top w:val="none" w:sz="0" w:space="0" w:color="auto"/>
        <w:left w:val="none" w:sz="0" w:space="0" w:color="auto"/>
        <w:bottom w:val="none" w:sz="0" w:space="0" w:color="auto"/>
        <w:right w:val="none" w:sz="0" w:space="0" w:color="auto"/>
      </w:divBdr>
    </w:div>
    <w:div w:id="728070350">
      <w:marLeft w:val="0"/>
      <w:marRight w:val="0"/>
      <w:marTop w:val="0"/>
      <w:marBottom w:val="0"/>
      <w:divBdr>
        <w:top w:val="none" w:sz="0" w:space="0" w:color="auto"/>
        <w:left w:val="none" w:sz="0" w:space="0" w:color="auto"/>
        <w:bottom w:val="none" w:sz="0" w:space="0" w:color="auto"/>
        <w:right w:val="none" w:sz="0" w:space="0" w:color="auto"/>
      </w:divBdr>
    </w:div>
    <w:div w:id="729814096">
      <w:marLeft w:val="0"/>
      <w:marRight w:val="0"/>
      <w:marTop w:val="120"/>
      <w:marBottom w:val="0"/>
      <w:divBdr>
        <w:top w:val="none" w:sz="0" w:space="0" w:color="auto"/>
        <w:left w:val="none" w:sz="0" w:space="0" w:color="auto"/>
        <w:bottom w:val="none" w:sz="0" w:space="0" w:color="auto"/>
        <w:right w:val="none" w:sz="0" w:space="0" w:color="auto"/>
      </w:divBdr>
    </w:div>
    <w:div w:id="732234957">
      <w:marLeft w:val="0"/>
      <w:marRight w:val="0"/>
      <w:marTop w:val="0"/>
      <w:marBottom w:val="0"/>
      <w:divBdr>
        <w:top w:val="none" w:sz="0" w:space="0" w:color="auto"/>
        <w:left w:val="none" w:sz="0" w:space="0" w:color="auto"/>
        <w:bottom w:val="none" w:sz="0" w:space="0" w:color="auto"/>
        <w:right w:val="none" w:sz="0" w:space="0" w:color="auto"/>
      </w:divBdr>
      <w:divsChild>
        <w:div w:id="2086996040">
          <w:marLeft w:val="0"/>
          <w:marRight w:val="0"/>
          <w:marTop w:val="0"/>
          <w:marBottom w:val="0"/>
          <w:divBdr>
            <w:top w:val="none" w:sz="0" w:space="0" w:color="auto"/>
            <w:left w:val="none" w:sz="0" w:space="0" w:color="auto"/>
            <w:bottom w:val="none" w:sz="0" w:space="0" w:color="auto"/>
            <w:right w:val="none" w:sz="0" w:space="0" w:color="auto"/>
          </w:divBdr>
        </w:div>
      </w:divsChild>
    </w:div>
    <w:div w:id="732389101">
      <w:marLeft w:val="0"/>
      <w:marRight w:val="0"/>
      <w:marTop w:val="120"/>
      <w:marBottom w:val="0"/>
      <w:divBdr>
        <w:top w:val="none" w:sz="0" w:space="0" w:color="auto"/>
        <w:left w:val="none" w:sz="0" w:space="0" w:color="auto"/>
        <w:bottom w:val="none" w:sz="0" w:space="0" w:color="auto"/>
        <w:right w:val="none" w:sz="0" w:space="0" w:color="auto"/>
      </w:divBdr>
    </w:div>
    <w:div w:id="733772614">
      <w:marLeft w:val="0"/>
      <w:marRight w:val="0"/>
      <w:marTop w:val="120"/>
      <w:marBottom w:val="120"/>
      <w:divBdr>
        <w:top w:val="none" w:sz="0" w:space="0" w:color="auto"/>
        <w:left w:val="none" w:sz="0" w:space="0" w:color="auto"/>
        <w:bottom w:val="none" w:sz="0" w:space="0" w:color="auto"/>
        <w:right w:val="none" w:sz="0" w:space="0" w:color="auto"/>
      </w:divBdr>
    </w:div>
    <w:div w:id="734083869">
      <w:marLeft w:val="0"/>
      <w:marRight w:val="0"/>
      <w:marTop w:val="0"/>
      <w:marBottom w:val="0"/>
      <w:divBdr>
        <w:top w:val="none" w:sz="0" w:space="0" w:color="auto"/>
        <w:left w:val="none" w:sz="0" w:space="0" w:color="auto"/>
        <w:bottom w:val="none" w:sz="0" w:space="0" w:color="auto"/>
        <w:right w:val="none" w:sz="0" w:space="0" w:color="auto"/>
      </w:divBdr>
    </w:div>
    <w:div w:id="737870902">
      <w:marLeft w:val="0"/>
      <w:marRight w:val="0"/>
      <w:marTop w:val="240"/>
      <w:marBottom w:val="120"/>
      <w:divBdr>
        <w:top w:val="none" w:sz="0" w:space="0" w:color="auto"/>
        <w:left w:val="none" w:sz="0" w:space="0" w:color="auto"/>
        <w:bottom w:val="none" w:sz="0" w:space="0" w:color="auto"/>
        <w:right w:val="none" w:sz="0" w:space="0" w:color="auto"/>
      </w:divBdr>
    </w:div>
    <w:div w:id="742605525">
      <w:marLeft w:val="0"/>
      <w:marRight w:val="0"/>
      <w:marTop w:val="120"/>
      <w:marBottom w:val="0"/>
      <w:divBdr>
        <w:top w:val="none" w:sz="0" w:space="0" w:color="auto"/>
        <w:left w:val="none" w:sz="0" w:space="0" w:color="auto"/>
        <w:bottom w:val="none" w:sz="0" w:space="0" w:color="auto"/>
        <w:right w:val="none" w:sz="0" w:space="0" w:color="auto"/>
      </w:divBdr>
    </w:div>
    <w:div w:id="744492884">
      <w:marLeft w:val="0"/>
      <w:marRight w:val="0"/>
      <w:marTop w:val="0"/>
      <w:marBottom w:val="0"/>
      <w:divBdr>
        <w:top w:val="none" w:sz="0" w:space="0" w:color="auto"/>
        <w:left w:val="none" w:sz="0" w:space="0" w:color="auto"/>
        <w:bottom w:val="none" w:sz="0" w:space="0" w:color="auto"/>
        <w:right w:val="none" w:sz="0" w:space="0" w:color="auto"/>
      </w:divBdr>
      <w:divsChild>
        <w:div w:id="1196503481">
          <w:marLeft w:val="0"/>
          <w:marRight w:val="0"/>
          <w:marTop w:val="0"/>
          <w:marBottom w:val="0"/>
          <w:divBdr>
            <w:top w:val="none" w:sz="0" w:space="0" w:color="auto"/>
            <w:left w:val="none" w:sz="0" w:space="0" w:color="auto"/>
            <w:bottom w:val="none" w:sz="0" w:space="0" w:color="auto"/>
            <w:right w:val="none" w:sz="0" w:space="0" w:color="auto"/>
          </w:divBdr>
        </w:div>
      </w:divsChild>
    </w:div>
    <w:div w:id="747073413">
      <w:marLeft w:val="0"/>
      <w:marRight w:val="0"/>
      <w:marTop w:val="120"/>
      <w:marBottom w:val="120"/>
      <w:divBdr>
        <w:top w:val="none" w:sz="0" w:space="0" w:color="auto"/>
        <w:left w:val="none" w:sz="0" w:space="0" w:color="auto"/>
        <w:bottom w:val="none" w:sz="0" w:space="0" w:color="auto"/>
        <w:right w:val="none" w:sz="0" w:space="0" w:color="auto"/>
      </w:divBdr>
    </w:div>
    <w:div w:id="747196619">
      <w:marLeft w:val="0"/>
      <w:marRight w:val="0"/>
      <w:marTop w:val="120"/>
      <w:marBottom w:val="0"/>
      <w:divBdr>
        <w:top w:val="none" w:sz="0" w:space="0" w:color="auto"/>
        <w:left w:val="none" w:sz="0" w:space="0" w:color="auto"/>
        <w:bottom w:val="none" w:sz="0" w:space="0" w:color="auto"/>
        <w:right w:val="none" w:sz="0" w:space="0" w:color="auto"/>
      </w:divBdr>
    </w:div>
    <w:div w:id="749277777">
      <w:marLeft w:val="0"/>
      <w:marRight w:val="0"/>
      <w:marTop w:val="0"/>
      <w:marBottom w:val="0"/>
      <w:divBdr>
        <w:top w:val="none" w:sz="0" w:space="0" w:color="auto"/>
        <w:left w:val="none" w:sz="0" w:space="0" w:color="auto"/>
        <w:bottom w:val="none" w:sz="0" w:space="0" w:color="auto"/>
        <w:right w:val="none" w:sz="0" w:space="0" w:color="auto"/>
      </w:divBdr>
    </w:div>
    <w:div w:id="750544660">
      <w:marLeft w:val="0"/>
      <w:marRight w:val="0"/>
      <w:marTop w:val="120"/>
      <w:marBottom w:val="120"/>
      <w:divBdr>
        <w:top w:val="none" w:sz="0" w:space="0" w:color="auto"/>
        <w:left w:val="none" w:sz="0" w:space="0" w:color="auto"/>
        <w:bottom w:val="none" w:sz="0" w:space="0" w:color="auto"/>
        <w:right w:val="none" w:sz="0" w:space="0" w:color="auto"/>
      </w:divBdr>
    </w:div>
    <w:div w:id="750547005">
      <w:marLeft w:val="0"/>
      <w:marRight w:val="0"/>
      <w:marTop w:val="240"/>
      <w:marBottom w:val="0"/>
      <w:divBdr>
        <w:top w:val="none" w:sz="0" w:space="0" w:color="auto"/>
        <w:left w:val="none" w:sz="0" w:space="0" w:color="auto"/>
        <w:bottom w:val="none" w:sz="0" w:space="0" w:color="auto"/>
        <w:right w:val="none" w:sz="0" w:space="0" w:color="auto"/>
      </w:divBdr>
    </w:div>
    <w:div w:id="751244371">
      <w:marLeft w:val="0"/>
      <w:marRight w:val="0"/>
      <w:marTop w:val="0"/>
      <w:marBottom w:val="0"/>
      <w:divBdr>
        <w:top w:val="none" w:sz="0" w:space="0" w:color="auto"/>
        <w:left w:val="none" w:sz="0" w:space="0" w:color="auto"/>
        <w:bottom w:val="none" w:sz="0" w:space="0" w:color="auto"/>
        <w:right w:val="none" w:sz="0" w:space="0" w:color="auto"/>
      </w:divBdr>
    </w:div>
    <w:div w:id="751969048">
      <w:marLeft w:val="0"/>
      <w:marRight w:val="0"/>
      <w:marTop w:val="0"/>
      <w:marBottom w:val="0"/>
      <w:divBdr>
        <w:top w:val="none" w:sz="0" w:space="0" w:color="auto"/>
        <w:left w:val="none" w:sz="0" w:space="0" w:color="auto"/>
        <w:bottom w:val="none" w:sz="0" w:space="0" w:color="auto"/>
        <w:right w:val="none" w:sz="0" w:space="0" w:color="auto"/>
      </w:divBdr>
      <w:divsChild>
        <w:div w:id="1348676095">
          <w:marLeft w:val="0"/>
          <w:marRight w:val="0"/>
          <w:marTop w:val="0"/>
          <w:marBottom w:val="0"/>
          <w:divBdr>
            <w:top w:val="none" w:sz="0" w:space="0" w:color="auto"/>
            <w:left w:val="none" w:sz="0" w:space="0" w:color="auto"/>
            <w:bottom w:val="none" w:sz="0" w:space="0" w:color="auto"/>
            <w:right w:val="none" w:sz="0" w:space="0" w:color="auto"/>
          </w:divBdr>
        </w:div>
      </w:divsChild>
    </w:div>
    <w:div w:id="754132120">
      <w:marLeft w:val="0"/>
      <w:marRight w:val="0"/>
      <w:marTop w:val="120"/>
      <w:marBottom w:val="120"/>
      <w:divBdr>
        <w:top w:val="none" w:sz="0" w:space="0" w:color="auto"/>
        <w:left w:val="none" w:sz="0" w:space="0" w:color="auto"/>
        <w:bottom w:val="none" w:sz="0" w:space="0" w:color="auto"/>
        <w:right w:val="none" w:sz="0" w:space="0" w:color="auto"/>
      </w:divBdr>
    </w:div>
    <w:div w:id="756050993">
      <w:marLeft w:val="0"/>
      <w:marRight w:val="0"/>
      <w:marTop w:val="120"/>
      <w:marBottom w:val="0"/>
      <w:divBdr>
        <w:top w:val="none" w:sz="0" w:space="0" w:color="auto"/>
        <w:left w:val="none" w:sz="0" w:space="0" w:color="auto"/>
        <w:bottom w:val="none" w:sz="0" w:space="0" w:color="auto"/>
        <w:right w:val="none" w:sz="0" w:space="0" w:color="auto"/>
      </w:divBdr>
    </w:div>
    <w:div w:id="758990908">
      <w:marLeft w:val="0"/>
      <w:marRight w:val="0"/>
      <w:marTop w:val="0"/>
      <w:marBottom w:val="0"/>
      <w:divBdr>
        <w:top w:val="none" w:sz="0" w:space="0" w:color="auto"/>
        <w:left w:val="none" w:sz="0" w:space="0" w:color="auto"/>
        <w:bottom w:val="none" w:sz="0" w:space="0" w:color="auto"/>
        <w:right w:val="none" w:sz="0" w:space="0" w:color="auto"/>
      </w:divBdr>
      <w:divsChild>
        <w:div w:id="2043626181">
          <w:marLeft w:val="0"/>
          <w:marRight w:val="0"/>
          <w:marTop w:val="0"/>
          <w:marBottom w:val="0"/>
          <w:divBdr>
            <w:top w:val="none" w:sz="0" w:space="0" w:color="auto"/>
            <w:left w:val="none" w:sz="0" w:space="0" w:color="auto"/>
            <w:bottom w:val="none" w:sz="0" w:space="0" w:color="auto"/>
            <w:right w:val="none" w:sz="0" w:space="0" w:color="auto"/>
          </w:divBdr>
        </w:div>
      </w:divsChild>
    </w:div>
    <w:div w:id="759303058">
      <w:marLeft w:val="0"/>
      <w:marRight w:val="0"/>
      <w:marTop w:val="240"/>
      <w:marBottom w:val="120"/>
      <w:divBdr>
        <w:top w:val="none" w:sz="0" w:space="0" w:color="auto"/>
        <w:left w:val="none" w:sz="0" w:space="0" w:color="auto"/>
        <w:bottom w:val="none" w:sz="0" w:space="0" w:color="auto"/>
        <w:right w:val="none" w:sz="0" w:space="0" w:color="auto"/>
      </w:divBdr>
    </w:div>
    <w:div w:id="760957259">
      <w:marLeft w:val="0"/>
      <w:marRight w:val="0"/>
      <w:marTop w:val="120"/>
      <w:marBottom w:val="0"/>
      <w:divBdr>
        <w:top w:val="none" w:sz="0" w:space="0" w:color="auto"/>
        <w:left w:val="none" w:sz="0" w:space="0" w:color="auto"/>
        <w:bottom w:val="none" w:sz="0" w:space="0" w:color="auto"/>
        <w:right w:val="none" w:sz="0" w:space="0" w:color="auto"/>
      </w:divBdr>
    </w:div>
    <w:div w:id="765148241">
      <w:marLeft w:val="0"/>
      <w:marRight w:val="0"/>
      <w:marTop w:val="120"/>
      <w:marBottom w:val="0"/>
      <w:divBdr>
        <w:top w:val="none" w:sz="0" w:space="0" w:color="auto"/>
        <w:left w:val="none" w:sz="0" w:space="0" w:color="auto"/>
        <w:bottom w:val="none" w:sz="0" w:space="0" w:color="auto"/>
        <w:right w:val="none" w:sz="0" w:space="0" w:color="auto"/>
      </w:divBdr>
    </w:div>
    <w:div w:id="765733256">
      <w:marLeft w:val="0"/>
      <w:marRight w:val="0"/>
      <w:marTop w:val="120"/>
      <w:marBottom w:val="120"/>
      <w:divBdr>
        <w:top w:val="none" w:sz="0" w:space="0" w:color="auto"/>
        <w:left w:val="none" w:sz="0" w:space="0" w:color="auto"/>
        <w:bottom w:val="none" w:sz="0" w:space="0" w:color="auto"/>
        <w:right w:val="none" w:sz="0" w:space="0" w:color="auto"/>
      </w:divBdr>
    </w:div>
    <w:div w:id="766073774">
      <w:marLeft w:val="0"/>
      <w:marRight w:val="0"/>
      <w:marTop w:val="180"/>
      <w:marBottom w:val="120"/>
      <w:divBdr>
        <w:top w:val="none" w:sz="0" w:space="0" w:color="auto"/>
        <w:left w:val="none" w:sz="0" w:space="0" w:color="auto"/>
        <w:bottom w:val="none" w:sz="0" w:space="0" w:color="auto"/>
        <w:right w:val="none" w:sz="0" w:space="0" w:color="auto"/>
      </w:divBdr>
    </w:div>
    <w:div w:id="769593275">
      <w:marLeft w:val="0"/>
      <w:marRight w:val="0"/>
      <w:marTop w:val="120"/>
      <w:marBottom w:val="0"/>
      <w:divBdr>
        <w:top w:val="none" w:sz="0" w:space="0" w:color="auto"/>
        <w:left w:val="none" w:sz="0" w:space="0" w:color="auto"/>
        <w:bottom w:val="none" w:sz="0" w:space="0" w:color="auto"/>
        <w:right w:val="none" w:sz="0" w:space="0" w:color="auto"/>
      </w:divBdr>
    </w:div>
    <w:div w:id="770199389">
      <w:marLeft w:val="0"/>
      <w:marRight w:val="0"/>
      <w:marTop w:val="120"/>
      <w:marBottom w:val="0"/>
      <w:divBdr>
        <w:top w:val="none" w:sz="0" w:space="0" w:color="auto"/>
        <w:left w:val="none" w:sz="0" w:space="0" w:color="auto"/>
        <w:bottom w:val="none" w:sz="0" w:space="0" w:color="auto"/>
        <w:right w:val="none" w:sz="0" w:space="0" w:color="auto"/>
      </w:divBdr>
    </w:div>
    <w:div w:id="772744573">
      <w:marLeft w:val="0"/>
      <w:marRight w:val="0"/>
      <w:marTop w:val="120"/>
      <w:marBottom w:val="0"/>
      <w:divBdr>
        <w:top w:val="none" w:sz="0" w:space="0" w:color="auto"/>
        <w:left w:val="none" w:sz="0" w:space="0" w:color="auto"/>
        <w:bottom w:val="none" w:sz="0" w:space="0" w:color="auto"/>
        <w:right w:val="none" w:sz="0" w:space="0" w:color="auto"/>
      </w:divBdr>
    </w:div>
    <w:div w:id="774708633">
      <w:marLeft w:val="0"/>
      <w:marRight w:val="0"/>
      <w:marTop w:val="120"/>
      <w:marBottom w:val="120"/>
      <w:divBdr>
        <w:top w:val="none" w:sz="0" w:space="0" w:color="auto"/>
        <w:left w:val="none" w:sz="0" w:space="0" w:color="auto"/>
        <w:bottom w:val="none" w:sz="0" w:space="0" w:color="auto"/>
        <w:right w:val="none" w:sz="0" w:space="0" w:color="auto"/>
      </w:divBdr>
    </w:div>
    <w:div w:id="775440905">
      <w:marLeft w:val="0"/>
      <w:marRight w:val="0"/>
      <w:marTop w:val="0"/>
      <w:marBottom w:val="0"/>
      <w:divBdr>
        <w:top w:val="none" w:sz="0" w:space="0" w:color="auto"/>
        <w:left w:val="none" w:sz="0" w:space="0" w:color="auto"/>
        <w:bottom w:val="none" w:sz="0" w:space="0" w:color="auto"/>
        <w:right w:val="none" w:sz="0" w:space="0" w:color="auto"/>
      </w:divBdr>
    </w:div>
    <w:div w:id="780148028">
      <w:marLeft w:val="0"/>
      <w:marRight w:val="0"/>
      <w:marTop w:val="0"/>
      <w:marBottom w:val="0"/>
      <w:divBdr>
        <w:top w:val="none" w:sz="0" w:space="0" w:color="auto"/>
        <w:left w:val="none" w:sz="0" w:space="0" w:color="auto"/>
        <w:bottom w:val="none" w:sz="0" w:space="0" w:color="auto"/>
        <w:right w:val="none" w:sz="0" w:space="0" w:color="auto"/>
      </w:divBdr>
    </w:div>
    <w:div w:id="782920656">
      <w:marLeft w:val="0"/>
      <w:marRight w:val="0"/>
      <w:marTop w:val="120"/>
      <w:marBottom w:val="0"/>
      <w:divBdr>
        <w:top w:val="none" w:sz="0" w:space="0" w:color="auto"/>
        <w:left w:val="none" w:sz="0" w:space="0" w:color="auto"/>
        <w:bottom w:val="none" w:sz="0" w:space="0" w:color="auto"/>
        <w:right w:val="none" w:sz="0" w:space="0" w:color="auto"/>
      </w:divBdr>
    </w:div>
    <w:div w:id="786581601">
      <w:marLeft w:val="0"/>
      <w:marRight w:val="0"/>
      <w:marTop w:val="120"/>
      <w:marBottom w:val="0"/>
      <w:divBdr>
        <w:top w:val="none" w:sz="0" w:space="0" w:color="auto"/>
        <w:left w:val="none" w:sz="0" w:space="0" w:color="auto"/>
        <w:bottom w:val="none" w:sz="0" w:space="0" w:color="auto"/>
        <w:right w:val="none" w:sz="0" w:space="0" w:color="auto"/>
      </w:divBdr>
    </w:div>
    <w:div w:id="790319245">
      <w:marLeft w:val="0"/>
      <w:marRight w:val="0"/>
      <w:marTop w:val="120"/>
      <w:marBottom w:val="0"/>
      <w:divBdr>
        <w:top w:val="none" w:sz="0" w:space="0" w:color="auto"/>
        <w:left w:val="none" w:sz="0" w:space="0" w:color="auto"/>
        <w:bottom w:val="none" w:sz="0" w:space="0" w:color="auto"/>
        <w:right w:val="none" w:sz="0" w:space="0" w:color="auto"/>
      </w:divBdr>
      <w:divsChild>
        <w:div w:id="1279948993">
          <w:marLeft w:val="0"/>
          <w:marRight w:val="0"/>
          <w:marTop w:val="0"/>
          <w:marBottom w:val="0"/>
          <w:divBdr>
            <w:top w:val="none" w:sz="0" w:space="0" w:color="auto"/>
            <w:left w:val="none" w:sz="0" w:space="0" w:color="auto"/>
            <w:bottom w:val="none" w:sz="0" w:space="0" w:color="auto"/>
            <w:right w:val="none" w:sz="0" w:space="0" w:color="auto"/>
          </w:divBdr>
        </w:div>
        <w:div w:id="701901469">
          <w:marLeft w:val="0"/>
          <w:marRight w:val="0"/>
          <w:marTop w:val="0"/>
          <w:marBottom w:val="0"/>
          <w:divBdr>
            <w:top w:val="none" w:sz="0" w:space="0" w:color="auto"/>
            <w:left w:val="none" w:sz="0" w:space="0" w:color="auto"/>
            <w:bottom w:val="none" w:sz="0" w:space="0" w:color="auto"/>
            <w:right w:val="none" w:sz="0" w:space="0" w:color="auto"/>
          </w:divBdr>
        </w:div>
        <w:div w:id="1728870649">
          <w:marLeft w:val="0"/>
          <w:marRight w:val="0"/>
          <w:marTop w:val="0"/>
          <w:marBottom w:val="0"/>
          <w:divBdr>
            <w:top w:val="none" w:sz="0" w:space="0" w:color="auto"/>
            <w:left w:val="none" w:sz="0" w:space="0" w:color="auto"/>
            <w:bottom w:val="none" w:sz="0" w:space="0" w:color="auto"/>
            <w:right w:val="none" w:sz="0" w:space="0" w:color="auto"/>
          </w:divBdr>
        </w:div>
        <w:div w:id="508329189">
          <w:marLeft w:val="0"/>
          <w:marRight w:val="0"/>
          <w:marTop w:val="0"/>
          <w:marBottom w:val="0"/>
          <w:divBdr>
            <w:top w:val="none" w:sz="0" w:space="0" w:color="auto"/>
            <w:left w:val="none" w:sz="0" w:space="0" w:color="auto"/>
            <w:bottom w:val="none" w:sz="0" w:space="0" w:color="auto"/>
            <w:right w:val="none" w:sz="0" w:space="0" w:color="auto"/>
          </w:divBdr>
        </w:div>
        <w:div w:id="205530820">
          <w:marLeft w:val="0"/>
          <w:marRight w:val="0"/>
          <w:marTop w:val="0"/>
          <w:marBottom w:val="0"/>
          <w:divBdr>
            <w:top w:val="none" w:sz="0" w:space="0" w:color="auto"/>
            <w:left w:val="none" w:sz="0" w:space="0" w:color="auto"/>
            <w:bottom w:val="none" w:sz="0" w:space="0" w:color="auto"/>
            <w:right w:val="none" w:sz="0" w:space="0" w:color="auto"/>
          </w:divBdr>
        </w:div>
        <w:div w:id="948198911">
          <w:marLeft w:val="0"/>
          <w:marRight w:val="0"/>
          <w:marTop w:val="0"/>
          <w:marBottom w:val="0"/>
          <w:divBdr>
            <w:top w:val="none" w:sz="0" w:space="0" w:color="auto"/>
            <w:left w:val="none" w:sz="0" w:space="0" w:color="auto"/>
            <w:bottom w:val="none" w:sz="0" w:space="0" w:color="auto"/>
            <w:right w:val="none" w:sz="0" w:space="0" w:color="auto"/>
          </w:divBdr>
        </w:div>
        <w:div w:id="575557074">
          <w:marLeft w:val="0"/>
          <w:marRight w:val="0"/>
          <w:marTop w:val="0"/>
          <w:marBottom w:val="0"/>
          <w:divBdr>
            <w:top w:val="none" w:sz="0" w:space="0" w:color="auto"/>
            <w:left w:val="none" w:sz="0" w:space="0" w:color="auto"/>
            <w:bottom w:val="none" w:sz="0" w:space="0" w:color="auto"/>
            <w:right w:val="none" w:sz="0" w:space="0" w:color="auto"/>
          </w:divBdr>
        </w:div>
        <w:div w:id="192771833">
          <w:marLeft w:val="0"/>
          <w:marRight w:val="0"/>
          <w:marTop w:val="0"/>
          <w:marBottom w:val="0"/>
          <w:divBdr>
            <w:top w:val="none" w:sz="0" w:space="0" w:color="auto"/>
            <w:left w:val="none" w:sz="0" w:space="0" w:color="auto"/>
            <w:bottom w:val="none" w:sz="0" w:space="0" w:color="auto"/>
            <w:right w:val="none" w:sz="0" w:space="0" w:color="auto"/>
          </w:divBdr>
        </w:div>
        <w:div w:id="1231383341">
          <w:marLeft w:val="0"/>
          <w:marRight w:val="0"/>
          <w:marTop w:val="0"/>
          <w:marBottom w:val="0"/>
          <w:divBdr>
            <w:top w:val="none" w:sz="0" w:space="0" w:color="auto"/>
            <w:left w:val="none" w:sz="0" w:space="0" w:color="auto"/>
            <w:bottom w:val="none" w:sz="0" w:space="0" w:color="auto"/>
            <w:right w:val="none" w:sz="0" w:space="0" w:color="auto"/>
          </w:divBdr>
        </w:div>
        <w:div w:id="1089425502">
          <w:marLeft w:val="0"/>
          <w:marRight w:val="0"/>
          <w:marTop w:val="0"/>
          <w:marBottom w:val="0"/>
          <w:divBdr>
            <w:top w:val="none" w:sz="0" w:space="0" w:color="auto"/>
            <w:left w:val="none" w:sz="0" w:space="0" w:color="auto"/>
            <w:bottom w:val="none" w:sz="0" w:space="0" w:color="auto"/>
            <w:right w:val="none" w:sz="0" w:space="0" w:color="auto"/>
          </w:divBdr>
        </w:div>
        <w:div w:id="963117381">
          <w:marLeft w:val="0"/>
          <w:marRight w:val="0"/>
          <w:marTop w:val="0"/>
          <w:marBottom w:val="0"/>
          <w:divBdr>
            <w:top w:val="none" w:sz="0" w:space="0" w:color="auto"/>
            <w:left w:val="none" w:sz="0" w:space="0" w:color="auto"/>
            <w:bottom w:val="none" w:sz="0" w:space="0" w:color="auto"/>
            <w:right w:val="none" w:sz="0" w:space="0" w:color="auto"/>
          </w:divBdr>
        </w:div>
        <w:div w:id="918100806">
          <w:marLeft w:val="0"/>
          <w:marRight w:val="0"/>
          <w:marTop w:val="0"/>
          <w:marBottom w:val="0"/>
          <w:divBdr>
            <w:top w:val="none" w:sz="0" w:space="0" w:color="auto"/>
            <w:left w:val="none" w:sz="0" w:space="0" w:color="auto"/>
            <w:bottom w:val="none" w:sz="0" w:space="0" w:color="auto"/>
            <w:right w:val="none" w:sz="0" w:space="0" w:color="auto"/>
          </w:divBdr>
        </w:div>
        <w:div w:id="1725327922">
          <w:marLeft w:val="0"/>
          <w:marRight w:val="0"/>
          <w:marTop w:val="0"/>
          <w:marBottom w:val="0"/>
          <w:divBdr>
            <w:top w:val="none" w:sz="0" w:space="0" w:color="auto"/>
            <w:left w:val="none" w:sz="0" w:space="0" w:color="auto"/>
            <w:bottom w:val="none" w:sz="0" w:space="0" w:color="auto"/>
            <w:right w:val="none" w:sz="0" w:space="0" w:color="auto"/>
          </w:divBdr>
        </w:div>
        <w:div w:id="629941852">
          <w:marLeft w:val="0"/>
          <w:marRight w:val="0"/>
          <w:marTop w:val="0"/>
          <w:marBottom w:val="0"/>
          <w:divBdr>
            <w:top w:val="none" w:sz="0" w:space="0" w:color="auto"/>
            <w:left w:val="none" w:sz="0" w:space="0" w:color="auto"/>
            <w:bottom w:val="none" w:sz="0" w:space="0" w:color="auto"/>
            <w:right w:val="none" w:sz="0" w:space="0" w:color="auto"/>
          </w:divBdr>
        </w:div>
        <w:div w:id="647513281">
          <w:marLeft w:val="0"/>
          <w:marRight w:val="0"/>
          <w:marTop w:val="0"/>
          <w:marBottom w:val="0"/>
          <w:divBdr>
            <w:top w:val="none" w:sz="0" w:space="0" w:color="auto"/>
            <w:left w:val="none" w:sz="0" w:space="0" w:color="auto"/>
            <w:bottom w:val="none" w:sz="0" w:space="0" w:color="auto"/>
            <w:right w:val="none" w:sz="0" w:space="0" w:color="auto"/>
          </w:divBdr>
        </w:div>
        <w:div w:id="955909471">
          <w:marLeft w:val="0"/>
          <w:marRight w:val="0"/>
          <w:marTop w:val="0"/>
          <w:marBottom w:val="0"/>
          <w:divBdr>
            <w:top w:val="none" w:sz="0" w:space="0" w:color="auto"/>
            <w:left w:val="none" w:sz="0" w:space="0" w:color="auto"/>
            <w:bottom w:val="none" w:sz="0" w:space="0" w:color="auto"/>
            <w:right w:val="none" w:sz="0" w:space="0" w:color="auto"/>
          </w:divBdr>
        </w:div>
        <w:div w:id="154733806">
          <w:marLeft w:val="0"/>
          <w:marRight w:val="0"/>
          <w:marTop w:val="0"/>
          <w:marBottom w:val="0"/>
          <w:divBdr>
            <w:top w:val="none" w:sz="0" w:space="0" w:color="auto"/>
            <w:left w:val="none" w:sz="0" w:space="0" w:color="auto"/>
            <w:bottom w:val="none" w:sz="0" w:space="0" w:color="auto"/>
            <w:right w:val="none" w:sz="0" w:space="0" w:color="auto"/>
          </w:divBdr>
        </w:div>
        <w:div w:id="392239522">
          <w:marLeft w:val="0"/>
          <w:marRight w:val="0"/>
          <w:marTop w:val="0"/>
          <w:marBottom w:val="0"/>
          <w:divBdr>
            <w:top w:val="none" w:sz="0" w:space="0" w:color="auto"/>
            <w:left w:val="none" w:sz="0" w:space="0" w:color="auto"/>
            <w:bottom w:val="none" w:sz="0" w:space="0" w:color="auto"/>
            <w:right w:val="none" w:sz="0" w:space="0" w:color="auto"/>
          </w:divBdr>
        </w:div>
        <w:div w:id="1614820510">
          <w:marLeft w:val="0"/>
          <w:marRight w:val="0"/>
          <w:marTop w:val="0"/>
          <w:marBottom w:val="0"/>
          <w:divBdr>
            <w:top w:val="none" w:sz="0" w:space="0" w:color="auto"/>
            <w:left w:val="none" w:sz="0" w:space="0" w:color="auto"/>
            <w:bottom w:val="none" w:sz="0" w:space="0" w:color="auto"/>
            <w:right w:val="none" w:sz="0" w:space="0" w:color="auto"/>
          </w:divBdr>
        </w:div>
        <w:div w:id="498499220">
          <w:marLeft w:val="0"/>
          <w:marRight w:val="0"/>
          <w:marTop w:val="0"/>
          <w:marBottom w:val="0"/>
          <w:divBdr>
            <w:top w:val="none" w:sz="0" w:space="0" w:color="auto"/>
            <w:left w:val="none" w:sz="0" w:space="0" w:color="auto"/>
            <w:bottom w:val="none" w:sz="0" w:space="0" w:color="auto"/>
            <w:right w:val="none" w:sz="0" w:space="0" w:color="auto"/>
          </w:divBdr>
        </w:div>
        <w:div w:id="328949934">
          <w:marLeft w:val="0"/>
          <w:marRight w:val="0"/>
          <w:marTop w:val="0"/>
          <w:marBottom w:val="0"/>
          <w:divBdr>
            <w:top w:val="none" w:sz="0" w:space="0" w:color="auto"/>
            <w:left w:val="none" w:sz="0" w:space="0" w:color="auto"/>
            <w:bottom w:val="none" w:sz="0" w:space="0" w:color="auto"/>
            <w:right w:val="none" w:sz="0" w:space="0" w:color="auto"/>
          </w:divBdr>
        </w:div>
        <w:div w:id="180558577">
          <w:marLeft w:val="0"/>
          <w:marRight w:val="0"/>
          <w:marTop w:val="0"/>
          <w:marBottom w:val="0"/>
          <w:divBdr>
            <w:top w:val="none" w:sz="0" w:space="0" w:color="auto"/>
            <w:left w:val="none" w:sz="0" w:space="0" w:color="auto"/>
            <w:bottom w:val="none" w:sz="0" w:space="0" w:color="auto"/>
            <w:right w:val="none" w:sz="0" w:space="0" w:color="auto"/>
          </w:divBdr>
        </w:div>
        <w:div w:id="433326653">
          <w:marLeft w:val="0"/>
          <w:marRight w:val="0"/>
          <w:marTop w:val="0"/>
          <w:marBottom w:val="0"/>
          <w:divBdr>
            <w:top w:val="none" w:sz="0" w:space="0" w:color="auto"/>
            <w:left w:val="none" w:sz="0" w:space="0" w:color="auto"/>
            <w:bottom w:val="none" w:sz="0" w:space="0" w:color="auto"/>
            <w:right w:val="none" w:sz="0" w:space="0" w:color="auto"/>
          </w:divBdr>
        </w:div>
      </w:divsChild>
    </w:div>
    <w:div w:id="790631988">
      <w:marLeft w:val="0"/>
      <w:marRight w:val="0"/>
      <w:marTop w:val="0"/>
      <w:marBottom w:val="0"/>
      <w:divBdr>
        <w:top w:val="none" w:sz="0" w:space="0" w:color="auto"/>
        <w:left w:val="none" w:sz="0" w:space="0" w:color="auto"/>
        <w:bottom w:val="none" w:sz="0" w:space="0" w:color="auto"/>
        <w:right w:val="none" w:sz="0" w:space="0" w:color="auto"/>
      </w:divBdr>
    </w:div>
    <w:div w:id="790709898">
      <w:marLeft w:val="0"/>
      <w:marRight w:val="0"/>
      <w:marTop w:val="0"/>
      <w:marBottom w:val="0"/>
      <w:divBdr>
        <w:top w:val="none" w:sz="0" w:space="0" w:color="auto"/>
        <w:left w:val="none" w:sz="0" w:space="0" w:color="auto"/>
        <w:bottom w:val="none" w:sz="0" w:space="0" w:color="auto"/>
        <w:right w:val="none" w:sz="0" w:space="0" w:color="auto"/>
      </w:divBdr>
    </w:div>
    <w:div w:id="795635686">
      <w:marLeft w:val="0"/>
      <w:marRight w:val="0"/>
      <w:marTop w:val="180"/>
      <w:marBottom w:val="120"/>
      <w:divBdr>
        <w:top w:val="none" w:sz="0" w:space="0" w:color="auto"/>
        <w:left w:val="none" w:sz="0" w:space="0" w:color="auto"/>
        <w:bottom w:val="none" w:sz="0" w:space="0" w:color="auto"/>
        <w:right w:val="none" w:sz="0" w:space="0" w:color="auto"/>
      </w:divBdr>
    </w:div>
    <w:div w:id="796412804">
      <w:marLeft w:val="0"/>
      <w:marRight w:val="0"/>
      <w:marTop w:val="120"/>
      <w:marBottom w:val="120"/>
      <w:divBdr>
        <w:top w:val="none" w:sz="0" w:space="0" w:color="auto"/>
        <w:left w:val="none" w:sz="0" w:space="0" w:color="auto"/>
        <w:bottom w:val="none" w:sz="0" w:space="0" w:color="auto"/>
        <w:right w:val="none" w:sz="0" w:space="0" w:color="auto"/>
      </w:divBdr>
    </w:div>
    <w:div w:id="801657773">
      <w:marLeft w:val="0"/>
      <w:marRight w:val="0"/>
      <w:marTop w:val="120"/>
      <w:marBottom w:val="120"/>
      <w:divBdr>
        <w:top w:val="none" w:sz="0" w:space="0" w:color="auto"/>
        <w:left w:val="none" w:sz="0" w:space="0" w:color="auto"/>
        <w:bottom w:val="none" w:sz="0" w:space="0" w:color="auto"/>
        <w:right w:val="none" w:sz="0" w:space="0" w:color="auto"/>
      </w:divBdr>
    </w:div>
    <w:div w:id="805010397">
      <w:marLeft w:val="0"/>
      <w:marRight w:val="0"/>
      <w:marTop w:val="0"/>
      <w:marBottom w:val="0"/>
      <w:divBdr>
        <w:top w:val="none" w:sz="0" w:space="0" w:color="auto"/>
        <w:left w:val="none" w:sz="0" w:space="0" w:color="auto"/>
        <w:bottom w:val="none" w:sz="0" w:space="0" w:color="auto"/>
        <w:right w:val="none" w:sz="0" w:space="0" w:color="auto"/>
      </w:divBdr>
      <w:divsChild>
        <w:div w:id="295185089">
          <w:marLeft w:val="0"/>
          <w:marRight w:val="0"/>
          <w:marTop w:val="0"/>
          <w:marBottom w:val="0"/>
          <w:divBdr>
            <w:top w:val="none" w:sz="0" w:space="0" w:color="auto"/>
            <w:left w:val="none" w:sz="0" w:space="0" w:color="auto"/>
            <w:bottom w:val="none" w:sz="0" w:space="0" w:color="auto"/>
            <w:right w:val="none" w:sz="0" w:space="0" w:color="auto"/>
          </w:divBdr>
        </w:div>
      </w:divsChild>
    </w:div>
    <w:div w:id="813332852">
      <w:marLeft w:val="0"/>
      <w:marRight w:val="0"/>
      <w:marTop w:val="120"/>
      <w:marBottom w:val="0"/>
      <w:divBdr>
        <w:top w:val="none" w:sz="0" w:space="0" w:color="auto"/>
        <w:left w:val="none" w:sz="0" w:space="0" w:color="auto"/>
        <w:bottom w:val="none" w:sz="0" w:space="0" w:color="auto"/>
        <w:right w:val="none" w:sz="0" w:space="0" w:color="auto"/>
      </w:divBdr>
    </w:div>
    <w:div w:id="813377768">
      <w:marLeft w:val="0"/>
      <w:marRight w:val="0"/>
      <w:marTop w:val="0"/>
      <w:marBottom w:val="0"/>
      <w:divBdr>
        <w:top w:val="none" w:sz="0" w:space="0" w:color="auto"/>
        <w:left w:val="none" w:sz="0" w:space="0" w:color="auto"/>
        <w:bottom w:val="none" w:sz="0" w:space="0" w:color="auto"/>
        <w:right w:val="none" w:sz="0" w:space="0" w:color="auto"/>
      </w:divBdr>
      <w:divsChild>
        <w:div w:id="239021227">
          <w:marLeft w:val="0"/>
          <w:marRight w:val="0"/>
          <w:marTop w:val="0"/>
          <w:marBottom w:val="0"/>
          <w:divBdr>
            <w:top w:val="none" w:sz="0" w:space="0" w:color="auto"/>
            <w:left w:val="none" w:sz="0" w:space="0" w:color="auto"/>
            <w:bottom w:val="none" w:sz="0" w:space="0" w:color="auto"/>
            <w:right w:val="none" w:sz="0" w:space="0" w:color="auto"/>
          </w:divBdr>
        </w:div>
      </w:divsChild>
    </w:div>
    <w:div w:id="815998284">
      <w:marLeft w:val="0"/>
      <w:marRight w:val="0"/>
      <w:marTop w:val="120"/>
      <w:marBottom w:val="120"/>
      <w:divBdr>
        <w:top w:val="none" w:sz="0" w:space="0" w:color="auto"/>
        <w:left w:val="none" w:sz="0" w:space="0" w:color="auto"/>
        <w:bottom w:val="none" w:sz="0" w:space="0" w:color="auto"/>
        <w:right w:val="none" w:sz="0" w:space="0" w:color="auto"/>
      </w:divBdr>
    </w:div>
    <w:div w:id="819612000">
      <w:marLeft w:val="0"/>
      <w:marRight w:val="0"/>
      <w:marTop w:val="0"/>
      <w:marBottom w:val="0"/>
      <w:divBdr>
        <w:top w:val="none" w:sz="0" w:space="0" w:color="auto"/>
        <w:left w:val="none" w:sz="0" w:space="0" w:color="auto"/>
        <w:bottom w:val="none" w:sz="0" w:space="0" w:color="auto"/>
        <w:right w:val="none" w:sz="0" w:space="0" w:color="auto"/>
      </w:divBdr>
    </w:div>
    <w:div w:id="820539865">
      <w:marLeft w:val="0"/>
      <w:marRight w:val="0"/>
      <w:marTop w:val="180"/>
      <w:marBottom w:val="120"/>
      <w:divBdr>
        <w:top w:val="none" w:sz="0" w:space="0" w:color="auto"/>
        <w:left w:val="none" w:sz="0" w:space="0" w:color="auto"/>
        <w:bottom w:val="none" w:sz="0" w:space="0" w:color="auto"/>
        <w:right w:val="none" w:sz="0" w:space="0" w:color="auto"/>
      </w:divBdr>
    </w:div>
    <w:div w:id="821848075">
      <w:marLeft w:val="0"/>
      <w:marRight w:val="0"/>
      <w:marTop w:val="120"/>
      <w:marBottom w:val="120"/>
      <w:divBdr>
        <w:top w:val="none" w:sz="0" w:space="0" w:color="auto"/>
        <w:left w:val="none" w:sz="0" w:space="0" w:color="auto"/>
        <w:bottom w:val="none" w:sz="0" w:space="0" w:color="auto"/>
        <w:right w:val="none" w:sz="0" w:space="0" w:color="auto"/>
      </w:divBdr>
    </w:div>
    <w:div w:id="824862408">
      <w:marLeft w:val="0"/>
      <w:marRight w:val="0"/>
      <w:marTop w:val="0"/>
      <w:marBottom w:val="0"/>
      <w:divBdr>
        <w:top w:val="none" w:sz="0" w:space="0" w:color="auto"/>
        <w:left w:val="none" w:sz="0" w:space="0" w:color="auto"/>
        <w:bottom w:val="none" w:sz="0" w:space="0" w:color="auto"/>
        <w:right w:val="none" w:sz="0" w:space="0" w:color="auto"/>
      </w:divBdr>
      <w:divsChild>
        <w:div w:id="1182233452">
          <w:marLeft w:val="0"/>
          <w:marRight w:val="0"/>
          <w:marTop w:val="0"/>
          <w:marBottom w:val="0"/>
          <w:divBdr>
            <w:top w:val="none" w:sz="0" w:space="0" w:color="auto"/>
            <w:left w:val="none" w:sz="0" w:space="0" w:color="auto"/>
            <w:bottom w:val="none" w:sz="0" w:space="0" w:color="auto"/>
            <w:right w:val="none" w:sz="0" w:space="0" w:color="auto"/>
          </w:divBdr>
        </w:div>
      </w:divsChild>
    </w:div>
    <w:div w:id="825709106">
      <w:marLeft w:val="0"/>
      <w:marRight w:val="0"/>
      <w:marTop w:val="0"/>
      <w:marBottom w:val="0"/>
      <w:divBdr>
        <w:top w:val="none" w:sz="0" w:space="0" w:color="auto"/>
        <w:left w:val="none" w:sz="0" w:space="0" w:color="auto"/>
        <w:bottom w:val="none" w:sz="0" w:space="0" w:color="auto"/>
        <w:right w:val="none" w:sz="0" w:space="0" w:color="auto"/>
      </w:divBdr>
      <w:divsChild>
        <w:div w:id="2009552977">
          <w:marLeft w:val="0"/>
          <w:marRight w:val="0"/>
          <w:marTop w:val="0"/>
          <w:marBottom w:val="0"/>
          <w:divBdr>
            <w:top w:val="none" w:sz="0" w:space="0" w:color="auto"/>
            <w:left w:val="none" w:sz="0" w:space="0" w:color="auto"/>
            <w:bottom w:val="none" w:sz="0" w:space="0" w:color="auto"/>
            <w:right w:val="none" w:sz="0" w:space="0" w:color="auto"/>
          </w:divBdr>
        </w:div>
      </w:divsChild>
    </w:div>
    <w:div w:id="825780722">
      <w:marLeft w:val="0"/>
      <w:marRight w:val="0"/>
      <w:marTop w:val="120"/>
      <w:marBottom w:val="0"/>
      <w:divBdr>
        <w:top w:val="none" w:sz="0" w:space="0" w:color="auto"/>
        <w:left w:val="none" w:sz="0" w:space="0" w:color="auto"/>
        <w:bottom w:val="none" w:sz="0" w:space="0" w:color="auto"/>
        <w:right w:val="none" w:sz="0" w:space="0" w:color="auto"/>
      </w:divBdr>
    </w:div>
    <w:div w:id="825782553">
      <w:marLeft w:val="0"/>
      <w:marRight w:val="0"/>
      <w:marTop w:val="180"/>
      <w:marBottom w:val="0"/>
      <w:divBdr>
        <w:top w:val="none" w:sz="0" w:space="0" w:color="auto"/>
        <w:left w:val="none" w:sz="0" w:space="0" w:color="auto"/>
        <w:bottom w:val="none" w:sz="0" w:space="0" w:color="auto"/>
        <w:right w:val="none" w:sz="0" w:space="0" w:color="auto"/>
      </w:divBdr>
    </w:div>
    <w:div w:id="828836595">
      <w:marLeft w:val="0"/>
      <w:marRight w:val="0"/>
      <w:marTop w:val="0"/>
      <w:marBottom w:val="0"/>
      <w:divBdr>
        <w:top w:val="none" w:sz="0" w:space="0" w:color="auto"/>
        <w:left w:val="none" w:sz="0" w:space="0" w:color="auto"/>
        <w:bottom w:val="none" w:sz="0" w:space="0" w:color="auto"/>
        <w:right w:val="none" w:sz="0" w:space="0" w:color="auto"/>
      </w:divBdr>
    </w:div>
    <w:div w:id="831718020">
      <w:marLeft w:val="0"/>
      <w:marRight w:val="0"/>
      <w:marTop w:val="0"/>
      <w:marBottom w:val="0"/>
      <w:divBdr>
        <w:top w:val="none" w:sz="0" w:space="0" w:color="auto"/>
        <w:left w:val="none" w:sz="0" w:space="0" w:color="auto"/>
        <w:bottom w:val="none" w:sz="0" w:space="0" w:color="auto"/>
        <w:right w:val="none" w:sz="0" w:space="0" w:color="auto"/>
      </w:divBdr>
    </w:div>
    <w:div w:id="833228322">
      <w:marLeft w:val="0"/>
      <w:marRight w:val="0"/>
      <w:marTop w:val="120"/>
      <w:marBottom w:val="0"/>
      <w:divBdr>
        <w:top w:val="none" w:sz="0" w:space="0" w:color="auto"/>
        <w:left w:val="none" w:sz="0" w:space="0" w:color="auto"/>
        <w:bottom w:val="none" w:sz="0" w:space="0" w:color="auto"/>
        <w:right w:val="none" w:sz="0" w:space="0" w:color="auto"/>
      </w:divBdr>
    </w:div>
    <w:div w:id="833759198">
      <w:marLeft w:val="0"/>
      <w:marRight w:val="0"/>
      <w:marTop w:val="0"/>
      <w:marBottom w:val="0"/>
      <w:divBdr>
        <w:top w:val="none" w:sz="0" w:space="0" w:color="auto"/>
        <w:left w:val="none" w:sz="0" w:space="0" w:color="auto"/>
        <w:bottom w:val="none" w:sz="0" w:space="0" w:color="auto"/>
        <w:right w:val="none" w:sz="0" w:space="0" w:color="auto"/>
      </w:divBdr>
    </w:div>
    <w:div w:id="835532140">
      <w:marLeft w:val="0"/>
      <w:marRight w:val="0"/>
      <w:marTop w:val="0"/>
      <w:marBottom w:val="0"/>
      <w:divBdr>
        <w:top w:val="none" w:sz="0" w:space="0" w:color="auto"/>
        <w:left w:val="none" w:sz="0" w:space="0" w:color="auto"/>
        <w:bottom w:val="none" w:sz="0" w:space="0" w:color="auto"/>
        <w:right w:val="none" w:sz="0" w:space="0" w:color="auto"/>
      </w:divBdr>
      <w:divsChild>
        <w:div w:id="1884708795">
          <w:marLeft w:val="0"/>
          <w:marRight w:val="0"/>
          <w:marTop w:val="0"/>
          <w:marBottom w:val="0"/>
          <w:divBdr>
            <w:top w:val="none" w:sz="0" w:space="0" w:color="auto"/>
            <w:left w:val="none" w:sz="0" w:space="0" w:color="auto"/>
            <w:bottom w:val="none" w:sz="0" w:space="0" w:color="auto"/>
            <w:right w:val="none" w:sz="0" w:space="0" w:color="auto"/>
          </w:divBdr>
        </w:div>
      </w:divsChild>
    </w:div>
    <w:div w:id="839151443">
      <w:marLeft w:val="0"/>
      <w:marRight w:val="0"/>
      <w:marTop w:val="120"/>
      <w:marBottom w:val="0"/>
      <w:divBdr>
        <w:top w:val="none" w:sz="0" w:space="0" w:color="auto"/>
        <w:left w:val="none" w:sz="0" w:space="0" w:color="auto"/>
        <w:bottom w:val="none" w:sz="0" w:space="0" w:color="auto"/>
        <w:right w:val="none" w:sz="0" w:space="0" w:color="auto"/>
      </w:divBdr>
    </w:div>
    <w:div w:id="839199564">
      <w:marLeft w:val="0"/>
      <w:marRight w:val="0"/>
      <w:marTop w:val="180"/>
      <w:marBottom w:val="120"/>
      <w:divBdr>
        <w:top w:val="none" w:sz="0" w:space="0" w:color="auto"/>
        <w:left w:val="none" w:sz="0" w:space="0" w:color="auto"/>
        <w:bottom w:val="none" w:sz="0" w:space="0" w:color="auto"/>
        <w:right w:val="none" w:sz="0" w:space="0" w:color="auto"/>
      </w:divBdr>
    </w:div>
    <w:div w:id="841048703">
      <w:marLeft w:val="0"/>
      <w:marRight w:val="0"/>
      <w:marTop w:val="0"/>
      <w:marBottom w:val="0"/>
      <w:divBdr>
        <w:top w:val="none" w:sz="0" w:space="0" w:color="auto"/>
        <w:left w:val="none" w:sz="0" w:space="0" w:color="auto"/>
        <w:bottom w:val="none" w:sz="0" w:space="0" w:color="auto"/>
        <w:right w:val="none" w:sz="0" w:space="0" w:color="auto"/>
      </w:divBdr>
      <w:divsChild>
        <w:div w:id="87703611">
          <w:marLeft w:val="0"/>
          <w:marRight w:val="0"/>
          <w:marTop w:val="0"/>
          <w:marBottom w:val="0"/>
          <w:divBdr>
            <w:top w:val="none" w:sz="0" w:space="0" w:color="auto"/>
            <w:left w:val="none" w:sz="0" w:space="0" w:color="auto"/>
            <w:bottom w:val="none" w:sz="0" w:space="0" w:color="auto"/>
            <w:right w:val="none" w:sz="0" w:space="0" w:color="auto"/>
          </w:divBdr>
        </w:div>
      </w:divsChild>
    </w:div>
    <w:div w:id="841894701">
      <w:marLeft w:val="0"/>
      <w:marRight w:val="0"/>
      <w:marTop w:val="120"/>
      <w:marBottom w:val="120"/>
      <w:divBdr>
        <w:top w:val="none" w:sz="0" w:space="0" w:color="auto"/>
        <w:left w:val="none" w:sz="0" w:space="0" w:color="auto"/>
        <w:bottom w:val="none" w:sz="0" w:space="0" w:color="auto"/>
        <w:right w:val="none" w:sz="0" w:space="0" w:color="auto"/>
      </w:divBdr>
    </w:div>
    <w:div w:id="842554594">
      <w:marLeft w:val="0"/>
      <w:marRight w:val="0"/>
      <w:marTop w:val="120"/>
      <w:marBottom w:val="0"/>
      <w:divBdr>
        <w:top w:val="none" w:sz="0" w:space="0" w:color="auto"/>
        <w:left w:val="none" w:sz="0" w:space="0" w:color="auto"/>
        <w:bottom w:val="none" w:sz="0" w:space="0" w:color="auto"/>
        <w:right w:val="none" w:sz="0" w:space="0" w:color="auto"/>
      </w:divBdr>
    </w:div>
    <w:div w:id="844973455">
      <w:marLeft w:val="0"/>
      <w:marRight w:val="0"/>
      <w:marTop w:val="120"/>
      <w:marBottom w:val="120"/>
      <w:divBdr>
        <w:top w:val="none" w:sz="0" w:space="0" w:color="auto"/>
        <w:left w:val="none" w:sz="0" w:space="0" w:color="auto"/>
        <w:bottom w:val="none" w:sz="0" w:space="0" w:color="auto"/>
        <w:right w:val="none" w:sz="0" w:space="0" w:color="auto"/>
      </w:divBdr>
    </w:div>
    <w:div w:id="851526602">
      <w:marLeft w:val="0"/>
      <w:marRight w:val="0"/>
      <w:marTop w:val="120"/>
      <w:marBottom w:val="120"/>
      <w:divBdr>
        <w:top w:val="none" w:sz="0" w:space="0" w:color="auto"/>
        <w:left w:val="none" w:sz="0" w:space="0" w:color="auto"/>
        <w:bottom w:val="none" w:sz="0" w:space="0" w:color="auto"/>
        <w:right w:val="none" w:sz="0" w:space="0" w:color="auto"/>
      </w:divBdr>
    </w:div>
    <w:div w:id="851796597">
      <w:marLeft w:val="0"/>
      <w:marRight w:val="0"/>
      <w:marTop w:val="0"/>
      <w:marBottom w:val="0"/>
      <w:divBdr>
        <w:top w:val="none" w:sz="0" w:space="0" w:color="auto"/>
        <w:left w:val="none" w:sz="0" w:space="0" w:color="auto"/>
        <w:bottom w:val="none" w:sz="0" w:space="0" w:color="auto"/>
        <w:right w:val="none" w:sz="0" w:space="0" w:color="auto"/>
      </w:divBdr>
      <w:divsChild>
        <w:div w:id="1909418623">
          <w:marLeft w:val="0"/>
          <w:marRight w:val="0"/>
          <w:marTop w:val="0"/>
          <w:marBottom w:val="0"/>
          <w:divBdr>
            <w:top w:val="none" w:sz="0" w:space="0" w:color="auto"/>
            <w:left w:val="none" w:sz="0" w:space="0" w:color="auto"/>
            <w:bottom w:val="none" w:sz="0" w:space="0" w:color="auto"/>
            <w:right w:val="none" w:sz="0" w:space="0" w:color="auto"/>
          </w:divBdr>
        </w:div>
      </w:divsChild>
    </w:div>
    <w:div w:id="854802424">
      <w:marLeft w:val="0"/>
      <w:marRight w:val="0"/>
      <w:marTop w:val="0"/>
      <w:marBottom w:val="0"/>
      <w:divBdr>
        <w:top w:val="none" w:sz="0" w:space="0" w:color="auto"/>
        <w:left w:val="none" w:sz="0" w:space="0" w:color="auto"/>
        <w:bottom w:val="none" w:sz="0" w:space="0" w:color="auto"/>
        <w:right w:val="none" w:sz="0" w:space="0" w:color="auto"/>
      </w:divBdr>
    </w:div>
    <w:div w:id="855730841">
      <w:marLeft w:val="0"/>
      <w:marRight w:val="0"/>
      <w:marTop w:val="60"/>
      <w:marBottom w:val="120"/>
      <w:divBdr>
        <w:top w:val="none" w:sz="0" w:space="0" w:color="auto"/>
        <w:left w:val="none" w:sz="0" w:space="0" w:color="auto"/>
        <w:bottom w:val="none" w:sz="0" w:space="0" w:color="auto"/>
        <w:right w:val="none" w:sz="0" w:space="0" w:color="auto"/>
      </w:divBdr>
    </w:div>
    <w:div w:id="858815651">
      <w:marLeft w:val="0"/>
      <w:marRight w:val="0"/>
      <w:marTop w:val="120"/>
      <w:marBottom w:val="0"/>
      <w:divBdr>
        <w:top w:val="none" w:sz="0" w:space="0" w:color="auto"/>
        <w:left w:val="none" w:sz="0" w:space="0" w:color="auto"/>
        <w:bottom w:val="none" w:sz="0" w:space="0" w:color="auto"/>
        <w:right w:val="none" w:sz="0" w:space="0" w:color="auto"/>
      </w:divBdr>
    </w:div>
    <w:div w:id="861288145">
      <w:marLeft w:val="0"/>
      <w:marRight w:val="0"/>
      <w:marTop w:val="120"/>
      <w:marBottom w:val="0"/>
      <w:divBdr>
        <w:top w:val="none" w:sz="0" w:space="0" w:color="auto"/>
        <w:left w:val="none" w:sz="0" w:space="0" w:color="auto"/>
        <w:bottom w:val="none" w:sz="0" w:space="0" w:color="auto"/>
        <w:right w:val="none" w:sz="0" w:space="0" w:color="auto"/>
      </w:divBdr>
    </w:div>
    <w:div w:id="861868651">
      <w:marLeft w:val="0"/>
      <w:marRight w:val="0"/>
      <w:marTop w:val="120"/>
      <w:marBottom w:val="120"/>
      <w:divBdr>
        <w:top w:val="none" w:sz="0" w:space="0" w:color="auto"/>
        <w:left w:val="none" w:sz="0" w:space="0" w:color="auto"/>
        <w:bottom w:val="none" w:sz="0" w:space="0" w:color="auto"/>
        <w:right w:val="none" w:sz="0" w:space="0" w:color="auto"/>
      </w:divBdr>
    </w:div>
    <w:div w:id="863834466">
      <w:marLeft w:val="0"/>
      <w:marRight w:val="0"/>
      <w:marTop w:val="120"/>
      <w:marBottom w:val="0"/>
      <w:divBdr>
        <w:top w:val="none" w:sz="0" w:space="0" w:color="auto"/>
        <w:left w:val="none" w:sz="0" w:space="0" w:color="auto"/>
        <w:bottom w:val="none" w:sz="0" w:space="0" w:color="auto"/>
        <w:right w:val="none" w:sz="0" w:space="0" w:color="auto"/>
      </w:divBdr>
    </w:div>
    <w:div w:id="863860380">
      <w:marLeft w:val="0"/>
      <w:marRight w:val="0"/>
      <w:marTop w:val="120"/>
      <w:marBottom w:val="0"/>
      <w:divBdr>
        <w:top w:val="none" w:sz="0" w:space="0" w:color="auto"/>
        <w:left w:val="none" w:sz="0" w:space="0" w:color="auto"/>
        <w:bottom w:val="none" w:sz="0" w:space="0" w:color="auto"/>
        <w:right w:val="none" w:sz="0" w:space="0" w:color="auto"/>
      </w:divBdr>
    </w:div>
    <w:div w:id="865212179">
      <w:marLeft w:val="0"/>
      <w:marRight w:val="0"/>
      <w:marTop w:val="120"/>
      <w:marBottom w:val="0"/>
      <w:divBdr>
        <w:top w:val="none" w:sz="0" w:space="0" w:color="auto"/>
        <w:left w:val="none" w:sz="0" w:space="0" w:color="auto"/>
        <w:bottom w:val="none" w:sz="0" w:space="0" w:color="auto"/>
        <w:right w:val="none" w:sz="0" w:space="0" w:color="auto"/>
      </w:divBdr>
    </w:div>
    <w:div w:id="875042241">
      <w:marLeft w:val="0"/>
      <w:marRight w:val="0"/>
      <w:marTop w:val="120"/>
      <w:marBottom w:val="0"/>
      <w:divBdr>
        <w:top w:val="none" w:sz="0" w:space="0" w:color="auto"/>
        <w:left w:val="none" w:sz="0" w:space="0" w:color="auto"/>
        <w:bottom w:val="none" w:sz="0" w:space="0" w:color="auto"/>
        <w:right w:val="none" w:sz="0" w:space="0" w:color="auto"/>
      </w:divBdr>
    </w:div>
    <w:div w:id="875965745">
      <w:marLeft w:val="0"/>
      <w:marRight w:val="0"/>
      <w:marTop w:val="120"/>
      <w:marBottom w:val="120"/>
      <w:divBdr>
        <w:top w:val="none" w:sz="0" w:space="0" w:color="auto"/>
        <w:left w:val="none" w:sz="0" w:space="0" w:color="auto"/>
        <w:bottom w:val="none" w:sz="0" w:space="0" w:color="auto"/>
        <w:right w:val="none" w:sz="0" w:space="0" w:color="auto"/>
      </w:divBdr>
    </w:div>
    <w:div w:id="876892732">
      <w:marLeft w:val="0"/>
      <w:marRight w:val="0"/>
      <w:marTop w:val="0"/>
      <w:marBottom w:val="0"/>
      <w:divBdr>
        <w:top w:val="none" w:sz="0" w:space="0" w:color="auto"/>
        <w:left w:val="none" w:sz="0" w:space="0" w:color="auto"/>
        <w:bottom w:val="none" w:sz="0" w:space="0" w:color="auto"/>
        <w:right w:val="none" w:sz="0" w:space="0" w:color="auto"/>
      </w:divBdr>
    </w:div>
    <w:div w:id="878905118">
      <w:marLeft w:val="0"/>
      <w:marRight w:val="0"/>
      <w:marTop w:val="120"/>
      <w:marBottom w:val="120"/>
      <w:divBdr>
        <w:top w:val="none" w:sz="0" w:space="0" w:color="auto"/>
        <w:left w:val="none" w:sz="0" w:space="0" w:color="auto"/>
        <w:bottom w:val="none" w:sz="0" w:space="0" w:color="auto"/>
        <w:right w:val="none" w:sz="0" w:space="0" w:color="auto"/>
      </w:divBdr>
    </w:div>
    <w:div w:id="879828917">
      <w:marLeft w:val="0"/>
      <w:marRight w:val="0"/>
      <w:marTop w:val="0"/>
      <w:marBottom w:val="0"/>
      <w:divBdr>
        <w:top w:val="none" w:sz="0" w:space="0" w:color="auto"/>
        <w:left w:val="none" w:sz="0" w:space="0" w:color="auto"/>
        <w:bottom w:val="none" w:sz="0" w:space="0" w:color="auto"/>
        <w:right w:val="none" w:sz="0" w:space="0" w:color="auto"/>
      </w:divBdr>
    </w:div>
    <w:div w:id="882595396">
      <w:marLeft w:val="0"/>
      <w:marRight w:val="0"/>
      <w:marTop w:val="0"/>
      <w:marBottom w:val="0"/>
      <w:divBdr>
        <w:top w:val="none" w:sz="0" w:space="0" w:color="auto"/>
        <w:left w:val="none" w:sz="0" w:space="0" w:color="auto"/>
        <w:bottom w:val="none" w:sz="0" w:space="0" w:color="auto"/>
        <w:right w:val="none" w:sz="0" w:space="0" w:color="auto"/>
      </w:divBdr>
      <w:divsChild>
        <w:div w:id="907692432">
          <w:marLeft w:val="0"/>
          <w:marRight w:val="0"/>
          <w:marTop w:val="0"/>
          <w:marBottom w:val="0"/>
          <w:divBdr>
            <w:top w:val="none" w:sz="0" w:space="0" w:color="auto"/>
            <w:left w:val="none" w:sz="0" w:space="0" w:color="auto"/>
            <w:bottom w:val="none" w:sz="0" w:space="0" w:color="auto"/>
            <w:right w:val="none" w:sz="0" w:space="0" w:color="auto"/>
          </w:divBdr>
        </w:div>
      </w:divsChild>
    </w:div>
    <w:div w:id="883369813">
      <w:marLeft w:val="0"/>
      <w:marRight w:val="0"/>
      <w:marTop w:val="180"/>
      <w:marBottom w:val="120"/>
      <w:divBdr>
        <w:top w:val="none" w:sz="0" w:space="0" w:color="auto"/>
        <w:left w:val="none" w:sz="0" w:space="0" w:color="auto"/>
        <w:bottom w:val="none" w:sz="0" w:space="0" w:color="auto"/>
        <w:right w:val="none" w:sz="0" w:space="0" w:color="auto"/>
      </w:divBdr>
    </w:div>
    <w:div w:id="884608854">
      <w:marLeft w:val="0"/>
      <w:marRight w:val="0"/>
      <w:marTop w:val="120"/>
      <w:marBottom w:val="0"/>
      <w:divBdr>
        <w:top w:val="none" w:sz="0" w:space="0" w:color="auto"/>
        <w:left w:val="none" w:sz="0" w:space="0" w:color="auto"/>
        <w:bottom w:val="none" w:sz="0" w:space="0" w:color="auto"/>
        <w:right w:val="none" w:sz="0" w:space="0" w:color="auto"/>
      </w:divBdr>
    </w:div>
    <w:div w:id="884872412">
      <w:marLeft w:val="0"/>
      <w:marRight w:val="0"/>
      <w:marTop w:val="120"/>
      <w:marBottom w:val="0"/>
      <w:divBdr>
        <w:top w:val="none" w:sz="0" w:space="0" w:color="auto"/>
        <w:left w:val="none" w:sz="0" w:space="0" w:color="auto"/>
        <w:bottom w:val="none" w:sz="0" w:space="0" w:color="auto"/>
        <w:right w:val="none" w:sz="0" w:space="0" w:color="auto"/>
      </w:divBdr>
    </w:div>
    <w:div w:id="890115502">
      <w:marLeft w:val="0"/>
      <w:marRight w:val="0"/>
      <w:marTop w:val="120"/>
      <w:marBottom w:val="0"/>
      <w:divBdr>
        <w:top w:val="none" w:sz="0" w:space="0" w:color="auto"/>
        <w:left w:val="none" w:sz="0" w:space="0" w:color="auto"/>
        <w:bottom w:val="none" w:sz="0" w:space="0" w:color="auto"/>
        <w:right w:val="none" w:sz="0" w:space="0" w:color="auto"/>
      </w:divBdr>
    </w:div>
    <w:div w:id="891310000">
      <w:marLeft w:val="0"/>
      <w:marRight w:val="0"/>
      <w:marTop w:val="120"/>
      <w:marBottom w:val="0"/>
      <w:divBdr>
        <w:top w:val="none" w:sz="0" w:space="0" w:color="auto"/>
        <w:left w:val="none" w:sz="0" w:space="0" w:color="auto"/>
        <w:bottom w:val="none" w:sz="0" w:space="0" w:color="auto"/>
        <w:right w:val="none" w:sz="0" w:space="0" w:color="auto"/>
      </w:divBdr>
    </w:div>
    <w:div w:id="892692182">
      <w:marLeft w:val="0"/>
      <w:marRight w:val="0"/>
      <w:marTop w:val="0"/>
      <w:marBottom w:val="0"/>
      <w:divBdr>
        <w:top w:val="none" w:sz="0" w:space="0" w:color="auto"/>
        <w:left w:val="none" w:sz="0" w:space="0" w:color="auto"/>
        <w:bottom w:val="none" w:sz="0" w:space="0" w:color="auto"/>
        <w:right w:val="none" w:sz="0" w:space="0" w:color="auto"/>
      </w:divBdr>
    </w:div>
    <w:div w:id="892698089">
      <w:marLeft w:val="0"/>
      <w:marRight w:val="0"/>
      <w:marTop w:val="120"/>
      <w:marBottom w:val="0"/>
      <w:divBdr>
        <w:top w:val="none" w:sz="0" w:space="0" w:color="auto"/>
        <w:left w:val="none" w:sz="0" w:space="0" w:color="auto"/>
        <w:bottom w:val="none" w:sz="0" w:space="0" w:color="auto"/>
        <w:right w:val="none" w:sz="0" w:space="0" w:color="auto"/>
      </w:divBdr>
    </w:div>
    <w:div w:id="893811337">
      <w:marLeft w:val="0"/>
      <w:marRight w:val="0"/>
      <w:marTop w:val="120"/>
      <w:marBottom w:val="0"/>
      <w:divBdr>
        <w:top w:val="none" w:sz="0" w:space="0" w:color="auto"/>
        <w:left w:val="none" w:sz="0" w:space="0" w:color="auto"/>
        <w:bottom w:val="none" w:sz="0" w:space="0" w:color="auto"/>
        <w:right w:val="none" w:sz="0" w:space="0" w:color="auto"/>
      </w:divBdr>
    </w:div>
    <w:div w:id="903025568">
      <w:marLeft w:val="0"/>
      <w:marRight w:val="0"/>
      <w:marTop w:val="120"/>
      <w:marBottom w:val="120"/>
      <w:divBdr>
        <w:top w:val="none" w:sz="0" w:space="0" w:color="auto"/>
        <w:left w:val="none" w:sz="0" w:space="0" w:color="auto"/>
        <w:bottom w:val="none" w:sz="0" w:space="0" w:color="auto"/>
        <w:right w:val="none" w:sz="0" w:space="0" w:color="auto"/>
      </w:divBdr>
    </w:div>
    <w:div w:id="904024699">
      <w:marLeft w:val="0"/>
      <w:marRight w:val="0"/>
      <w:marTop w:val="0"/>
      <w:marBottom w:val="0"/>
      <w:divBdr>
        <w:top w:val="none" w:sz="0" w:space="0" w:color="auto"/>
        <w:left w:val="none" w:sz="0" w:space="0" w:color="auto"/>
        <w:bottom w:val="none" w:sz="0" w:space="0" w:color="auto"/>
        <w:right w:val="none" w:sz="0" w:space="0" w:color="auto"/>
      </w:divBdr>
    </w:div>
    <w:div w:id="908273960">
      <w:marLeft w:val="0"/>
      <w:marRight w:val="0"/>
      <w:marTop w:val="120"/>
      <w:marBottom w:val="0"/>
      <w:divBdr>
        <w:top w:val="none" w:sz="0" w:space="0" w:color="auto"/>
        <w:left w:val="none" w:sz="0" w:space="0" w:color="auto"/>
        <w:bottom w:val="none" w:sz="0" w:space="0" w:color="auto"/>
        <w:right w:val="none" w:sz="0" w:space="0" w:color="auto"/>
      </w:divBdr>
    </w:div>
    <w:div w:id="914318524">
      <w:marLeft w:val="0"/>
      <w:marRight w:val="0"/>
      <w:marTop w:val="120"/>
      <w:marBottom w:val="0"/>
      <w:divBdr>
        <w:top w:val="none" w:sz="0" w:space="0" w:color="auto"/>
        <w:left w:val="none" w:sz="0" w:space="0" w:color="auto"/>
        <w:bottom w:val="none" w:sz="0" w:space="0" w:color="auto"/>
        <w:right w:val="none" w:sz="0" w:space="0" w:color="auto"/>
      </w:divBdr>
    </w:div>
    <w:div w:id="914902673">
      <w:marLeft w:val="0"/>
      <w:marRight w:val="0"/>
      <w:marTop w:val="120"/>
      <w:marBottom w:val="0"/>
      <w:divBdr>
        <w:top w:val="none" w:sz="0" w:space="0" w:color="auto"/>
        <w:left w:val="none" w:sz="0" w:space="0" w:color="auto"/>
        <w:bottom w:val="none" w:sz="0" w:space="0" w:color="auto"/>
        <w:right w:val="none" w:sz="0" w:space="0" w:color="auto"/>
      </w:divBdr>
    </w:div>
    <w:div w:id="918827144">
      <w:marLeft w:val="0"/>
      <w:marRight w:val="0"/>
      <w:marTop w:val="0"/>
      <w:marBottom w:val="0"/>
      <w:divBdr>
        <w:top w:val="none" w:sz="0" w:space="0" w:color="auto"/>
        <w:left w:val="none" w:sz="0" w:space="0" w:color="auto"/>
        <w:bottom w:val="none" w:sz="0" w:space="0" w:color="auto"/>
        <w:right w:val="none" w:sz="0" w:space="0" w:color="auto"/>
      </w:divBdr>
      <w:divsChild>
        <w:div w:id="1526291073">
          <w:marLeft w:val="0"/>
          <w:marRight w:val="0"/>
          <w:marTop w:val="0"/>
          <w:marBottom w:val="0"/>
          <w:divBdr>
            <w:top w:val="none" w:sz="0" w:space="0" w:color="auto"/>
            <w:left w:val="none" w:sz="0" w:space="0" w:color="auto"/>
            <w:bottom w:val="none" w:sz="0" w:space="0" w:color="auto"/>
            <w:right w:val="none" w:sz="0" w:space="0" w:color="auto"/>
          </w:divBdr>
        </w:div>
      </w:divsChild>
    </w:div>
    <w:div w:id="920331334">
      <w:marLeft w:val="0"/>
      <w:marRight w:val="0"/>
      <w:marTop w:val="120"/>
      <w:marBottom w:val="0"/>
      <w:divBdr>
        <w:top w:val="none" w:sz="0" w:space="0" w:color="auto"/>
        <w:left w:val="none" w:sz="0" w:space="0" w:color="auto"/>
        <w:bottom w:val="none" w:sz="0" w:space="0" w:color="auto"/>
        <w:right w:val="none" w:sz="0" w:space="0" w:color="auto"/>
      </w:divBdr>
    </w:div>
    <w:div w:id="926114701">
      <w:marLeft w:val="0"/>
      <w:marRight w:val="0"/>
      <w:marTop w:val="0"/>
      <w:marBottom w:val="0"/>
      <w:divBdr>
        <w:top w:val="none" w:sz="0" w:space="0" w:color="auto"/>
        <w:left w:val="none" w:sz="0" w:space="0" w:color="auto"/>
        <w:bottom w:val="none" w:sz="0" w:space="0" w:color="auto"/>
        <w:right w:val="none" w:sz="0" w:space="0" w:color="auto"/>
      </w:divBdr>
      <w:divsChild>
        <w:div w:id="1312907272">
          <w:marLeft w:val="0"/>
          <w:marRight w:val="0"/>
          <w:marTop w:val="0"/>
          <w:marBottom w:val="0"/>
          <w:divBdr>
            <w:top w:val="none" w:sz="0" w:space="0" w:color="auto"/>
            <w:left w:val="none" w:sz="0" w:space="0" w:color="auto"/>
            <w:bottom w:val="none" w:sz="0" w:space="0" w:color="auto"/>
            <w:right w:val="none" w:sz="0" w:space="0" w:color="auto"/>
          </w:divBdr>
        </w:div>
      </w:divsChild>
    </w:div>
    <w:div w:id="929243375">
      <w:marLeft w:val="0"/>
      <w:marRight w:val="0"/>
      <w:marTop w:val="120"/>
      <w:marBottom w:val="0"/>
      <w:divBdr>
        <w:top w:val="none" w:sz="0" w:space="0" w:color="auto"/>
        <w:left w:val="none" w:sz="0" w:space="0" w:color="auto"/>
        <w:bottom w:val="none" w:sz="0" w:space="0" w:color="auto"/>
        <w:right w:val="none" w:sz="0" w:space="0" w:color="auto"/>
      </w:divBdr>
    </w:div>
    <w:div w:id="929316161">
      <w:marLeft w:val="0"/>
      <w:marRight w:val="0"/>
      <w:marTop w:val="120"/>
      <w:marBottom w:val="0"/>
      <w:divBdr>
        <w:top w:val="none" w:sz="0" w:space="0" w:color="auto"/>
        <w:left w:val="none" w:sz="0" w:space="0" w:color="auto"/>
        <w:bottom w:val="none" w:sz="0" w:space="0" w:color="auto"/>
        <w:right w:val="none" w:sz="0" w:space="0" w:color="auto"/>
      </w:divBdr>
    </w:div>
    <w:div w:id="934557614">
      <w:marLeft w:val="0"/>
      <w:marRight w:val="0"/>
      <w:marTop w:val="120"/>
      <w:marBottom w:val="0"/>
      <w:divBdr>
        <w:top w:val="none" w:sz="0" w:space="0" w:color="auto"/>
        <w:left w:val="none" w:sz="0" w:space="0" w:color="auto"/>
        <w:bottom w:val="none" w:sz="0" w:space="0" w:color="auto"/>
        <w:right w:val="none" w:sz="0" w:space="0" w:color="auto"/>
      </w:divBdr>
    </w:div>
    <w:div w:id="939677628">
      <w:marLeft w:val="0"/>
      <w:marRight w:val="0"/>
      <w:marTop w:val="120"/>
      <w:marBottom w:val="120"/>
      <w:divBdr>
        <w:top w:val="none" w:sz="0" w:space="0" w:color="auto"/>
        <w:left w:val="none" w:sz="0" w:space="0" w:color="auto"/>
        <w:bottom w:val="none" w:sz="0" w:space="0" w:color="auto"/>
        <w:right w:val="none" w:sz="0" w:space="0" w:color="auto"/>
      </w:divBdr>
    </w:div>
    <w:div w:id="940458344">
      <w:marLeft w:val="0"/>
      <w:marRight w:val="0"/>
      <w:marTop w:val="0"/>
      <w:marBottom w:val="0"/>
      <w:divBdr>
        <w:top w:val="none" w:sz="0" w:space="0" w:color="auto"/>
        <w:left w:val="none" w:sz="0" w:space="0" w:color="auto"/>
        <w:bottom w:val="none" w:sz="0" w:space="0" w:color="auto"/>
        <w:right w:val="none" w:sz="0" w:space="0" w:color="auto"/>
      </w:divBdr>
      <w:divsChild>
        <w:div w:id="1697534323">
          <w:marLeft w:val="0"/>
          <w:marRight w:val="0"/>
          <w:marTop w:val="0"/>
          <w:marBottom w:val="0"/>
          <w:divBdr>
            <w:top w:val="none" w:sz="0" w:space="0" w:color="auto"/>
            <w:left w:val="none" w:sz="0" w:space="0" w:color="auto"/>
            <w:bottom w:val="none" w:sz="0" w:space="0" w:color="auto"/>
            <w:right w:val="none" w:sz="0" w:space="0" w:color="auto"/>
          </w:divBdr>
        </w:div>
      </w:divsChild>
    </w:div>
    <w:div w:id="943460330">
      <w:marLeft w:val="0"/>
      <w:marRight w:val="0"/>
      <w:marTop w:val="120"/>
      <w:marBottom w:val="120"/>
      <w:divBdr>
        <w:top w:val="none" w:sz="0" w:space="0" w:color="auto"/>
        <w:left w:val="none" w:sz="0" w:space="0" w:color="auto"/>
        <w:bottom w:val="none" w:sz="0" w:space="0" w:color="auto"/>
        <w:right w:val="none" w:sz="0" w:space="0" w:color="auto"/>
      </w:divBdr>
    </w:div>
    <w:div w:id="945694879">
      <w:marLeft w:val="0"/>
      <w:marRight w:val="0"/>
      <w:marTop w:val="0"/>
      <w:marBottom w:val="0"/>
      <w:divBdr>
        <w:top w:val="none" w:sz="0" w:space="0" w:color="auto"/>
        <w:left w:val="none" w:sz="0" w:space="0" w:color="auto"/>
        <w:bottom w:val="none" w:sz="0" w:space="0" w:color="auto"/>
        <w:right w:val="none" w:sz="0" w:space="0" w:color="auto"/>
      </w:divBdr>
    </w:div>
    <w:div w:id="946233685">
      <w:marLeft w:val="0"/>
      <w:marRight w:val="0"/>
      <w:marTop w:val="120"/>
      <w:marBottom w:val="120"/>
      <w:divBdr>
        <w:top w:val="none" w:sz="0" w:space="0" w:color="auto"/>
        <w:left w:val="none" w:sz="0" w:space="0" w:color="auto"/>
        <w:bottom w:val="none" w:sz="0" w:space="0" w:color="auto"/>
        <w:right w:val="none" w:sz="0" w:space="0" w:color="auto"/>
      </w:divBdr>
    </w:div>
    <w:div w:id="947734811">
      <w:marLeft w:val="0"/>
      <w:marRight w:val="0"/>
      <w:marTop w:val="180"/>
      <w:marBottom w:val="120"/>
      <w:divBdr>
        <w:top w:val="none" w:sz="0" w:space="0" w:color="auto"/>
        <w:left w:val="none" w:sz="0" w:space="0" w:color="auto"/>
        <w:bottom w:val="none" w:sz="0" w:space="0" w:color="auto"/>
        <w:right w:val="none" w:sz="0" w:space="0" w:color="auto"/>
      </w:divBdr>
    </w:div>
    <w:div w:id="947930680">
      <w:marLeft w:val="0"/>
      <w:marRight w:val="0"/>
      <w:marTop w:val="120"/>
      <w:marBottom w:val="0"/>
      <w:divBdr>
        <w:top w:val="none" w:sz="0" w:space="0" w:color="auto"/>
        <w:left w:val="none" w:sz="0" w:space="0" w:color="auto"/>
        <w:bottom w:val="none" w:sz="0" w:space="0" w:color="auto"/>
        <w:right w:val="none" w:sz="0" w:space="0" w:color="auto"/>
      </w:divBdr>
    </w:div>
    <w:div w:id="952444028">
      <w:marLeft w:val="0"/>
      <w:marRight w:val="0"/>
      <w:marTop w:val="120"/>
      <w:marBottom w:val="0"/>
      <w:divBdr>
        <w:top w:val="none" w:sz="0" w:space="0" w:color="auto"/>
        <w:left w:val="none" w:sz="0" w:space="0" w:color="auto"/>
        <w:bottom w:val="none" w:sz="0" w:space="0" w:color="auto"/>
        <w:right w:val="none" w:sz="0" w:space="0" w:color="auto"/>
      </w:divBdr>
    </w:div>
    <w:div w:id="953558185">
      <w:marLeft w:val="0"/>
      <w:marRight w:val="0"/>
      <w:marTop w:val="120"/>
      <w:marBottom w:val="0"/>
      <w:divBdr>
        <w:top w:val="none" w:sz="0" w:space="0" w:color="auto"/>
        <w:left w:val="none" w:sz="0" w:space="0" w:color="auto"/>
        <w:bottom w:val="none" w:sz="0" w:space="0" w:color="auto"/>
        <w:right w:val="none" w:sz="0" w:space="0" w:color="auto"/>
      </w:divBdr>
    </w:div>
    <w:div w:id="957763061">
      <w:marLeft w:val="0"/>
      <w:marRight w:val="0"/>
      <w:marTop w:val="120"/>
      <w:marBottom w:val="0"/>
      <w:divBdr>
        <w:top w:val="none" w:sz="0" w:space="0" w:color="auto"/>
        <w:left w:val="none" w:sz="0" w:space="0" w:color="auto"/>
        <w:bottom w:val="none" w:sz="0" w:space="0" w:color="auto"/>
        <w:right w:val="none" w:sz="0" w:space="0" w:color="auto"/>
      </w:divBdr>
    </w:div>
    <w:div w:id="957877880">
      <w:marLeft w:val="0"/>
      <w:marRight w:val="0"/>
      <w:marTop w:val="120"/>
      <w:marBottom w:val="0"/>
      <w:divBdr>
        <w:top w:val="none" w:sz="0" w:space="0" w:color="auto"/>
        <w:left w:val="none" w:sz="0" w:space="0" w:color="auto"/>
        <w:bottom w:val="none" w:sz="0" w:space="0" w:color="auto"/>
        <w:right w:val="none" w:sz="0" w:space="0" w:color="auto"/>
      </w:divBdr>
    </w:div>
    <w:div w:id="958876001">
      <w:marLeft w:val="0"/>
      <w:marRight w:val="0"/>
      <w:marTop w:val="0"/>
      <w:marBottom w:val="0"/>
      <w:divBdr>
        <w:top w:val="none" w:sz="0" w:space="0" w:color="auto"/>
        <w:left w:val="none" w:sz="0" w:space="0" w:color="auto"/>
        <w:bottom w:val="none" w:sz="0" w:space="0" w:color="auto"/>
        <w:right w:val="none" w:sz="0" w:space="0" w:color="auto"/>
      </w:divBdr>
    </w:div>
    <w:div w:id="966355274">
      <w:marLeft w:val="0"/>
      <w:marRight w:val="0"/>
      <w:marTop w:val="240"/>
      <w:marBottom w:val="0"/>
      <w:divBdr>
        <w:top w:val="none" w:sz="0" w:space="0" w:color="auto"/>
        <w:left w:val="none" w:sz="0" w:space="0" w:color="auto"/>
        <w:bottom w:val="none" w:sz="0" w:space="0" w:color="auto"/>
        <w:right w:val="none" w:sz="0" w:space="0" w:color="auto"/>
      </w:divBdr>
    </w:div>
    <w:div w:id="968054035">
      <w:marLeft w:val="0"/>
      <w:marRight w:val="0"/>
      <w:marTop w:val="0"/>
      <w:marBottom w:val="0"/>
      <w:divBdr>
        <w:top w:val="none" w:sz="0" w:space="0" w:color="auto"/>
        <w:left w:val="none" w:sz="0" w:space="0" w:color="auto"/>
        <w:bottom w:val="none" w:sz="0" w:space="0" w:color="auto"/>
        <w:right w:val="none" w:sz="0" w:space="0" w:color="auto"/>
      </w:divBdr>
      <w:divsChild>
        <w:div w:id="992442835">
          <w:marLeft w:val="0"/>
          <w:marRight w:val="0"/>
          <w:marTop w:val="0"/>
          <w:marBottom w:val="0"/>
          <w:divBdr>
            <w:top w:val="none" w:sz="0" w:space="0" w:color="auto"/>
            <w:left w:val="none" w:sz="0" w:space="0" w:color="auto"/>
            <w:bottom w:val="none" w:sz="0" w:space="0" w:color="auto"/>
            <w:right w:val="none" w:sz="0" w:space="0" w:color="auto"/>
          </w:divBdr>
        </w:div>
      </w:divsChild>
    </w:div>
    <w:div w:id="968124831">
      <w:marLeft w:val="0"/>
      <w:marRight w:val="0"/>
      <w:marTop w:val="120"/>
      <w:marBottom w:val="0"/>
      <w:divBdr>
        <w:top w:val="none" w:sz="0" w:space="0" w:color="auto"/>
        <w:left w:val="none" w:sz="0" w:space="0" w:color="auto"/>
        <w:bottom w:val="none" w:sz="0" w:space="0" w:color="auto"/>
        <w:right w:val="none" w:sz="0" w:space="0" w:color="auto"/>
      </w:divBdr>
    </w:div>
    <w:div w:id="968630457">
      <w:marLeft w:val="0"/>
      <w:marRight w:val="0"/>
      <w:marTop w:val="0"/>
      <w:marBottom w:val="0"/>
      <w:divBdr>
        <w:top w:val="none" w:sz="0" w:space="0" w:color="auto"/>
        <w:left w:val="none" w:sz="0" w:space="0" w:color="auto"/>
        <w:bottom w:val="none" w:sz="0" w:space="0" w:color="auto"/>
        <w:right w:val="none" w:sz="0" w:space="0" w:color="auto"/>
      </w:divBdr>
      <w:divsChild>
        <w:div w:id="1520662758">
          <w:marLeft w:val="0"/>
          <w:marRight w:val="0"/>
          <w:marTop w:val="0"/>
          <w:marBottom w:val="0"/>
          <w:divBdr>
            <w:top w:val="none" w:sz="0" w:space="0" w:color="auto"/>
            <w:left w:val="none" w:sz="0" w:space="0" w:color="auto"/>
            <w:bottom w:val="none" w:sz="0" w:space="0" w:color="auto"/>
            <w:right w:val="none" w:sz="0" w:space="0" w:color="auto"/>
          </w:divBdr>
        </w:div>
      </w:divsChild>
    </w:div>
    <w:div w:id="973218895">
      <w:marLeft w:val="0"/>
      <w:marRight w:val="0"/>
      <w:marTop w:val="120"/>
      <w:marBottom w:val="0"/>
      <w:divBdr>
        <w:top w:val="none" w:sz="0" w:space="0" w:color="auto"/>
        <w:left w:val="none" w:sz="0" w:space="0" w:color="auto"/>
        <w:bottom w:val="none" w:sz="0" w:space="0" w:color="auto"/>
        <w:right w:val="none" w:sz="0" w:space="0" w:color="auto"/>
      </w:divBdr>
    </w:div>
    <w:div w:id="974221032">
      <w:marLeft w:val="0"/>
      <w:marRight w:val="0"/>
      <w:marTop w:val="240"/>
      <w:marBottom w:val="120"/>
      <w:divBdr>
        <w:top w:val="none" w:sz="0" w:space="0" w:color="auto"/>
        <w:left w:val="none" w:sz="0" w:space="0" w:color="auto"/>
        <w:bottom w:val="none" w:sz="0" w:space="0" w:color="auto"/>
        <w:right w:val="none" w:sz="0" w:space="0" w:color="auto"/>
      </w:divBdr>
    </w:div>
    <w:div w:id="978413124">
      <w:marLeft w:val="0"/>
      <w:marRight w:val="0"/>
      <w:marTop w:val="0"/>
      <w:marBottom w:val="0"/>
      <w:divBdr>
        <w:top w:val="none" w:sz="0" w:space="0" w:color="auto"/>
        <w:left w:val="none" w:sz="0" w:space="0" w:color="auto"/>
        <w:bottom w:val="none" w:sz="0" w:space="0" w:color="auto"/>
        <w:right w:val="none" w:sz="0" w:space="0" w:color="auto"/>
      </w:divBdr>
      <w:divsChild>
        <w:div w:id="490370431">
          <w:marLeft w:val="0"/>
          <w:marRight w:val="0"/>
          <w:marTop w:val="0"/>
          <w:marBottom w:val="0"/>
          <w:divBdr>
            <w:top w:val="none" w:sz="0" w:space="0" w:color="auto"/>
            <w:left w:val="none" w:sz="0" w:space="0" w:color="auto"/>
            <w:bottom w:val="none" w:sz="0" w:space="0" w:color="auto"/>
            <w:right w:val="none" w:sz="0" w:space="0" w:color="auto"/>
          </w:divBdr>
        </w:div>
      </w:divsChild>
    </w:div>
    <w:div w:id="978878136">
      <w:marLeft w:val="0"/>
      <w:marRight w:val="0"/>
      <w:marTop w:val="0"/>
      <w:marBottom w:val="0"/>
      <w:divBdr>
        <w:top w:val="none" w:sz="0" w:space="0" w:color="auto"/>
        <w:left w:val="none" w:sz="0" w:space="0" w:color="auto"/>
        <w:bottom w:val="none" w:sz="0" w:space="0" w:color="auto"/>
        <w:right w:val="none" w:sz="0" w:space="0" w:color="auto"/>
      </w:divBdr>
    </w:div>
    <w:div w:id="985278942">
      <w:marLeft w:val="0"/>
      <w:marRight w:val="0"/>
      <w:marTop w:val="120"/>
      <w:marBottom w:val="0"/>
      <w:divBdr>
        <w:top w:val="none" w:sz="0" w:space="0" w:color="auto"/>
        <w:left w:val="none" w:sz="0" w:space="0" w:color="auto"/>
        <w:bottom w:val="none" w:sz="0" w:space="0" w:color="auto"/>
        <w:right w:val="none" w:sz="0" w:space="0" w:color="auto"/>
      </w:divBdr>
    </w:div>
    <w:div w:id="988359300">
      <w:marLeft w:val="0"/>
      <w:marRight w:val="0"/>
      <w:marTop w:val="120"/>
      <w:marBottom w:val="120"/>
      <w:divBdr>
        <w:top w:val="none" w:sz="0" w:space="0" w:color="auto"/>
        <w:left w:val="none" w:sz="0" w:space="0" w:color="auto"/>
        <w:bottom w:val="none" w:sz="0" w:space="0" w:color="auto"/>
        <w:right w:val="none" w:sz="0" w:space="0" w:color="auto"/>
      </w:divBdr>
    </w:div>
    <w:div w:id="989678382">
      <w:marLeft w:val="0"/>
      <w:marRight w:val="0"/>
      <w:marTop w:val="120"/>
      <w:marBottom w:val="60"/>
      <w:divBdr>
        <w:top w:val="none" w:sz="0" w:space="0" w:color="auto"/>
        <w:left w:val="none" w:sz="0" w:space="0" w:color="auto"/>
        <w:bottom w:val="none" w:sz="0" w:space="0" w:color="auto"/>
        <w:right w:val="none" w:sz="0" w:space="0" w:color="auto"/>
      </w:divBdr>
    </w:div>
    <w:div w:id="994407336">
      <w:marLeft w:val="0"/>
      <w:marRight w:val="0"/>
      <w:marTop w:val="120"/>
      <w:marBottom w:val="0"/>
      <w:divBdr>
        <w:top w:val="none" w:sz="0" w:space="0" w:color="auto"/>
        <w:left w:val="none" w:sz="0" w:space="0" w:color="auto"/>
        <w:bottom w:val="none" w:sz="0" w:space="0" w:color="auto"/>
        <w:right w:val="none" w:sz="0" w:space="0" w:color="auto"/>
      </w:divBdr>
    </w:div>
    <w:div w:id="995300963">
      <w:marLeft w:val="0"/>
      <w:marRight w:val="0"/>
      <w:marTop w:val="0"/>
      <w:marBottom w:val="0"/>
      <w:divBdr>
        <w:top w:val="none" w:sz="0" w:space="0" w:color="auto"/>
        <w:left w:val="none" w:sz="0" w:space="0" w:color="auto"/>
        <w:bottom w:val="none" w:sz="0" w:space="0" w:color="auto"/>
        <w:right w:val="none" w:sz="0" w:space="0" w:color="auto"/>
      </w:divBdr>
    </w:div>
    <w:div w:id="999037947">
      <w:marLeft w:val="0"/>
      <w:marRight w:val="0"/>
      <w:marTop w:val="120"/>
      <w:marBottom w:val="0"/>
      <w:divBdr>
        <w:top w:val="none" w:sz="0" w:space="0" w:color="auto"/>
        <w:left w:val="none" w:sz="0" w:space="0" w:color="auto"/>
        <w:bottom w:val="none" w:sz="0" w:space="0" w:color="auto"/>
        <w:right w:val="none" w:sz="0" w:space="0" w:color="auto"/>
      </w:divBdr>
    </w:div>
    <w:div w:id="1002859043">
      <w:marLeft w:val="0"/>
      <w:marRight w:val="0"/>
      <w:marTop w:val="120"/>
      <w:marBottom w:val="120"/>
      <w:divBdr>
        <w:top w:val="none" w:sz="0" w:space="0" w:color="auto"/>
        <w:left w:val="none" w:sz="0" w:space="0" w:color="auto"/>
        <w:bottom w:val="none" w:sz="0" w:space="0" w:color="auto"/>
        <w:right w:val="none" w:sz="0" w:space="0" w:color="auto"/>
      </w:divBdr>
    </w:div>
    <w:div w:id="1006593683">
      <w:marLeft w:val="0"/>
      <w:marRight w:val="0"/>
      <w:marTop w:val="0"/>
      <w:marBottom w:val="0"/>
      <w:divBdr>
        <w:top w:val="none" w:sz="0" w:space="0" w:color="auto"/>
        <w:left w:val="none" w:sz="0" w:space="0" w:color="auto"/>
        <w:bottom w:val="none" w:sz="0" w:space="0" w:color="auto"/>
        <w:right w:val="none" w:sz="0" w:space="0" w:color="auto"/>
      </w:divBdr>
      <w:divsChild>
        <w:div w:id="1854412610">
          <w:marLeft w:val="0"/>
          <w:marRight w:val="0"/>
          <w:marTop w:val="0"/>
          <w:marBottom w:val="0"/>
          <w:divBdr>
            <w:top w:val="none" w:sz="0" w:space="0" w:color="auto"/>
            <w:left w:val="none" w:sz="0" w:space="0" w:color="auto"/>
            <w:bottom w:val="none" w:sz="0" w:space="0" w:color="auto"/>
            <w:right w:val="none" w:sz="0" w:space="0" w:color="auto"/>
          </w:divBdr>
        </w:div>
      </w:divsChild>
    </w:div>
    <w:div w:id="1007513047">
      <w:marLeft w:val="0"/>
      <w:marRight w:val="0"/>
      <w:marTop w:val="0"/>
      <w:marBottom w:val="0"/>
      <w:divBdr>
        <w:top w:val="none" w:sz="0" w:space="0" w:color="auto"/>
        <w:left w:val="none" w:sz="0" w:space="0" w:color="auto"/>
        <w:bottom w:val="none" w:sz="0" w:space="0" w:color="auto"/>
        <w:right w:val="none" w:sz="0" w:space="0" w:color="auto"/>
      </w:divBdr>
    </w:div>
    <w:div w:id="1015041530">
      <w:marLeft w:val="0"/>
      <w:marRight w:val="0"/>
      <w:marTop w:val="0"/>
      <w:marBottom w:val="0"/>
      <w:divBdr>
        <w:top w:val="none" w:sz="0" w:space="0" w:color="auto"/>
        <w:left w:val="none" w:sz="0" w:space="0" w:color="auto"/>
        <w:bottom w:val="none" w:sz="0" w:space="0" w:color="auto"/>
        <w:right w:val="none" w:sz="0" w:space="0" w:color="auto"/>
      </w:divBdr>
      <w:divsChild>
        <w:div w:id="2068382778">
          <w:marLeft w:val="0"/>
          <w:marRight w:val="0"/>
          <w:marTop w:val="0"/>
          <w:marBottom w:val="0"/>
          <w:divBdr>
            <w:top w:val="none" w:sz="0" w:space="0" w:color="auto"/>
            <w:left w:val="none" w:sz="0" w:space="0" w:color="auto"/>
            <w:bottom w:val="none" w:sz="0" w:space="0" w:color="auto"/>
            <w:right w:val="none" w:sz="0" w:space="0" w:color="auto"/>
          </w:divBdr>
        </w:div>
      </w:divsChild>
    </w:div>
    <w:div w:id="1026179853">
      <w:marLeft w:val="0"/>
      <w:marRight w:val="0"/>
      <w:marTop w:val="0"/>
      <w:marBottom w:val="0"/>
      <w:divBdr>
        <w:top w:val="none" w:sz="0" w:space="0" w:color="auto"/>
        <w:left w:val="none" w:sz="0" w:space="0" w:color="auto"/>
        <w:bottom w:val="none" w:sz="0" w:space="0" w:color="auto"/>
        <w:right w:val="none" w:sz="0" w:space="0" w:color="auto"/>
      </w:divBdr>
      <w:divsChild>
        <w:div w:id="898829845">
          <w:marLeft w:val="0"/>
          <w:marRight w:val="0"/>
          <w:marTop w:val="0"/>
          <w:marBottom w:val="0"/>
          <w:divBdr>
            <w:top w:val="none" w:sz="0" w:space="0" w:color="auto"/>
            <w:left w:val="none" w:sz="0" w:space="0" w:color="auto"/>
            <w:bottom w:val="none" w:sz="0" w:space="0" w:color="auto"/>
            <w:right w:val="none" w:sz="0" w:space="0" w:color="auto"/>
          </w:divBdr>
        </w:div>
      </w:divsChild>
    </w:div>
    <w:div w:id="1026640178">
      <w:marLeft w:val="0"/>
      <w:marRight w:val="0"/>
      <w:marTop w:val="120"/>
      <w:marBottom w:val="0"/>
      <w:divBdr>
        <w:top w:val="none" w:sz="0" w:space="0" w:color="auto"/>
        <w:left w:val="none" w:sz="0" w:space="0" w:color="auto"/>
        <w:bottom w:val="none" w:sz="0" w:space="0" w:color="auto"/>
        <w:right w:val="none" w:sz="0" w:space="0" w:color="auto"/>
      </w:divBdr>
    </w:div>
    <w:div w:id="1027440115">
      <w:marLeft w:val="0"/>
      <w:marRight w:val="0"/>
      <w:marTop w:val="120"/>
      <w:marBottom w:val="120"/>
      <w:divBdr>
        <w:top w:val="none" w:sz="0" w:space="0" w:color="auto"/>
        <w:left w:val="none" w:sz="0" w:space="0" w:color="auto"/>
        <w:bottom w:val="none" w:sz="0" w:space="0" w:color="auto"/>
        <w:right w:val="none" w:sz="0" w:space="0" w:color="auto"/>
      </w:divBdr>
    </w:div>
    <w:div w:id="1031031584">
      <w:marLeft w:val="0"/>
      <w:marRight w:val="0"/>
      <w:marTop w:val="0"/>
      <w:marBottom w:val="0"/>
      <w:divBdr>
        <w:top w:val="none" w:sz="0" w:space="0" w:color="auto"/>
        <w:left w:val="none" w:sz="0" w:space="0" w:color="auto"/>
        <w:bottom w:val="none" w:sz="0" w:space="0" w:color="auto"/>
        <w:right w:val="none" w:sz="0" w:space="0" w:color="auto"/>
      </w:divBdr>
      <w:divsChild>
        <w:div w:id="606893496">
          <w:marLeft w:val="0"/>
          <w:marRight w:val="0"/>
          <w:marTop w:val="0"/>
          <w:marBottom w:val="0"/>
          <w:divBdr>
            <w:top w:val="none" w:sz="0" w:space="0" w:color="auto"/>
            <w:left w:val="none" w:sz="0" w:space="0" w:color="auto"/>
            <w:bottom w:val="none" w:sz="0" w:space="0" w:color="auto"/>
            <w:right w:val="none" w:sz="0" w:space="0" w:color="auto"/>
          </w:divBdr>
        </w:div>
      </w:divsChild>
    </w:div>
    <w:div w:id="1033573331">
      <w:marLeft w:val="0"/>
      <w:marRight w:val="0"/>
      <w:marTop w:val="60"/>
      <w:marBottom w:val="120"/>
      <w:divBdr>
        <w:top w:val="none" w:sz="0" w:space="0" w:color="auto"/>
        <w:left w:val="none" w:sz="0" w:space="0" w:color="auto"/>
        <w:bottom w:val="none" w:sz="0" w:space="0" w:color="auto"/>
        <w:right w:val="none" w:sz="0" w:space="0" w:color="auto"/>
      </w:divBdr>
    </w:div>
    <w:div w:id="1035691856">
      <w:marLeft w:val="0"/>
      <w:marRight w:val="0"/>
      <w:marTop w:val="0"/>
      <w:marBottom w:val="0"/>
      <w:divBdr>
        <w:top w:val="none" w:sz="0" w:space="0" w:color="auto"/>
        <w:left w:val="none" w:sz="0" w:space="0" w:color="auto"/>
        <w:bottom w:val="none" w:sz="0" w:space="0" w:color="auto"/>
        <w:right w:val="none" w:sz="0" w:space="0" w:color="auto"/>
      </w:divBdr>
      <w:divsChild>
        <w:div w:id="730613580">
          <w:marLeft w:val="0"/>
          <w:marRight w:val="0"/>
          <w:marTop w:val="0"/>
          <w:marBottom w:val="0"/>
          <w:divBdr>
            <w:top w:val="none" w:sz="0" w:space="0" w:color="auto"/>
            <w:left w:val="none" w:sz="0" w:space="0" w:color="auto"/>
            <w:bottom w:val="none" w:sz="0" w:space="0" w:color="auto"/>
            <w:right w:val="none" w:sz="0" w:space="0" w:color="auto"/>
          </w:divBdr>
        </w:div>
      </w:divsChild>
    </w:div>
    <w:div w:id="1037974727">
      <w:marLeft w:val="0"/>
      <w:marRight w:val="0"/>
      <w:marTop w:val="120"/>
      <w:marBottom w:val="0"/>
      <w:divBdr>
        <w:top w:val="none" w:sz="0" w:space="0" w:color="auto"/>
        <w:left w:val="none" w:sz="0" w:space="0" w:color="auto"/>
        <w:bottom w:val="none" w:sz="0" w:space="0" w:color="auto"/>
        <w:right w:val="none" w:sz="0" w:space="0" w:color="auto"/>
      </w:divBdr>
    </w:div>
    <w:div w:id="1041318425">
      <w:marLeft w:val="0"/>
      <w:marRight w:val="0"/>
      <w:marTop w:val="120"/>
      <w:marBottom w:val="0"/>
      <w:divBdr>
        <w:top w:val="none" w:sz="0" w:space="0" w:color="auto"/>
        <w:left w:val="none" w:sz="0" w:space="0" w:color="auto"/>
        <w:bottom w:val="none" w:sz="0" w:space="0" w:color="auto"/>
        <w:right w:val="none" w:sz="0" w:space="0" w:color="auto"/>
      </w:divBdr>
    </w:div>
    <w:div w:id="1045301221">
      <w:marLeft w:val="0"/>
      <w:marRight w:val="0"/>
      <w:marTop w:val="120"/>
      <w:marBottom w:val="0"/>
      <w:divBdr>
        <w:top w:val="none" w:sz="0" w:space="0" w:color="auto"/>
        <w:left w:val="none" w:sz="0" w:space="0" w:color="auto"/>
        <w:bottom w:val="none" w:sz="0" w:space="0" w:color="auto"/>
        <w:right w:val="none" w:sz="0" w:space="0" w:color="auto"/>
      </w:divBdr>
    </w:div>
    <w:div w:id="1045445786">
      <w:marLeft w:val="0"/>
      <w:marRight w:val="0"/>
      <w:marTop w:val="0"/>
      <w:marBottom w:val="0"/>
      <w:divBdr>
        <w:top w:val="none" w:sz="0" w:space="0" w:color="auto"/>
        <w:left w:val="none" w:sz="0" w:space="0" w:color="auto"/>
        <w:bottom w:val="none" w:sz="0" w:space="0" w:color="auto"/>
        <w:right w:val="none" w:sz="0" w:space="0" w:color="auto"/>
      </w:divBdr>
    </w:div>
    <w:div w:id="1045523376">
      <w:marLeft w:val="0"/>
      <w:marRight w:val="0"/>
      <w:marTop w:val="120"/>
      <w:marBottom w:val="0"/>
      <w:divBdr>
        <w:top w:val="none" w:sz="0" w:space="0" w:color="auto"/>
        <w:left w:val="none" w:sz="0" w:space="0" w:color="auto"/>
        <w:bottom w:val="none" w:sz="0" w:space="0" w:color="auto"/>
        <w:right w:val="none" w:sz="0" w:space="0" w:color="auto"/>
      </w:divBdr>
    </w:div>
    <w:div w:id="1045562490">
      <w:marLeft w:val="0"/>
      <w:marRight w:val="0"/>
      <w:marTop w:val="120"/>
      <w:marBottom w:val="0"/>
      <w:divBdr>
        <w:top w:val="none" w:sz="0" w:space="0" w:color="auto"/>
        <w:left w:val="none" w:sz="0" w:space="0" w:color="auto"/>
        <w:bottom w:val="none" w:sz="0" w:space="0" w:color="auto"/>
        <w:right w:val="none" w:sz="0" w:space="0" w:color="auto"/>
      </w:divBdr>
    </w:div>
    <w:div w:id="1047610587">
      <w:marLeft w:val="0"/>
      <w:marRight w:val="0"/>
      <w:marTop w:val="120"/>
      <w:marBottom w:val="120"/>
      <w:divBdr>
        <w:top w:val="none" w:sz="0" w:space="0" w:color="auto"/>
        <w:left w:val="none" w:sz="0" w:space="0" w:color="auto"/>
        <w:bottom w:val="none" w:sz="0" w:space="0" w:color="auto"/>
        <w:right w:val="none" w:sz="0" w:space="0" w:color="auto"/>
      </w:divBdr>
    </w:div>
    <w:div w:id="1048988400">
      <w:marLeft w:val="0"/>
      <w:marRight w:val="0"/>
      <w:marTop w:val="240"/>
      <w:marBottom w:val="120"/>
      <w:divBdr>
        <w:top w:val="none" w:sz="0" w:space="0" w:color="auto"/>
        <w:left w:val="none" w:sz="0" w:space="0" w:color="auto"/>
        <w:bottom w:val="none" w:sz="0" w:space="0" w:color="auto"/>
        <w:right w:val="none" w:sz="0" w:space="0" w:color="auto"/>
      </w:divBdr>
    </w:div>
    <w:div w:id="1050423770">
      <w:marLeft w:val="0"/>
      <w:marRight w:val="0"/>
      <w:marTop w:val="0"/>
      <w:marBottom w:val="120"/>
      <w:divBdr>
        <w:top w:val="none" w:sz="0" w:space="0" w:color="auto"/>
        <w:left w:val="none" w:sz="0" w:space="0" w:color="auto"/>
        <w:bottom w:val="none" w:sz="0" w:space="0" w:color="auto"/>
        <w:right w:val="none" w:sz="0" w:space="0" w:color="auto"/>
      </w:divBdr>
    </w:div>
    <w:div w:id="1051344196">
      <w:marLeft w:val="0"/>
      <w:marRight w:val="0"/>
      <w:marTop w:val="0"/>
      <w:marBottom w:val="0"/>
      <w:divBdr>
        <w:top w:val="none" w:sz="0" w:space="0" w:color="auto"/>
        <w:left w:val="none" w:sz="0" w:space="0" w:color="auto"/>
        <w:bottom w:val="none" w:sz="0" w:space="0" w:color="auto"/>
        <w:right w:val="none" w:sz="0" w:space="0" w:color="auto"/>
      </w:divBdr>
      <w:divsChild>
        <w:div w:id="1460957427">
          <w:marLeft w:val="0"/>
          <w:marRight w:val="0"/>
          <w:marTop w:val="0"/>
          <w:marBottom w:val="0"/>
          <w:divBdr>
            <w:top w:val="none" w:sz="0" w:space="0" w:color="auto"/>
            <w:left w:val="none" w:sz="0" w:space="0" w:color="auto"/>
            <w:bottom w:val="none" w:sz="0" w:space="0" w:color="auto"/>
            <w:right w:val="none" w:sz="0" w:space="0" w:color="auto"/>
          </w:divBdr>
        </w:div>
      </w:divsChild>
    </w:div>
    <w:div w:id="1053580388">
      <w:marLeft w:val="0"/>
      <w:marRight w:val="0"/>
      <w:marTop w:val="0"/>
      <w:marBottom w:val="0"/>
      <w:divBdr>
        <w:top w:val="none" w:sz="0" w:space="0" w:color="auto"/>
        <w:left w:val="none" w:sz="0" w:space="0" w:color="auto"/>
        <w:bottom w:val="none" w:sz="0" w:space="0" w:color="auto"/>
        <w:right w:val="none" w:sz="0" w:space="0" w:color="auto"/>
      </w:divBdr>
    </w:div>
    <w:div w:id="1056395715">
      <w:marLeft w:val="0"/>
      <w:marRight w:val="0"/>
      <w:marTop w:val="0"/>
      <w:marBottom w:val="0"/>
      <w:divBdr>
        <w:top w:val="none" w:sz="0" w:space="0" w:color="auto"/>
        <w:left w:val="none" w:sz="0" w:space="0" w:color="auto"/>
        <w:bottom w:val="none" w:sz="0" w:space="0" w:color="auto"/>
        <w:right w:val="none" w:sz="0" w:space="0" w:color="auto"/>
      </w:divBdr>
      <w:divsChild>
        <w:div w:id="227229772">
          <w:marLeft w:val="0"/>
          <w:marRight w:val="0"/>
          <w:marTop w:val="0"/>
          <w:marBottom w:val="0"/>
          <w:divBdr>
            <w:top w:val="none" w:sz="0" w:space="0" w:color="auto"/>
            <w:left w:val="none" w:sz="0" w:space="0" w:color="auto"/>
            <w:bottom w:val="none" w:sz="0" w:space="0" w:color="auto"/>
            <w:right w:val="none" w:sz="0" w:space="0" w:color="auto"/>
          </w:divBdr>
        </w:div>
      </w:divsChild>
    </w:div>
    <w:div w:id="1062412290">
      <w:marLeft w:val="0"/>
      <w:marRight w:val="0"/>
      <w:marTop w:val="0"/>
      <w:marBottom w:val="0"/>
      <w:divBdr>
        <w:top w:val="none" w:sz="0" w:space="0" w:color="auto"/>
        <w:left w:val="none" w:sz="0" w:space="0" w:color="auto"/>
        <w:bottom w:val="none" w:sz="0" w:space="0" w:color="auto"/>
        <w:right w:val="none" w:sz="0" w:space="0" w:color="auto"/>
      </w:divBdr>
    </w:div>
    <w:div w:id="1069811012">
      <w:marLeft w:val="0"/>
      <w:marRight w:val="0"/>
      <w:marTop w:val="120"/>
      <w:marBottom w:val="120"/>
      <w:divBdr>
        <w:top w:val="none" w:sz="0" w:space="0" w:color="auto"/>
        <w:left w:val="none" w:sz="0" w:space="0" w:color="auto"/>
        <w:bottom w:val="none" w:sz="0" w:space="0" w:color="auto"/>
        <w:right w:val="none" w:sz="0" w:space="0" w:color="auto"/>
      </w:divBdr>
    </w:div>
    <w:div w:id="1069889890">
      <w:marLeft w:val="0"/>
      <w:marRight w:val="0"/>
      <w:marTop w:val="0"/>
      <w:marBottom w:val="0"/>
      <w:divBdr>
        <w:top w:val="none" w:sz="0" w:space="0" w:color="auto"/>
        <w:left w:val="none" w:sz="0" w:space="0" w:color="auto"/>
        <w:bottom w:val="none" w:sz="0" w:space="0" w:color="auto"/>
        <w:right w:val="none" w:sz="0" w:space="0" w:color="auto"/>
      </w:divBdr>
    </w:div>
    <w:div w:id="1073549437">
      <w:marLeft w:val="0"/>
      <w:marRight w:val="0"/>
      <w:marTop w:val="120"/>
      <w:marBottom w:val="120"/>
      <w:divBdr>
        <w:top w:val="none" w:sz="0" w:space="0" w:color="auto"/>
        <w:left w:val="none" w:sz="0" w:space="0" w:color="auto"/>
        <w:bottom w:val="none" w:sz="0" w:space="0" w:color="auto"/>
        <w:right w:val="none" w:sz="0" w:space="0" w:color="auto"/>
      </w:divBdr>
    </w:div>
    <w:div w:id="1077482132">
      <w:marLeft w:val="0"/>
      <w:marRight w:val="0"/>
      <w:marTop w:val="0"/>
      <w:marBottom w:val="0"/>
      <w:divBdr>
        <w:top w:val="none" w:sz="0" w:space="0" w:color="auto"/>
        <w:left w:val="none" w:sz="0" w:space="0" w:color="auto"/>
        <w:bottom w:val="none" w:sz="0" w:space="0" w:color="auto"/>
        <w:right w:val="none" w:sz="0" w:space="0" w:color="auto"/>
      </w:divBdr>
    </w:div>
    <w:div w:id="1077627993">
      <w:marLeft w:val="0"/>
      <w:marRight w:val="0"/>
      <w:marTop w:val="120"/>
      <w:marBottom w:val="0"/>
      <w:divBdr>
        <w:top w:val="none" w:sz="0" w:space="0" w:color="auto"/>
        <w:left w:val="none" w:sz="0" w:space="0" w:color="auto"/>
        <w:bottom w:val="none" w:sz="0" w:space="0" w:color="auto"/>
        <w:right w:val="none" w:sz="0" w:space="0" w:color="auto"/>
      </w:divBdr>
    </w:div>
    <w:div w:id="1078939404">
      <w:marLeft w:val="0"/>
      <w:marRight w:val="0"/>
      <w:marTop w:val="180"/>
      <w:marBottom w:val="0"/>
      <w:divBdr>
        <w:top w:val="none" w:sz="0" w:space="0" w:color="auto"/>
        <w:left w:val="none" w:sz="0" w:space="0" w:color="auto"/>
        <w:bottom w:val="none" w:sz="0" w:space="0" w:color="auto"/>
        <w:right w:val="none" w:sz="0" w:space="0" w:color="auto"/>
      </w:divBdr>
    </w:div>
    <w:div w:id="1081218493">
      <w:marLeft w:val="0"/>
      <w:marRight w:val="0"/>
      <w:marTop w:val="0"/>
      <w:marBottom w:val="0"/>
      <w:divBdr>
        <w:top w:val="none" w:sz="0" w:space="0" w:color="auto"/>
        <w:left w:val="none" w:sz="0" w:space="0" w:color="auto"/>
        <w:bottom w:val="none" w:sz="0" w:space="0" w:color="auto"/>
        <w:right w:val="none" w:sz="0" w:space="0" w:color="auto"/>
      </w:divBdr>
    </w:div>
    <w:div w:id="1085490325">
      <w:marLeft w:val="0"/>
      <w:marRight w:val="0"/>
      <w:marTop w:val="120"/>
      <w:marBottom w:val="120"/>
      <w:divBdr>
        <w:top w:val="none" w:sz="0" w:space="0" w:color="auto"/>
        <w:left w:val="none" w:sz="0" w:space="0" w:color="auto"/>
        <w:bottom w:val="none" w:sz="0" w:space="0" w:color="auto"/>
        <w:right w:val="none" w:sz="0" w:space="0" w:color="auto"/>
      </w:divBdr>
    </w:div>
    <w:div w:id="1092627913">
      <w:marLeft w:val="0"/>
      <w:marRight w:val="0"/>
      <w:marTop w:val="120"/>
      <w:marBottom w:val="120"/>
      <w:divBdr>
        <w:top w:val="none" w:sz="0" w:space="0" w:color="auto"/>
        <w:left w:val="none" w:sz="0" w:space="0" w:color="auto"/>
        <w:bottom w:val="none" w:sz="0" w:space="0" w:color="auto"/>
        <w:right w:val="none" w:sz="0" w:space="0" w:color="auto"/>
      </w:divBdr>
    </w:div>
    <w:div w:id="1096631973">
      <w:marLeft w:val="0"/>
      <w:marRight w:val="0"/>
      <w:marTop w:val="120"/>
      <w:marBottom w:val="0"/>
      <w:divBdr>
        <w:top w:val="none" w:sz="0" w:space="0" w:color="auto"/>
        <w:left w:val="none" w:sz="0" w:space="0" w:color="auto"/>
        <w:bottom w:val="none" w:sz="0" w:space="0" w:color="auto"/>
        <w:right w:val="none" w:sz="0" w:space="0" w:color="auto"/>
      </w:divBdr>
    </w:div>
    <w:div w:id="1099135332">
      <w:marLeft w:val="0"/>
      <w:marRight w:val="0"/>
      <w:marTop w:val="120"/>
      <w:marBottom w:val="120"/>
      <w:divBdr>
        <w:top w:val="none" w:sz="0" w:space="0" w:color="auto"/>
        <w:left w:val="none" w:sz="0" w:space="0" w:color="auto"/>
        <w:bottom w:val="none" w:sz="0" w:space="0" w:color="auto"/>
        <w:right w:val="none" w:sz="0" w:space="0" w:color="auto"/>
      </w:divBdr>
    </w:div>
    <w:div w:id="1103845864">
      <w:marLeft w:val="0"/>
      <w:marRight w:val="0"/>
      <w:marTop w:val="0"/>
      <w:marBottom w:val="0"/>
      <w:divBdr>
        <w:top w:val="none" w:sz="0" w:space="0" w:color="auto"/>
        <w:left w:val="none" w:sz="0" w:space="0" w:color="auto"/>
        <w:bottom w:val="none" w:sz="0" w:space="0" w:color="auto"/>
        <w:right w:val="none" w:sz="0" w:space="0" w:color="auto"/>
      </w:divBdr>
    </w:div>
    <w:div w:id="1107887631">
      <w:marLeft w:val="0"/>
      <w:marRight w:val="0"/>
      <w:marTop w:val="0"/>
      <w:marBottom w:val="0"/>
      <w:divBdr>
        <w:top w:val="none" w:sz="0" w:space="0" w:color="auto"/>
        <w:left w:val="none" w:sz="0" w:space="0" w:color="auto"/>
        <w:bottom w:val="none" w:sz="0" w:space="0" w:color="auto"/>
        <w:right w:val="none" w:sz="0" w:space="0" w:color="auto"/>
      </w:divBdr>
    </w:div>
    <w:div w:id="1111901699">
      <w:marLeft w:val="0"/>
      <w:marRight w:val="0"/>
      <w:marTop w:val="120"/>
      <w:marBottom w:val="0"/>
      <w:divBdr>
        <w:top w:val="none" w:sz="0" w:space="0" w:color="auto"/>
        <w:left w:val="none" w:sz="0" w:space="0" w:color="auto"/>
        <w:bottom w:val="none" w:sz="0" w:space="0" w:color="auto"/>
        <w:right w:val="none" w:sz="0" w:space="0" w:color="auto"/>
      </w:divBdr>
    </w:div>
    <w:div w:id="1112438042">
      <w:marLeft w:val="0"/>
      <w:marRight w:val="0"/>
      <w:marTop w:val="60"/>
      <w:marBottom w:val="120"/>
      <w:divBdr>
        <w:top w:val="none" w:sz="0" w:space="0" w:color="auto"/>
        <w:left w:val="none" w:sz="0" w:space="0" w:color="auto"/>
        <w:bottom w:val="none" w:sz="0" w:space="0" w:color="auto"/>
        <w:right w:val="none" w:sz="0" w:space="0" w:color="auto"/>
      </w:divBdr>
    </w:div>
    <w:div w:id="1119883511">
      <w:marLeft w:val="0"/>
      <w:marRight w:val="0"/>
      <w:marTop w:val="120"/>
      <w:marBottom w:val="0"/>
      <w:divBdr>
        <w:top w:val="none" w:sz="0" w:space="0" w:color="auto"/>
        <w:left w:val="none" w:sz="0" w:space="0" w:color="auto"/>
        <w:bottom w:val="none" w:sz="0" w:space="0" w:color="auto"/>
        <w:right w:val="none" w:sz="0" w:space="0" w:color="auto"/>
      </w:divBdr>
    </w:div>
    <w:div w:id="1120605395">
      <w:marLeft w:val="0"/>
      <w:marRight w:val="0"/>
      <w:marTop w:val="0"/>
      <w:marBottom w:val="0"/>
      <w:divBdr>
        <w:top w:val="none" w:sz="0" w:space="0" w:color="auto"/>
        <w:left w:val="none" w:sz="0" w:space="0" w:color="auto"/>
        <w:bottom w:val="none" w:sz="0" w:space="0" w:color="auto"/>
        <w:right w:val="none" w:sz="0" w:space="0" w:color="auto"/>
      </w:divBdr>
    </w:div>
    <w:div w:id="1127313872">
      <w:marLeft w:val="0"/>
      <w:marRight w:val="0"/>
      <w:marTop w:val="120"/>
      <w:marBottom w:val="0"/>
      <w:divBdr>
        <w:top w:val="none" w:sz="0" w:space="0" w:color="auto"/>
        <w:left w:val="none" w:sz="0" w:space="0" w:color="auto"/>
        <w:bottom w:val="none" w:sz="0" w:space="0" w:color="auto"/>
        <w:right w:val="none" w:sz="0" w:space="0" w:color="auto"/>
      </w:divBdr>
    </w:div>
    <w:div w:id="1129322327">
      <w:marLeft w:val="0"/>
      <w:marRight w:val="0"/>
      <w:marTop w:val="0"/>
      <w:marBottom w:val="0"/>
      <w:divBdr>
        <w:top w:val="none" w:sz="0" w:space="0" w:color="auto"/>
        <w:left w:val="none" w:sz="0" w:space="0" w:color="auto"/>
        <w:bottom w:val="none" w:sz="0" w:space="0" w:color="auto"/>
        <w:right w:val="none" w:sz="0" w:space="0" w:color="auto"/>
      </w:divBdr>
      <w:divsChild>
        <w:div w:id="2136680449">
          <w:marLeft w:val="0"/>
          <w:marRight w:val="0"/>
          <w:marTop w:val="0"/>
          <w:marBottom w:val="0"/>
          <w:divBdr>
            <w:top w:val="none" w:sz="0" w:space="0" w:color="auto"/>
            <w:left w:val="none" w:sz="0" w:space="0" w:color="auto"/>
            <w:bottom w:val="none" w:sz="0" w:space="0" w:color="auto"/>
            <w:right w:val="none" w:sz="0" w:space="0" w:color="auto"/>
          </w:divBdr>
        </w:div>
      </w:divsChild>
    </w:div>
    <w:div w:id="1133252589">
      <w:marLeft w:val="0"/>
      <w:marRight w:val="0"/>
      <w:marTop w:val="120"/>
      <w:marBottom w:val="0"/>
      <w:divBdr>
        <w:top w:val="none" w:sz="0" w:space="0" w:color="auto"/>
        <w:left w:val="none" w:sz="0" w:space="0" w:color="auto"/>
        <w:bottom w:val="none" w:sz="0" w:space="0" w:color="auto"/>
        <w:right w:val="none" w:sz="0" w:space="0" w:color="auto"/>
      </w:divBdr>
    </w:div>
    <w:div w:id="1133477293">
      <w:marLeft w:val="0"/>
      <w:marRight w:val="0"/>
      <w:marTop w:val="0"/>
      <w:marBottom w:val="0"/>
      <w:divBdr>
        <w:top w:val="none" w:sz="0" w:space="0" w:color="auto"/>
        <w:left w:val="none" w:sz="0" w:space="0" w:color="auto"/>
        <w:bottom w:val="none" w:sz="0" w:space="0" w:color="auto"/>
        <w:right w:val="none" w:sz="0" w:space="0" w:color="auto"/>
      </w:divBdr>
      <w:divsChild>
        <w:div w:id="820274588">
          <w:marLeft w:val="0"/>
          <w:marRight w:val="0"/>
          <w:marTop w:val="0"/>
          <w:marBottom w:val="0"/>
          <w:divBdr>
            <w:top w:val="none" w:sz="0" w:space="0" w:color="auto"/>
            <w:left w:val="none" w:sz="0" w:space="0" w:color="auto"/>
            <w:bottom w:val="none" w:sz="0" w:space="0" w:color="auto"/>
            <w:right w:val="none" w:sz="0" w:space="0" w:color="auto"/>
          </w:divBdr>
        </w:div>
      </w:divsChild>
    </w:div>
    <w:div w:id="1133670032">
      <w:marLeft w:val="0"/>
      <w:marRight w:val="0"/>
      <w:marTop w:val="120"/>
      <w:marBottom w:val="0"/>
      <w:divBdr>
        <w:top w:val="none" w:sz="0" w:space="0" w:color="auto"/>
        <w:left w:val="none" w:sz="0" w:space="0" w:color="auto"/>
        <w:bottom w:val="none" w:sz="0" w:space="0" w:color="auto"/>
        <w:right w:val="none" w:sz="0" w:space="0" w:color="auto"/>
      </w:divBdr>
    </w:div>
    <w:div w:id="1135222991">
      <w:marLeft w:val="0"/>
      <w:marRight w:val="0"/>
      <w:marTop w:val="0"/>
      <w:marBottom w:val="0"/>
      <w:divBdr>
        <w:top w:val="none" w:sz="0" w:space="0" w:color="auto"/>
        <w:left w:val="none" w:sz="0" w:space="0" w:color="auto"/>
        <w:bottom w:val="none" w:sz="0" w:space="0" w:color="auto"/>
        <w:right w:val="none" w:sz="0" w:space="0" w:color="auto"/>
      </w:divBdr>
      <w:divsChild>
        <w:div w:id="1715956949">
          <w:marLeft w:val="0"/>
          <w:marRight w:val="0"/>
          <w:marTop w:val="0"/>
          <w:marBottom w:val="0"/>
          <w:divBdr>
            <w:top w:val="none" w:sz="0" w:space="0" w:color="auto"/>
            <w:left w:val="none" w:sz="0" w:space="0" w:color="auto"/>
            <w:bottom w:val="none" w:sz="0" w:space="0" w:color="auto"/>
            <w:right w:val="none" w:sz="0" w:space="0" w:color="auto"/>
          </w:divBdr>
        </w:div>
      </w:divsChild>
    </w:div>
    <w:div w:id="1135484309">
      <w:marLeft w:val="0"/>
      <w:marRight w:val="0"/>
      <w:marTop w:val="0"/>
      <w:marBottom w:val="0"/>
      <w:divBdr>
        <w:top w:val="none" w:sz="0" w:space="0" w:color="auto"/>
        <w:left w:val="none" w:sz="0" w:space="0" w:color="auto"/>
        <w:bottom w:val="none" w:sz="0" w:space="0" w:color="auto"/>
        <w:right w:val="none" w:sz="0" w:space="0" w:color="auto"/>
      </w:divBdr>
      <w:divsChild>
        <w:div w:id="726339226">
          <w:marLeft w:val="0"/>
          <w:marRight w:val="0"/>
          <w:marTop w:val="0"/>
          <w:marBottom w:val="0"/>
          <w:divBdr>
            <w:top w:val="none" w:sz="0" w:space="0" w:color="auto"/>
            <w:left w:val="none" w:sz="0" w:space="0" w:color="auto"/>
            <w:bottom w:val="none" w:sz="0" w:space="0" w:color="auto"/>
            <w:right w:val="none" w:sz="0" w:space="0" w:color="auto"/>
          </w:divBdr>
        </w:div>
      </w:divsChild>
    </w:div>
    <w:div w:id="1136797694">
      <w:marLeft w:val="0"/>
      <w:marRight w:val="0"/>
      <w:marTop w:val="120"/>
      <w:marBottom w:val="0"/>
      <w:divBdr>
        <w:top w:val="none" w:sz="0" w:space="0" w:color="auto"/>
        <w:left w:val="none" w:sz="0" w:space="0" w:color="auto"/>
        <w:bottom w:val="none" w:sz="0" w:space="0" w:color="auto"/>
        <w:right w:val="none" w:sz="0" w:space="0" w:color="auto"/>
      </w:divBdr>
    </w:div>
    <w:div w:id="1139029126">
      <w:marLeft w:val="0"/>
      <w:marRight w:val="0"/>
      <w:marTop w:val="120"/>
      <w:marBottom w:val="120"/>
      <w:divBdr>
        <w:top w:val="none" w:sz="0" w:space="0" w:color="auto"/>
        <w:left w:val="none" w:sz="0" w:space="0" w:color="auto"/>
        <w:bottom w:val="none" w:sz="0" w:space="0" w:color="auto"/>
        <w:right w:val="none" w:sz="0" w:space="0" w:color="auto"/>
      </w:divBdr>
    </w:div>
    <w:div w:id="1142234373">
      <w:marLeft w:val="0"/>
      <w:marRight w:val="0"/>
      <w:marTop w:val="0"/>
      <w:marBottom w:val="0"/>
      <w:divBdr>
        <w:top w:val="none" w:sz="0" w:space="0" w:color="auto"/>
        <w:left w:val="none" w:sz="0" w:space="0" w:color="auto"/>
        <w:bottom w:val="none" w:sz="0" w:space="0" w:color="auto"/>
        <w:right w:val="none" w:sz="0" w:space="0" w:color="auto"/>
      </w:divBdr>
      <w:divsChild>
        <w:div w:id="1515075343">
          <w:marLeft w:val="0"/>
          <w:marRight w:val="0"/>
          <w:marTop w:val="0"/>
          <w:marBottom w:val="0"/>
          <w:divBdr>
            <w:top w:val="none" w:sz="0" w:space="0" w:color="auto"/>
            <w:left w:val="none" w:sz="0" w:space="0" w:color="auto"/>
            <w:bottom w:val="none" w:sz="0" w:space="0" w:color="auto"/>
            <w:right w:val="none" w:sz="0" w:space="0" w:color="auto"/>
          </w:divBdr>
        </w:div>
      </w:divsChild>
    </w:div>
    <w:div w:id="1147013310">
      <w:marLeft w:val="0"/>
      <w:marRight w:val="0"/>
      <w:marTop w:val="120"/>
      <w:marBottom w:val="120"/>
      <w:divBdr>
        <w:top w:val="none" w:sz="0" w:space="0" w:color="auto"/>
        <w:left w:val="none" w:sz="0" w:space="0" w:color="auto"/>
        <w:bottom w:val="none" w:sz="0" w:space="0" w:color="auto"/>
        <w:right w:val="none" w:sz="0" w:space="0" w:color="auto"/>
      </w:divBdr>
    </w:div>
    <w:div w:id="1148400772">
      <w:marLeft w:val="0"/>
      <w:marRight w:val="0"/>
      <w:marTop w:val="120"/>
      <w:marBottom w:val="0"/>
      <w:divBdr>
        <w:top w:val="none" w:sz="0" w:space="0" w:color="auto"/>
        <w:left w:val="none" w:sz="0" w:space="0" w:color="auto"/>
        <w:bottom w:val="none" w:sz="0" w:space="0" w:color="auto"/>
        <w:right w:val="none" w:sz="0" w:space="0" w:color="auto"/>
      </w:divBdr>
    </w:div>
    <w:div w:id="1149788726">
      <w:marLeft w:val="0"/>
      <w:marRight w:val="0"/>
      <w:marTop w:val="120"/>
      <w:marBottom w:val="120"/>
      <w:divBdr>
        <w:top w:val="none" w:sz="0" w:space="0" w:color="auto"/>
        <w:left w:val="none" w:sz="0" w:space="0" w:color="auto"/>
        <w:bottom w:val="none" w:sz="0" w:space="0" w:color="auto"/>
        <w:right w:val="none" w:sz="0" w:space="0" w:color="auto"/>
      </w:divBdr>
    </w:div>
    <w:div w:id="1151605114">
      <w:marLeft w:val="0"/>
      <w:marRight w:val="0"/>
      <w:marTop w:val="120"/>
      <w:marBottom w:val="0"/>
      <w:divBdr>
        <w:top w:val="none" w:sz="0" w:space="0" w:color="auto"/>
        <w:left w:val="none" w:sz="0" w:space="0" w:color="auto"/>
        <w:bottom w:val="none" w:sz="0" w:space="0" w:color="auto"/>
        <w:right w:val="none" w:sz="0" w:space="0" w:color="auto"/>
      </w:divBdr>
    </w:div>
    <w:div w:id="1153062322">
      <w:marLeft w:val="0"/>
      <w:marRight w:val="0"/>
      <w:marTop w:val="120"/>
      <w:marBottom w:val="120"/>
      <w:divBdr>
        <w:top w:val="none" w:sz="0" w:space="0" w:color="auto"/>
        <w:left w:val="none" w:sz="0" w:space="0" w:color="auto"/>
        <w:bottom w:val="none" w:sz="0" w:space="0" w:color="auto"/>
        <w:right w:val="none" w:sz="0" w:space="0" w:color="auto"/>
      </w:divBdr>
    </w:div>
    <w:div w:id="1154688570">
      <w:marLeft w:val="0"/>
      <w:marRight w:val="0"/>
      <w:marTop w:val="60"/>
      <w:marBottom w:val="0"/>
      <w:divBdr>
        <w:top w:val="none" w:sz="0" w:space="0" w:color="auto"/>
        <w:left w:val="none" w:sz="0" w:space="0" w:color="auto"/>
        <w:bottom w:val="none" w:sz="0" w:space="0" w:color="auto"/>
        <w:right w:val="none" w:sz="0" w:space="0" w:color="auto"/>
      </w:divBdr>
    </w:div>
    <w:div w:id="1158957431">
      <w:marLeft w:val="0"/>
      <w:marRight w:val="0"/>
      <w:marTop w:val="120"/>
      <w:marBottom w:val="120"/>
      <w:divBdr>
        <w:top w:val="none" w:sz="0" w:space="0" w:color="auto"/>
        <w:left w:val="none" w:sz="0" w:space="0" w:color="auto"/>
        <w:bottom w:val="none" w:sz="0" w:space="0" w:color="auto"/>
        <w:right w:val="none" w:sz="0" w:space="0" w:color="auto"/>
      </w:divBdr>
    </w:div>
    <w:div w:id="1160848172">
      <w:marLeft w:val="0"/>
      <w:marRight w:val="0"/>
      <w:marTop w:val="60"/>
      <w:marBottom w:val="0"/>
      <w:divBdr>
        <w:top w:val="none" w:sz="0" w:space="0" w:color="auto"/>
        <w:left w:val="none" w:sz="0" w:space="0" w:color="auto"/>
        <w:bottom w:val="none" w:sz="0" w:space="0" w:color="auto"/>
        <w:right w:val="none" w:sz="0" w:space="0" w:color="auto"/>
      </w:divBdr>
    </w:div>
    <w:div w:id="1162505015">
      <w:marLeft w:val="0"/>
      <w:marRight w:val="0"/>
      <w:marTop w:val="120"/>
      <w:marBottom w:val="0"/>
      <w:divBdr>
        <w:top w:val="none" w:sz="0" w:space="0" w:color="auto"/>
        <w:left w:val="none" w:sz="0" w:space="0" w:color="auto"/>
        <w:bottom w:val="none" w:sz="0" w:space="0" w:color="auto"/>
        <w:right w:val="none" w:sz="0" w:space="0" w:color="auto"/>
      </w:divBdr>
    </w:div>
    <w:div w:id="1166289617">
      <w:marLeft w:val="0"/>
      <w:marRight w:val="0"/>
      <w:marTop w:val="120"/>
      <w:marBottom w:val="0"/>
      <w:divBdr>
        <w:top w:val="none" w:sz="0" w:space="0" w:color="auto"/>
        <w:left w:val="none" w:sz="0" w:space="0" w:color="auto"/>
        <w:bottom w:val="none" w:sz="0" w:space="0" w:color="auto"/>
        <w:right w:val="none" w:sz="0" w:space="0" w:color="auto"/>
      </w:divBdr>
    </w:div>
    <w:div w:id="1166943678">
      <w:marLeft w:val="0"/>
      <w:marRight w:val="0"/>
      <w:marTop w:val="120"/>
      <w:marBottom w:val="0"/>
      <w:divBdr>
        <w:top w:val="none" w:sz="0" w:space="0" w:color="auto"/>
        <w:left w:val="none" w:sz="0" w:space="0" w:color="auto"/>
        <w:bottom w:val="none" w:sz="0" w:space="0" w:color="auto"/>
        <w:right w:val="none" w:sz="0" w:space="0" w:color="auto"/>
      </w:divBdr>
    </w:div>
    <w:div w:id="1168597167">
      <w:marLeft w:val="0"/>
      <w:marRight w:val="0"/>
      <w:marTop w:val="120"/>
      <w:marBottom w:val="0"/>
      <w:divBdr>
        <w:top w:val="none" w:sz="0" w:space="0" w:color="auto"/>
        <w:left w:val="none" w:sz="0" w:space="0" w:color="auto"/>
        <w:bottom w:val="none" w:sz="0" w:space="0" w:color="auto"/>
        <w:right w:val="none" w:sz="0" w:space="0" w:color="auto"/>
      </w:divBdr>
    </w:div>
    <w:div w:id="1169367554">
      <w:marLeft w:val="0"/>
      <w:marRight w:val="0"/>
      <w:marTop w:val="120"/>
      <w:marBottom w:val="0"/>
      <w:divBdr>
        <w:top w:val="none" w:sz="0" w:space="0" w:color="auto"/>
        <w:left w:val="none" w:sz="0" w:space="0" w:color="auto"/>
        <w:bottom w:val="none" w:sz="0" w:space="0" w:color="auto"/>
        <w:right w:val="none" w:sz="0" w:space="0" w:color="auto"/>
      </w:divBdr>
    </w:div>
    <w:div w:id="1170146657">
      <w:marLeft w:val="0"/>
      <w:marRight w:val="0"/>
      <w:marTop w:val="0"/>
      <w:marBottom w:val="0"/>
      <w:divBdr>
        <w:top w:val="none" w:sz="0" w:space="0" w:color="auto"/>
        <w:left w:val="none" w:sz="0" w:space="0" w:color="auto"/>
        <w:bottom w:val="none" w:sz="0" w:space="0" w:color="auto"/>
        <w:right w:val="none" w:sz="0" w:space="0" w:color="auto"/>
      </w:divBdr>
      <w:divsChild>
        <w:div w:id="1041244668">
          <w:marLeft w:val="0"/>
          <w:marRight w:val="0"/>
          <w:marTop w:val="0"/>
          <w:marBottom w:val="0"/>
          <w:divBdr>
            <w:top w:val="none" w:sz="0" w:space="0" w:color="auto"/>
            <w:left w:val="none" w:sz="0" w:space="0" w:color="auto"/>
            <w:bottom w:val="none" w:sz="0" w:space="0" w:color="auto"/>
            <w:right w:val="none" w:sz="0" w:space="0" w:color="auto"/>
          </w:divBdr>
        </w:div>
      </w:divsChild>
    </w:div>
    <w:div w:id="1170827165">
      <w:marLeft w:val="0"/>
      <w:marRight w:val="0"/>
      <w:marTop w:val="0"/>
      <w:marBottom w:val="0"/>
      <w:divBdr>
        <w:top w:val="none" w:sz="0" w:space="0" w:color="auto"/>
        <w:left w:val="none" w:sz="0" w:space="0" w:color="auto"/>
        <w:bottom w:val="none" w:sz="0" w:space="0" w:color="auto"/>
        <w:right w:val="none" w:sz="0" w:space="0" w:color="auto"/>
      </w:divBdr>
    </w:div>
    <w:div w:id="1171260337">
      <w:marLeft w:val="0"/>
      <w:marRight w:val="0"/>
      <w:marTop w:val="120"/>
      <w:marBottom w:val="0"/>
      <w:divBdr>
        <w:top w:val="none" w:sz="0" w:space="0" w:color="auto"/>
        <w:left w:val="none" w:sz="0" w:space="0" w:color="auto"/>
        <w:bottom w:val="none" w:sz="0" w:space="0" w:color="auto"/>
        <w:right w:val="none" w:sz="0" w:space="0" w:color="auto"/>
      </w:divBdr>
    </w:div>
    <w:div w:id="1171483165">
      <w:marLeft w:val="0"/>
      <w:marRight w:val="0"/>
      <w:marTop w:val="120"/>
      <w:marBottom w:val="0"/>
      <w:divBdr>
        <w:top w:val="none" w:sz="0" w:space="0" w:color="auto"/>
        <w:left w:val="none" w:sz="0" w:space="0" w:color="auto"/>
        <w:bottom w:val="none" w:sz="0" w:space="0" w:color="auto"/>
        <w:right w:val="none" w:sz="0" w:space="0" w:color="auto"/>
      </w:divBdr>
    </w:div>
    <w:div w:id="1175539266">
      <w:marLeft w:val="0"/>
      <w:marRight w:val="0"/>
      <w:marTop w:val="120"/>
      <w:marBottom w:val="0"/>
      <w:divBdr>
        <w:top w:val="none" w:sz="0" w:space="0" w:color="auto"/>
        <w:left w:val="none" w:sz="0" w:space="0" w:color="auto"/>
        <w:bottom w:val="none" w:sz="0" w:space="0" w:color="auto"/>
        <w:right w:val="none" w:sz="0" w:space="0" w:color="auto"/>
      </w:divBdr>
    </w:div>
    <w:div w:id="1176575199">
      <w:marLeft w:val="0"/>
      <w:marRight w:val="0"/>
      <w:marTop w:val="120"/>
      <w:marBottom w:val="0"/>
      <w:divBdr>
        <w:top w:val="none" w:sz="0" w:space="0" w:color="auto"/>
        <w:left w:val="none" w:sz="0" w:space="0" w:color="auto"/>
        <w:bottom w:val="none" w:sz="0" w:space="0" w:color="auto"/>
        <w:right w:val="none" w:sz="0" w:space="0" w:color="auto"/>
      </w:divBdr>
    </w:div>
    <w:div w:id="1183350733">
      <w:marLeft w:val="0"/>
      <w:marRight w:val="0"/>
      <w:marTop w:val="120"/>
      <w:marBottom w:val="0"/>
      <w:divBdr>
        <w:top w:val="none" w:sz="0" w:space="0" w:color="auto"/>
        <w:left w:val="none" w:sz="0" w:space="0" w:color="auto"/>
        <w:bottom w:val="none" w:sz="0" w:space="0" w:color="auto"/>
        <w:right w:val="none" w:sz="0" w:space="0" w:color="auto"/>
      </w:divBdr>
    </w:div>
    <w:div w:id="1184707991">
      <w:marLeft w:val="0"/>
      <w:marRight w:val="0"/>
      <w:marTop w:val="120"/>
      <w:marBottom w:val="0"/>
      <w:divBdr>
        <w:top w:val="none" w:sz="0" w:space="0" w:color="auto"/>
        <w:left w:val="none" w:sz="0" w:space="0" w:color="auto"/>
        <w:bottom w:val="none" w:sz="0" w:space="0" w:color="auto"/>
        <w:right w:val="none" w:sz="0" w:space="0" w:color="auto"/>
      </w:divBdr>
    </w:div>
    <w:div w:id="1187064591">
      <w:marLeft w:val="0"/>
      <w:marRight w:val="0"/>
      <w:marTop w:val="120"/>
      <w:marBottom w:val="120"/>
      <w:divBdr>
        <w:top w:val="none" w:sz="0" w:space="0" w:color="auto"/>
        <w:left w:val="none" w:sz="0" w:space="0" w:color="auto"/>
        <w:bottom w:val="none" w:sz="0" w:space="0" w:color="auto"/>
        <w:right w:val="none" w:sz="0" w:space="0" w:color="auto"/>
      </w:divBdr>
    </w:div>
    <w:div w:id="1187138058">
      <w:marLeft w:val="0"/>
      <w:marRight w:val="0"/>
      <w:marTop w:val="240"/>
      <w:marBottom w:val="120"/>
      <w:divBdr>
        <w:top w:val="none" w:sz="0" w:space="0" w:color="auto"/>
        <w:left w:val="none" w:sz="0" w:space="0" w:color="auto"/>
        <w:bottom w:val="none" w:sz="0" w:space="0" w:color="auto"/>
        <w:right w:val="none" w:sz="0" w:space="0" w:color="auto"/>
      </w:divBdr>
    </w:div>
    <w:div w:id="1187866249">
      <w:marLeft w:val="0"/>
      <w:marRight w:val="0"/>
      <w:marTop w:val="120"/>
      <w:marBottom w:val="0"/>
      <w:divBdr>
        <w:top w:val="none" w:sz="0" w:space="0" w:color="auto"/>
        <w:left w:val="none" w:sz="0" w:space="0" w:color="auto"/>
        <w:bottom w:val="none" w:sz="0" w:space="0" w:color="auto"/>
        <w:right w:val="none" w:sz="0" w:space="0" w:color="auto"/>
      </w:divBdr>
    </w:div>
    <w:div w:id="1191454815">
      <w:marLeft w:val="0"/>
      <w:marRight w:val="0"/>
      <w:marTop w:val="0"/>
      <w:marBottom w:val="0"/>
      <w:divBdr>
        <w:top w:val="none" w:sz="0" w:space="0" w:color="auto"/>
        <w:left w:val="none" w:sz="0" w:space="0" w:color="auto"/>
        <w:bottom w:val="none" w:sz="0" w:space="0" w:color="auto"/>
        <w:right w:val="none" w:sz="0" w:space="0" w:color="auto"/>
      </w:divBdr>
      <w:divsChild>
        <w:div w:id="373233194">
          <w:marLeft w:val="0"/>
          <w:marRight w:val="0"/>
          <w:marTop w:val="0"/>
          <w:marBottom w:val="0"/>
          <w:divBdr>
            <w:top w:val="none" w:sz="0" w:space="0" w:color="auto"/>
            <w:left w:val="none" w:sz="0" w:space="0" w:color="auto"/>
            <w:bottom w:val="none" w:sz="0" w:space="0" w:color="auto"/>
            <w:right w:val="none" w:sz="0" w:space="0" w:color="auto"/>
          </w:divBdr>
        </w:div>
      </w:divsChild>
    </w:div>
    <w:div w:id="1194075587">
      <w:marLeft w:val="0"/>
      <w:marRight w:val="0"/>
      <w:marTop w:val="180"/>
      <w:marBottom w:val="120"/>
      <w:divBdr>
        <w:top w:val="none" w:sz="0" w:space="0" w:color="auto"/>
        <w:left w:val="none" w:sz="0" w:space="0" w:color="auto"/>
        <w:bottom w:val="none" w:sz="0" w:space="0" w:color="auto"/>
        <w:right w:val="none" w:sz="0" w:space="0" w:color="auto"/>
      </w:divBdr>
    </w:div>
    <w:div w:id="1198473151">
      <w:marLeft w:val="0"/>
      <w:marRight w:val="0"/>
      <w:marTop w:val="120"/>
      <w:marBottom w:val="0"/>
      <w:divBdr>
        <w:top w:val="none" w:sz="0" w:space="0" w:color="auto"/>
        <w:left w:val="none" w:sz="0" w:space="0" w:color="auto"/>
        <w:bottom w:val="none" w:sz="0" w:space="0" w:color="auto"/>
        <w:right w:val="none" w:sz="0" w:space="0" w:color="auto"/>
      </w:divBdr>
    </w:div>
    <w:div w:id="1203982935">
      <w:marLeft w:val="0"/>
      <w:marRight w:val="0"/>
      <w:marTop w:val="0"/>
      <w:marBottom w:val="0"/>
      <w:divBdr>
        <w:top w:val="none" w:sz="0" w:space="0" w:color="auto"/>
        <w:left w:val="none" w:sz="0" w:space="0" w:color="auto"/>
        <w:bottom w:val="none" w:sz="0" w:space="0" w:color="auto"/>
        <w:right w:val="none" w:sz="0" w:space="0" w:color="auto"/>
      </w:divBdr>
    </w:div>
    <w:div w:id="1204555920">
      <w:marLeft w:val="0"/>
      <w:marRight w:val="0"/>
      <w:marTop w:val="120"/>
      <w:marBottom w:val="0"/>
      <w:divBdr>
        <w:top w:val="none" w:sz="0" w:space="0" w:color="auto"/>
        <w:left w:val="none" w:sz="0" w:space="0" w:color="auto"/>
        <w:bottom w:val="none" w:sz="0" w:space="0" w:color="auto"/>
        <w:right w:val="none" w:sz="0" w:space="0" w:color="auto"/>
      </w:divBdr>
    </w:div>
    <w:div w:id="1205604883">
      <w:marLeft w:val="0"/>
      <w:marRight w:val="0"/>
      <w:marTop w:val="0"/>
      <w:marBottom w:val="0"/>
      <w:divBdr>
        <w:top w:val="none" w:sz="0" w:space="0" w:color="auto"/>
        <w:left w:val="none" w:sz="0" w:space="0" w:color="auto"/>
        <w:bottom w:val="none" w:sz="0" w:space="0" w:color="auto"/>
        <w:right w:val="none" w:sz="0" w:space="0" w:color="auto"/>
      </w:divBdr>
      <w:divsChild>
        <w:div w:id="17899984">
          <w:marLeft w:val="0"/>
          <w:marRight w:val="0"/>
          <w:marTop w:val="0"/>
          <w:marBottom w:val="0"/>
          <w:divBdr>
            <w:top w:val="none" w:sz="0" w:space="0" w:color="auto"/>
            <w:left w:val="none" w:sz="0" w:space="0" w:color="auto"/>
            <w:bottom w:val="none" w:sz="0" w:space="0" w:color="auto"/>
            <w:right w:val="none" w:sz="0" w:space="0" w:color="auto"/>
          </w:divBdr>
        </w:div>
      </w:divsChild>
    </w:div>
    <w:div w:id="1206479656">
      <w:marLeft w:val="0"/>
      <w:marRight w:val="0"/>
      <w:marTop w:val="120"/>
      <w:marBottom w:val="0"/>
      <w:divBdr>
        <w:top w:val="none" w:sz="0" w:space="0" w:color="auto"/>
        <w:left w:val="none" w:sz="0" w:space="0" w:color="auto"/>
        <w:bottom w:val="none" w:sz="0" w:space="0" w:color="auto"/>
        <w:right w:val="none" w:sz="0" w:space="0" w:color="auto"/>
      </w:divBdr>
    </w:div>
    <w:div w:id="1208689181">
      <w:marLeft w:val="0"/>
      <w:marRight w:val="0"/>
      <w:marTop w:val="120"/>
      <w:marBottom w:val="120"/>
      <w:divBdr>
        <w:top w:val="none" w:sz="0" w:space="0" w:color="auto"/>
        <w:left w:val="none" w:sz="0" w:space="0" w:color="auto"/>
        <w:bottom w:val="none" w:sz="0" w:space="0" w:color="auto"/>
        <w:right w:val="none" w:sz="0" w:space="0" w:color="auto"/>
      </w:divBdr>
    </w:div>
    <w:div w:id="1210996286">
      <w:marLeft w:val="0"/>
      <w:marRight w:val="0"/>
      <w:marTop w:val="120"/>
      <w:marBottom w:val="120"/>
      <w:divBdr>
        <w:top w:val="none" w:sz="0" w:space="0" w:color="auto"/>
        <w:left w:val="none" w:sz="0" w:space="0" w:color="auto"/>
        <w:bottom w:val="none" w:sz="0" w:space="0" w:color="auto"/>
        <w:right w:val="none" w:sz="0" w:space="0" w:color="auto"/>
      </w:divBdr>
    </w:div>
    <w:div w:id="1211186758">
      <w:marLeft w:val="0"/>
      <w:marRight w:val="0"/>
      <w:marTop w:val="0"/>
      <w:marBottom w:val="0"/>
      <w:divBdr>
        <w:top w:val="none" w:sz="0" w:space="0" w:color="auto"/>
        <w:left w:val="none" w:sz="0" w:space="0" w:color="auto"/>
        <w:bottom w:val="none" w:sz="0" w:space="0" w:color="auto"/>
        <w:right w:val="none" w:sz="0" w:space="0" w:color="auto"/>
      </w:divBdr>
      <w:divsChild>
        <w:div w:id="712123189">
          <w:marLeft w:val="0"/>
          <w:marRight w:val="0"/>
          <w:marTop w:val="0"/>
          <w:marBottom w:val="0"/>
          <w:divBdr>
            <w:top w:val="none" w:sz="0" w:space="0" w:color="auto"/>
            <w:left w:val="none" w:sz="0" w:space="0" w:color="auto"/>
            <w:bottom w:val="none" w:sz="0" w:space="0" w:color="auto"/>
            <w:right w:val="none" w:sz="0" w:space="0" w:color="auto"/>
          </w:divBdr>
        </w:div>
      </w:divsChild>
    </w:div>
    <w:div w:id="1212301301">
      <w:marLeft w:val="0"/>
      <w:marRight w:val="0"/>
      <w:marTop w:val="120"/>
      <w:marBottom w:val="0"/>
      <w:divBdr>
        <w:top w:val="none" w:sz="0" w:space="0" w:color="auto"/>
        <w:left w:val="none" w:sz="0" w:space="0" w:color="auto"/>
        <w:bottom w:val="none" w:sz="0" w:space="0" w:color="auto"/>
        <w:right w:val="none" w:sz="0" w:space="0" w:color="auto"/>
      </w:divBdr>
    </w:div>
    <w:div w:id="1215235822">
      <w:marLeft w:val="0"/>
      <w:marRight w:val="0"/>
      <w:marTop w:val="0"/>
      <w:marBottom w:val="0"/>
      <w:divBdr>
        <w:top w:val="none" w:sz="0" w:space="0" w:color="auto"/>
        <w:left w:val="none" w:sz="0" w:space="0" w:color="auto"/>
        <w:bottom w:val="none" w:sz="0" w:space="0" w:color="auto"/>
        <w:right w:val="none" w:sz="0" w:space="0" w:color="auto"/>
      </w:divBdr>
    </w:div>
    <w:div w:id="1220437662">
      <w:marLeft w:val="0"/>
      <w:marRight w:val="0"/>
      <w:marTop w:val="120"/>
      <w:marBottom w:val="0"/>
      <w:divBdr>
        <w:top w:val="none" w:sz="0" w:space="0" w:color="auto"/>
        <w:left w:val="none" w:sz="0" w:space="0" w:color="auto"/>
        <w:bottom w:val="none" w:sz="0" w:space="0" w:color="auto"/>
        <w:right w:val="none" w:sz="0" w:space="0" w:color="auto"/>
      </w:divBdr>
    </w:div>
    <w:div w:id="1221406850">
      <w:marLeft w:val="0"/>
      <w:marRight w:val="0"/>
      <w:marTop w:val="120"/>
      <w:marBottom w:val="0"/>
      <w:divBdr>
        <w:top w:val="none" w:sz="0" w:space="0" w:color="auto"/>
        <w:left w:val="none" w:sz="0" w:space="0" w:color="auto"/>
        <w:bottom w:val="none" w:sz="0" w:space="0" w:color="auto"/>
        <w:right w:val="none" w:sz="0" w:space="0" w:color="auto"/>
      </w:divBdr>
    </w:div>
    <w:div w:id="1223103769">
      <w:marLeft w:val="0"/>
      <w:marRight w:val="0"/>
      <w:marTop w:val="120"/>
      <w:marBottom w:val="0"/>
      <w:divBdr>
        <w:top w:val="none" w:sz="0" w:space="0" w:color="auto"/>
        <w:left w:val="none" w:sz="0" w:space="0" w:color="auto"/>
        <w:bottom w:val="none" w:sz="0" w:space="0" w:color="auto"/>
        <w:right w:val="none" w:sz="0" w:space="0" w:color="auto"/>
      </w:divBdr>
    </w:div>
    <w:div w:id="1228147785">
      <w:marLeft w:val="0"/>
      <w:marRight w:val="0"/>
      <w:marTop w:val="0"/>
      <w:marBottom w:val="0"/>
      <w:divBdr>
        <w:top w:val="none" w:sz="0" w:space="0" w:color="auto"/>
        <w:left w:val="none" w:sz="0" w:space="0" w:color="auto"/>
        <w:bottom w:val="none" w:sz="0" w:space="0" w:color="auto"/>
        <w:right w:val="none" w:sz="0" w:space="0" w:color="auto"/>
      </w:divBdr>
    </w:div>
    <w:div w:id="1229027137">
      <w:marLeft w:val="0"/>
      <w:marRight w:val="0"/>
      <w:marTop w:val="120"/>
      <w:marBottom w:val="120"/>
      <w:divBdr>
        <w:top w:val="none" w:sz="0" w:space="0" w:color="auto"/>
        <w:left w:val="none" w:sz="0" w:space="0" w:color="auto"/>
        <w:bottom w:val="none" w:sz="0" w:space="0" w:color="auto"/>
        <w:right w:val="none" w:sz="0" w:space="0" w:color="auto"/>
      </w:divBdr>
    </w:div>
    <w:div w:id="1236237056">
      <w:marLeft w:val="0"/>
      <w:marRight w:val="0"/>
      <w:marTop w:val="120"/>
      <w:marBottom w:val="0"/>
      <w:divBdr>
        <w:top w:val="none" w:sz="0" w:space="0" w:color="auto"/>
        <w:left w:val="none" w:sz="0" w:space="0" w:color="auto"/>
        <w:bottom w:val="none" w:sz="0" w:space="0" w:color="auto"/>
        <w:right w:val="none" w:sz="0" w:space="0" w:color="auto"/>
      </w:divBdr>
    </w:div>
    <w:div w:id="1236356282">
      <w:marLeft w:val="0"/>
      <w:marRight w:val="0"/>
      <w:marTop w:val="60"/>
      <w:marBottom w:val="0"/>
      <w:divBdr>
        <w:top w:val="none" w:sz="0" w:space="0" w:color="auto"/>
        <w:left w:val="none" w:sz="0" w:space="0" w:color="auto"/>
        <w:bottom w:val="none" w:sz="0" w:space="0" w:color="auto"/>
        <w:right w:val="none" w:sz="0" w:space="0" w:color="auto"/>
      </w:divBdr>
    </w:div>
    <w:div w:id="1236938732">
      <w:marLeft w:val="0"/>
      <w:marRight w:val="0"/>
      <w:marTop w:val="0"/>
      <w:marBottom w:val="120"/>
      <w:divBdr>
        <w:top w:val="none" w:sz="0" w:space="0" w:color="auto"/>
        <w:left w:val="none" w:sz="0" w:space="0" w:color="auto"/>
        <w:bottom w:val="none" w:sz="0" w:space="0" w:color="auto"/>
        <w:right w:val="none" w:sz="0" w:space="0" w:color="auto"/>
      </w:divBdr>
    </w:div>
    <w:div w:id="1240211663">
      <w:marLeft w:val="0"/>
      <w:marRight w:val="0"/>
      <w:marTop w:val="120"/>
      <w:marBottom w:val="0"/>
      <w:divBdr>
        <w:top w:val="none" w:sz="0" w:space="0" w:color="auto"/>
        <w:left w:val="none" w:sz="0" w:space="0" w:color="auto"/>
        <w:bottom w:val="none" w:sz="0" w:space="0" w:color="auto"/>
        <w:right w:val="none" w:sz="0" w:space="0" w:color="auto"/>
      </w:divBdr>
    </w:div>
    <w:div w:id="1242636889">
      <w:marLeft w:val="0"/>
      <w:marRight w:val="0"/>
      <w:marTop w:val="0"/>
      <w:marBottom w:val="0"/>
      <w:divBdr>
        <w:top w:val="none" w:sz="0" w:space="0" w:color="auto"/>
        <w:left w:val="none" w:sz="0" w:space="0" w:color="auto"/>
        <w:bottom w:val="none" w:sz="0" w:space="0" w:color="auto"/>
        <w:right w:val="none" w:sz="0" w:space="0" w:color="auto"/>
      </w:divBdr>
    </w:div>
    <w:div w:id="1243446989">
      <w:marLeft w:val="0"/>
      <w:marRight w:val="0"/>
      <w:marTop w:val="120"/>
      <w:marBottom w:val="120"/>
      <w:divBdr>
        <w:top w:val="none" w:sz="0" w:space="0" w:color="auto"/>
        <w:left w:val="none" w:sz="0" w:space="0" w:color="auto"/>
        <w:bottom w:val="none" w:sz="0" w:space="0" w:color="auto"/>
        <w:right w:val="none" w:sz="0" w:space="0" w:color="auto"/>
      </w:divBdr>
    </w:div>
    <w:div w:id="1244492279">
      <w:marLeft w:val="0"/>
      <w:marRight w:val="0"/>
      <w:marTop w:val="0"/>
      <w:marBottom w:val="0"/>
      <w:divBdr>
        <w:top w:val="none" w:sz="0" w:space="0" w:color="auto"/>
        <w:left w:val="none" w:sz="0" w:space="0" w:color="auto"/>
        <w:bottom w:val="none" w:sz="0" w:space="0" w:color="auto"/>
        <w:right w:val="none" w:sz="0" w:space="0" w:color="auto"/>
      </w:divBdr>
    </w:div>
    <w:div w:id="1245334993">
      <w:marLeft w:val="0"/>
      <w:marRight w:val="0"/>
      <w:marTop w:val="60"/>
      <w:marBottom w:val="120"/>
      <w:divBdr>
        <w:top w:val="none" w:sz="0" w:space="0" w:color="auto"/>
        <w:left w:val="none" w:sz="0" w:space="0" w:color="auto"/>
        <w:bottom w:val="none" w:sz="0" w:space="0" w:color="auto"/>
        <w:right w:val="none" w:sz="0" w:space="0" w:color="auto"/>
      </w:divBdr>
    </w:div>
    <w:div w:id="1247112320">
      <w:marLeft w:val="0"/>
      <w:marRight w:val="0"/>
      <w:marTop w:val="120"/>
      <w:marBottom w:val="120"/>
      <w:divBdr>
        <w:top w:val="none" w:sz="0" w:space="0" w:color="auto"/>
        <w:left w:val="none" w:sz="0" w:space="0" w:color="auto"/>
        <w:bottom w:val="none" w:sz="0" w:space="0" w:color="auto"/>
        <w:right w:val="none" w:sz="0" w:space="0" w:color="auto"/>
      </w:divBdr>
    </w:div>
    <w:div w:id="1247150267">
      <w:marLeft w:val="0"/>
      <w:marRight w:val="0"/>
      <w:marTop w:val="120"/>
      <w:marBottom w:val="120"/>
      <w:divBdr>
        <w:top w:val="none" w:sz="0" w:space="0" w:color="auto"/>
        <w:left w:val="none" w:sz="0" w:space="0" w:color="auto"/>
        <w:bottom w:val="none" w:sz="0" w:space="0" w:color="auto"/>
        <w:right w:val="none" w:sz="0" w:space="0" w:color="auto"/>
      </w:divBdr>
    </w:div>
    <w:div w:id="1251692089">
      <w:marLeft w:val="0"/>
      <w:marRight w:val="0"/>
      <w:marTop w:val="120"/>
      <w:marBottom w:val="120"/>
      <w:divBdr>
        <w:top w:val="none" w:sz="0" w:space="0" w:color="auto"/>
        <w:left w:val="none" w:sz="0" w:space="0" w:color="auto"/>
        <w:bottom w:val="none" w:sz="0" w:space="0" w:color="auto"/>
        <w:right w:val="none" w:sz="0" w:space="0" w:color="auto"/>
      </w:divBdr>
    </w:div>
    <w:div w:id="1254776099">
      <w:marLeft w:val="0"/>
      <w:marRight w:val="0"/>
      <w:marTop w:val="120"/>
      <w:marBottom w:val="0"/>
      <w:divBdr>
        <w:top w:val="none" w:sz="0" w:space="0" w:color="auto"/>
        <w:left w:val="none" w:sz="0" w:space="0" w:color="auto"/>
        <w:bottom w:val="none" w:sz="0" w:space="0" w:color="auto"/>
        <w:right w:val="none" w:sz="0" w:space="0" w:color="auto"/>
      </w:divBdr>
    </w:div>
    <w:div w:id="1264341989">
      <w:marLeft w:val="0"/>
      <w:marRight w:val="0"/>
      <w:marTop w:val="120"/>
      <w:marBottom w:val="0"/>
      <w:divBdr>
        <w:top w:val="none" w:sz="0" w:space="0" w:color="auto"/>
        <w:left w:val="none" w:sz="0" w:space="0" w:color="auto"/>
        <w:bottom w:val="none" w:sz="0" w:space="0" w:color="auto"/>
        <w:right w:val="none" w:sz="0" w:space="0" w:color="auto"/>
      </w:divBdr>
    </w:div>
    <w:div w:id="1266038980">
      <w:marLeft w:val="0"/>
      <w:marRight w:val="0"/>
      <w:marTop w:val="120"/>
      <w:marBottom w:val="0"/>
      <w:divBdr>
        <w:top w:val="none" w:sz="0" w:space="0" w:color="auto"/>
        <w:left w:val="none" w:sz="0" w:space="0" w:color="auto"/>
        <w:bottom w:val="none" w:sz="0" w:space="0" w:color="auto"/>
        <w:right w:val="none" w:sz="0" w:space="0" w:color="auto"/>
      </w:divBdr>
    </w:div>
    <w:div w:id="1266110095">
      <w:marLeft w:val="0"/>
      <w:marRight w:val="0"/>
      <w:marTop w:val="120"/>
      <w:marBottom w:val="0"/>
      <w:divBdr>
        <w:top w:val="none" w:sz="0" w:space="0" w:color="auto"/>
        <w:left w:val="none" w:sz="0" w:space="0" w:color="auto"/>
        <w:bottom w:val="none" w:sz="0" w:space="0" w:color="auto"/>
        <w:right w:val="none" w:sz="0" w:space="0" w:color="auto"/>
      </w:divBdr>
    </w:div>
    <w:div w:id="1268463514">
      <w:marLeft w:val="0"/>
      <w:marRight w:val="0"/>
      <w:marTop w:val="0"/>
      <w:marBottom w:val="0"/>
      <w:divBdr>
        <w:top w:val="none" w:sz="0" w:space="0" w:color="auto"/>
        <w:left w:val="none" w:sz="0" w:space="0" w:color="auto"/>
        <w:bottom w:val="none" w:sz="0" w:space="0" w:color="auto"/>
        <w:right w:val="none" w:sz="0" w:space="0" w:color="auto"/>
      </w:divBdr>
      <w:divsChild>
        <w:div w:id="1570919942">
          <w:marLeft w:val="0"/>
          <w:marRight w:val="0"/>
          <w:marTop w:val="0"/>
          <w:marBottom w:val="0"/>
          <w:divBdr>
            <w:top w:val="none" w:sz="0" w:space="0" w:color="auto"/>
            <w:left w:val="none" w:sz="0" w:space="0" w:color="auto"/>
            <w:bottom w:val="none" w:sz="0" w:space="0" w:color="auto"/>
            <w:right w:val="none" w:sz="0" w:space="0" w:color="auto"/>
          </w:divBdr>
        </w:div>
      </w:divsChild>
    </w:div>
    <w:div w:id="1270435386">
      <w:marLeft w:val="0"/>
      <w:marRight w:val="0"/>
      <w:marTop w:val="120"/>
      <w:marBottom w:val="0"/>
      <w:divBdr>
        <w:top w:val="none" w:sz="0" w:space="0" w:color="auto"/>
        <w:left w:val="none" w:sz="0" w:space="0" w:color="auto"/>
        <w:bottom w:val="none" w:sz="0" w:space="0" w:color="auto"/>
        <w:right w:val="none" w:sz="0" w:space="0" w:color="auto"/>
      </w:divBdr>
    </w:div>
    <w:div w:id="1276014392">
      <w:marLeft w:val="0"/>
      <w:marRight w:val="0"/>
      <w:marTop w:val="120"/>
      <w:marBottom w:val="180"/>
      <w:divBdr>
        <w:top w:val="none" w:sz="0" w:space="0" w:color="auto"/>
        <w:left w:val="none" w:sz="0" w:space="0" w:color="auto"/>
        <w:bottom w:val="none" w:sz="0" w:space="0" w:color="auto"/>
        <w:right w:val="none" w:sz="0" w:space="0" w:color="auto"/>
      </w:divBdr>
    </w:div>
    <w:div w:id="1276670325">
      <w:marLeft w:val="0"/>
      <w:marRight w:val="0"/>
      <w:marTop w:val="120"/>
      <w:marBottom w:val="0"/>
      <w:divBdr>
        <w:top w:val="none" w:sz="0" w:space="0" w:color="auto"/>
        <w:left w:val="none" w:sz="0" w:space="0" w:color="auto"/>
        <w:bottom w:val="none" w:sz="0" w:space="0" w:color="auto"/>
        <w:right w:val="none" w:sz="0" w:space="0" w:color="auto"/>
      </w:divBdr>
    </w:div>
    <w:div w:id="1279263342">
      <w:marLeft w:val="0"/>
      <w:marRight w:val="0"/>
      <w:marTop w:val="60"/>
      <w:marBottom w:val="120"/>
      <w:divBdr>
        <w:top w:val="none" w:sz="0" w:space="0" w:color="auto"/>
        <w:left w:val="none" w:sz="0" w:space="0" w:color="auto"/>
        <w:bottom w:val="none" w:sz="0" w:space="0" w:color="auto"/>
        <w:right w:val="none" w:sz="0" w:space="0" w:color="auto"/>
      </w:divBdr>
    </w:div>
    <w:div w:id="1280529931">
      <w:marLeft w:val="0"/>
      <w:marRight w:val="0"/>
      <w:marTop w:val="120"/>
      <w:marBottom w:val="0"/>
      <w:divBdr>
        <w:top w:val="none" w:sz="0" w:space="0" w:color="auto"/>
        <w:left w:val="none" w:sz="0" w:space="0" w:color="auto"/>
        <w:bottom w:val="none" w:sz="0" w:space="0" w:color="auto"/>
        <w:right w:val="none" w:sz="0" w:space="0" w:color="auto"/>
      </w:divBdr>
    </w:div>
    <w:div w:id="1280717926">
      <w:marLeft w:val="0"/>
      <w:marRight w:val="0"/>
      <w:marTop w:val="0"/>
      <w:marBottom w:val="0"/>
      <w:divBdr>
        <w:top w:val="none" w:sz="0" w:space="0" w:color="auto"/>
        <w:left w:val="none" w:sz="0" w:space="0" w:color="auto"/>
        <w:bottom w:val="none" w:sz="0" w:space="0" w:color="auto"/>
        <w:right w:val="none" w:sz="0" w:space="0" w:color="auto"/>
      </w:divBdr>
    </w:div>
    <w:div w:id="1283027465">
      <w:marLeft w:val="0"/>
      <w:marRight w:val="0"/>
      <w:marTop w:val="0"/>
      <w:marBottom w:val="0"/>
      <w:divBdr>
        <w:top w:val="none" w:sz="0" w:space="0" w:color="auto"/>
        <w:left w:val="none" w:sz="0" w:space="0" w:color="auto"/>
        <w:bottom w:val="none" w:sz="0" w:space="0" w:color="auto"/>
        <w:right w:val="none" w:sz="0" w:space="0" w:color="auto"/>
      </w:divBdr>
    </w:div>
    <w:div w:id="1283806790">
      <w:marLeft w:val="0"/>
      <w:marRight w:val="0"/>
      <w:marTop w:val="60"/>
      <w:marBottom w:val="0"/>
      <w:divBdr>
        <w:top w:val="none" w:sz="0" w:space="0" w:color="auto"/>
        <w:left w:val="none" w:sz="0" w:space="0" w:color="auto"/>
        <w:bottom w:val="none" w:sz="0" w:space="0" w:color="auto"/>
        <w:right w:val="none" w:sz="0" w:space="0" w:color="auto"/>
      </w:divBdr>
    </w:div>
    <w:div w:id="1287389541">
      <w:marLeft w:val="0"/>
      <w:marRight w:val="0"/>
      <w:marTop w:val="0"/>
      <w:marBottom w:val="0"/>
      <w:divBdr>
        <w:top w:val="none" w:sz="0" w:space="0" w:color="auto"/>
        <w:left w:val="none" w:sz="0" w:space="0" w:color="auto"/>
        <w:bottom w:val="none" w:sz="0" w:space="0" w:color="auto"/>
        <w:right w:val="none" w:sz="0" w:space="0" w:color="auto"/>
      </w:divBdr>
    </w:div>
    <w:div w:id="1287663101">
      <w:marLeft w:val="0"/>
      <w:marRight w:val="0"/>
      <w:marTop w:val="0"/>
      <w:marBottom w:val="0"/>
      <w:divBdr>
        <w:top w:val="none" w:sz="0" w:space="0" w:color="auto"/>
        <w:left w:val="none" w:sz="0" w:space="0" w:color="auto"/>
        <w:bottom w:val="none" w:sz="0" w:space="0" w:color="auto"/>
        <w:right w:val="none" w:sz="0" w:space="0" w:color="auto"/>
      </w:divBdr>
      <w:divsChild>
        <w:div w:id="1980841520">
          <w:marLeft w:val="0"/>
          <w:marRight w:val="0"/>
          <w:marTop w:val="0"/>
          <w:marBottom w:val="0"/>
          <w:divBdr>
            <w:top w:val="none" w:sz="0" w:space="0" w:color="auto"/>
            <w:left w:val="none" w:sz="0" w:space="0" w:color="auto"/>
            <w:bottom w:val="none" w:sz="0" w:space="0" w:color="auto"/>
            <w:right w:val="none" w:sz="0" w:space="0" w:color="auto"/>
          </w:divBdr>
        </w:div>
      </w:divsChild>
    </w:div>
    <w:div w:id="1289706942">
      <w:marLeft w:val="0"/>
      <w:marRight w:val="0"/>
      <w:marTop w:val="0"/>
      <w:marBottom w:val="0"/>
      <w:divBdr>
        <w:top w:val="none" w:sz="0" w:space="0" w:color="auto"/>
        <w:left w:val="none" w:sz="0" w:space="0" w:color="auto"/>
        <w:bottom w:val="none" w:sz="0" w:space="0" w:color="auto"/>
        <w:right w:val="none" w:sz="0" w:space="0" w:color="auto"/>
      </w:divBdr>
    </w:div>
    <w:div w:id="1291322227">
      <w:marLeft w:val="0"/>
      <w:marRight w:val="0"/>
      <w:marTop w:val="120"/>
      <w:marBottom w:val="0"/>
      <w:divBdr>
        <w:top w:val="none" w:sz="0" w:space="0" w:color="auto"/>
        <w:left w:val="none" w:sz="0" w:space="0" w:color="auto"/>
        <w:bottom w:val="none" w:sz="0" w:space="0" w:color="auto"/>
        <w:right w:val="none" w:sz="0" w:space="0" w:color="auto"/>
      </w:divBdr>
    </w:div>
    <w:div w:id="1297250553">
      <w:marLeft w:val="0"/>
      <w:marRight w:val="0"/>
      <w:marTop w:val="120"/>
      <w:marBottom w:val="0"/>
      <w:divBdr>
        <w:top w:val="none" w:sz="0" w:space="0" w:color="auto"/>
        <w:left w:val="none" w:sz="0" w:space="0" w:color="auto"/>
        <w:bottom w:val="none" w:sz="0" w:space="0" w:color="auto"/>
        <w:right w:val="none" w:sz="0" w:space="0" w:color="auto"/>
      </w:divBdr>
    </w:div>
    <w:div w:id="1297492040">
      <w:marLeft w:val="0"/>
      <w:marRight w:val="0"/>
      <w:marTop w:val="120"/>
      <w:marBottom w:val="120"/>
      <w:divBdr>
        <w:top w:val="none" w:sz="0" w:space="0" w:color="auto"/>
        <w:left w:val="none" w:sz="0" w:space="0" w:color="auto"/>
        <w:bottom w:val="none" w:sz="0" w:space="0" w:color="auto"/>
        <w:right w:val="none" w:sz="0" w:space="0" w:color="auto"/>
      </w:divBdr>
    </w:div>
    <w:div w:id="1301888478">
      <w:marLeft w:val="0"/>
      <w:marRight w:val="0"/>
      <w:marTop w:val="120"/>
      <w:marBottom w:val="120"/>
      <w:divBdr>
        <w:top w:val="none" w:sz="0" w:space="0" w:color="auto"/>
        <w:left w:val="none" w:sz="0" w:space="0" w:color="auto"/>
        <w:bottom w:val="none" w:sz="0" w:space="0" w:color="auto"/>
        <w:right w:val="none" w:sz="0" w:space="0" w:color="auto"/>
      </w:divBdr>
    </w:div>
    <w:div w:id="1302155461">
      <w:marLeft w:val="0"/>
      <w:marRight w:val="0"/>
      <w:marTop w:val="0"/>
      <w:marBottom w:val="0"/>
      <w:divBdr>
        <w:top w:val="none" w:sz="0" w:space="0" w:color="auto"/>
        <w:left w:val="none" w:sz="0" w:space="0" w:color="auto"/>
        <w:bottom w:val="none" w:sz="0" w:space="0" w:color="auto"/>
        <w:right w:val="none" w:sz="0" w:space="0" w:color="auto"/>
      </w:divBdr>
      <w:divsChild>
        <w:div w:id="1833252660">
          <w:marLeft w:val="0"/>
          <w:marRight w:val="0"/>
          <w:marTop w:val="0"/>
          <w:marBottom w:val="0"/>
          <w:divBdr>
            <w:top w:val="none" w:sz="0" w:space="0" w:color="auto"/>
            <w:left w:val="none" w:sz="0" w:space="0" w:color="auto"/>
            <w:bottom w:val="none" w:sz="0" w:space="0" w:color="auto"/>
            <w:right w:val="none" w:sz="0" w:space="0" w:color="auto"/>
          </w:divBdr>
        </w:div>
      </w:divsChild>
    </w:div>
    <w:div w:id="1303316634">
      <w:marLeft w:val="0"/>
      <w:marRight w:val="0"/>
      <w:marTop w:val="0"/>
      <w:marBottom w:val="0"/>
      <w:divBdr>
        <w:top w:val="none" w:sz="0" w:space="0" w:color="auto"/>
        <w:left w:val="none" w:sz="0" w:space="0" w:color="auto"/>
        <w:bottom w:val="none" w:sz="0" w:space="0" w:color="auto"/>
        <w:right w:val="none" w:sz="0" w:space="0" w:color="auto"/>
      </w:divBdr>
    </w:div>
    <w:div w:id="1305574972">
      <w:marLeft w:val="0"/>
      <w:marRight w:val="0"/>
      <w:marTop w:val="120"/>
      <w:marBottom w:val="0"/>
      <w:divBdr>
        <w:top w:val="none" w:sz="0" w:space="0" w:color="auto"/>
        <w:left w:val="none" w:sz="0" w:space="0" w:color="auto"/>
        <w:bottom w:val="none" w:sz="0" w:space="0" w:color="auto"/>
        <w:right w:val="none" w:sz="0" w:space="0" w:color="auto"/>
      </w:divBdr>
    </w:div>
    <w:div w:id="1308777354">
      <w:marLeft w:val="0"/>
      <w:marRight w:val="0"/>
      <w:marTop w:val="120"/>
      <w:marBottom w:val="0"/>
      <w:divBdr>
        <w:top w:val="none" w:sz="0" w:space="0" w:color="auto"/>
        <w:left w:val="none" w:sz="0" w:space="0" w:color="auto"/>
        <w:bottom w:val="none" w:sz="0" w:space="0" w:color="auto"/>
        <w:right w:val="none" w:sz="0" w:space="0" w:color="auto"/>
      </w:divBdr>
    </w:div>
    <w:div w:id="1309163733">
      <w:marLeft w:val="0"/>
      <w:marRight w:val="0"/>
      <w:marTop w:val="120"/>
      <w:marBottom w:val="0"/>
      <w:divBdr>
        <w:top w:val="none" w:sz="0" w:space="0" w:color="auto"/>
        <w:left w:val="none" w:sz="0" w:space="0" w:color="auto"/>
        <w:bottom w:val="none" w:sz="0" w:space="0" w:color="auto"/>
        <w:right w:val="none" w:sz="0" w:space="0" w:color="auto"/>
      </w:divBdr>
    </w:div>
    <w:div w:id="1309823777">
      <w:marLeft w:val="0"/>
      <w:marRight w:val="0"/>
      <w:marTop w:val="120"/>
      <w:marBottom w:val="0"/>
      <w:divBdr>
        <w:top w:val="none" w:sz="0" w:space="0" w:color="auto"/>
        <w:left w:val="none" w:sz="0" w:space="0" w:color="auto"/>
        <w:bottom w:val="none" w:sz="0" w:space="0" w:color="auto"/>
        <w:right w:val="none" w:sz="0" w:space="0" w:color="auto"/>
      </w:divBdr>
    </w:div>
    <w:div w:id="1311866450">
      <w:marLeft w:val="0"/>
      <w:marRight w:val="0"/>
      <w:marTop w:val="120"/>
      <w:marBottom w:val="0"/>
      <w:divBdr>
        <w:top w:val="none" w:sz="0" w:space="0" w:color="auto"/>
        <w:left w:val="none" w:sz="0" w:space="0" w:color="auto"/>
        <w:bottom w:val="none" w:sz="0" w:space="0" w:color="auto"/>
        <w:right w:val="none" w:sz="0" w:space="0" w:color="auto"/>
      </w:divBdr>
    </w:div>
    <w:div w:id="1312249675">
      <w:marLeft w:val="0"/>
      <w:marRight w:val="0"/>
      <w:marTop w:val="120"/>
      <w:marBottom w:val="0"/>
      <w:divBdr>
        <w:top w:val="none" w:sz="0" w:space="0" w:color="auto"/>
        <w:left w:val="none" w:sz="0" w:space="0" w:color="auto"/>
        <w:bottom w:val="none" w:sz="0" w:space="0" w:color="auto"/>
        <w:right w:val="none" w:sz="0" w:space="0" w:color="auto"/>
      </w:divBdr>
    </w:div>
    <w:div w:id="1312903124">
      <w:marLeft w:val="0"/>
      <w:marRight w:val="0"/>
      <w:marTop w:val="0"/>
      <w:marBottom w:val="0"/>
      <w:divBdr>
        <w:top w:val="none" w:sz="0" w:space="0" w:color="auto"/>
        <w:left w:val="none" w:sz="0" w:space="0" w:color="auto"/>
        <w:bottom w:val="none" w:sz="0" w:space="0" w:color="auto"/>
        <w:right w:val="none" w:sz="0" w:space="0" w:color="auto"/>
      </w:divBdr>
      <w:divsChild>
        <w:div w:id="1940335087">
          <w:marLeft w:val="0"/>
          <w:marRight w:val="0"/>
          <w:marTop w:val="0"/>
          <w:marBottom w:val="0"/>
          <w:divBdr>
            <w:top w:val="none" w:sz="0" w:space="0" w:color="auto"/>
            <w:left w:val="none" w:sz="0" w:space="0" w:color="auto"/>
            <w:bottom w:val="none" w:sz="0" w:space="0" w:color="auto"/>
            <w:right w:val="none" w:sz="0" w:space="0" w:color="auto"/>
          </w:divBdr>
        </w:div>
      </w:divsChild>
    </w:div>
    <w:div w:id="1313481417">
      <w:marLeft w:val="0"/>
      <w:marRight w:val="0"/>
      <w:marTop w:val="120"/>
      <w:marBottom w:val="0"/>
      <w:divBdr>
        <w:top w:val="none" w:sz="0" w:space="0" w:color="auto"/>
        <w:left w:val="none" w:sz="0" w:space="0" w:color="auto"/>
        <w:bottom w:val="none" w:sz="0" w:space="0" w:color="auto"/>
        <w:right w:val="none" w:sz="0" w:space="0" w:color="auto"/>
      </w:divBdr>
    </w:div>
    <w:div w:id="1317108463">
      <w:marLeft w:val="0"/>
      <w:marRight w:val="0"/>
      <w:marTop w:val="120"/>
      <w:marBottom w:val="120"/>
      <w:divBdr>
        <w:top w:val="none" w:sz="0" w:space="0" w:color="auto"/>
        <w:left w:val="none" w:sz="0" w:space="0" w:color="auto"/>
        <w:bottom w:val="none" w:sz="0" w:space="0" w:color="auto"/>
        <w:right w:val="none" w:sz="0" w:space="0" w:color="auto"/>
      </w:divBdr>
    </w:div>
    <w:div w:id="1320618416">
      <w:marLeft w:val="0"/>
      <w:marRight w:val="0"/>
      <w:marTop w:val="120"/>
      <w:marBottom w:val="120"/>
      <w:divBdr>
        <w:top w:val="none" w:sz="0" w:space="0" w:color="auto"/>
        <w:left w:val="none" w:sz="0" w:space="0" w:color="auto"/>
        <w:bottom w:val="none" w:sz="0" w:space="0" w:color="auto"/>
        <w:right w:val="none" w:sz="0" w:space="0" w:color="auto"/>
      </w:divBdr>
    </w:div>
    <w:div w:id="1320771006">
      <w:marLeft w:val="0"/>
      <w:marRight w:val="0"/>
      <w:marTop w:val="240"/>
      <w:marBottom w:val="120"/>
      <w:divBdr>
        <w:top w:val="none" w:sz="0" w:space="0" w:color="auto"/>
        <w:left w:val="none" w:sz="0" w:space="0" w:color="auto"/>
        <w:bottom w:val="none" w:sz="0" w:space="0" w:color="auto"/>
        <w:right w:val="none" w:sz="0" w:space="0" w:color="auto"/>
      </w:divBdr>
    </w:div>
    <w:div w:id="1321231913">
      <w:marLeft w:val="0"/>
      <w:marRight w:val="0"/>
      <w:marTop w:val="120"/>
      <w:marBottom w:val="120"/>
      <w:divBdr>
        <w:top w:val="none" w:sz="0" w:space="0" w:color="auto"/>
        <w:left w:val="none" w:sz="0" w:space="0" w:color="auto"/>
        <w:bottom w:val="none" w:sz="0" w:space="0" w:color="auto"/>
        <w:right w:val="none" w:sz="0" w:space="0" w:color="auto"/>
      </w:divBdr>
    </w:div>
    <w:div w:id="1324897534">
      <w:marLeft w:val="0"/>
      <w:marRight w:val="0"/>
      <w:marTop w:val="0"/>
      <w:marBottom w:val="0"/>
      <w:divBdr>
        <w:top w:val="none" w:sz="0" w:space="0" w:color="auto"/>
        <w:left w:val="none" w:sz="0" w:space="0" w:color="auto"/>
        <w:bottom w:val="none" w:sz="0" w:space="0" w:color="auto"/>
        <w:right w:val="none" w:sz="0" w:space="0" w:color="auto"/>
      </w:divBdr>
      <w:divsChild>
        <w:div w:id="1868177395">
          <w:marLeft w:val="0"/>
          <w:marRight w:val="0"/>
          <w:marTop w:val="0"/>
          <w:marBottom w:val="0"/>
          <w:divBdr>
            <w:top w:val="none" w:sz="0" w:space="0" w:color="auto"/>
            <w:left w:val="none" w:sz="0" w:space="0" w:color="auto"/>
            <w:bottom w:val="none" w:sz="0" w:space="0" w:color="auto"/>
            <w:right w:val="none" w:sz="0" w:space="0" w:color="auto"/>
          </w:divBdr>
        </w:div>
      </w:divsChild>
    </w:div>
    <w:div w:id="1328442018">
      <w:marLeft w:val="0"/>
      <w:marRight w:val="0"/>
      <w:marTop w:val="180"/>
      <w:marBottom w:val="120"/>
      <w:divBdr>
        <w:top w:val="none" w:sz="0" w:space="0" w:color="auto"/>
        <w:left w:val="none" w:sz="0" w:space="0" w:color="auto"/>
        <w:bottom w:val="none" w:sz="0" w:space="0" w:color="auto"/>
        <w:right w:val="none" w:sz="0" w:space="0" w:color="auto"/>
      </w:divBdr>
    </w:div>
    <w:div w:id="1330527018">
      <w:marLeft w:val="0"/>
      <w:marRight w:val="0"/>
      <w:marTop w:val="120"/>
      <w:marBottom w:val="0"/>
      <w:divBdr>
        <w:top w:val="none" w:sz="0" w:space="0" w:color="auto"/>
        <w:left w:val="none" w:sz="0" w:space="0" w:color="auto"/>
        <w:bottom w:val="none" w:sz="0" w:space="0" w:color="auto"/>
        <w:right w:val="none" w:sz="0" w:space="0" w:color="auto"/>
      </w:divBdr>
    </w:div>
    <w:div w:id="1334068987">
      <w:marLeft w:val="0"/>
      <w:marRight w:val="0"/>
      <w:marTop w:val="0"/>
      <w:marBottom w:val="0"/>
      <w:divBdr>
        <w:top w:val="none" w:sz="0" w:space="0" w:color="auto"/>
        <w:left w:val="none" w:sz="0" w:space="0" w:color="auto"/>
        <w:bottom w:val="none" w:sz="0" w:space="0" w:color="auto"/>
        <w:right w:val="none" w:sz="0" w:space="0" w:color="auto"/>
      </w:divBdr>
      <w:divsChild>
        <w:div w:id="152374018">
          <w:marLeft w:val="0"/>
          <w:marRight w:val="0"/>
          <w:marTop w:val="0"/>
          <w:marBottom w:val="0"/>
          <w:divBdr>
            <w:top w:val="none" w:sz="0" w:space="0" w:color="auto"/>
            <w:left w:val="none" w:sz="0" w:space="0" w:color="auto"/>
            <w:bottom w:val="none" w:sz="0" w:space="0" w:color="auto"/>
            <w:right w:val="none" w:sz="0" w:space="0" w:color="auto"/>
          </w:divBdr>
        </w:div>
      </w:divsChild>
    </w:div>
    <w:div w:id="1337536873">
      <w:marLeft w:val="0"/>
      <w:marRight w:val="0"/>
      <w:marTop w:val="120"/>
      <w:marBottom w:val="120"/>
      <w:divBdr>
        <w:top w:val="none" w:sz="0" w:space="0" w:color="auto"/>
        <w:left w:val="none" w:sz="0" w:space="0" w:color="auto"/>
        <w:bottom w:val="none" w:sz="0" w:space="0" w:color="auto"/>
        <w:right w:val="none" w:sz="0" w:space="0" w:color="auto"/>
      </w:divBdr>
    </w:div>
    <w:div w:id="1338733197">
      <w:marLeft w:val="0"/>
      <w:marRight w:val="0"/>
      <w:marTop w:val="120"/>
      <w:marBottom w:val="0"/>
      <w:divBdr>
        <w:top w:val="none" w:sz="0" w:space="0" w:color="auto"/>
        <w:left w:val="none" w:sz="0" w:space="0" w:color="auto"/>
        <w:bottom w:val="none" w:sz="0" w:space="0" w:color="auto"/>
        <w:right w:val="none" w:sz="0" w:space="0" w:color="auto"/>
      </w:divBdr>
    </w:div>
    <w:div w:id="1345404701">
      <w:marLeft w:val="0"/>
      <w:marRight w:val="0"/>
      <w:marTop w:val="120"/>
      <w:marBottom w:val="0"/>
      <w:divBdr>
        <w:top w:val="none" w:sz="0" w:space="0" w:color="auto"/>
        <w:left w:val="none" w:sz="0" w:space="0" w:color="auto"/>
        <w:bottom w:val="none" w:sz="0" w:space="0" w:color="auto"/>
        <w:right w:val="none" w:sz="0" w:space="0" w:color="auto"/>
      </w:divBdr>
    </w:div>
    <w:div w:id="1349019221">
      <w:marLeft w:val="0"/>
      <w:marRight w:val="0"/>
      <w:marTop w:val="60"/>
      <w:marBottom w:val="0"/>
      <w:divBdr>
        <w:top w:val="none" w:sz="0" w:space="0" w:color="auto"/>
        <w:left w:val="none" w:sz="0" w:space="0" w:color="auto"/>
        <w:bottom w:val="none" w:sz="0" w:space="0" w:color="auto"/>
        <w:right w:val="none" w:sz="0" w:space="0" w:color="auto"/>
      </w:divBdr>
    </w:div>
    <w:div w:id="1349213186">
      <w:marLeft w:val="0"/>
      <w:marRight w:val="0"/>
      <w:marTop w:val="120"/>
      <w:marBottom w:val="0"/>
      <w:divBdr>
        <w:top w:val="none" w:sz="0" w:space="0" w:color="auto"/>
        <w:left w:val="none" w:sz="0" w:space="0" w:color="auto"/>
        <w:bottom w:val="none" w:sz="0" w:space="0" w:color="auto"/>
        <w:right w:val="none" w:sz="0" w:space="0" w:color="auto"/>
      </w:divBdr>
    </w:div>
    <w:div w:id="1349679269">
      <w:marLeft w:val="0"/>
      <w:marRight w:val="0"/>
      <w:marTop w:val="120"/>
      <w:marBottom w:val="0"/>
      <w:divBdr>
        <w:top w:val="none" w:sz="0" w:space="0" w:color="auto"/>
        <w:left w:val="none" w:sz="0" w:space="0" w:color="auto"/>
        <w:bottom w:val="none" w:sz="0" w:space="0" w:color="auto"/>
        <w:right w:val="none" w:sz="0" w:space="0" w:color="auto"/>
      </w:divBdr>
    </w:div>
    <w:div w:id="1350065067">
      <w:marLeft w:val="0"/>
      <w:marRight w:val="0"/>
      <w:marTop w:val="60"/>
      <w:marBottom w:val="0"/>
      <w:divBdr>
        <w:top w:val="none" w:sz="0" w:space="0" w:color="auto"/>
        <w:left w:val="none" w:sz="0" w:space="0" w:color="auto"/>
        <w:bottom w:val="none" w:sz="0" w:space="0" w:color="auto"/>
        <w:right w:val="none" w:sz="0" w:space="0" w:color="auto"/>
      </w:divBdr>
    </w:div>
    <w:div w:id="1351881630">
      <w:marLeft w:val="0"/>
      <w:marRight w:val="0"/>
      <w:marTop w:val="0"/>
      <w:marBottom w:val="0"/>
      <w:divBdr>
        <w:top w:val="none" w:sz="0" w:space="0" w:color="auto"/>
        <w:left w:val="none" w:sz="0" w:space="0" w:color="auto"/>
        <w:bottom w:val="none" w:sz="0" w:space="0" w:color="auto"/>
        <w:right w:val="none" w:sz="0" w:space="0" w:color="auto"/>
      </w:divBdr>
      <w:divsChild>
        <w:div w:id="593707505">
          <w:marLeft w:val="0"/>
          <w:marRight w:val="0"/>
          <w:marTop w:val="0"/>
          <w:marBottom w:val="0"/>
          <w:divBdr>
            <w:top w:val="none" w:sz="0" w:space="0" w:color="auto"/>
            <w:left w:val="none" w:sz="0" w:space="0" w:color="auto"/>
            <w:bottom w:val="none" w:sz="0" w:space="0" w:color="auto"/>
            <w:right w:val="none" w:sz="0" w:space="0" w:color="auto"/>
          </w:divBdr>
        </w:div>
      </w:divsChild>
    </w:div>
    <w:div w:id="1360207199">
      <w:marLeft w:val="0"/>
      <w:marRight w:val="0"/>
      <w:marTop w:val="0"/>
      <w:marBottom w:val="0"/>
      <w:divBdr>
        <w:top w:val="none" w:sz="0" w:space="0" w:color="auto"/>
        <w:left w:val="none" w:sz="0" w:space="0" w:color="auto"/>
        <w:bottom w:val="none" w:sz="0" w:space="0" w:color="auto"/>
        <w:right w:val="none" w:sz="0" w:space="0" w:color="auto"/>
      </w:divBdr>
      <w:divsChild>
        <w:div w:id="1940024843">
          <w:marLeft w:val="0"/>
          <w:marRight w:val="0"/>
          <w:marTop w:val="0"/>
          <w:marBottom w:val="0"/>
          <w:divBdr>
            <w:top w:val="none" w:sz="0" w:space="0" w:color="auto"/>
            <w:left w:val="none" w:sz="0" w:space="0" w:color="auto"/>
            <w:bottom w:val="none" w:sz="0" w:space="0" w:color="auto"/>
            <w:right w:val="none" w:sz="0" w:space="0" w:color="auto"/>
          </w:divBdr>
        </w:div>
      </w:divsChild>
    </w:div>
    <w:div w:id="1362508849">
      <w:marLeft w:val="0"/>
      <w:marRight w:val="0"/>
      <w:marTop w:val="0"/>
      <w:marBottom w:val="0"/>
      <w:divBdr>
        <w:top w:val="none" w:sz="0" w:space="0" w:color="auto"/>
        <w:left w:val="none" w:sz="0" w:space="0" w:color="auto"/>
        <w:bottom w:val="none" w:sz="0" w:space="0" w:color="auto"/>
        <w:right w:val="none" w:sz="0" w:space="0" w:color="auto"/>
      </w:divBdr>
    </w:div>
    <w:div w:id="1362823435">
      <w:marLeft w:val="0"/>
      <w:marRight w:val="0"/>
      <w:marTop w:val="0"/>
      <w:marBottom w:val="120"/>
      <w:divBdr>
        <w:top w:val="none" w:sz="0" w:space="0" w:color="auto"/>
        <w:left w:val="none" w:sz="0" w:space="0" w:color="auto"/>
        <w:bottom w:val="none" w:sz="0" w:space="0" w:color="auto"/>
        <w:right w:val="none" w:sz="0" w:space="0" w:color="auto"/>
      </w:divBdr>
    </w:div>
    <w:div w:id="1369447342">
      <w:marLeft w:val="0"/>
      <w:marRight w:val="0"/>
      <w:marTop w:val="120"/>
      <w:marBottom w:val="120"/>
      <w:divBdr>
        <w:top w:val="none" w:sz="0" w:space="0" w:color="auto"/>
        <w:left w:val="none" w:sz="0" w:space="0" w:color="auto"/>
        <w:bottom w:val="none" w:sz="0" w:space="0" w:color="auto"/>
        <w:right w:val="none" w:sz="0" w:space="0" w:color="auto"/>
      </w:divBdr>
    </w:div>
    <w:div w:id="1377386542">
      <w:marLeft w:val="0"/>
      <w:marRight w:val="0"/>
      <w:marTop w:val="0"/>
      <w:marBottom w:val="0"/>
      <w:divBdr>
        <w:top w:val="none" w:sz="0" w:space="0" w:color="auto"/>
        <w:left w:val="none" w:sz="0" w:space="0" w:color="auto"/>
        <w:bottom w:val="none" w:sz="0" w:space="0" w:color="auto"/>
        <w:right w:val="none" w:sz="0" w:space="0" w:color="auto"/>
      </w:divBdr>
    </w:div>
    <w:div w:id="1378509397">
      <w:marLeft w:val="0"/>
      <w:marRight w:val="0"/>
      <w:marTop w:val="0"/>
      <w:marBottom w:val="0"/>
      <w:divBdr>
        <w:top w:val="none" w:sz="0" w:space="0" w:color="auto"/>
        <w:left w:val="none" w:sz="0" w:space="0" w:color="auto"/>
        <w:bottom w:val="none" w:sz="0" w:space="0" w:color="auto"/>
        <w:right w:val="none" w:sz="0" w:space="0" w:color="auto"/>
      </w:divBdr>
    </w:div>
    <w:div w:id="1381324136">
      <w:marLeft w:val="0"/>
      <w:marRight w:val="0"/>
      <w:marTop w:val="0"/>
      <w:marBottom w:val="0"/>
      <w:divBdr>
        <w:top w:val="none" w:sz="0" w:space="0" w:color="auto"/>
        <w:left w:val="none" w:sz="0" w:space="0" w:color="auto"/>
        <w:bottom w:val="none" w:sz="0" w:space="0" w:color="auto"/>
        <w:right w:val="none" w:sz="0" w:space="0" w:color="auto"/>
      </w:divBdr>
    </w:div>
    <w:div w:id="1382511833">
      <w:marLeft w:val="0"/>
      <w:marRight w:val="0"/>
      <w:marTop w:val="180"/>
      <w:marBottom w:val="120"/>
      <w:divBdr>
        <w:top w:val="none" w:sz="0" w:space="0" w:color="auto"/>
        <w:left w:val="none" w:sz="0" w:space="0" w:color="auto"/>
        <w:bottom w:val="none" w:sz="0" w:space="0" w:color="auto"/>
        <w:right w:val="none" w:sz="0" w:space="0" w:color="auto"/>
      </w:divBdr>
    </w:div>
    <w:div w:id="1385327503">
      <w:marLeft w:val="0"/>
      <w:marRight w:val="0"/>
      <w:marTop w:val="120"/>
      <w:marBottom w:val="120"/>
      <w:divBdr>
        <w:top w:val="none" w:sz="0" w:space="0" w:color="auto"/>
        <w:left w:val="none" w:sz="0" w:space="0" w:color="auto"/>
        <w:bottom w:val="none" w:sz="0" w:space="0" w:color="auto"/>
        <w:right w:val="none" w:sz="0" w:space="0" w:color="auto"/>
      </w:divBdr>
    </w:div>
    <w:div w:id="1385834299">
      <w:marLeft w:val="0"/>
      <w:marRight w:val="0"/>
      <w:marTop w:val="0"/>
      <w:marBottom w:val="0"/>
      <w:divBdr>
        <w:top w:val="none" w:sz="0" w:space="0" w:color="auto"/>
        <w:left w:val="none" w:sz="0" w:space="0" w:color="auto"/>
        <w:bottom w:val="none" w:sz="0" w:space="0" w:color="auto"/>
        <w:right w:val="none" w:sz="0" w:space="0" w:color="auto"/>
      </w:divBdr>
      <w:divsChild>
        <w:div w:id="1503593734">
          <w:marLeft w:val="0"/>
          <w:marRight w:val="0"/>
          <w:marTop w:val="0"/>
          <w:marBottom w:val="0"/>
          <w:divBdr>
            <w:top w:val="none" w:sz="0" w:space="0" w:color="auto"/>
            <w:left w:val="none" w:sz="0" w:space="0" w:color="auto"/>
            <w:bottom w:val="none" w:sz="0" w:space="0" w:color="auto"/>
            <w:right w:val="none" w:sz="0" w:space="0" w:color="auto"/>
          </w:divBdr>
        </w:div>
      </w:divsChild>
    </w:div>
    <w:div w:id="1387029147">
      <w:marLeft w:val="0"/>
      <w:marRight w:val="0"/>
      <w:marTop w:val="0"/>
      <w:marBottom w:val="0"/>
      <w:divBdr>
        <w:top w:val="none" w:sz="0" w:space="0" w:color="auto"/>
        <w:left w:val="none" w:sz="0" w:space="0" w:color="auto"/>
        <w:bottom w:val="none" w:sz="0" w:space="0" w:color="auto"/>
        <w:right w:val="none" w:sz="0" w:space="0" w:color="auto"/>
      </w:divBdr>
    </w:div>
    <w:div w:id="1388533749">
      <w:marLeft w:val="0"/>
      <w:marRight w:val="0"/>
      <w:marTop w:val="120"/>
      <w:marBottom w:val="120"/>
      <w:divBdr>
        <w:top w:val="none" w:sz="0" w:space="0" w:color="auto"/>
        <w:left w:val="none" w:sz="0" w:space="0" w:color="auto"/>
        <w:bottom w:val="none" w:sz="0" w:space="0" w:color="auto"/>
        <w:right w:val="none" w:sz="0" w:space="0" w:color="auto"/>
      </w:divBdr>
    </w:div>
    <w:div w:id="1388602081">
      <w:marLeft w:val="0"/>
      <w:marRight w:val="0"/>
      <w:marTop w:val="0"/>
      <w:marBottom w:val="0"/>
      <w:divBdr>
        <w:top w:val="none" w:sz="0" w:space="0" w:color="auto"/>
        <w:left w:val="none" w:sz="0" w:space="0" w:color="auto"/>
        <w:bottom w:val="none" w:sz="0" w:space="0" w:color="auto"/>
        <w:right w:val="none" w:sz="0" w:space="0" w:color="auto"/>
      </w:divBdr>
    </w:div>
    <w:div w:id="1389307958">
      <w:marLeft w:val="0"/>
      <w:marRight w:val="0"/>
      <w:marTop w:val="0"/>
      <w:marBottom w:val="0"/>
      <w:divBdr>
        <w:top w:val="none" w:sz="0" w:space="0" w:color="auto"/>
        <w:left w:val="none" w:sz="0" w:space="0" w:color="auto"/>
        <w:bottom w:val="none" w:sz="0" w:space="0" w:color="auto"/>
        <w:right w:val="none" w:sz="0" w:space="0" w:color="auto"/>
      </w:divBdr>
      <w:divsChild>
        <w:div w:id="938416749">
          <w:marLeft w:val="0"/>
          <w:marRight w:val="0"/>
          <w:marTop w:val="0"/>
          <w:marBottom w:val="0"/>
          <w:divBdr>
            <w:top w:val="none" w:sz="0" w:space="0" w:color="auto"/>
            <w:left w:val="none" w:sz="0" w:space="0" w:color="auto"/>
            <w:bottom w:val="none" w:sz="0" w:space="0" w:color="auto"/>
            <w:right w:val="none" w:sz="0" w:space="0" w:color="auto"/>
          </w:divBdr>
        </w:div>
      </w:divsChild>
    </w:div>
    <w:div w:id="1392773891">
      <w:marLeft w:val="0"/>
      <w:marRight w:val="0"/>
      <w:marTop w:val="120"/>
      <w:marBottom w:val="120"/>
      <w:divBdr>
        <w:top w:val="none" w:sz="0" w:space="0" w:color="auto"/>
        <w:left w:val="none" w:sz="0" w:space="0" w:color="auto"/>
        <w:bottom w:val="none" w:sz="0" w:space="0" w:color="auto"/>
        <w:right w:val="none" w:sz="0" w:space="0" w:color="auto"/>
      </w:divBdr>
    </w:div>
    <w:div w:id="1397508159">
      <w:marLeft w:val="0"/>
      <w:marRight w:val="0"/>
      <w:marTop w:val="120"/>
      <w:marBottom w:val="120"/>
      <w:divBdr>
        <w:top w:val="none" w:sz="0" w:space="0" w:color="auto"/>
        <w:left w:val="none" w:sz="0" w:space="0" w:color="auto"/>
        <w:bottom w:val="none" w:sz="0" w:space="0" w:color="auto"/>
        <w:right w:val="none" w:sz="0" w:space="0" w:color="auto"/>
      </w:divBdr>
    </w:div>
    <w:div w:id="1399473928">
      <w:marLeft w:val="0"/>
      <w:marRight w:val="0"/>
      <w:marTop w:val="0"/>
      <w:marBottom w:val="0"/>
      <w:divBdr>
        <w:top w:val="none" w:sz="0" w:space="0" w:color="auto"/>
        <w:left w:val="none" w:sz="0" w:space="0" w:color="auto"/>
        <w:bottom w:val="none" w:sz="0" w:space="0" w:color="auto"/>
        <w:right w:val="none" w:sz="0" w:space="0" w:color="auto"/>
      </w:divBdr>
    </w:div>
    <w:div w:id="1401364224">
      <w:marLeft w:val="0"/>
      <w:marRight w:val="0"/>
      <w:marTop w:val="120"/>
      <w:marBottom w:val="120"/>
      <w:divBdr>
        <w:top w:val="none" w:sz="0" w:space="0" w:color="auto"/>
        <w:left w:val="none" w:sz="0" w:space="0" w:color="auto"/>
        <w:bottom w:val="none" w:sz="0" w:space="0" w:color="auto"/>
        <w:right w:val="none" w:sz="0" w:space="0" w:color="auto"/>
      </w:divBdr>
    </w:div>
    <w:div w:id="1402368731">
      <w:marLeft w:val="0"/>
      <w:marRight w:val="0"/>
      <w:marTop w:val="0"/>
      <w:marBottom w:val="120"/>
      <w:divBdr>
        <w:top w:val="none" w:sz="0" w:space="0" w:color="auto"/>
        <w:left w:val="none" w:sz="0" w:space="0" w:color="auto"/>
        <w:bottom w:val="none" w:sz="0" w:space="0" w:color="auto"/>
        <w:right w:val="none" w:sz="0" w:space="0" w:color="auto"/>
      </w:divBdr>
    </w:div>
    <w:div w:id="1404260504">
      <w:marLeft w:val="0"/>
      <w:marRight w:val="0"/>
      <w:marTop w:val="120"/>
      <w:marBottom w:val="0"/>
      <w:divBdr>
        <w:top w:val="none" w:sz="0" w:space="0" w:color="auto"/>
        <w:left w:val="none" w:sz="0" w:space="0" w:color="auto"/>
        <w:bottom w:val="none" w:sz="0" w:space="0" w:color="auto"/>
        <w:right w:val="none" w:sz="0" w:space="0" w:color="auto"/>
      </w:divBdr>
    </w:div>
    <w:div w:id="1407339584">
      <w:marLeft w:val="0"/>
      <w:marRight w:val="0"/>
      <w:marTop w:val="120"/>
      <w:marBottom w:val="120"/>
      <w:divBdr>
        <w:top w:val="none" w:sz="0" w:space="0" w:color="auto"/>
        <w:left w:val="none" w:sz="0" w:space="0" w:color="auto"/>
        <w:bottom w:val="none" w:sz="0" w:space="0" w:color="auto"/>
        <w:right w:val="none" w:sz="0" w:space="0" w:color="auto"/>
      </w:divBdr>
    </w:div>
    <w:div w:id="1409889790">
      <w:marLeft w:val="0"/>
      <w:marRight w:val="0"/>
      <w:marTop w:val="120"/>
      <w:marBottom w:val="120"/>
      <w:divBdr>
        <w:top w:val="none" w:sz="0" w:space="0" w:color="auto"/>
        <w:left w:val="none" w:sz="0" w:space="0" w:color="auto"/>
        <w:bottom w:val="none" w:sz="0" w:space="0" w:color="auto"/>
        <w:right w:val="none" w:sz="0" w:space="0" w:color="auto"/>
      </w:divBdr>
    </w:div>
    <w:div w:id="1413355010">
      <w:marLeft w:val="0"/>
      <w:marRight w:val="0"/>
      <w:marTop w:val="120"/>
      <w:marBottom w:val="0"/>
      <w:divBdr>
        <w:top w:val="none" w:sz="0" w:space="0" w:color="auto"/>
        <w:left w:val="none" w:sz="0" w:space="0" w:color="auto"/>
        <w:bottom w:val="none" w:sz="0" w:space="0" w:color="auto"/>
        <w:right w:val="none" w:sz="0" w:space="0" w:color="auto"/>
      </w:divBdr>
    </w:div>
    <w:div w:id="1414818870">
      <w:marLeft w:val="0"/>
      <w:marRight w:val="0"/>
      <w:marTop w:val="120"/>
      <w:marBottom w:val="120"/>
      <w:divBdr>
        <w:top w:val="none" w:sz="0" w:space="0" w:color="auto"/>
        <w:left w:val="none" w:sz="0" w:space="0" w:color="auto"/>
        <w:bottom w:val="none" w:sz="0" w:space="0" w:color="auto"/>
        <w:right w:val="none" w:sz="0" w:space="0" w:color="auto"/>
      </w:divBdr>
    </w:div>
    <w:div w:id="1415282081">
      <w:marLeft w:val="0"/>
      <w:marRight w:val="0"/>
      <w:marTop w:val="120"/>
      <w:marBottom w:val="0"/>
      <w:divBdr>
        <w:top w:val="none" w:sz="0" w:space="0" w:color="auto"/>
        <w:left w:val="none" w:sz="0" w:space="0" w:color="auto"/>
        <w:bottom w:val="none" w:sz="0" w:space="0" w:color="auto"/>
        <w:right w:val="none" w:sz="0" w:space="0" w:color="auto"/>
      </w:divBdr>
    </w:div>
    <w:div w:id="1416902296">
      <w:marLeft w:val="0"/>
      <w:marRight w:val="0"/>
      <w:marTop w:val="180"/>
      <w:marBottom w:val="0"/>
      <w:divBdr>
        <w:top w:val="none" w:sz="0" w:space="0" w:color="auto"/>
        <w:left w:val="none" w:sz="0" w:space="0" w:color="auto"/>
        <w:bottom w:val="none" w:sz="0" w:space="0" w:color="auto"/>
        <w:right w:val="none" w:sz="0" w:space="0" w:color="auto"/>
      </w:divBdr>
    </w:div>
    <w:div w:id="1417365721">
      <w:marLeft w:val="0"/>
      <w:marRight w:val="0"/>
      <w:marTop w:val="120"/>
      <w:marBottom w:val="0"/>
      <w:divBdr>
        <w:top w:val="none" w:sz="0" w:space="0" w:color="auto"/>
        <w:left w:val="none" w:sz="0" w:space="0" w:color="auto"/>
        <w:bottom w:val="none" w:sz="0" w:space="0" w:color="auto"/>
        <w:right w:val="none" w:sz="0" w:space="0" w:color="auto"/>
      </w:divBdr>
    </w:div>
    <w:div w:id="1417901484">
      <w:marLeft w:val="0"/>
      <w:marRight w:val="0"/>
      <w:marTop w:val="120"/>
      <w:marBottom w:val="120"/>
      <w:divBdr>
        <w:top w:val="none" w:sz="0" w:space="0" w:color="auto"/>
        <w:left w:val="none" w:sz="0" w:space="0" w:color="auto"/>
        <w:bottom w:val="none" w:sz="0" w:space="0" w:color="auto"/>
        <w:right w:val="none" w:sz="0" w:space="0" w:color="auto"/>
      </w:divBdr>
    </w:div>
    <w:div w:id="1418089993">
      <w:marLeft w:val="0"/>
      <w:marRight w:val="0"/>
      <w:marTop w:val="120"/>
      <w:marBottom w:val="120"/>
      <w:divBdr>
        <w:top w:val="none" w:sz="0" w:space="0" w:color="auto"/>
        <w:left w:val="none" w:sz="0" w:space="0" w:color="auto"/>
        <w:bottom w:val="none" w:sz="0" w:space="0" w:color="auto"/>
        <w:right w:val="none" w:sz="0" w:space="0" w:color="auto"/>
      </w:divBdr>
    </w:div>
    <w:div w:id="1420759356">
      <w:marLeft w:val="0"/>
      <w:marRight w:val="0"/>
      <w:marTop w:val="120"/>
      <w:marBottom w:val="0"/>
      <w:divBdr>
        <w:top w:val="none" w:sz="0" w:space="0" w:color="auto"/>
        <w:left w:val="none" w:sz="0" w:space="0" w:color="auto"/>
        <w:bottom w:val="none" w:sz="0" w:space="0" w:color="auto"/>
        <w:right w:val="none" w:sz="0" w:space="0" w:color="auto"/>
      </w:divBdr>
    </w:div>
    <w:div w:id="1422335778">
      <w:marLeft w:val="0"/>
      <w:marRight w:val="0"/>
      <w:marTop w:val="120"/>
      <w:marBottom w:val="0"/>
      <w:divBdr>
        <w:top w:val="none" w:sz="0" w:space="0" w:color="auto"/>
        <w:left w:val="none" w:sz="0" w:space="0" w:color="auto"/>
        <w:bottom w:val="none" w:sz="0" w:space="0" w:color="auto"/>
        <w:right w:val="none" w:sz="0" w:space="0" w:color="auto"/>
      </w:divBdr>
    </w:div>
    <w:div w:id="1425220670">
      <w:marLeft w:val="0"/>
      <w:marRight w:val="0"/>
      <w:marTop w:val="0"/>
      <w:marBottom w:val="0"/>
      <w:divBdr>
        <w:top w:val="none" w:sz="0" w:space="0" w:color="auto"/>
        <w:left w:val="none" w:sz="0" w:space="0" w:color="auto"/>
        <w:bottom w:val="none" w:sz="0" w:space="0" w:color="auto"/>
        <w:right w:val="none" w:sz="0" w:space="0" w:color="auto"/>
      </w:divBdr>
      <w:divsChild>
        <w:div w:id="1226334520">
          <w:marLeft w:val="0"/>
          <w:marRight w:val="0"/>
          <w:marTop w:val="0"/>
          <w:marBottom w:val="0"/>
          <w:divBdr>
            <w:top w:val="none" w:sz="0" w:space="0" w:color="auto"/>
            <w:left w:val="none" w:sz="0" w:space="0" w:color="auto"/>
            <w:bottom w:val="none" w:sz="0" w:space="0" w:color="auto"/>
            <w:right w:val="none" w:sz="0" w:space="0" w:color="auto"/>
          </w:divBdr>
        </w:div>
      </w:divsChild>
    </w:div>
    <w:div w:id="1426077192">
      <w:marLeft w:val="0"/>
      <w:marRight w:val="0"/>
      <w:marTop w:val="120"/>
      <w:marBottom w:val="120"/>
      <w:divBdr>
        <w:top w:val="none" w:sz="0" w:space="0" w:color="auto"/>
        <w:left w:val="none" w:sz="0" w:space="0" w:color="auto"/>
        <w:bottom w:val="none" w:sz="0" w:space="0" w:color="auto"/>
        <w:right w:val="none" w:sz="0" w:space="0" w:color="auto"/>
      </w:divBdr>
    </w:div>
    <w:div w:id="1426146904">
      <w:marLeft w:val="0"/>
      <w:marRight w:val="0"/>
      <w:marTop w:val="0"/>
      <w:marBottom w:val="0"/>
      <w:divBdr>
        <w:top w:val="none" w:sz="0" w:space="0" w:color="auto"/>
        <w:left w:val="none" w:sz="0" w:space="0" w:color="auto"/>
        <w:bottom w:val="none" w:sz="0" w:space="0" w:color="auto"/>
        <w:right w:val="none" w:sz="0" w:space="0" w:color="auto"/>
      </w:divBdr>
    </w:div>
    <w:div w:id="1426803421">
      <w:marLeft w:val="0"/>
      <w:marRight w:val="0"/>
      <w:marTop w:val="0"/>
      <w:marBottom w:val="0"/>
      <w:divBdr>
        <w:top w:val="none" w:sz="0" w:space="0" w:color="auto"/>
        <w:left w:val="none" w:sz="0" w:space="0" w:color="auto"/>
        <w:bottom w:val="none" w:sz="0" w:space="0" w:color="auto"/>
        <w:right w:val="none" w:sz="0" w:space="0" w:color="auto"/>
      </w:divBdr>
      <w:divsChild>
        <w:div w:id="1758401716">
          <w:marLeft w:val="0"/>
          <w:marRight w:val="0"/>
          <w:marTop w:val="0"/>
          <w:marBottom w:val="0"/>
          <w:divBdr>
            <w:top w:val="none" w:sz="0" w:space="0" w:color="auto"/>
            <w:left w:val="none" w:sz="0" w:space="0" w:color="auto"/>
            <w:bottom w:val="none" w:sz="0" w:space="0" w:color="auto"/>
            <w:right w:val="none" w:sz="0" w:space="0" w:color="auto"/>
          </w:divBdr>
        </w:div>
      </w:divsChild>
    </w:div>
    <w:div w:id="1426882268">
      <w:marLeft w:val="0"/>
      <w:marRight w:val="0"/>
      <w:marTop w:val="120"/>
      <w:marBottom w:val="120"/>
      <w:divBdr>
        <w:top w:val="none" w:sz="0" w:space="0" w:color="auto"/>
        <w:left w:val="none" w:sz="0" w:space="0" w:color="auto"/>
        <w:bottom w:val="none" w:sz="0" w:space="0" w:color="auto"/>
        <w:right w:val="none" w:sz="0" w:space="0" w:color="auto"/>
      </w:divBdr>
    </w:div>
    <w:div w:id="1427731258">
      <w:marLeft w:val="0"/>
      <w:marRight w:val="0"/>
      <w:marTop w:val="0"/>
      <w:marBottom w:val="0"/>
      <w:divBdr>
        <w:top w:val="none" w:sz="0" w:space="0" w:color="auto"/>
        <w:left w:val="none" w:sz="0" w:space="0" w:color="auto"/>
        <w:bottom w:val="none" w:sz="0" w:space="0" w:color="auto"/>
        <w:right w:val="none" w:sz="0" w:space="0" w:color="auto"/>
      </w:divBdr>
      <w:divsChild>
        <w:div w:id="2050913984">
          <w:marLeft w:val="0"/>
          <w:marRight w:val="0"/>
          <w:marTop w:val="0"/>
          <w:marBottom w:val="0"/>
          <w:divBdr>
            <w:top w:val="none" w:sz="0" w:space="0" w:color="auto"/>
            <w:left w:val="none" w:sz="0" w:space="0" w:color="auto"/>
            <w:bottom w:val="none" w:sz="0" w:space="0" w:color="auto"/>
            <w:right w:val="none" w:sz="0" w:space="0" w:color="auto"/>
          </w:divBdr>
        </w:div>
      </w:divsChild>
    </w:div>
    <w:div w:id="1428382356">
      <w:marLeft w:val="0"/>
      <w:marRight w:val="0"/>
      <w:marTop w:val="120"/>
      <w:marBottom w:val="0"/>
      <w:divBdr>
        <w:top w:val="none" w:sz="0" w:space="0" w:color="auto"/>
        <w:left w:val="none" w:sz="0" w:space="0" w:color="auto"/>
        <w:bottom w:val="none" w:sz="0" w:space="0" w:color="auto"/>
        <w:right w:val="none" w:sz="0" w:space="0" w:color="auto"/>
      </w:divBdr>
    </w:div>
    <w:div w:id="1431316259">
      <w:marLeft w:val="0"/>
      <w:marRight w:val="0"/>
      <w:marTop w:val="120"/>
      <w:marBottom w:val="120"/>
      <w:divBdr>
        <w:top w:val="none" w:sz="0" w:space="0" w:color="auto"/>
        <w:left w:val="none" w:sz="0" w:space="0" w:color="auto"/>
        <w:bottom w:val="none" w:sz="0" w:space="0" w:color="auto"/>
        <w:right w:val="none" w:sz="0" w:space="0" w:color="auto"/>
      </w:divBdr>
    </w:div>
    <w:div w:id="1432824136">
      <w:marLeft w:val="0"/>
      <w:marRight w:val="0"/>
      <w:marTop w:val="0"/>
      <w:marBottom w:val="0"/>
      <w:divBdr>
        <w:top w:val="none" w:sz="0" w:space="0" w:color="auto"/>
        <w:left w:val="none" w:sz="0" w:space="0" w:color="auto"/>
        <w:bottom w:val="none" w:sz="0" w:space="0" w:color="auto"/>
        <w:right w:val="none" w:sz="0" w:space="0" w:color="auto"/>
      </w:divBdr>
      <w:divsChild>
        <w:div w:id="1526407392">
          <w:marLeft w:val="0"/>
          <w:marRight w:val="0"/>
          <w:marTop w:val="0"/>
          <w:marBottom w:val="0"/>
          <w:divBdr>
            <w:top w:val="none" w:sz="0" w:space="0" w:color="auto"/>
            <w:left w:val="none" w:sz="0" w:space="0" w:color="auto"/>
            <w:bottom w:val="none" w:sz="0" w:space="0" w:color="auto"/>
            <w:right w:val="none" w:sz="0" w:space="0" w:color="auto"/>
          </w:divBdr>
        </w:div>
      </w:divsChild>
    </w:div>
    <w:div w:id="1433668792">
      <w:marLeft w:val="0"/>
      <w:marRight w:val="0"/>
      <w:marTop w:val="0"/>
      <w:marBottom w:val="0"/>
      <w:divBdr>
        <w:top w:val="none" w:sz="0" w:space="0" w:color="auto"/>
        <w:left w:val="none" w:sz="0" w:space="0" w:color="auto"/>
        <w:bottom w:val="none" w:sz="0" w:space="0" w:color="auto"/>
        <w:right w:val="none" w:sz="0" w:space="0" w:color="auto"/>
      </w:divBdr>
      <w:divsChild>
        <w:div w:id="1028796124">
          <w:marLeft w:val="0"/>
          <w:marRight w:val="0"/>
          <w:marTop w:val="0"/>
          <w:marBottom w:val="0"/>
          <w:divBdr>
            <w:top w:val="none" w:sz="0" w:space="0" w:color="auto"/>
            <w:left w:val="none" w:sz="0" w:space="0" w:color="auto"/>
            <w:bottom w:val="none" w:sz="0" w:space="0" w:color="auto"/>
            <w:right w:val="none" w:sz="0" w:space="0" w:color="auto"/>
          </w:divBdr>
        </w:div>
      </w:divsChild>
    </w:div>
    <w:div w:id="1433864352">
      <w:marLeft w:val="0"/>
      <w:marRight w:val="0"/>
      <w:marTop w:val="120"/>
      <w:marBottom w:val="120"/>
      <w:divBdr>
        <w:top w:val="none" w:sz="0" w:space="0" w:color="auto"/>
        <w:left w:val="none" w:sz="0" w:space="0" w:color="auto"/>
        <w:bottom w:val="none" w:sz="0" w:space="0" w:color="auto"/>
        <w:right w:val="none" w:sz="0" w:space="0" w:color="auto"/>
      </w:divBdr>
    </w:div>
    <w:div w:id="1434666394">
      <w:marLeft w:val="0"/>
      <w:marRight w:val="0"/>
      <w:marTop w:val="120"/>
      <w:marBottom w:val="120"/>
      <w:divBdr>
        <w:top w:val="none" w:sz="0" w:space="0" w:color="auto"/>
        <w:left w:val="none" w:sz="0" w:space="0" w:color="auto"/>
        <w:bottom w:val="none" w:sz="0" w:space="0" w:color="auto"/>
        <w:right w:val="none" w:sz="0" w:space="0" w:color="auto"/>
      </w:divBdr>
    </w:div>
    <w:div w:id="1435133718">
      <w:marLeft w:val="0"/>
      <w:marRight w:val="0"/>
      <w:marTop w:val="0"/>
      <w:marBottom w:val="0"/>
      <w:divBdr>
        <w:top w:val="none" w:sz="0" w:space="0" w:color="auto"/>
        <w:left w:val="none" w:sz="0" w:space="0" w:color="auto"/>
        <w:bottom w:val="none" w:sz="0" w:space="0" w:color="auto"/>
        <w:right w:val="none" w:sz="0" w:space="0" w:color="auto"/>
      </w:divBdr>
    </w:div>
    <w:div w:id="1435134121">
      <w:marLeft w:val="0"/>
      <w:marRight w:val="0"/>
      <w:marTop w:val="120"/>
      <w:marBottom w:val="0"/>
      <w:divBdr>
        <w:top w:val="none" w:sz="0" w:space="0" w:color="auto"/>
        <w:left w:val="none" w:sz="0" w:space="0" w:color="auto"/>
        <w:bottom w:val="none" w:sz="0" w:space="0" w:color="auto"/>
        <w:right w:val="none" w:sz="0" w:space="0" w:color="auto"/>
      </w:divBdr>
    </w:div>
    <w:div w:id="1436169029">
      <w:marLeft w:val="0"/>
      <w:marRight w:val="0"/>
      <w:marTop w:val="0"/>
      <w:marBottom w:val="0"/>
      <w:divBdr>
        <w:top w:val="none" w:sz="0" w:space="0" w:color="auto"/>
        <w:left w:val="none" w:sz="0" w:space="0" w:color="auto"/>
        <w:bottom w:val="none" w:sz="0" w:space="0" w:color="auto"/>
        <w:right w:val="none" w:sz="0" w:space="0" w:color="auto"/>
      </w:divBdr>
    </w:div>
    <w:div w:id="1438869767">
      <w:marLeft w:val="0"/>
      <w:marRight w:val="0"/>
      <w:marTop w:val="0"/>
      <w:marBottom w:val="0"/>
      <w:divBdr>
        <w:top w:val="none" w:sz="0" w:space="0" w:color="auto"/>
        <w:left w:val="none" w:sz="0" w:space="0" w:color="auto"/>
        <w:bottom w:val="none" w:sz="0" w:space="0" w:color="auto"/>
        <w:right w:val="none" w:sz="0" w:space="0" w:color="auto"/>
      </w:divBdr>
      <w:divsChild>
        <w:div w:id="151063912">
          <w:marLeft w:val="0"/>
          <w:marRight w:val="0"/>
          <w:marTop w:val="0"/>
          <w:marBottom w:val="0"/>
          <w:divBdr>
            <w:top w:val="none" w:sz="0" w:space="0" w:color="auto"/>
            <w:left w:val="none" w:sz="0" w:space="0" w:color="auto"/>
            <w:bottom w:val="none" w:sz="0" w:space="0" w:color="auto"/>
            <w:right w:val="none" w:sz="0" w:space="0" w:color="auto"/>
          </w:divBdr>
        </w:div>
      </w:divsChild>
    </w:div>
    <w:div w:id="1442148554">
      <w:marLeft w:val="0"/>
      <w:marRight w:val="0"/>
      <w:marTop w:val="0"/>
      <w:marBottom w:val="0"/>
      <w:divBdr>
        <w:top w:val="none" w:sz="0" w:space="0" w:color="auto"/>
        <w:left w:val="none" w:sz="0" w:space="0" w:color="auto"/>
        <w:bottom w:val="none" w:sz="0" w:space="0" w:color="auto"/>
        <w:right w:val="none" w:sz="0" w:space="0" w:color="auto"/>
      </w:divBdr>
    </w:div>
    <w:div w:id="1447312132">
      <w:marLeft w:val="0"/>
      <w:marRight w:val="0"/>
      <w:marTop w:val="120"/>
      <w:marBottom w:val="0"/>
      <w:divBdr>
        <w:top w:val="none" w:sz="0" w:space="0" w:color="auto"/>
        <w:left w:val="none" w:sz="0" w:space="0" w:color="auto"/>
        <w:bottom w:val="none" w:sz="0" w:space="0" w:color="auto"/>
        <w:right w:val="none" w:sz="0" w:space="0" w:color="auto"/>
      </w:divBdr>
    </w:div>
    <w:div w:id="1448618408">
      <w:marLeft w:val="0"/>
      <w:marRight w:val="0"/>
      <w:marTop w:val="120"/>
      <w:marBottom w:val="120"/>
      <w:divBdr>
        <w:top w:val="none" w:sz="0" w:space="0" w:color="auto"/>
        <w:left w:val="none" w:sz="0" w:space="0" w:color="auto"/>
        <w:bottom w:val="none" w:sz="0" w:space="0" w:color="auto"/>
        <w:right w:val="none" w:sz="0" w:space="0" w:color="auto"/>
      </w:divBdr>
    </w:div>
    <w:div w:id="1453090705">
      <w:marLeft w:val="0"/>
      <w:marRight w:val="0"/>
      <w:marTop w:val="120"/>
      <w:marBottom w:val="0"/>
      <w:divBdr>
        <w:top w:val="none" w:sz="0" w:space="0" w:color="auto"/>
        <w:left w:val="none" w:sz="0" w:space="0" w:color="auto"/>
        <w:bottom w:val="none" w:sz="0" w:space="0" w:color="auto"/>
        <w:right w:val="none" w:sz="0" w:space="0" w:color="auto"/>
      </w:divBdr>
    </w:div>
    <w:div w:id="1454012872">
      <w:marLeft w:val="0"/>
      <w:marRight w:val="0"/>
      <w:marTop w:val="180"/>
      <w:marBottom w:val="60"/>
      <w:divBdr>
        <w:top w:val="none" w:sz="0" w:space="0" w:color="auto"/>
        <w:left w:val="none" w:sz="0" w:space="0" w:color="auto"/>
        <w:bottom w:val="none" w:sz="0" w:space="0" w:color="auto"/>
        <w:right w:val="none" w:sz="0" w:space="0" w:color="auto"/>
      </w:divBdr>
    </w:div>
    <w:div w:id="1457407402">
      <w:marLeft w:val="0"/>
      <w:marRight w:val="0"/>
      <w:marTop w:val="180"/>
      <w:marBottom w:val="120"/>
      <w:divBdr>
        <w:top w:val="none" w:sz="0" w:space="0" w:color="auto"/>
        <w:left w:val="none" w:sz="0" w:space="0" w:color="auto"/>
        <w:bottom w:val="none" w:sz="0" w:space="0" w:color="auto"/>
        <w:right w:val="none" w:sz="0" w:space="0" w:color="auto"/>
      </w:divBdr>
    </w:div>
    <w:div w:id="1458841359">
      <w:marLeft w:val="0"/>
      <w:marRight w:val="0"/>
      <w:marTop w:val="120"/>
      <w:marBottom w:val="0"/>
      <w:divBdr>
        <w:top w:val="none" w:sz="0" w:space="0" w:color="auto"/>
        <w:left w:val="none" w:sz="0" w:space="0" w:color="auto"/>
        <w:bottom w:val="none" w:sz="0" w:space="0" w:color="auto"/>
        <w:right w:val="none" w:sz="0" w:space="0" w:color="auto"/>
      </w:divBdr>
    </w:div>
    <w:div w:id="1466007488">
      <w:marLeft w:val="0"/>
      <w:marRight w:val="0"/>
      <w:marTop w:val="120"/>
      <w:marBottom w:val="120"/>
      <w:divBdr>
        <w:top w:val="none" w:sz="0" w:space="0" w:color="auto"/>
        <w:left w:val="none" w:sz="0" w:space="0" w:color="auto"/>
        <w:bottom w:val="none" w:sz="0" w:space="0" w:color="auto"/>
        <w:right w:val="none" w:sz="0" w:space="0" w:color="auto"/>
      </w:divBdr>
    </w:div>
    <w:div w:id="1471291812">
      <w:marLeft w:val="0"/>
      <w:marRight w:val="0"/>
      <w:marTop w:val="120"/>
      <w:marBottom w:val="0"/>
      <w:divBdr>
        <w:top w:val="none" w:sz="0" w:space="0" w:color="auto"/>
        <w:left w:val="none" w:sz="0" w:space="0" w:color="auto"/>
        <w:bottom w:val="none" w:sz="0" w:space="0" w:color="auto"/>
        <w:right w:val="none" w:sz="0" w:space="0" w:color="auto"/>
      </w:divBdr>
    </w:div>
    <w:div w:id="1477061965">
      <w:marLeft w:val="0"/>
      <w:marRight w:val="0"/>
      <w:marTop w:val="120"/>
      <w:marBottom w:val="120"/>
      <w:divBdr>
        <w:top w:val="none" w:sz="0" w:space="0" w:color="auto"/>
        <w:left w:val="none" w:sz="0" w:space="0" w:color="auto"/>
        <w:bottom w:val="none" w:sz="0" w:space="0" w:color="auto"/>
        <w:right w:val="none" w:sz="0" w:space="0" w:color="auto"/>
      </w:divBdr>
    </w:div>
    <w:div w:id="1479422352">
      <w:marLeft w:val="0"/>
      <w:marRight w:val="0"/>
      <w:marTop w:val="180"/>
      <w:marBottom w:val="120"/>
      <w:divBdr>
        <w:top w:val="none" w:sz="0" w:space="0" w:color="auto"/>
        <w:left w:val="none" w:sz="0" w:space="0" w:color="auto"/>
        <w:bottom w:val="none" w:sz="0" w:space="0" w:color="auto"/>
        <w:right w:val="none" w:sz="0" w:space="0" w:color="auto"/>
      </w:divBdr>
    </w:div>
    <w:div w:id="1480345816">
      <w:marLeft w:val="0"/>
      <w:marRight w:val="0"/>
      <w:marTop w:val="0"/>
      <w:marBottom w:val="0"/>
      <w:divBdr>
        <w:top w:val="none" w:sz="0" w:space="0" w:color="auto"/>
        <w:left w:val="none" w:sz="0" w:space="0" w:color="auto"/>
        <w:bottom w:val="none" w:sz="0" w:space="0" w:color="auto"/>
        <w:right w:val="none" w:sz="0" w:space="0" w:color="auto"/>
      </w:divBdr>
    </w:div>
    <w:div w:id="1484466609">
      <w:marLeft w:val="0"/>
      <w:marRight w:val="0"/>
      <w:marTop w:val="120"/>
      <w:marBottom w:val="0"/>
      <w:divBdr>
        <w:top w:val="none" w:sz="0" w:space="0" w:color="auto"/>
        <w:left w:val="none" w:sz="0" w:space="0" w:color="auto"/>
        <w:bottom w:val="none" w:sz="0" w:space="0" w:color="auto"/>
        <w:right w:val="none" w:sz="0" w:space="0" w:color="auto"/>
      </w:divBdr>
    </w:div>
    <w:div w:id="1487356511">
      <w:marLeft w:val="0"/>
      <w:marRight w:val="0"/>
      <w:marTop w:val="120"/>
      <w:marBottom w:val="120"/>
      <w:divBdr>
        <w:top w:val="none" w:sz="0" w:space="0" w:color="auto"/>
        <w:left w:val="none" w:sz="0" w:space="0" w:color="auto"/>
        <w:bottom w:val="none" w:sz="0" w:space="0" w:color="auto"/>
        <w:right w:val="none" w:sz="0" w:space="0" w:color="auto"/>
      </w:divBdr>
    </w:div>
    <w:div w:id="1488087448">
      <w:marLeft w:val="0"/>
      <w:marRight w:val="0"/>
      <w:marTop w:val="0"/>
      <w:marBottom w:val="120"/>
      <w:divBdr>
        <w:top w:val="none" w:sz="0" w:space="0" w:color="auto"/>
        <w:left w:val="none" w:sz="0" w:space="0" w:color="auto"/>
        <w:bottom w:val="none" w:sz="0" w:space="0" w:color="auto"/>
        <w:right w:val="none" w:sz="0" w:space="0" w:color="auto"/>
      </w:divBdr>
    </w:div>
    <w:div w:id="1490441007">
      <w:marLeft w:val="0"/>
      <w:marRight w:val="0"/>
      <w:marTop w:val="120"/>
      <w:marBottom w:val="0"/>
      <w:divBdr>
        <w:top w:val="none" w:sz="0" w:space="0" w:color="auto"/>
        <w:left w:val="none" w:sz="0" w:space="0" w:color="auto"/>
        <w:bottom w:val="none" w:sz="0" w:space="0" w:color="auto"/>
        <w:right w:val="none" w:sz="0" w:space="0" w:color="auto"/>
      </w:divBdr>
    </w:div>
    <w:div w:id="1495875585">
      <w:marLeft w:val="0"/>
      <w:marRight w:val="0"/>
      <w:marTop w:val="0"/>
      <w:marBottom w:val="0"/>
      <w:divBdr>
        <w:top w:val="none" w:sz="0" w:space="0" w:color="auto"/>
        <w:left w:val="none" w:sz="0" w:space="0" w:color="auto"/>
        <w:bottom w:val="none" w:sz="0" w:space="0" w:color="auto"/>
        <w:right w:val="none" w:sz="0" w:space="0" w:color="auto"/>
      </w:divBdr>
    </w:div>
    <w:div w:id="1502814423">
      <w:marLeft w:val="0"/>
      <w:marRight w:val="0"/>
      <w:marTop w:val="120"/>
      <w:marBottom w:val="0"/>
      <w:divBdr>
        <w:top w:val="none" w:sz="0" w:space="0" w:color="auto"/>
        <w:left w:val="none" w:sz="0" w:space="0" w:color="auto"/>
        <w:bottom w:val="none" w:sz="0" w:space="0" w:color="auto"/>
        <w:right w:val="none" w:sz="0" w:space="0" w:color="auto"/>
      </w:divBdr>
    </w:div>
    <w:div w:id="1506629778">
      <w:marLeft w:val="0"/>
      <w:marRight w:val="0"/>
      <w:marTop w:val="0"/>
      <w:marBottom w:val="0"/>
      <w:divBdr>
        <w:top w:val="none" w:sz="0" w:space="0" w:color="auto"/>
        <w:left w:val="none" w:sz="0" w:space="0" w:color="auto"/>
        <w:bottom w:val="none" w:sz="0" w:space="0" w:color="auto"/>
        <w:right w:val="none" w:sz="0" w:space="0" w:color="auto"/>
      </w:divBdr>
    </w:div>
    <w:div w:id="1510490266">
      <w:marLeft w:val="0"/>
      <w:marRight w:val="0"/>
      <w:marTop w:val="0"/>
      <w:marBottom w:val="0"/>
      <w:divBdr>
        <w:top w:val="none" w:sz="0" w:space="0" w:color="auto"/>
        <w:left w:val="none" w:sz="0" w:space="0" w:color="auto"/>
        <w:bottom w:val="none" w:sz="0" w:space="0" w:color="auto"/>
        <w:right w:val="none" w:sz="0" w:space="0" w:color="auto"/>
      </w:divBdr>
      <w:divsChild>
        <w:div w:id="496380546">
          <w:marLeft w:val="0"/>
          <w:marRight w:val="0"/>
          <w:marTop w:val="0"/>
          <w:marBottom w:val="0"/>
          <w:divBdr>
            <w:top w:val="none" w:sz="0" w:space="0" w:color="auto"/>
            <w:left w:val="none" w:sz="0" w:space="0" w:color="auto"/>
            <w:bottom w:val="none" w:sz="0" w:space="0" w:color="auto"/>
            <w:right w:val="none" w:sz="0" w:space="0" w:color="auto"/>
          </w:divBdr>
        </w:div>
      </w:divsChild>
    </w:div>
    <w:div w:id="1512909756">
      <w:marLeft w:val="0"/>
      <w:marRight w:val="0"/>
      <w:marTop w:val="0"/>
      <w:marBottom w:val="0"/>
      <w:divBdr>
        <w:top w:val="none" w:sz="0" w:space="0" w:color="auto"/>
        <w:left w:val="none" w:sz="0" w:space="0" w:color="auto"/>
        <w:bottom w:val="none" w:sz="0" w:space="0" w:color="auto"/>
        <w:right w:val="none" w:sz="0" w:space="0" w:color="auto"/>
      </w:divBdr>
    </w:div>
    <w:div w:id="1516186619">
      <w:marLeft w:val="0"/>
      <w:marRight w:val="0"/>
      <w:marTop w:val="0"/>
      <w:marBottom w:val="0"/>
      <w:divBdr>
        <w:top w:val="none" w:sz="0" w:space="0" w:color="auto"/>
        <w:left w:val="none" w:sz="0" w:space="0" w:color="auto"/>
        <w:bottom w:val="none" w:sz="0" w:space="0" w:color="auto"/>
        <w:right w:val="none" w:sz="0" w:space="0" w:color="auto"/>
      </w:divBdr>
    </w:div>
    <w:div w:id="1525946490">
      <w:marLeft w:val="0"/>
      <w:marRight w:val="0"/>
      <w:marTop w:val="0"/>
      <w:marBottom w:val="120"/>
      <w:divBdr>
        <w:top w:val="none" w:sz="0" w:space="0" w:color="auto"/>
        <w:left w:val="none" w:sz="0" w:space="0" w:color="auto"/>
        <w:bottom w:val="none" w:sz="0" w:space="0" w:color="auto"/>
        <w:right w:val="none" w:sz="0" w:space="0" w:color="auto"/>
      </w:divBdr>
    </w:div>
    <w:div w:id="1528058123">
      <w:marLeft w:val="0"/>
      <w:marRight w:val="0"/>
      <w:marTop w:val="240"/>
      <w:marBottom w:val="120"/>
      <w:divBdr>
        <w:top w:val="none" w:sz="0" w:space="0" w:color="auto"/>
        <w:left w:val="none" w:sz="0" w:space="0" w:color="auto"/>
        <w:bottom w:val="none" w:sz="0" w:space="0" w:color="auto"/>
        <w:right w:val="none" w:sz="0" w:space="0" w:color="auto"/>
      </w:divBdr>
    </w:div>
    <w:div w:id="1529297817">
      <w:marLeft w:val="0"/>
      <w:marRight w:val="0"/>
      <w:marTop w:val="120"/>
      <w:marBottom w:val="0"/>
      <w:divBdr>
        <w:top w:val="none" w:sz="0" w:space="0" w:color="auto"/>
        <w:left w:val="none" w:sz="0" w:space="0" w:color="auto"/>
        <w:bottom w:val="none" w:sz="0" w:space="0" w:color="auto"/>
        <w:right w:val="none" w:sz="0" w:space="0" w:color="auto"/>
      </w:divBdr>
    </w:div>
    <w:div w:id="1530728126">
      <w:marLeft w:val="0"/>
      <w:marRight w:val="0"/>
      <w:marTop w:val="0"/>
      <w:marBottom w:val="0"/>
      <w:divBdr>
        <w:top w:val="none" w:sz="0" w:space="0" w:color="auto"/>
        <w:left w:val="none" w:sz="0" w:space="0" w:color="auto"/>
        <w:bottom w:val="none" w:sz="0" w:space="0" w:color="auto"/>
        <w:right w:val="none" w:sz="0" w:space="0" w:color="auto"/>
      </w:divBdr>
      <w:divsChild>
        <w:div w:id="1089739640">
          <w:marLeft w:val="0"/>
          <w:marRight w:val="0"/>
          <w:marTop w:val="0"/>
          <w:marBottom w:val="0"/>
          <w:divBdr>
            <w:top w:val="none" w:sz="0" w:space="0" w:color="auto"/>
            <w:left w:val="none" w:sz="0" w:space="0" w:color="auto"/>
            <w:bottom w:val="none" w:sz="0" w:space="0" w:color="auto"/>
            <w:right w:val="none" w:sz="0" w:space="0" w:color="auto"/>
          </w:divBdr>
        </w:div>
      </w:divsChild>
    </w:div>
    <w:div w:id="1532643617">
      <w:marLeft w:val="0"/>
      <w:marRight w:val="0"/>
      <w:marTop w:val="0"/>
      <w:marBottom w:val="0"/>
      <w:divBdr>
        <w:top w:val="none" w:sz="0" w:space="0" w:color="auto"/>
        <w:left w:val="none" w:sz="0" w:space="0" w:color="auto"/>
        <w:bottom w:val="none" w:sz="0" w:space="0" w:color="auto"/>
        <w:right w:val="none" w:sz="0" w:space="0" w:color="auto"/>
      </w:divBdr>
    </w:div>
    <w:div w:id="1533228382">
      <w:marLeft w:val="0"/>
      <w:marRight w:val="0"/>
      <w:marTop w:val="120"/>
      <w:marBottom w:val="120"/>
      <w:divBdr>
        <w:top w:val="none" w:sz="0" w:space="0" w:color="auto"/>
        <w:left w:val="none" w:sz="0" w:space="0" w:color="auto"/>
        <w:bottom w:val="none" w:sz="0" w:space="0" w:color="auto"/>
        <w:right w:val="none" w:sz="0" w:space="0" w:color="auto"/>
      </w:divBdr>
    </w:div>
    <w:div w:id="1536040421">
      <w:marLeft w:val="0"/>
      <w:marRight w:val="0"/>
      <w:marTop w:val="180"/>
      <w:marBottom w:val="120"/>
      <w:divBdr>
        <w:top w:val="none" w:sz="0" w:space="0" w:color="auto"/>
        <w:left w:val="none" w:sz="0" w:space="0" w:color="auto"/>
        <w:bottom w:val="none" w:sz="0" w:space="0" w:color="auto"/>
        <w:right w:val="none" w:sz="0" w:space="0" w:color="auto"/>
      </w:divBdr>
    </w:div>
    <w:div w:id="1538860221">
      <w:marLeft w:val="0"/>
      <w:marRight w:val="0"/>
      <w:marTop w:val="120"/>
      <w:marBottom w:val="120"/>
      <w:divBdr>
        <w:top w:val="none" w:sz="0" w:space="0" w:color="auto"/>
        <w:left w:val="none" w:sz="0" w:space="0" w:color="auto"/>
        <w:bottom w:val="none" w:sz="0" w:space="0" w:color="auto"/>
        <w:right w:val="none" w:sz="0" w:space="0" w:color="auto"/>
      </w:divBdr>
    </w:div>
    <w:div w:id="1539391501">
      <w:marLeft w:val="0"/>
      <w:marRight w:val="0"/>
      <w:marTop w:val="120"/>
      <w:marBottom w:val="120"/>
      <w:divBdr>
        <w:top w:val="none" w:sz="0" w:space="0" w:color="auto"/>
        <w:left w:val="none" w:sz="0" w:space="0" w:color="auto"/>
        <w:bottom w:val="none" w:sz="0" w:space="0" w:color="auto"/>
        <w:right w:val="none" w:sz="0" w:space="0" w:color="auto"/>
      </w:divBdr>
    </w:div>
    <w:div w:id="1539662996">
      <w:marLeft w:val="0"/>
      <w:marRight w:val="0"/>
      <w:marTop w:val="240"/>
      <w:marBottom w:val="120"/>
      <w:divBdr>
        <w:top w:val="none" w:sz="0" w:space="0" w:color="auto"/>
        <w:left w:val="none" w:sz="0" w:space="0" w:color="auto"/>
        <w:bottom w:val="none" w:sz="0" w:space="0" w:color="auto"/>
        <w:right w:val="none" w:sz="0" w:space="0" w:color="auto"/>
      </w:divBdr>
    </w:div>
    <w:div w:id="1540436119">
      <w:marLeft w:val="0"/>
      <w:marRight w:val="0"/>
      <w:marTop w:val="120"/>
      <w:marBottom w:val="0"/>
      <w:divBdr>
        <w:top w:val="none" w:sz="0" w:space="0" w:color="auto"/>
        <w:left w:val="none" w:sz="0" w:space="0" w:color="auto"/>
        <w:bottom w:val="none" w:sz="0" w:space="0" w:color="auto"/>
        <w:right w:val="none" w:sz="0" w:space="0" w:color="auto"/>
      </w:divBdr>
    </w:div>
    <w:div w:id="1541092393">
      <w:marLeft w:val="0"/>
      <w:marRight w:val="0"/>
      <w:marTop w:val="120"/>
      <w:marBottom w:val="60"/>
      <w:divBdr>
        <w:top w:val="none" w:sz="0" w:space="0" w:color="auto"/>
        <w:left w:val="none" w:sz="0" w:space="0" w:color="auto"/>
        <w:bottom w:val="none" w:sz="0" w:space="0" w:color="auto"/>
        <w:right w:val="none" w:sz="0" w:space="0" w:color="auto"/>
      </w:divBdr>
    </w:div>
    <w:div w:id="1543206169">
      <w:marLeft w:val="0"/>
      <w:marRight w:val="0"/>
      <w:marTop w:val="120"/>
      <w:marBottom w:val="120"/>
      <w:divBdr>
        <w:top w:val="none" w:sz="0" w:space="0" w:color="auto"/>
        <w:left w:val="none" w:sz="0" w:space="0" w:color="auto"/>
        <w:bottom w:val="none" w:sz="0" w:space="0" w:color="auto"/>
        <w:right w:val="none" w:sz="0" w:space="0" w:color="auto"/>
      </w:divBdr>
    </w:div>
    <w:div w:id="1545559365">
      <w:marLeft w:val="0"/>
      <w:marRight w:val="0"/>
      <w:marTop w:val="120"/>
      <w:marBottom w:val="0"/>
      <w:divBdr>
        <w:top w:val="none" w:sz="0" w:space="0" w:color="auto"/>
        <w:left w:val="none" w:sz="0" w:space="0" w:color="auto"/>
        <w:bottom w:val="none" w:sz="0" w:space="0" w:color="auto"/>
        <w:right w:val="none" w:sz="0" w:space="0" w:color="auto"/>
      </w:divBdr>
    </w:div>
    <w:div w:id="1545630057">
      <w:marLeft w:val="0"/>
      <w:marRight w:val="0"/>
      <w:marTop w:val="0"/>
      <w:marBottom w:val="0"/>
      <w:divBdr>
        <w:top w:val="none" w:sz="0" w:space="0" w:color="auto"/>
        <w:left w:val="none" w:sz="0" w:space="0" w:color="auto"/>
        <w:bottom w:val="none" w:sz="0" w:space="0" w:color="auto"/>
        <w:right w:val="none" w:sz="0" w:space="0" w:color="auto"/>
      </w:divBdr>
    </w:div>
    <w:div w:id="1546209711">
      <w:marLeft w:val="0"/>
      <w:marRight w:val="0"/>
      <w:marTop w:val="0"/>
      <w:marBottom w:val="0"/>
      <w:divBdr>
        <w:top w:val="none" w:sz="0" w:space="0" w:color="auto"/>
        <w:left w:val="none" w:sz="0" w:space="0" w:color="auto"/>
        <w:bottom w:val="none" w:sz="0" w:space="0" w:color="auto"/>
        <w:right w:val="none" w:sz="0" w:space="0" w:color="auto"/>
      </w:divBdr>
      <w:divsChild>
        <w:div w:id="1710379486">
          <w:marLeft w:val="0"/>
          <w:marRight w:val="0"/>
          <w:marTop w:val="0"/>
          <w:marBottom w:val="0"/>
          <w:divBdr>
            <w:top w:val="none" w:sz="0" w:space="0" w:color="auto"/>
            <w:left w:val="none" w:sz="0" w:space="0" w:color="auto"/>
            <w:bottom w:val="none" w:sz="0" w:space="0" w:color="auto"/>
            <w:right w:val="none" w:sz="0" w:space="0" w:color="auto"/>
          </w:divBdr>
        </w:div>
      </w:divsChild>
    </w:div>
    <w:div w:id="1547138651">
      <w:marLeft w:val="0"/>
      <w:marRight w:val="0"/>
      <w:marTop w:val="0"/>
      <w:marBottom w:val="0"/>
      <w:divBdr>
        <w:top w:val="none" w:sz="0" w:space="0" w:color="auto"/>
        <w:left w:val="none" w:sz="0" w:space="0" w:color="auto"/>
        <w:bottom w:val="none" w:sz="0" w:space="0" w:color="auto"/>
        <w:right w:val="none" w:sz="0" w:space="0" w:color="auto"/>
      </w:divBdr>
      <w:divsChild>
        <w:div w:id="1401362719">
          <w:marLeft w:val="0"/>
          <w:marRight w:val="0"/>
          <w:marTop w:val="0"/>
          <w:marBottom w:val="0"/>
          <w:divBdr>
            <w:top w:val="none" w:sz="0" w:space="0" w:color="auto"/>
            <w:left w:val="none" w:sz="0" w:space="0" w:color="auto"/>
            <w:bottom w:val="none" w:sz="0" w:space="0" w:color="auto"/>
            <w:right w:val="none" w:sz="0" w:space="0" w:color="auto"/>
          </w:divBdr>
        </w:div>
      </w:divsChild>
    </w:div>
    <w:div w:id="1549226380">
      <w:marLeft w:val="0"/>
      <w:marRight w:val="0"/>
      <w:marTop w:val="120"/>
      <w:marBottom w:val="0"/>
      <w:divBdr>
        <w:top w:val="none" w:sz="0" w:space="0" w:color="auto"/>
        <w:left w:val="none" w:sz="0" w:space="0" w:color="auto"/>
        <w:bottom w:val="none" w:sz="0" w:space="0" w:color="auto"/>
        <w:right w:val="none" w:sz="0" w:space="0" w:color="auto"/>
      </w:divBdr>
    </w:div>
    <w:div w:id="1549561534">
      <w:marLeft w:val="0"/>
      <w:marRight w:val="0"/>
      <w:marTop w:val="120"/>
      <w:marBottom w:val="120"/>
      <w:divBdr>
        <w:top w:val="none" w:sz="0" w:space="0" w:color="auto"/>
        <w:left w:val="none" w:sz="0" w:space="0" w:color="auto"/>
        <w:bottom w:val="none" w:sz="0" w:space="0" w:color="auto"/>
        <w:right w:val="none" w:sz="0" w:space="0" w:color="auto"/>
      </w:divBdr>
    </w:div>
    <w:div w:id="1550730174">
      <w:marLeft w:val="0"/>
      <w:marRight w:val="0"/>
      <w:marTop w:val="0"/>
      <w:marBottom w:val="0"/>
      <w:divBdr>
        <w:top w:val="none" w:sz="0" w:space="0" w:color="auto"/>
        <w:left w:val="none" w:sz="0" w:space="0" w:color="auto"/>
        <w:bottom w:val="none" w:sz="0" w:space="0" w:color="auto"/>
        <w:right w:val="none" w:sz="0" w:space="0" w:color="auto"/>
      </w:divBdr>
    </w:div>
    <w:div w:id="1550991015">
      <w:marLeft w:val="0"/>
      <w:marRight w:val="0"/>
      <w:marTop w:val="240"/>
      <w:marBottom w:val="0"/>
      <w:divBdr>
        <w:top w:val="none" w:sz="0" w:space="0" w:color="auto"/>
        <w:left w:val="none" w:sz="0" w:space="0" w:color="auto"/>
        <w:bottom w:val="none" w:sz="0" w:space="0" w:color="auto"/>
        <w:right w:val="none" w:sz="0" w:space="0" w:color="auto"/>
      </w:divBdr>
    </w:div>
    <w:div w:id="1551649240">
      <w:marLeft w:val="0"/>
      <w:marRight w:val="0"/>
      <w:marTop w:val="120"/>
      <w:marBottom w:val="120"/>
      <w:divBdr>
        <w:top w:val="none" w:sz="0" w:space="0" w:color="auto"/>
        <w:left w:val="none" w:sz="0" w:space="0" w:color="auto"/>
        <w:bottom w:val="none" w:sz="0" w:space="0" w:color="auto"/>
        <w:right w:val="none" w:sz="0" w:space="0" w:color="auto"/>
      </w:divBdr>
    </w:div>
    <w:div w:id="1553420619">
      <w:marLeft w:val="0"/>
      <w:marRight w:val="0"/>
      <w:marTop w:val="120"/>
      <w:marBottom w:val="0"/>
      <w:divBdr>
        <w:top w:val="none" w:sz="0" w:space="0" w:color="auto"/>
        <w:left w:val="none" w:sz="0" w:space="0" w:color="auto"/>
        <w:bottom w:val="none" w:sz="0" w:space="0" w:color="auto"/>
        <w:right w:val="none" w:sz="0" w:space="0" w:color="auto"/>
      </w:divBdr>
    </w:div>
    <w:div w:id="1556697910">
      <w:marLeft w:val="0"/>
      <w:marRight w:val="0"/>
      <w:marTop w:val="120"/>
      <w:marBottom w:val="0"/>
      <w:divBdr>
        <w:top w:val="none" w:sz="0" w:space="0" w:color="auto"/>
        <w:left w:val="none" w:sz="0" w:space="0" w:color="auto"/>
        <w:bottom w:val="none" w:sz="0" w:space="0" w:color="auto"/>
        <w:right w:val="none" w:sz="0" w:space="0" w:color="auto"/>
      </w:divBdr>
    </w:div>
    <w:div w:id="1561091489">
      <w:marLeft w:val="0"/>
      <w:marRight w:val="0"/>
      <w:marTop w:val="0"/>
      <w:marBottom w:val="120"/>
      <w:divBdr>
        <w:top w:val="none" w:sz="0" w:space="0" w:color="auto"/>
        <w:left w:val="none" w:sz="0" w:space="0" w:color="auto"/>
        <w:bottom w:val="none" w:sz="0" w:space="0" w:color="auto"/>
        <w:right w:val="none" w:sz="0" w:space="0" w:color="auto"/>
      </w:divBdr>
    </w:div>
    <w:div w:id="1561139421">
      <w:marLeft w:val="0"/>
      <w:marRight w:val="0"/>
      <w:marTop w:val="120"/>
      <w:marBottom w:val="0"/>
      <w:divBdr>
        <w:top w:val="none" w:sz="0" w:space="0" w:color="auto"/>
        <w:left w:val="none" w:sz="0" w:space="0" w:color="auto"/>
        <w:bottom w:val="none" w:sz="0" w:space="0" w:color="auto"/>
        <w:right w:val="none" w:sz="0" w:space="0" w:color="auto"/>
      </w:divBdr>
      <w:divsChild>
        <w:div w:id="306401611">
          <w:marLeft w:val="0"/>
          <w:marRight w:val="0"/>
          <w:marTop w:val="0"/>
          <w:marBottom w:val="0"/>
          <w:divBdr>
            <w:top w:val="none" w:sz="0" w:space="0" w:color="auto"/>
            <w:left w:val="none" w:sz="0" w:space="0" w:color="auto"/>
            <w:bottom w:val="none" w:sz="0" w:space="0" w:color="auto"/>
            <w:right w:val="none" w:sz="0" w:space="0" w:color="auto"/>
          </w:divBdr>
        </w:div>
      </w:divsChild>
    </w:div>
    <w:div w:id="1561749048">
      <w:marLeft w:val="0"/>
      <w:marRight w:val="0"/>
      <w:marTop w:val="0"/>
      <w:marBottom w:val="0"/>
      <w:divBdr>
        <w:top w:val="none" w:sz="0" w:space="0" w:color="auto"/>
        <w:left w:val="none" w:sz="0" w:space="0" w:color="auto"/>
        <w:bottom w:val="none" w:sz="0" w:space="0" w:color="auto"/>
        <w:right w:val="none" w:sz="0" w:space="0" w:color="auto"/>
      </w:divBdr>
      <w:divsChild>
        <w:div w:id="871722448">
          <w:marLeft w:val="0"/>
          <w:marRight w:val="0"/>
          <w:marTop w:val="0"/>
          <w:marBottom w:val="0"/>
          <w:divBdr>
            <w:top w:val="none" w:sz="0" w:space="0" w:color="auto"/>
            <w:left w:val="none" w:sz="0" w:space="0" w:color="auto"/>
            <w:bottom w:val="none" w:sz="0" w:space="0" w:color="auto"/>
            <w:right w:val="none" w:sz="0" w:space="0" w:color="auto"/>
          </w:divBdr>
        </w:div>
      </w:divsChild>
    </w:div>
    <w:div w:id="1564412060">
      <w:marLeft w:val="0"/>
      <w:marRight w:val="0"/>
      <w:marTop w:val="180"/>
      <w:marBottom w:val="120"/>
      <w:divBdr>
        <w:top w:val="none" w:sz="0" w:space="0" w:color="auto"/>
        <w:left w:val="none" w:sz="0" w:space="0" w:color="auto"/>
        <w:bottom w:val="none" w:sz="0" w:space="0" w:color="auto"/>
        <w:right w:val="none" w:sz="0" w:space="0" w:color="auto"/>
      </w:divBdr>
    </w:div>
    <w:div w:id="1566529118">
      <w:marLeft w:val="0"/>
      <w:marRight w:val="0"/>
      <w:marTop w:val="0"/>
      <w:marBottom w:val="0"/>
      <w:divBdr>
        <w:top w:val="none" w:sz="0" w:space="0" w:color="auto"/>
        <w:left w:val="none" w:sz="0" w:space="0" w:color="auto"/>
        <w:bottom w:val="none" w:sz="0" w:space="0" w:color="auto"/>
        <w:right w:val="none" w:sz="0" w:space="0" w:color="auto"/>
      </w:divBdr>
    </w:div>
    <w:div w:id="1566604956">
      <w:marLeft w:val="0"/>
      <w:marRight w:val="0"/>
      <w:marTop w:val="180"/>
      <w:marBottom w:val="120"/>
      <w:divBdr>
        <w:top w:val="none" w:sz="0" w:space="0" w:color="auto"/>
        <w:left w:val="none" w:sz="0" w:space="0" w:color="auto"/>
        <w:bottom w:val="none" w:sz="0" w:space="0" w:color="auto"/>
        <w:right w:val="none" w:sz="0" w:space="0" w:color="auto"/>
      </w:divBdr>
    </w:div>
    <w:div w:id="1571504862">
      <w:marLeft w:val="0"/>
      <w:marRight w:val="0"/>
      <w:marTop w:val="120"/>
      <w:marBottom w:val="180"/>
      <w:divBdr>
        <w:top w:val="none" w:sz="0" w:space="0" w:color="auto"/>
        <w:left w:val="none" w:sz="0" w:space="0" w:color="auto"/>
        <w:bottom w:val="none" w:sz="0" w:space="0" w:color="auto"/>
        <w:right w:val="none" w:sz="0" w:space="0" w:color="auto"/>
      </w:divBdr>
    </w:div>
    <w:div w:id="1578440989">
      <w:marLeft w:val="0"/>
      <w:marRight w:val="0"/>
      <w:marTop w:val="0"/>
      <w:marBottom w:val="0"/>
      <w:divBdr>
        <w:top w:val="none" w:sz="0" w:space="0" w:color="auto"/>
        <w:left w:val="none" w:sz="0" w:space="0" w:color="auto"/>
        <w:bottom w:val="none" w:sz="0" w:space="0" w:color="auto"/>
        <w:right w:val="none" w:sz="0" w:space="0" w:color="auto"/>
      </w:divBdr>
      <w:divsChild>
        <w:div w:id="986056006">
          <w:marLeft w:val="0"/>
          <w:marRight w:val="0"/>
          <w:marTop w:val="0"/>
          <w:marBottom w:val="0"/>
          <w:divBdr>
            <w:top w:val="none" w:sz="0" w:space="0" w:color="auto"/>
            <w:left w:val="none" w:sz="0" w:space="0" w:color="auto"/>
            <w:bottom w:val="none" w:sz="0" w:space="0" w:color="auto"/>
            <w:right w:val="none" w:sz="0" w:space="0" w:color="auto"/>
          </w:divBdr>
        </w:div>
      </w:divsChild>
    </w:div>
    <w:div w:id="1578706408">
      <w:marLeft w:val="0"/>
      <w:marRight w:val="0"/>
      <w:marTop w:val="120"/>
      <w:marBottom w:val="0"/>
      <w:divBdr>
        <w:top w:val="none" w:sz="0" w:space="0" w:color="auto"/>
        <w:left w:val="none" w:sz="0" w:space="0" w:color="auto"/>
        <w:bottom w:val="none" w:sz="0" w:space="0" w:color="auto"/>
        <w:right w:val="none" w:sz="0" w:space="0" w:color="auto"/>
      </w:divBdr>
    </w:div>
    <w:div w:id="1578903705">
      <w:marLeft w:val="0"/>
      <w:marRight w:val="0"/>
      <w:marTop w:val="120"/>
      <w:marBottom w:val="0"/>
      <w:divBdr>
        <w:top w:val="none" w:sz="0" w:space="0" w:color="auto"/>
        <w:left w:val="none" w:sz="0" w:space="0" w:color="auto"/>
        <w:bottom w:val="none" w:sz="0" w:space="0" w:color="auto"/>
        <w:right w:val="none" w:sz="0" w:space="0" w:color="auto"/>
      </w:divBdr>
    </w:div>
    <w:div w:id="1579705535">
      <w:marLeft w:val="0"/>
      <w:marRight w:val="0"/>
      <w:marTop w:val="0"/>
      <w:marBottom w:val="0"/>
      <w:divBdr>
        <w:top w:val="none" w:sz="0" w:space="0" w:color="auto"/>
        <w:left w:val="none" w:sz="0" w:space="0" w:color="auto"/>
        <w:bottom w:val="none" w:sz="0" w:space="0" w:color="auto"/>
        <w:right w:val="none" w:sz="0" w:space="0" w:color="auto"/>
      </w:divBdr>
    </w:div>
    <w:div w:id="1582369867">
      <w:marLeft w:val="0"/>
      <w:marRight w:val="0"/>
      <w:marTop w:val="0"/>
      <w:marBottom w:val="0"/>
      <w:divBdr>
        <w:top w:val="none" w:sz="0" w:space="0" w:color="auto"/>
        <w:left w:val="none" w:sz="0" w:space="0" w:color="auto"/>
        <w:bottom w:val="none" w:sz="0" w:space="0" w:color="auto"/>
        <w:right w:val="none" w:sz="0" w:space="0" w:color="auto"/>
      </w:divBdr>
      <w:divsChild>
        <w:div w:id="1031496023">
          <w:marLeft w:val="0"/>
          <w:marRight w:val="0"/>
          <w:marTop w:val="0"/>
          <w:marBottom w:val="0"/>
          <w:divBdr>
            <w:top w:val="none" w:sz="0" w:space="0" w:color="auto"/>
            <w:left w:val="none" w:sz="0" w:space="0" w:color="auto"/>
            <w:bottom w:val="none" w:sz="0" w:space="0" w:color="auto"/>
            <w:right w:val="none" w:sz="0" w:space="0" w:color="auto"/>
          </w:divBdr>
        </w:div>
      </w:divsChild>
    </w:div>
    <w:div w:id="1583293376">
      <w:marLeft w:val="0"/>
      <w:marRight w:val="0"/>
      <w:marTop w:val="0"/>
      <w:marBottom w:val="0"/>
      <w:divBdr>
        <w:top w:val="none" w:sz="0" w:space="0" w:color="auto"/>
        <w:left w:val="none" w:sz="0" w:space="0" w:color="auto"/>
        <w:bottom w:val="none" w:sz="0" w:space="0" w:color="auto"/>
        <w:right w:val="none" w:sz="0" w:space="0" w:color="auto"/>
      </w:divBdr>
      <w:divsChild>
        <w:div w:id="2022967412">
          <w:marLeft w:val="0"/>
          <w:marRight w:val="0"/>
          <w:marTop w:val="0"/>
          <w:marBottom w:val="0"/>
          <w:divBdr>
            <w:top w:val="none" w:sz="0" w:space="0" w:color="auto"/>
            <w:left w:val="none" w:sz="0" w:space="0" w:color="auto"/>
            <w:bottom w:val="none" w:sz="0" w:space="0" w:color="auto"/>
            <w:right w:val="none" w:sz="0" w:space="0" w:color="auto"/>
          </w:divBdr>
        </w:div>
      </w:divsChild>
    </w:div>
    <w:div w:id="1587495564">
      <w:marLeft w:val="0"/>
      <w:marRight w:val="0"/>
      <w:marTop w:val="180"/>
      <w:marBottom w:val="120"/>
      <w:divBdr>
        <w:top w:val="none" w:sz="0" w:space="0" w:color="auto"/>
        <w:left w:val="none" w:sz="0" w:space="0" w:color="auto"/>
        <w:bottom w:val="none" w:sz="0" w:space="0" w:color="auto"/>
        <w:right w:val="none" w:sz="0" w:space="0" w:color="auto"/>
      </w:divBdr>
    </w:div>
    <w:div w:id="1592658033">
      <w:marLeft w:val="0"/>
      <w:marRight w:val="0"/>
      <w:marTop w:val="0"/>
      <w:marBottom w:val="0"/>
      <w:divBdr>
        <w:top w:val="none" w:sz="0" w:space="0" w:color="auto"/>
        <w:left w:val="none" w:sz="0" w:space="0" w:color="auto"/>
        <w:bottom w:val="none" w:sz="0" w:space="0" w:color="auto"/>
        <w:right w:val="none" w:sz="0" w:space="0" w:color="auto"/>
      </w:divBdr>
    </w:div>
    <w:div w:id="1594313429">
      <w:marLeft w:val="0"/>
      <w:marRight w:val="0"/>
      <w:marTop w:val="0"/>
      <w:marBottom w:val="0"/>
      <w:divBdr>
        <w:top w:val="none" w:sz="0" w:space="0" w:color="auto"/>
        <w:left w:val="none" w:sz="0" w:space="0" w:color="auto"/>
        <w:bottom w:val="none" w:sz="0" w:space="0" w:color="auto"/>
        <w:right w:val="none" w:sz="0" w:space="0" w:color="auto"/>
      </w:divBdr>
    </w:div>
    <w:div w:id="1596094070">
      <w:marLeft w:val="0"/>
      <w:marRight w:val="0"/>
      <w:marTop w:val="120"/>
      <w:marBottom w:val="0"/>
      <w:divBdr>
        <w:top w:val="none" w:sz="0" w:space="0" w:color="auto"/>
        <w:left w:val="none" w:sz="0" w:space="0" w:color="auto"/>
        <w:bottom w:val="none" w:sz="0" w:space="0" w:color="auto"/>
        <w:right w:val="none" w:sz="0" w:space="0" w:color="auto"/>
      </w:divBdr>
    </w:div>
    <w:div w:id="1597206278">
      <w:marLeft w:val="0"/>
      <w:marRight w:val="0"/>
      <w:marTop w:val="120"/>
      <w:marBottom w:val="120"/>
      <w:divBdr>
        <w:top w:val="none" w:sz="0" w:space="0" w:color="auto"/>
        <w:left w:val="none" w:sz="0" w:space="0" w:color="auto"/>
        <w:bottom w:val="none" w:sz="0" w:space="0" w:color="auto"/>
        <w:right w:val="none" w:sz="0" w:space="0" w:color="auto"/>
      </w:divBdr>
    </w:div>
    <w:div w:id="1599215739">
      <w:marLeft w:val="0"/>
      <w:marRight w:val="0"/>
      <w:marTop w:val="120"/>
      <w:marBottom w:val="0"/>
      <w:divBdr>
        <w:top w:val="none" w:sz="0" w:space="0" w:color="auto"/>
        <w:left w:val="none" w:sz="0" w:space="0" w:color="auto"/>
        <w:bottom w:val="none" w:sz="0" w:space="0" w:color="auto"/>
        <w:right w:val="none" w:sz="0" w:space="0" w:color="auto"/>
      </w:divBdr>
    </w:div>
    <w:div w:id="1601718505">
      <w:marLeft w:val="0"/>
      <w:marRight w:val="0"/>
      <w:marTop w:val="120"/>
      <w:marBottom w:val="120"/>
      <w:divBdr>
        <w:top w:val="none" w:sz="0" w:space="0" w:color="auto"/>
        <w:left w:val="none" w:sz="0" w:space="0" w:color="auto"/>
        <w:bottom w:val="none" w:sz="0" w:space="0" w:color="auto"/>
        <w:right w:val="none" w:sz="0" w:space="0" w:color="auto"/>
      </w:divBdr>
    </w:div>
    <w:div w:id="1604649442">
      <w:marLeft w:val="0"/>
      <w:marRight w:val="0"/>
      <w:marTop w:val="120"/>
      <w:marBottom w:val="0"/>
      <w:divBdr>
        <w:top w:val="none" w:sz="0" w:space="0" w:color="auto"/>
        <w:left w:val="none" w:sz="0" w:space="0" w:color="auto"/>
        <w:bottom w:val="none" w:sz="0" w:space="0" w:color="auto"/>
        <w:right w:val="none" w:sz="0" w:space="0" w:color="auto"/>
      </w:divBdr>
    </w:div>
    <w:div w:id="1606232285">
      <w:marLeft w:val="0"/>
      <w:marRight w:val="0"/>
      <w:marTop w:val="0"/>
      <w:marBottom w:val="0"/>
      <w:divBdr>
        <w:top w:val="none" w:sz="0" w:space="0" w:color="auto"/>
        <w:left w:val="none" w:sz="0" w:space="0" w:color="auto"/>
        <w:bottom w:val="none" w:sz="0" w:space="0" w:color="auto"/>
        <w:right w:val="none" w:sz="0" w:space="0" w:color="auto"/>
      </w:divBdr>
      <w:divsChild>
        <w:div w:id="1087267889">
          <w:marLeft w:val="0"/>
          <w:marRight w:val="0"/>
          <w:marTop w:val="0"/>
          <w:marBottom w:val="0"/>
          <w:divBdr>
            <w:top w:val="none" w:sz="0" w:space="0" w:color="auto"/>
            <w:left w:val="none" w:sz="0" w:space="0" w:color="auto"/>
            <w:bottom w:val="none" w:sz="0" w:space="0" w:color="auto"/>
            <w:right w:val="none" w:sz="0" w:space="0" w:color="auto"/>
          </w:divBdr>
        </w:div>
      </w:divsChild>
    </w:div>
    <w:div w:id="1607038569">
      <w:marLeft w:val="0"/>
      <w:marRight w:val="0"/>
      <w:marTop w:val="240"/>
      <w:marBottom w:val="120"/>
      <w:divBdr>
        <w:top w:val="none" w:sz="0" w:space="0" w:color="auto"/>
        <w:left w:val="none" w:sz="0" w:space="0" w:color="auto"/>
        <w:bottom w:val="none" w:sz="0" w:space="0" w:color="auto"/>
        <w:right w:val="none" w:sz="0" w:space="0" w:color="auto"/>
      </w:divBdr>
    </w:div>
    <w:div w:id="1609389879">
      <w:marLeft w:val="0"/>
      <w:marRight w:val="0"/>
      <w:marTop w:val="120"/>
      <w:marBottom w:val="120"/>
      <w:divBdr>
        <w:top w:val="none" w:sz="0" w:space="0" w:color="auto"/>
        <w:left w:val="none" w:sz="0" w:space="0" w:color="auto"/>
        <w:bottom w:val="none" w:sz="0" w:space="0" w:color="auto"/>
        <w:right w:val="none" w:sz="0" w:space="0" w:color="auto"/>
      </w:divBdr>
    </w:div>
    <w:div w:id="1611858992">
      <w:marLeft w:val="0"/>
      <w:marRight w:val="0"/>
      <w:marTop w:val="120"/>
      <w:marBottom w:val="120"/>
      <w:divBdr>
        <w:top w:val="none" w:sz="0" w:space="0" w:color="auto"/>
        <w:left w:val="none" w:sz="0" w:space="0" w:color="auto"/>
        <w:bottom w:val="none" w:sz="0" w:space="0" w:color="auto"/>
        <w:right w:val="none" w:sz="0" w:space="0" w:color="auto"/>
      </w:divBdr>
    </w:div>
    <w:div w:id="1614439242">
      <w:marLeft w:val="0"/>
      <w:marRight w:val="0"/>
      <w:marTop w:val="120"/>
      <w:marBottom w:val="120"/>
      <w:divBdr>
        <w:top w:val="none" w:sz="0" w:space="0" w:color="auto"/>
        <w:left w:val="none" w:sz="0" w:space="0" w:color="auto"/>
        <w:bottom w:val="none" w:sz="0" w:space="0" w:color="auto"/>
        <w:right w:val="none" w:sz="0" w:space="0" w:color="auto"/>
      </w:divBdr>
    </w:div>
    <w:div w:id="1617830901">
      <w:marLeft w:val="0"/>
      <w:marRight w:val="0"/>
      <w:marTop w:val="0"/>
      <w:marBottom w:val="0"/>
      <w:divBdr>
        <w:top w:val="none" w:sz="0" w:space="0" w:color="auto"/>
        <w:left w:val="none" w:sz="0" w:space="0" w:color="auto"/>
        <w:bottom w:val="none" w:sz="0" w:space="0" w:color="auto"/>
        <w:right w:val="none" w:sz="0" w:space="0" w:color="auto"/>
      </w:divBdr>
      <w:divsChild>
        <w:div w:id="503012411">
          <w:marLeft w:val="0"/>
          <w:marRight w:val="0"/>
          <w:marTop w:val="0"/>
          <w:marBottom w:val="0"/>
          <w:divBdr>
            <w:top w:val="none" w:sz="0" w:space="0" w:color="auto"/>
            <w:left w:val="none" w:sz="0" w:space="0" w:color="auto"/>
            <w:bottom w:val="none" w:sz="0" w:space="0" w:color="auto"/>
            <w:right w:val="none" w:sz="0" w:space="0" w:color="auto"/>
          </w:divBdr>
        </w:div>
      </w:divsChild>
    </w:div>
    <w:div w:id="1625037771">
      <w:marLeft w:val="0"/>
      <w:marRight w:val="0"/>
      <w:marTop w:val="120"/>
      <w:marBottom w:val="120"/>
      <w:divBdr>
        <w:top w:val="none" w:sz="0" w:space="0" w:color="auto"/>
        <w:left w:val="none" w:sz="0" w:space="0" w:color="auto"/>
        <w:bottom w:val="none" w:sz="0" w:space="0" w:color="auto"/>
        <w:right w:val="none" w:sz="0" w:space="0" w:color="auto"/>
      </w:divBdr>
    </w:div>
    <w:div w:id="1626735380">
      <w:marLeft w:val="0"/>
      <w:marRight w:val="0"/>
      <w:marTop w:val="120"/>
      <w:marBottom w:val="0"/>
      <w:divBdr>
        <w:top w:val="none" w:sz="0" w:space="0" w:color="auto"/>
        <w:left w:val="none" w:sz="0" w:space="0" w:color="auto"/>
        <w:bottom w:val="none" w:sz="0" w:space="0" w:color="auto"/>
        <w:right w:val="none" w:sz="0" w:space="0" w:color="auto"/>
      </w:divBdr>
    </w:div>
    <w:div w:id="1629313898">
      <w:marLeft w:val="0"/>
      <w:marRight w:val="0"/>
      <w:marTop w:val="120"/>
      <w:marBottom w:val="120"/>
      <w:divBdr>
        <w:top w:val="none" w:sz="0" w:space="0" w:color="auto"/>
        <w:left w:val="none" w:sz="0" w:space="0" w:color="auto"/>
        <w:bottom w:val="none" w:sz="0" w:space="0" w:color="auto"/>
        <w:right w:val="none" w:sz="0" w:space="0" w:color="auto"/>
      </w:divBdr>
    </w:div>
    <w:div w:id="1633288222">
      <w:marLeft w:val="0"/>
      <w:marRight w:val="0"/>
      <w:marTop w:val="120"/>
      <w:marBottom w:val="120"/>
      <w:divBdr>
        <w:top w:val="none" w:sz="0" w:space="0" w:color="auto"/>
        <w:left w:val="none" w:sz="0" w:space="0" w:color="auto"/>
        <w:bottom w:val="none" w:sz="0" w:space="0" w:color="auto"/>
        <w:right w:val="none" w:sz="0" w:space="0" w:color="auto"/>
      </w:divBdr>
    </w:div>
    <w:div w:id="1635939451">
      <w:marLeft w:val="0"/>
      <w:marRight w:val="0"/>
      <w:marTop w:val="240"/>
      <w:marBottom w:val="0"/>
      <w:divBdr>
        <w:top w:val="none" w:sz="0" w:space="0" w:color="auto"/>
        <w:left w:val="none" w:sz="0" w:space="0" w:color="auto"/>
        <w:bottom w:val="none" w:sz="0" w:space="0" w:color="auto"/>
        <w:right w:val="none" w:sz="0" w:space="0" w:color="auto"/>
      </w:divBdr>
    </w:div>
    <w:div w:id="1636333753">
      <w:marLeft w:val="0"/>
      <w:marRight w:val="0"/>
      <w:marTop w:val="120"/>
      <w:marBottom w:val="0"/>
      <w:divBdr>
        <w:top w:val="none" w:sz="0" w:space="0" w:color="auto"/>
        <w:left w:val="none" w:sz="0" w:space="0" w:color="auto"/>
        <w:bottom w:val="none" w:sz="0" w:space="0" w:color="auto"/>
        <w:right w:val="none" w:sz="0" w:space="0" w:color="auto"/>
      </w:divBdr>
    </w:div>
    <w:div w:id="1636642514">
      <w:marLeft w:val="0"/>
      <w:marRight w:val="0"/>
      <w:marTop w:val="120"/>
      <w:marBottom w:val="120"/>
      <w:divBdr>
        <w:top w:val="none" w:sz="0" w:space="0" w:color="auto"/>
        <w:left w:val="none" w:sz="0" w:space="0" w:color="auto"/>
        <w:bottom w:val="none" w:sz="0" w:space="0" w:color="auto"/>
        <w:right w:val="none" w:sz="0" w:space="0" w:color="auto"/>
      </w:divBdr>
    </w:div>
    <w:div w:id="1638947924">
      <w:marLeft w:val="0"/>
      <w:marRight w:val="0"/>
      <w:marTop w:val="120"/>
      <w:marBottom w:val="0"/>
      <w:divBdr>
        <w:top w:val="none" w:sz="0" w:space="0" w:color="auto"/>
        <w:left w:val="none" w:sz="0" w:space="0" w:color="auto"/>
        <w:bottom w:val="none" w:sz="0" w:space="0" w:color="auto"/>
        <w:right w:val="none" w:sz="0" w:space="0" w:color="auto"/>
      </w:divBdr>
    </w:div>
    <w:div w:id="1639384088">
      <w:marLeft w:val="0"/>
      <w:marRight w:val="0"/>
      <w:marTop w:val="0"/>
      <w:marBottom w:val="0"/>
      <w:divBdr>
        <w:top w:val="none" w:sz="0" w:space="0" w:color="auto"/>
        <w:left w:val="none" w:sz="0" w:space="0" w:color="auto"/>
        <w:bottom w:val="none" w:sz="0" w:space="0" w:color="auto"/>
        <w:right w:val="none" w:sz="0" w:space="0" w:color="auto"/>
      </w:divBdr>
    </w:div>
    <w:div w:id="1641299802">
      <w:marLeft w:val="0"/>
      <w:marRight w:val="0"/>
      <w:marTop w:val="120"/>
      <w:marBottom w:val="0"/>
      <w:divBdr>
        <w:top w:val="none" w:sz="0" w:space="0" w:color="auto"/>
        <w:left w:val="none" w:sz="0" w:space="0" w:color="auto"/>
        <w:bottom w:val="none" w:sz="0" w:space="0" w:color="auto"/>
        <w:right w:val="none" w:sz="0" w:space="0" w:color="auto"/>
      </w:divBdr>
    </w:div>
    <w:div w:id="1641962129">
      <w:marLeft w:val="0"/>
      <w:marRight w:val="0"/>
      <w:marTop w:val="120"/>
      <w:marBottom w:val="120"/>
      <w:divBdr>
        <w:top w:val="none" w:sz="0" w:space="0" w:color="auto"/>
        <w:left w:val="none" w:sz="0" w:space="0" w:color="auto"/>
        <w:bottom w:val="none" w:sz="0" w:space="0" w:color="auto"/>
        <w:right w:val="none" w:sz="0" w:space="0" w:color="auto"/>
      </w:divBdr>
      <w:divsChild>
        <w:div w:id="439645062">
          <w:marLeft w:val="0"/>
          <w:marRight w:val="0"/>
          <w:marTop w:val="120"/>
          <w:marBottom w:val="0"/>
          <w:divBdr>
            <w:top w:val="none" w:sz="0" w:space="0" w:color="auto"/>
            <w:left w:val="none" w:sz="0" w:space="0" w:color="auto"/>
            <w:bottom w:val="none" w:sz="0" w:space="0" w:color="auto"/>
            <w:right w:val="none" w:sz="0" w:space="0" w:color="auto"/>
          </w:divBdr>
        </w:div>
      </w:divsChild>
    </w:div>
    <w:div w:id="1643080581">
      <w:marLeft w:val="0"/>
      <w:marRight w:val="0"/>
      <w:marTop w:val="0"/>
      <w:marBottom w:val="0"/>
      <w:divBdr>
        <w:top w:val="none" w:sz="0" w:space="0" w:color="auto"/>
        <w:left w:val="none" w:sz="0" w:space="0" w:color="auto"/>
        <w:bottom w:val="none" w:sz="0" w:space="0" w:color="auto"/>
        <w:right w:val="none" w:sz="0" w:space="0" w:color="auto"/>
      </w:divBdr>
    </w:div>
    <w:div w:id="1643584714">
      <w:marLeft w:val="0"/>
      <w:marRight w:val="0"/>
      <w:marTop w:val="0"/>
      <w:marBottom w:val="0"/>
      <w:divBdr>
        <w:top w:val="none" w:sz="0" w:space="0" w:color="auto"/>
        <w:left w:val="none" w:sz="0" w:space="0" w:color="auto"/>
        <w:bottom w:val="none" w:sz="0" w:space="0" w:color="auto"/>
        <w:right w:val="none" w:sz="0" w:space="0" w:color="auto"/>
      </w:divBdr>
      <w:divsChild>
        <w:div w:id="1665280259">
          <w:marLeft w:val="0"/>
          <w:marRight w:val="0"/>
          <w:marTop w:val="0"/>
          <w:marBottom w:val="0"/>
          <w:divBdr>
            <w:top w:val="none" w:sz="0" w:space="0" w:color="auto"/>
            <w:left w:val="none" w:sz="0" w:space="0" w:color="auto"/>
            <w:bottom w:val="none" w:sz="0" w:space="0" w:color="auto"/>
            <w:right w:val="none" w:sz="0" w:space="0" w:color="auto"/>
          </w:divBdr>
        </w:div>
      </w:divsChild>
    </w:div>
    <w:div w:id="1648587221">
      <w:marLeft w:val="0"/>
      <w:marRight w:val="0"/>
      <w:marTop w:val="0"/>
      <w:marBottom w:val="0"/>
      <w:divBdr>
        <w:top w:val="none" w:sz="0" w:space="0" w:color="auto"/>
        <w:left w:val="none" w:sz="0" w:space="0" w:color="auto"/>
        <w:bottom w:val="none" w:sz="0" w:space="0" w:color="auto"/>
        <w:right w:val="none" w:sz="0" w:space="0" w:color="auto"/>
      </w:divBdr>
      <w:divsChild>
        <w:div w:id="1219626397">
          <w:marLeft w:val="0"/>
          <w:marRight w:val="0"/>
          <w:marTop w:val="0"/>
          <w:marBottom w:val="0"/>
          <w:divBdr>
            <w:top w:val="none" w:sz="0" w:space="0" w:color="auto"/>
            <w:left w:val="none" w:sz="0" w:space="0" w:color="auto"/>
            <w:bottom w:val="none" w:sz="0" w:space="0" w:color="auto"/>
            <w:right w:val="none" w:sz="0" w:space="0" w:color="auto"/>
          </w:divBdr>
        </w:div>
      </w:divsChild>
    </w:div>
    <w:div w:id="1648589032">
      <w:marLeft w:val="0"/>
      <w:marRight w:val="0"/>
      <w:marTop w:val="180"/>
      <w:marBottom w:val="0"/>
      <w:divBdr>
        <w:top w:val="none" w:sz="0" w:space="0" w:color="auto"/>
        <w:left w:val="none" w:sz="0" w:space="0" w:color="auto"/>
        <w:bottom w:val="none" w:sz="0" w:space="0" w:color="auto"/>
        <w:right w:val="none" w:sz="0" w:space="0" w:color="auto"/>
      </w:divBdr>
    </w:div>
    <w:div w:id="1649166119">
      <w:marLeft w:val="0"/>
      <w:marRight w:val="0"/>
      <w:marTop w:val="120"/>
      <w:marBottom w:val="0"/>
      <w:divBdr>
        <w:top w:val="none" w:sz="0" w:space="0" w:color="auto"/>
        <w:left w:val="none" w:sz="0" w:space="0" w:color="auto"/>
        <w:bottom w:val="none" w:sz="0" w:space="0" w:color="auto"/>
        <w:right w:val="none" w:sz="0" w:space="0" w:color="auto"/>
      </w:divBdr>
    </w:div>
    <w:div w:id="1649742261">
      <w:marLeft w:val="0"/>
      <w:marRight w:val="0"/>
      <w:marTop w:val="120"/>
      <w:marBottom w:val="120"/>
      <w:divBdr>
        <w:top w:val="none" w:sz="0" w:space="0" w:color="auto"/>
        <w:left w:val="none" w:sz="0" w:space="0" w:color="auto"/>
        <w:bottom w:val="none" w:sz="0" w:space="0" w:color="auto"/>
        <w:right w:val="none" w:sz="0" w:space="0" w:color="auto"/>
      </w:divBdr>
    </w:div>
    <w:div w:id="1650282169">
      <w:marLeft w:val="0"/>
      <w:marRight w:val="0"/>
      <w:marTop w:val="120"/>
      <w:marBottom w:val="120"/>
      <w:divBdr>
        <w:top w:val="none" w:sz="0" w:space="0" w:color="auto"/>
        <w:left w:val="none" w:sz="0" w:space="0" w:color="auto"/>
        <w:bottom w:val="none" w:sz="0" w:space="0" w:color="auto"/>
        <w:right w:val="none" w:sz="0" w:space="0" w:color="auto"/>
      </w:divBdr>
    </w:div>
    <w:div w:id="1653826240">
      <w:marLeft w:val="0"/>
      <w:marRight w:val="0"/>
      <w:marTop w:val="120"/>
      <w:marBottom w:val="0"/>
      <w:divBdr>
        <w:top w:val="none" w:sz="0" w:space="0" w:color="auto"/>
        <w:left w:val="none" w:sz="0" w:space="0" w:color="auto"/>
        <w:bottom w:val="none" w:sz="0" w:space="0" w:color="auto"/>
        <w:right w:val="none" w:sz="0" w:space="0" w:color="auto"/>
      </w:divBdr>
    </w:div>
    <w:div w:id="1657804238">
      <w:marLeft w:val="0"/>
      <w:marRight w:val="0"/>
      <w:marTop w:val="120"/>
      <w:marBottom w:val="0"/>
      <w:divBdr>
        <w:top w:val="none" w:sz="0" w:space="0" w:color="auto"/>
        <w:left w:val="none" w:sz="0" w:space="0" w:color="auto"/>
        <w:bottom w:val="none" w:sz="0" w:space="0" w:color="auto"/>
        <w:right w:val="none" w:sz="0" w:space="0" w:color="auto"/>
      </w:divBdr>
    </w:div>
    <w:div w:id="1658922748">
      <w:marLeft w:val="0"/>
      <w:marRight w:val="0"/>
      <w:marTop w:val="0"/>
      <w:marBottom w:val="0"/>
      <w:divBdr>
        <w:top w:val="none" w:sz="0" w:space="0" w:color="auto"/>
        <w:left w:val="none" w:sz="0" w:space="0" w:color="auto"/>
        <w:bottom w:val="none" w:sz="0" w:space="0" w:color="auto"/>
        <w:right w:val="none" w:sz="0" w:space="0" w:color="auto"/>
      </w:divBdr>
    </w:div>
    <w:div w:id="1659268072">
      <w:marLeft w:val="0"/>
      <w:marRight w:val="0"/>
      <w:marTop w:val="240"/>
      <w:marBottom w:val="120"/>
      <w:divBdr>
        <w:top w:val="none" w:sz="0" w:space="0" w:color="auto"/>
        <w:left w:val="none" w:sz="0" w:space="0" w:color="auto"/>
        <w:bottom w:val="none" w:sz="0" w:space="0" w:color="auto"/>
        <w:right w:val="none" w:sz="0" w:space="0" w:color="auto"/>
      </w:divBdr>
    </w:div>
    <w:div w:id="1660231579">
      <w:marLeft w:val="0"/>
      <w:marRight w:val="0"/>
      <w:marTop w:val="120"/>
      <w:marBottom w:val="0"/>
      <w:divBdr>
        <w:top w:val="none" w:sz="0" w:space="0" w:color="auto"/>
        <w:left w:val="none" w:sz="0" w:space="0" w:color="auto"/>
        <w:bottom w:val="none" w:sz="0" w:space="0" w:color="auto"/>
        <w:right w:val="none" w:sz="0" w:space="0" w:color="auto"/>
      </w:divBdr>
    </w:div>
    <w:div w:id="1664356450">
      <w:marLeft w:val="0"/>
      <w:marRight w:val="0"/>
      <w:marTop w:val="0"/>
      <w:marBottom w:val="0"/>
      <w:divBdr>
        <w:top w:val="none" w:sz="0" w:space="0" w:color="auto"/>
        <w:left w:val="none" w:sz="0" w:space="0" w:color="auto"/>
        <w:bottom w:val="none" w:sz="0" w:space="0" w:color="auto"/>
        <w:right w:val="none" w:sz="0" w:space="0" w:color="auto"/>
      </w:divBdr>
    </w:div>
    <w:div w:id="1666399366">
      <w:marLeft w:val="0"/>
      <w:marRight w:val="0"/>
      <w:marTop w:val="0"/>
      <w:marBottom w:val="0"/>
      <w:divBdr>
        <w:top w:val="none" w:sz="0" w:space="0" w:color="auto"/>
        <w:left w:val="none" w:sz="0" w:space="0" w:color="auto"/>
        <w:bottom w:val="none" w:sz="0" w:space="0" w:color="auto"/>
        <w:right w:val="none" w:sz="0" w:space="0" w:color="auto"/>
      </w:divBdr>
      <w:divsChild>
        <w:div w:id="723019746">
          <w:marLeft w:val="0"/>
          <w:marRight w:val="0"/>
          <w:marTop w:val="0"/>
          <w:marBottom w:val="0"/>
          <w:divBdr>
            <w:top w:val="none" w:sz="0" w:space="0" w:color="auto"/>
            <w:left w:val="none" w:sz="0" w:space="0" w:color="auto"/>
            <w:bottom w:val="none" w:sz="0" w:space="0" w:color="auto"/>
            <w:right w:val="none" w:sz="0" w:space="0" w:color="auto"/>
          </w:divBdr>
        </w:div>
      </w:divsChild>
    </w:div>
    <w:div w:id="1669557938">
      <w:marLeft w:val="0"/>
      <w:marRight w:val="0"/>
      <w:marTop w:val="120"/>
      <w:marBottom w:val="120"/>
      <w:divBdr>
        <w:top w:val="none" w:sz="0" w:space="0" w:color="auto"/>
        <w:left w:val="none" w:sz="0" w:space="0" w:color="auto"/>
        <w:bottom w:val="none" w:sz="0" w:space="0" w:color="auto"/>
        <w:right w:val="none" w:sz="0" w:space="0" w:color="auto"/>
      </w:divBdr>
    </w:div>
    <w:div w:id="1672181191">
      <w:marLeft w:val="0"/>
      <w:marRight w:val="0"/>
      <w:marTop w:val="180"/>
      <w:marBottom w:val="0"/>
      <w:divBdr>
        <w:top w:val="none" w:sz="0" w:space="0" w:color="auto"/>
        <w:left w:val="none" w:sz="0" w:space="0" w:color="auto"/>
        <w:bottom w:val="none" w:sz="0" w:space="0" w:color="auto"/>
        <w:right w:val="none" w:sz="0" w:space="0" w:color="auto"/>
      </w:divBdr>
    </w:div>
    <w:div w:id="1675301111">
      <w:marLeft w:val="0"/>
      <w:marRight w:val="0"/>
      <w:marTop w:val="0"/>
      <w:marBottom w:val="0"/>
      <w:divBdr>
        <w:top w:val="none" w:sz="0" w:space="0" w:color="auto"/>
        <w:left w:val="none" w:sz="0" w:space="0" w:color="auto"/>
        <w:bottom w:val="none" w:sz="0" w:space="0" w:color="auto"/>
        <w:right w:val="none" w:sz="0" w:space="0" w:color="auto"/>
      </w:divBdr>
      <w:divsChild>
        <w:div w:id="1844398488">
          <w:marLeft w:val="0"/>
          <w:marRight w:val="0"/>
          <w:marTop w:val="0"/>
          <w:marBottom w:val="0"/>
          <w:divBdr>
            <w:top w:val="none" w:sz="0" w:space="0" w:color="auto"/>
            <w:left w:val="none" w:sz="0" w:space="0" w:color="auto"/>
            <w:bottom w:val="none" w:sz="0" w:space="0" w:color="auto"/>
            <w:right w:val="none" w:sz="0" w:space="0" w:color="auto"/>
          </w:divBdr>
        </w:div>
      </w:divsChild>
    </w:div>
    <w:div w:id="1679959446">
      <w:marLeft w:val="0"/>
      <w:marRight w:val="0"/>
      <w:marTop w:val="120"/>
      <w:marBottom w:val="0"/>
      <w:divBdr>
        <w:top w:val="none" w:sz="0" w:space="0" w:color="auto"/>
        <w:left w:val="none" w:sz="0" w:space="0" w:color="auto"/>
        <w:bottom w:val="none" w:sz="0" w:space="0" w:color="auto"/>
        <w:right w:val="none" w:sz="0" w:space="0" w:color="auto"/>
      </w:divBdr>
    </w:div>
    <w:div w:id="1681663781">
      <w:marLeft w:val="0"/>
      <w:marRight w:val="0"/>
      <w:marTop w:val="0"/>
      <w:marBottom w:val="0"/>
      <w:divBdr>
        <w:top w:val="none" w:sz="0" w:space="0" w:color="auto"/>
        <w:left w:val="none" w:sz="0" w:space="0" w:color="auto"/>
        <w:bottom w:val="none" w:sz="0" w:space="0" w:color="auto"/>
        <w:right w:val="none" w:sz="0" w:space="0" w:color="auto"/>
      </w:divBdr>
    </w:div>
    <w:div w:id="1681854215">
      <w:marLeft w:val="0"/>
      <w:marRight w:val="0"/>
      <w:marTop w:val="0"/>
      <w:marBottom w:val="0"/>
      <w:divBdr>
        <w:top w:val="none" w:sz="0" w:space="0" w:color="auto"/>
        <w:left w:val="none" w:sz="0" w:space="0" w:color="auto"/>
        <w:bottom w:val="none" w:sz="0" w:space="0" w:color="auto"/>
        <w:right w:val="none" w:sz="0" w:space="0" w:color="auto"/>
      </w:divBdr>
    </w:div>
    <w:div w:id="1681855375">
      <w:marLeft w:val="0"/>
      <w:marRight w:val="0"/>
      <w:marTop w:val="120"/>
      <w:marBottom w:val="120"/>
      <w:divBdr>
        <w:top w:val="none" w:sz="0" w:space="0" w:color="auto"/>
        <w:left w:val="none" w:sz="0" w:space="0" w:color="auto"/>
        <w:bottom w:val="none" w:sz="0" w:space="0" w:color="auto"/>
        <w:right w:val="none" w:sz="0" w:space="0" w:color="auto"/>
      </w:divBdr>
    </w:div>
    <w:div w:id="1683240480">
      <w:marLeft w:val="0"/>
      <w:marRight w:val="0"/>
      <w:marTop w:val="120"/>
      <w:marBottom w:val="0"/>
      <w:divBdr>
        <w:top w:val="none" w:sz="0" w:space="0" w:color="auto"/>
        <w:left w:val="none" w:sz="0" w:space="0" w:color="auto"/>
        <w:bottom w:val="none" w:sz="0" w:space="0" w:color="auto"/>
        <w:right w:val="none" w:sz="0" w:space="0" w:color="auto"/>
      </w:divBdr>
    </w:div>
    <w:div w:id="1684362286">
      <w:marLeft w:val="0"/>
      <w:marRight w:val="0"/>
      <w:marTop w:val="0"/>
      <w:marBottom w:val="0"/>
      <w:divBdr>
        <w:top w:val="none" w:sz="0" w:space="0" w:color="auto"/>
        <w:left w:val="none" w:sz="0" w:space="0" w:color="auto"/>
        <w:bottom w:val="none" w:sz="0" w:space="0" w:color="auto"/>
        <w:right w:val="none" w:sz="0" w:space="0" w:color="auto"/>
      </w:divBdr>
    </w:div>
    <w:div w:id="1686636532">
      <w:marLeft w:val="0"/>
      <w:marRight w:val="0"/>
      <w:marTop w:val="120"/>
      <w:marBottom w:val="0"/>
      <w:divBdr>
        <w:top w:val="none" w:sz="0" w:space="0" w:color="auto"/>
        <w:left w:val="none" w:sz="0" w:space="0" w:color="auto"/>
        <w:bottom w:val="none" w:sz="0" w:space="0" w:color="auto"/>
        <w:right w:val="none" w:sz="0" w:space="0" w:color="auto"/>
      </w:divBdr>
    </w:div>
    <w:div w:id="1688631443">
      <w:marLeft w:val="0"/>
      <w:marRight w:val="0"/>
      <w:marTop w:val="0"/>
      <w:marBottom w:val="0"/>
      <w:divBdr>
        <w:top w:val="none" w:sz="0" w:space="0" w:color="auto"/>
        <w:left w:val="none" w:sz="0" w:space="0" w:color="auto"/>
        <w:bottom w:val="none" w:sz="0" w:space="0" w:color="auto"/>
        <w:right w:val="none" w:sz="0" w:space="0" w:color="auto"/>
      </w:divBdr>
    </w:div>
    <w:div w:id="1688872276">
      <w:marLeft w:val="0"/>
      <w:marRight w:val="0"/>
      <w:marTop w:val="120"/>
      <w:marBottom w:val="120"/>
      <w:divBdr>
        <w:top w:val="none" w:sz="0" w:space="0" w:color="auto"/>
        <w:left w:val="none" w:sz="0" w:space="0" w:color="auto"/>
        <w:bottom w:val="none" w:sz="0" w:space="0" w:color="auto"/>
        <w:right w:val="none" w:sz="0" w:space="0" w:color="auto"/>
      </w:divBdr>
    </w:div>
    <w:div w:id="1690061182">
      <w:marLeft w:val="0"/>
      <w:marRight w:val="0"/>
      <w:marTop w:val="120"/>
      <w:marBottom w:val="0"/>
      <w:divBdr>
        <w:top w:val="none" w:sz="0" w:space="0" w:color="auto"/>
        <w:left w:val="none" w:sz="0" w:space="0" w:color="auto"/>
        <w:bottom w:val="none" w:sz="0" w:space="0" w:color="auto"/>
        <w:right w:val="none" w:sz="0" w:space="0" w:color="auto"/>
      </w:divBdr>
    </w:div>
    <w:div w:id="1691561070">
      <w:marLeft w:val="0"/>
      <w:marRight w:val="0"/>
      <w:marTop w:val="0"/>
      <w:marBottom w:val="0"/>
      <w:divBdr>
        <w:top w:val="none" w:sz="0" w:space="0" w:color="auto"/>
        <w:left w:val="none" w:sz="0" w:space="0" w:color="auto"/>
        <w:bottom w:val="none" w:sz="0" w:space="0" w:color="auto"/>
        <w:right w:val="none" w:sz="0" w:space="0" w:color="auto"/>
      </w:divBdr>
    </w:div>
    <w:div w:id="1692102913">
      <w:marLeft w:val="0"/>
      <w:marRight w:val="0"/>
      <w:marTop w:val="0"/>
      <w:marBottom w:val="0"/>
      <w:divBdr>
        <w:top w:val="none" w:sz="0" w:space="0" w:color="auto"/>
        <w:left w:val="none" w:sz="0" w:space="0" w:color="auto"/>
        <w:bottom w:val="none" w:sz="0" w:space="0" w:color="auto"/>
        <w:right w:val="none" w:sz="0" w:space="0" w:color="auto"/>
      </w:divBdr>
    </w:div>
    <w:div w:id="1696225397">
      <w:marLeft w:val="0"/>
      <w:marRight w:val="0"/>
      <w:marTop w:val="0"/>
      <w:marBottom w:val="0"/>
      <w:divBdr>
        <w:top w:val="none" w:sz="0" w:space="0" w:color="auto"/>
        <w:left w:val="none" w:sz="0" w:space="0" w:color="auto"/>
        <w:bottom w:val="none" w:sz="0" w:space="0" w:color="auto"/>
        <w:right w:val="none" w:sz="0" w:space="0" w:color="auto"/>
      </w:divBdr>
    </w:div>
    <w:div w:id="1701080835">
      <w:marLeft w:val="0"/>
      <w:marRight w:val="0"/>
      <w:marTop w:val="120"/>
      <w:marBottom w:val="0"/>
      <w:divBdr>
        <w:top w:val="none" w:sz="0" w:space="0" w:color="auto"/>
        <w:left w:val="none" w:sz="0" w:space="0" w:color="auto"/>
        <w:bottom w:val="none" w:sz="0" w:space="0" w:color="auto"/>
        <w:right w:val="none" w:sz="0" w:space="0" w:color="auto"/>
      </w:divBdr>
    </w:div>
    <w:div w:id="1703940617">
      <w:marLeft w:val="0"/>
      <w:marRight w:val="0"/>
      <w:marTop w:val="120"/>
      <w:marBottom w:val="0"/>
      <w:divBdr>
        <w:top w:val="none" w:sz="0" w:space="0" w:color="auto"/>
        <w:left w:val="none" w:sz="0" w:space="0" w:color="auto"/>
        <w:bottom w:val="none" w:sz="0" w:space="0" w:color="auto"/>
        <w:right w:val="none" w:sz="0" w:space="0" w:color="auto"/>
      </w:divBdr>
    </w:div>
    <w:div w:id="1705666788">
      <w:marLeft w:val="0"/>
      <w:marRight w:val="0"/>
      <w:marTop w:val="120"/>
      <w:marBottom w:val="120"/>
      <w:divBdr>
        <w:top w:val="none" w:sz="0" w:space="0" w:color="auto"/>
        <w:left w:val="none" w:sz="0" w:space="0" w:color="auto"/>
        <w:bottom w:val="none" w:sz="0" w:space="0" w:color="auto"/>
        <w:right w:val="none" w:sz="0" w:space="0" w:color="auto"/>
      </w:divBdr>
    </w:div>
    <w:div w:id="1708335836">
      <w:marLeft w:val="0"/>
      <w:marRight w:val="0"/>
      <w:marTop w:val="120"/>
      <w:marBottom w:val="60"/>
      <w:divBdr>
        <w:top w:val="none" w:sz="0" w:space="0" w:color="auto"/>
        <w:left w:val="none" w:sz="0" w:space="0" w:color="auto"/>
        <w:bottom w:val="none" w:sz="0" w:space="0" w:color="auto"/>
        <w:right w:val="none" w:sz="0" w:space="0" w:color="auto"/>
      </w:divBdr>
    </w:div>
    <w:div w:id="1711222437">
      <w:marLeft w:val="0"/>
      <w:marRight w:val="0"/>
      <w:marTop w:val="120"/>
      <w:marBottom w:val="0"/>
      <w:divBdr>
        <w:top w:val="none" w:sz="0" w:space="0" w:color="auto"/>
        <w:left w:val="none" w:sz="0" w:space="0" w:color="auto"/>
        <w:bottom w:val="none" w:sz="0" w:space="0" w:color="auto"/>
        <w:right w:val="none" w:sz="0" w:space="0" w:color="auto"/>
      </w:divBdr>
    </w:div>
    <w:div w:id="1712805862">
      <w:marLeft w:val="0"/>
      <w:marRight w:val="0"/>
      <w:marTop w:val="0"/>
      <w:marBottom w:val="0"/>
      <w:divBdr>
        <w:top w:val="none" w:sz="0" w:space="0" w:color="auto"/>
        <w:left w:val="none" w:sz="0" w:space="0" w:color="auto"/>
        <w:bottom w:val="none" w:sz="0" w:space="0" w:color="auto"/>
        <w:right w:val="none" w:sz="0" w:space="0" w:color="auto"/>
      </w:divBdr>
      <w:divsChild>
        <w:div w:id="1223322854">
          <w:marLeft w:val="0"/>
          <w:marRight w:val="0"/>
          <w:marTop w:val="0"/>
          <w:marBottom w:val="0"/>
          <w:divBdr>
            <w:top w:val="none" w:sz="0" w:space="0" w:color="auto"/>
            <w:left w:val="none" w:sz="0" w:space="0" w:color="auto"/>
            <w:bottom w:val="none" w:sz="0" w:space="0" w:color="auto"/>
            <w:right w:val="none" w:sz="0" w:space="0" w:color="auto"/>
          </w:divBdr>
        </w:div>
      </w:divsChild>
    </w:div>
    <w:div w:id="1713995214">
      <w:marLeft w:val="0"/>
      <w:marRight w:val="0"/>
      <w:marTop w:val="0"/>
      <w:marBottom w:val="0"/>
      <w:divBdr>
        <w:top w:val="none" w:sz="0" w:space="0" w:color="auto"/>
        <w:left w:val="none" w:sz="0" w:space="0" w:color="auto"/>
        <w:bottom w:val="none" w:sz="0" w:space="0" w:color="auto"/>
        <w:right w:val="none" w:sz="0" w:space="0" w:color="auto"/>
      </w:divBdr>
    </w:div>
    <w:div w:id="1716394477">
      <w:marLeft w:val="0"/>
      <w:marRight w:val="0"/>
      <w:marTop w:val="120"/>
      <w:marBottom w:val="0"/>
      <w:divBdr>
        <w:top w:val="none" w:sz="0" w:space="0" w:color="auto"/>
        <w:left w:val="none" w:sz="0" w:space="0" w:color="auto"/>
        <w:bottom w:val="none" w:sz="0" w:space="0" w:color="auto"/>
        <w:right w:val="none" w:sz="0" w:space="0" w:color="auto"/>
      </w:divBdr>
    </w:div>
    <w:div w:id="1717390647">
      <w:marLeft w:val="0"/>
      <w:marRight w:val="0"/>
      <w:marTop w:val="0"/>
      <w:marBottom w:val="0"/>
      <w:divBdr>
        <w:top w:val="none" w:sz="0" w:space="0" w:color="auto"/>
        <w:left w:val="none" w:sz="0" w:space="0" w:color="auto"/>
        <w:bottom w:val="none" w:sz="0" w:space="0" w:color="auto"/>
        <w:right w:val="none" w:sz="0" w:space="0" w:color="auto"/>
      </w:divBdr>
    </w:div>
    <w:div w:id="1719553151">
      <w:marLeft w:val="0"/>
      <w:marRight w:val="0"/>
      <w:marTop w:val="0"/>
      <w:marBottom w:val="0"/>
      <w:divBdr>
        <w:top w:val="none" w:sz="0" w:space="0" w:color="auto"/>
        <w:left w:val="none" w:sz="0" w:space="0" w:color="auto"/>
        <w:bottom w:val="none" w:sz="0" w:space="0" w:color="auto"/>
        <w:right w:val="none" w:sz="0" w:space="0" w:color="auto"/>
      </w:divBdr>
    </w:div>
    <w:div w:id="1720276376">
      <w:marLeft w:val="0"/>
      <w:marRight w:val="0"/>
      <w:marTop w:val="120"/>
      <w:marBottom w:val="120"/>
      <w:divBdr>
        <w:top w:val="none" w:sz="0" w:space="0" w:color="auto"/>
        <w:left w:val="none" w:sz="0" w:space="0" w:color="auto"/>
        <w:bottom w:val="none" w:sz="0" w:space="0" w:color="auto"/>
        <w:right w:val="none" w:sz="0" w:space="0" w:color="auto"/>
      </w:divBdr>
    </w:div>
    <w:div w:id="1720548079">
      <w:marLeft w:val="0"/>
      <w:marRight w:val="0"/>
      <w:marTop w:val="0"/>
      <w:marBottom w:val="0"/>
      <w:divBdr>
        <w:top w:val="none" w:sz="0" w:space="0" w:color="auto"/>
        <w:left w:val="none" w:sz="0" w:space="0" w:color="auto"/>
        <w:bottom w:val="none" w:sz="0" w:space="0" w:color="auto"/>
        <w:right w:val="none" w:sz="0" w:space="0" w:color="auto"/>
      </w:divBdr>
    </w:div>
    <w:div w:id="1721130646">
      <w:marLeft w:val="0"/>
      <w:marRight w:val="0"/>
      <w:marTop w:val="120"/>
      <w:marBottom w:val="120"/>
      <w:divBdr>
        <w:top w:val="none" w:sz="0" w:space="0" w:color="auto"/>
        <w:left w:val="none" w:sz="0" w:space="0" w:color="auto"/>
        <w:bottom w:val="none" w:sz="0" w:space="0" w:color="auto"/>
        <w:right w:val="none" w:sz="0" w:space="0" w:color="auto"/>
      </w:divBdr>
    </w:div>
    <w:div w:id="1722946825">
      <w:marLeft w:val="0"/>
      <w:marRight w:val="0"/>
      <w:marTop w:val="180"/>
      <w:marBottom w:val="180"/>
      <w:divBdr>
        <w:top w:val="none" w:sz="0" w:space="0" w:color="auto"/>
        <w:left w:val="none" w:sz="0" w:space="0" w:color="auto"/>
        <w:bottom w:val="none" w:sz="0" w:space="0" w:color="auto"/>
        <w:right w:val="none" w:sz="0" w:space="0" w:color="auto"/>
      </w:divBdr>
    </w:div>
    <w:div w:id="1722972009">
      <w:marLeft w:val="0"/>
      <w:marRight w:val="0"/>
      <w:marTop w:val="0"/>
      <w:marBottom w:val="0"/>
      <w:divBdr>
        <w:top w:val="none" w:sz="0" w:space="0" w:color="auto"/>
        <w:left w:val="none" w:sz="0" w:space="0" w:color="auto"/>
        <w:bottom w:val="none" w:sz="0" w:space="0" w:color="auto"/>
        <w:right w:val="none" w:sz="0" w:space="0" w:color="auto"/>
      </w:divBdr>
      <w:divsChild>
        <w:div w:id="806631480">
          <w:marLeft w:val="0"/>
          <w:marRight w:val="0"/>
          <w:marTop w:val="0"/>
          <w:marBottom w:val="0"/>
          <w:divBdr>
            <w:top w:val="none" w:sz="0" w:space="0" w:color="auto"/>
            <w:left w:val="none" w:sz="0" w:space="0" w:color="auto"/>
            <w:bottom w:val="none" w:sz="0" w:space="0" w:color="auto"/>
            <w:right w:val="none" w:sz="0" w:space="0" w:color="auto"/>
          </w:divBdr>
        </w:div>
      </w:divsChild>
    </w:div>
    <w:div w:id="1723169721">
      <w:marLeft w:val="0"/>
      <w:marRight w:val="0"/>
      <w:marTop w:val="0"/>
      <w:marBottom w:val="0"/>
      <w:divBdr>
        <w:top w:val="none" w:sz="0" w:space="0" w:color="auto"/>
        <w:left w:val="none" w:sz="0" w:space="0" w:color="auto"/>
        <w:bottom w:val="none" w:sz="0" w:space="0" w:color="auto"/>
        <w:right w:val="none" w:sz="0" w:space="0" w:color="auto"/>
      </w:divBdr>
    </w:div>
    <w:div w:id="1725519723">
      <w:marLeft w:val="0"/>
      <w:marRight w:val="0"/>
      <w:marTop w:val="120"/>
      <w:marBottom w:val="0"/>
      <w:divBdr>
        <w:top w:val="none" w:sz="0" w:space="0" w:color="auto"/>
        <w:left w:val="none" w:sz="0" w:space="0" w:color="auto"/>
        <w:bottom w:val="none" w:sz="0" w:space="0" w:color="auto"/>
        <w:right w:val="none" w:sz="0" w:space="0" w:color="auto"/>
      </w:divBdr>
    </w:div>
    <w:div w:id="1726489341">
      <w:marLeft w:val="0"/>
      <w:marRight w:val="0"/>
      <w:marTop w:val="120"/>
      <w:marBottom w:val="120"/>
      <w:divBdr>
        <w:top w:val="none" w:sz="0" w:space="0" w:color="auto"/>
        <w:left w:val="none" w:sz="0" w:space="0" w:color="auto"/>
        <w:bottom w:val="none" w:sz="0" w:space="0" w:color="auto"/>
        <w:right w:val="none" w:sz="0" w:space="0" w:color="auto"/>
      </w:divBdr>
    </w:div>
    <w:div w:id="1727407961">
      <w:marLeft w:val="0"/>
      <w:marRight w:val="0"/>
      <w:marTop w:val="180"/>
      <w:marBottom w:val="120"/>
      <w:divBdr>
        <w:top w:val="none" w:sz="0" w:space="0" w:color="auto"/>
        <w:left w:val="none" w:sz="0" w:space="0" w:color="auto"/>
        <w:bottom w:val="none" w:sz="0" w:space="0" w:color="auto"/>
        <w:right w:val="none" w:sz="0" w:space="0" w:color="auto"/>
      </w:divBdr>
    </w:div>
    <w:div w:id="1735197536">
      <w:marLeft w:val="0"/>
      <w:marRight w:val="0"/>
      <w:marTop w:val="0"/>
      <w:marBottom w:val="0"/>
      <w:divBdr>
        <w:top w:val="none" w:sz="0" w:space="0" w:color="auto"/>
        <w:left w:val="none" w:sz="0" w:space="0" w:color="auto"/>
        <w:bottom w:val="none" w:sz="0" w:space="0" w:color="auto"/>
        <w:right w:val="none" w:sz="0" w:space="0" w:color="auto"/>
      </w:divBdr>
      <w:divsChild>
        <w:div w:id="875699551">
          <w:marLeft w:val="0"/>
          <w:marRight w:val="0"/>
          <w:marTop w:val="0"/>
          <w:marBottom w:val="0"/>
          <w:divBdr>
            <w:top w:val="none" w:sz="0" w:space="0" w:color="auto"/>
            <w:left w:val="none" w:sz="0" w:space="0" w:color="auto"/>
            <w:bottom w:val="none" w:sz="0" w:space="0" w:color="auto"/>
            <w:right w:val="none" w:sz="0" w:space="0" w:color="auto"/>
          </w:divBdr>
        </w:div>
      </w:divsChild>
    </w:div>
    <w:div w:id="1736389013">
      <w:marLeft w:val="0"/>
      <w:marRight w:val="0"/>
      <w:marTop w:val="120"/>
      <w:marBottom w:val="120"/>
      <w:divBdr>
        <w:top w:val="none" w:sz="0" w:space="0" w:color="auto"/>
        <w:left w:val="none" w:sz="0" w:space="0" w:color="auto"/>
        <w:bottom w:val="none" w:sz="0" w:space="0" w:color="auto"/>
        <w:right w:val="none" w:sz="0" w:space="0" w:color="auto"/>
      </w:divBdr>
    </w:div>
    <w:div w:id="1737701274">
      <w:marLeft w:val="0"/>
      <w:marRight w:val="0"/>
      <w:marTop w:val="120"/>
      <w:marBottom w:val="0"/>
      <w:divBdr>
        <w:top w:val="none" w:sz="0" w:space="0" w:color="auto"/>
        <w:left w:val="none" w:sz="0" w:space="0" w:color="auto"/>
        <w:bottom w:val="none" w:sz="0" w:space="0" w:color="auto"/>
        <w:right w:val="none" w:sz="0" w:space="0" w:color="auto"/>
      </w:divBdr>
    </w:div>
    <w:div w:id="1737783096">
      <w:marLeft w:val="0"/>
      <w:marRight w:val="0"/>
      <w:marTop w:val="60"/>
      <w:marBottom w:val="0"/>
      <w:divBdr>
        <w:top w:val="none" w:sz="0" w:space="0" w:color="auto"/>
        <w:left w:val="none" w:sz="0" w:space="0" w:color="auto"/>
        <w:bottom w:val="none" w:sz="0" w:space="0" w:color="auto"/>
        <w:right w:val="none" w:sz="0" w:space="0" w:color="auto"/>
      </w:divBdr>
    </w:div>
    <w:div w:id="1738556813">
      <w:marLeft w:val="0"/>
      <w:marRight w:val="0"/>
      <w:marTop w:val="120"/>
      <w:marBottom w:val="120"/>
      <w:divBdr>
        <w:top w:val="none" w:sz="0" w:space="0" w:color="auto"/>
        <w:left w:val="none" w:sz="0" w:space="0" w:color="auto"/>
        <w:bottom w:val="none" w:sz="0" w:space="0" w:color="auto"/>
        <w:right w:val="none" w:sz="0" w:space="0" w:color="auto"/>
      </w:divBdr>
    </w:div>
    <w:div w:id="1741829321">
      <w:marLeft w:val="0"/>
      <w:marRight w:val="0"/>
      <w:marTop w:val="120"/>
      <w:marBottom w:val="120"/>
      <w:divBdr>
        <w:top w:val="none" w:sz="0" w:space="0" w:color="auto"/>
        <w:left w:val="none" w:sz="0" w:space="0" w:color="auto"/>
        <w:bottom w:val="none" w:sz="0" w:space="0" w:color="auto"/>
        <w:right w:val="none" w:sz="0" w:space="0" w:color="auto"/>
      </w:divBdr>
    </w:div>
    <w:div w:id="1743061968">
      <w:marLeft w:val="0"/>
      <w:marRight w:val="0"/>
      <w:marTop w:val="0"/>
      <w:marBottom w:val="0"/>
      <w:divBdr>
        <w:top w:val="none" w:sz="0" w:space="0" w:color="auto"/>
        <w:left w:val="none" w:sz="0" w:space="0" w:color="auto"/>
        <w:bottom w:val="none" w:sz="0" w:space="0" w:color="auto"/>
        <w:right w:val="none" w:sz="0" w:space="0" w:color="auto"/>
      </w:divBdr>
    </w:div>
    <w:div w:id="1744598209">
      <w:marLeft w:val="0"/>
      <w:marRight w:val="0"/>
      <w:marTop w:val="0"/>
      <w:marBottom w:val="0"/>
      <w:divBdr>
        <w:top w:val="none" w:sz="0" w:space="0" w:color="auto"/>
        <w:left w:val="none" w:sz="0" w:space="0" w:color="auto"/>
        <w:bottom w:val="none" w:sz="0" w:space="0" w:color="auto"/>
        <w:right w:val="none" w:sz="0" w:space="0" w:color="auto"/>
      </w:divBdr>
      <w:divsChild>
        <w:div w:id="131218465">
          <w:marLeft w:val="0"/>
          <w:marRight w:val="0"/>
          <w:marTop w:val="0"/>
          <w:marBottom w:val="0"/>
          <w:divBdr>
            <w:top w:val="none" w:sz="0" w:space="0" w:color="auto"/>
            <w:left w:val="none" w:sz="0" w:space="0" w:color="auto"/>
            <w:bottom w:val="none" w:sz="0" w:space="0" w:color="auto"/>
            <w:right w:val="none" w:sz="0" w:space="0" w:color="auto"/>
          </w:divBdr>
        </w:div>
      </w:divsChild>
    </w:div>
    <w:div w:id="1744791050">
      <w:marLeft w:val="0"/>
      <w:marRight w:val="0"/>
      <w:marTop w:val="0"/>
      <w:marBottom w:val="0"/>
      <w:divBdr>
        <w:top w:val="none" w:sz="0" w:space="0" w:color="auto"/>
        <w:left w:val="none" w:sz="0" w:space="0" w:color="auto"/>
        <w:bottom w:val="none" w:sz="0" w:space="0" w:color="auto"/>
        <w:right w:val="none" w:sz="0" w:space="0" w:color="auto"/>
      </w:divBdr>
      <w:divsChild>
        <w:div w:id="157771516">
          <w:marLeft w:val="0"/>
          <w:marRight w:val="0"/>
          <w:marTop w:val="0"/>
          <w:marBottom w:val="0"/>
          <w:divBdr>
            <w:top w:val="none" w:sz="0" w:space="0" w:color="auto"/>
            <w:left w:val="none" w:sz="0" w:space="0" w:color="auto"/>
            <w:bottom w:val="none" w:sz="0" w:space="0" w:color="auto"/>
            <w:right w:val="none" w:sz="0" w:space="0" w:color="auto"/>
          </w:divBdr>
        </w:div>
      </w:divsChild>
    </w:div>
    <w:div w:id="1747338767">
      <w:marLeft w:val="0"/>
      <w:marRight w:val="0"/>
      <w:marTop w:val="0"/>
      <w:marBottom w:val="0"/>
      <w:divBdr>
        <w:top w:val="none" w:sz="0" w:space="0" w:color="auto"/>
        <w:left w:val="none" w:sz="0" w:space="0" w:color="auto"/>
        <w:bottom w:val="none" w:sz="0" w:space="0" w:color="auto"/>
        <w:right w:val="none" w:sz="0" w:space="0" w:color="auto"/>
      </w:divBdr>
    </w:div>
    <w:div w:id="1747535177">
      <w:marLeft w:val="0"/>
      <w:marRight w:val="0"/>
      <w:marTop w:val="120"/>
      <w:marBottom w:val="0"/>
      <w:divBdr>
        <w:top w:val="none" w:sz="0" w:space="0" w:color="auto"/>
        <w:left w:val="none" w:sz="0" w:space="0" w:color="auto"/>
        <w:bottom w:val="none" w:sz="0" w:space="0" w:color="auto"/>
        <w:right w:val="none" w:sz="0" w:space="0" w:color="auto"/>
      </w:divBdr>
    </w:div>
    <w:div w:id="1749300417">
      <w:marLeft w:val="0"/>
      <w:marRight w:val="0"/>
      <w:marTop w:val="0"/>
      <w:marBottom w:val="0"/>
      <w:divBdr>
        <w:top w:val="none" w:sz="0" w:space="0" w:color="auto"/>
        <w:left w:val="none" w:sz="0" w:space="0" w:color="auto"/>
        <w:bottom w:val="none" w:sz="0" w:space="0" w:color="auto"/>
        <w:right w:val="none" w:sz="0" w:space="0" w:color="auto"/>
      </w:divBdr>
    </w:div>
    <w:div w:id="1749814252">
      <w:marLeft w:val="0"/>
      <w:marRight w:val="0"/>
      <w:marTop w:val="0"/>
      <w:marBottom w:val="0"/>
      <w:divBdr>
        <w:top w:val="none" w:sz="0" w:space="0" w:color="auto"/>
        <w:left w:val="none" w:sz="0" w:space="0" w:color="auto"/>
        <w:bottom w:val="none" w:sz="0" w:space="0" w:color="auto"/>
        <w:right w:val="none" w:sz="0" w:space="0" w:color="auto"/>
      </w:divBdr>
      <w:divsChild>
        <w:div w:id="10034868">
          <w:marLeft w:val="0"/>
          <w:marRight w:val="0"/>
          <w:marTop w:val="0"/>
          <w:marBottom w:val="0"/>
          <w:divBdr>
            <w:top w:val="none" w:sz="0" w:space="0" w:color="auto"/>
            <w:left w:val="none" w:sz="0" w:space="0" w:color="auto"/>
            <w:bottom w:val="none" w:sz="0" w:space="0" w:color="auto"/>
            <w:right w:val="none" w:sz="0" w:space="0" w:color="auto"/>
          </w:divBdr>
        </w:div>
      </w:divsChild>
    </w:div>
    <w:div w:id="1751078486">
      <w:marLeft w:val="0"/>
      <w:marRight w:val="0"/>
      <w:marTop w:val="120"/>
      <w:marBottom w:val="120"/>
      <w:divBdr>
        <w:top w:val="none" w:sz="0" w:space="0" w:color="auto"/>
        <w:left w:val="none" w:sz="0" w:space="0" w:color="auto"/>
        <w:bottom w:val="none" w:sz="0" w:space="0" w:color="auto"/>
        <w:right w:val="none" w:sz="0" w:space="0" w:color="auto"/>
      </w:divBdr>
    </w:div>
    <w:div w:id="1754037747">
      <w:marLeft w:val="0"/>
      <w:marRight w:val="0"/>
      <w:marTop w:val="120"/>
      <w:marBottom w:val="120"/>
      <w:divBdr>
        <w:top w:val="none" w:sz="0" w:space="0" w:color="auto"/>
        <w:left w:val="none" w:sz="0" w:space="0" w:color="auto"/>
        <w:bottom w:val="none" w:sz="0" w:space="0" w:color="auto"/>
        <w:right w:val="none" w:sz="0" w:space="0" w:color="auto"/>
      </w:divBdr>
    </w:div>
    <w:div w:id="1754279950">
      <w:marLeft w:val="0"/>
      <w:marRight w:val="0"/>
      <w:marTop w:val="120"/>
      <w:marBottom w:val="120"/>
      <w:divBdr>
        <w:top w:val="none" w:sz="0" w:space="0" w:color="auto"/>
        <w:left w:val="none" w:sz="0" w:space="0" w:color="auto"/>
        <w:bottom w:val="none" w:sz="0" w:space="0" w:color="auto"/>
        <w:right w:val="none" w:sz="0" w:space="0" w:color="auto"/>
      </w:divBdr>
    </w:div>
    <w:div w:id="1756240907">
      <w:marLeft w:val="0"/>
      <w:marRight w:val="0"/>
      <w:marTop w:val="120"/>
      <w:marBottom w:val="0"/>
      <w:divBdr>
        <w:top w:val="none" w:sz="0" w:space="0" w:color="auto"/>
        <w:left w:val="none" w:sz="0" w:space="0" w:color="auto"/>
        <w:bottom w:val="none" w:sz="0" w:space="0" w:color="auto"/>
        <w:right w:val="none" w:sz="0" w:space="0" w:color="auto"/>
      </w:divBdr>
    </w:div>
    <w:div w:id="1756902731">
      <w:marLeft w:val="0"/>
      <w:marRight w:val="0"/>
      <w:marTop w:val="180"/>
      <w:marBottom w:val="120"/>
      <w:divBdr>
        <w:top w:val="none" w:sz="0" w:space="0" w:color="auto"/>
        <w:left w:val="none" w:sz="0" w:space="0" w:color="auto"/>
        <w:bottom w:val="none" w:sz="0" w:space="0" w:color="auto"/>
        <w:right w:val="none" w:sz="0" w:space="0" w:color="auto"/>
      </w:divBdr>
    </w:div>
    <w:div w:id="1758096718">
      <w:marLeft w:val="0"/>
      <w:marRight w:val="0"/>
      <w:marTop w:val="180"/>
      <w:marBottom w:val="120"/>
      <w:divBdr>
        <w:top w:val="none" w:sz="0" w:space="0" w:color="auto"/>
        <w:left w:val="none" w:sz="0" w:space="0" w:color="auto"/>
        <w:bottom w:val="none" w:sz="0" w:space="0" w:color="auto"/>
        <w:right w:val="none" w:sz="0" w:space="0" w:color="auto"/>
      </w:divBdr>
    </w:div>
    <w:div w:id="1758863401">
      <w:marLeft w:val="0"/>
      <w:marRight w:val="0"/>
      <w:marTop w:val="60"/>
      <w:marBottom w:val="0"/>
      <w:divBdr>
        <w:top w:val="none" w:sz="0" w:space="0" w:color="auto"/>
        <w:left w:val="none" w:sz="0" w:space="0" w:color="auto"/>
        <w:bottom w:val="none" w:sz="0" w:space="0" w:color="auto"/>
        <w:right w:val="none" w:sz="0" w:space="0" w:color="auto"/>
      </w:divBdr>
    </w:div>
    <w:div w:id="1759598851">
      <w:marLeft w:val="0"/>
      <w:marRight w:val="0"/>
      <w:marTop w:val="120"/>
      <w:marBottom w:val="0"/>
      <w:divBdr>
        <w:top w:val="none" w:sz="0" w:space="0" w:color="auto"/>
        <w:left w:val="none" w:sz="0" w:space="0" w:color="auto"/>
        <w:bottom w:val="none" w:sz="0" w:space="0" w:color="auto"/>
        <w:right w:val="none" w:sz="0" w:space="0" w:color="auto"/>
      </w:divBdr>
    </w:div>
    <w:div w:id="1760760081">
      <w:marLeft w:val="0"/>
      <w:marRight w:val="0"/>
      <w:marTop w:val="120"/>
      <w:marBottom w:val="0"/>
      <w:divBdr>
        <w:top w:val="none" w:sz="0" w:space="0" w:color="auto"/>
        <w:left w:val="none" w:sz="0" w:space="0" w:color="auto"/>
        <w:bottom w:val="none" w:sz="0" w:space="0" w:color="auto"/>
        <w:right w:val="none" w:sz="0" w:space="0" w:color="auto"/>
      </w:divBdr>
    </w:div>
    <w:div w:id="1760903339">
      <w:marLeft w:val="0"/>
      <w:marRight w:val="0"/>
      <w:marTop w:val="120"/>
      <w:marBottom w:val="120"/>
      <w:divBdr>
        <w:top w:val="none" w:sz="0" w:space="0" w:color="auto"/>
        <w:left w:val="none" w:sz="0" w:space="0" w:color="auto"/>
        <w:bottom w:val="none" w:sz="0" w:space="0" w:color="auto"/>
        <w:right w:val="none" w:sz="0" w:space="0" w:color="auto"/>
      </w:divBdr>
    </w:div>
    <w:div w:id="1761021560">
      <w:marLeft w:val="0"/>
      <w:marRight w:val="0"/>
      <w:marTop w:val="180"/>
      <w:marBottom w:val="120"/>
      <w:divBdr>
        <w:top w:val="none" w:sz="0" w:space="0" w:color="auto"/>
        <w:left w:val="none" w:sz="0" w:space="0" w:color="auto"/>
        <w:bottom w:val="none" w:sz="0" w:space="0" w:color="auto"/>
        <w:right w:val="none" w:sz="0" w:space="0" w:color="auto"/>
      </w:divBdr>
    </w:div>
    <w:div w:id="1761214870">
      <w:marLeft w:val="0"/>
      <w:marRight w:val="0"/>
      <w:marTop w:val="180"/>
      <w:marBottom w:val="120"/>
      <w:divBdr>
        <w:top w:val="none" w:sz="0" w:space="0" w:color="auto"/>
        <w:left w:val="none" w:sz="0" w:space="0" w:color="auto"/>
        <w:bottom w:val="none" w:sz="0" w:space="0" w:color="auto"/>
        <w:right w:val="none" w:sz="0" w:space="0" w:color="auto"/>
      </w:divBdr>
    </w:div>
    <w:div w:id="1761366421">
      <w:marLeft w:val="0"/>
      <w:marRight w:val="0"/>
      <w:marTop w:val="0"/>
      <w:marBottom w:val="0"/>
      <w:divBdr>
        <w:top w:val="none" w:sz="0" w:space="0" w:color="auto"/>
        <w:left w:val="none" w:sz="0" w:space="0" w:color="auto"/>
        <w:bottom w:val="none" w:sz="0" w:space="0" w:color="auto"/>
        <w:right w:val="none" w:sz="0" w:space="0" w:color="auto"/>
      </w:divBdr>
    </w:div>
    <w:div w:id="1763405602">
      <w:marLeft w:val="0"/>
      <w:marRight w:val="0"/>
      <w:marTop w:val="120"/>
      <w:marBottom w:val="0"/>
      <w:divBdr>
        <w:top w:val="none" w:sz="0" w:space="0" w:color="auto"/>
        <w:left w:val="none" w:sz="0" w:space="0" w:color="auto"/>
        <w:bottom w:val="none" w:sz="0" w:space="0" w:color="auto"/>
        <w:right w:val="none" w:sz="0" w:space="0" w:color="auto"/>
      </w:divBdr>
    </w:div>
    <w:div w:id="1764106693">
      <w:marLeft w:val="0"/>
      <w:marRight w:val="0"/>
      <w:marTop w:val="120"/>
      <w:marBottom w:val="20"/>
      <w:divBdr>
        <w:top w:val="none" w:sz="0" w:space="0" w:color="auto"/>
        <w:left w:val="none" w:sz="0" w:space="0" w:color="auto"/>
        <w:bottom w:val="none" w:sz="0" w:space="0" w:color="auto"/>
        <w:right w:val="none" w:sz="0" w:space="0" w:color="auto"/>
      </w:divBdr>
    </w:div>
    <w:div w:id="1764648106">
      <w:marLeft w:val="0"/>
      <w:marRight w:val="0"/>
      <w:marTop w:val="120"/>
      <w:marBottom w:val="0"/>
      <w:divBdr>
        <w:top w:val="none" w:sz="0" w:space="0" w:color="auto"/>
        <w:left w:val="none" w:sz="0" w:space="0" w:color="auto"/>
        <w:bottom w:val="none" w:sz="0" w:space="0" w:color="auto"/>
        <w:right w:val="none" w:sz="0" w:space="0" w:color="auto"/>
      </w:divBdr>
    </w:div>
    <w:div w:id="1765103940">
      <w:marLeft w:val="0"/>
      <w:marRight w:val="0"/>
      <w:marTop w:val="120"/>
      <w:marBottom w:val="120"/>
      <w:divBdr>
        <w:top w:val="none" w:sz="0" w:space="0" w:color="auto"/>
        <w:left w:val="none" w:sz="0" w:space="0" w:color="auto"/>
        <w:bottom w:val="none" w:sz="0" w:space="0" w:color="auto"/>
        <w:right w:val="none" w:sz="0" w:space="0" w:color="auto"/>
      </w:divBdr>
    </w:div>
    <w:div w:id="1765224008">
      <w:marLeft w:val="0"/>
      <w:marRight w:val="0"/>
      <w:marTop w:val="120"/>
      <w:marBottom w:val="0"/>
      <w:divBdr>
        <w:top w:val="none" w:sz="0" w:space="0" w:color="auto"/>
        <w:left w:val="none" w:sz="0" w:space="0" w:color="auto"/>
        <w:bottom w:val="none" w:sz="0" w:space="0" w:color="auto"/>
        <w:right w:val="none" w:sz="0" w:space="0" w:color="auto"/>
      </w:divBdr>
    </w:div>
    <w:div w:id="1765375980">
      <w:marLeft w:val="0"/>
      <w:marRight w:val="0"/>
      <w:marTop w:val="120"/>
      <w:marBottom w:val="120"/>
      <w:divBdr>
        <w:top w:val="none" w:sz="0" w:space="0" w:color="auto"/>
        <w:left w:val="none" w:sz="0" w:space="0" w:color="auto"/>
        <w:bottom w:val="none" w:sz="0" w:space="0" w:color="auto"/>
        <w:right w:val="none" w:sz="0" w:space="0" w:color="auto"/>
      </w:divBdr>
    </w:div>
    <w:div w:id="1766341765">
      <w:marLeft w:val="0"/>
      <w:marRight w:val="0"/>
      <w:marTop w:val="120"/>
      <w:marBottom w:val="0"/>
      <w:divBdr>
        <w:top w:val="none" w:sz="0" w:space="0" w:color="auto"/>
        <w:left w:val="none" w:sz="0" w:space="0" w:color="auto"/>
        <w:bottom w:val="none" w:sz="0" w:space="0" w:color="auto"/>
        <w:right w:val="none" w:sz="0" w:space="0" w:color="auto"/>
      </w:divBdr>
    </w:div>
    <w:div w:id="1767338624">
      <w:marLeft w:val="0"/>
      <w:marRight w:val="0"/>
      <w:marTop w:val="120"/>
      <w:marBottom w:val="0"/>
      <w:divBdr>
        <w:top w:val="none" w:sz="0" w:space="0" w:color="auto"/>
        <w:left w:val="none" w:sz="0" w:space="0" w:color="auto"/>
        <w:bottom w:val="none" w:sz="0" w:space="0" w:color="auto"/>
        <w:right w:val="none" w:sz="0" w:space="0" w:color="auto"/>
      </w:divBdr>
    </w:div>
    <w:div w:id="1767650010">
      <w:marLeft w:val="0"/>
      <w:marRight w:val="0"/>
      <w:marTop w:val="180"/>
      <w:marBottom w:val="120"/>
      <w:divBdr>
        <w:top w:val="none" w:sz="0" w:space="0" w:color="auto"/>
        <w:left w:val="none" w:sz="0" w:space="0" w:color="auto"/>
        <w:bottom w:val="none" w:sz="0" w:space="0" w:color="auto"/>
        <w:right w:val="none" w:sz="0" w:space="0" w:color="auto"/>
      </w:divBdr>
    </w:div>
    <w:div w:id="1771388406">
      <w:marLeft w:val="0"/>
      <w:marRight w:val="0"/>
      <w:marTop w:val="120"/>
      <w:marBottom w:val="0"/>
      <w:divBdr>
        <w:top w:val="none" w:sz="0" w:space="0" w:color="auto"/>
        <w:left w:val="none" w:sz="0" w:space="0" w:color="auto"/>
        <w:bottom w:val="none" w:sz="0" w:space="0" w:color="auto"/>
        <w:right w:val="none" w:sz="0" w:space="0" w:color="auto"/>
      </w:divBdr>
    </w:div>
    <w:div w:id="1774591502">
      <w:marLeft w:val="0"/>
      <w:marRight w:val="0"/>
      <w:marTop w:val="0"/>
      <w:marBottom w:val="0"/>
      <w:divBdr>
        <w:top w:val="none" w:sz="0" w:space="0" w:color="auto"/>
        <w:left w:val="none" w:sz="0" w:space="0" w:color="auto"/>
        <w:bottom w:val="none" w:sz="0" w:space="0" w:color="auto"/>
        <w:right w:val="none" w:sz="0" w:space="0" w:color="auto"/>
      </w:divBdr>
    </w:div>
    <w:div w:id="1777216660">
      <w:marLeft w:val="0"/>
      <w:marRight w:val="0"/>
      <w:marTop w:val="120"/>
      <w:marBottom w:val="0"/>
      <w:divBdr>
        <w:top w:val="none" w:sz="0" w:space="0" w:color="auto"/>
        <w:left w:val="none" w:sz="0" w:space="0" w:color="auto"/>
        <w:bottom w:val="none" w:sz="0" w:space="0" w:color="auto"/>
        <w:right w:val="none" w:sz="0" w:space="0" w:color="auto"/>
      </w:divBdr>
    </w:div>
    <w:div w:id="1778914600">
      <w:marLeft w:val="0"/>
      <w:marRight w:val="0"/>
      <w:marTop w:val="180"/>
      <w:marBottom w:val="120"/>
      <w:divBdr>
        <w:top w:val="none" w:sz="0" w:space="0" w:color="auto"/>
        <w:left w:val="none" w:sz="0" w:space="0" w:color="auto"/>
        <w:bottom w:val="none" w:sz="0" w:space="0" w:color="auto"/>
        <w:right w:val="none" w:sz="0" w:space="0" w:color="auto"/>
      </w:divBdr>
    </w:div>
    <w:div w:id="1779447336">
      <w:marLeft w:val="0"/>
      <w:marRight w:val="0"/>
      <w:marTop w:val="0"/>
      <w:marBottom w:val="0"/>
      <w:divBdr>
        <w:top w:val="none" w:sz="0" w:space="0" w:color="auto"/>
        <w:left w:val="none" w:sz="0" w:space="0" w:color="auto"/>
        <w:bottom w:val="none" w:sz="0" w:space="0" w:color="auto"/>
        <w:right w:val="none" w:sz="0" w:space="0" w:color="auto"/>
      </w:divBdr>
      <w:divsChild>
        <w:div w:id="1950232819">
          <w:marLeft w:val="0"/>
          <w:marRight w:val="0"/>
          <w:marTop w:val="0"/>
          <w:marBottom w:val="0"/>
          <w:divBdr>
            <w:top w:val="none" w:sz="0" w:space="0" w:color="auto"/>
            <w:left w:val="none" w:sz="0" w:space="0" w:color="auto"/>
            <w:bottom w:val="none" w:sz="0" w:space="0" w:color="auto"/>
            <w:right w:val="none" w:sz="0" w:space="0" w:color="auto"/>
          </w:divBdr>
        </w:div>
      </w:divsChild>
    </w:div>
    <w:div w:id="1784303847">
      <w:marLeft w:val="0"/>
      <w:marRight w:val="0"/>
      <w:marTop w:val="180"/>
      <w:marBottom w:val="120"/>
      <w:divBdr>
        <w:top w:val="none" w:sz="0" w:space="0" w:color="auto"/>
        <w:left w:val="none" w:sz="0" w:space="0" w:color="auto"/>
        <w:bottom w:val="none" w:sz="0" w:space="0" w:color="auto"/>
        <w:right w:val="none" w:sz="0" w:space="0" w:color="auto"/>
      </w:divBdr>
    </w:div>
    <w:div w:id="1788548007">
      <w:marLeft w:val="0"/>
      <w:marRight w:val="0"/>
      <w:marTop w:val="0"/>
      <w:marBottom w:val="0"/>
      <w:divBdr>
        <w:top w:val="none" w:sz="0" w:space="0" w:color="auto"/>
        <w:left w:val="none" w:sz="0" w:space="0" w:color="auto"/>
        <w:bottom w:val="none" w:sz="0" w:space="0" w:color="auto"/>
        <w:right w:val="none" w:sz="0" w:space="0" w:color="auto"/>
      </w:divBdr>
    </w:div>
    <w:div w:id="1790077984">
      <w:marLeft w:val="0"/>
      <w:marRight w:val="0"/>
      <w:marTop w:val="120"/>
      <w:marBottom w:val="0"/>
      <w:divBdr>
        <w:top w:val="none" w:sz="0" w:space="0" w:color="auto"/>
        <w:left w:val="none" w:sz="0" w:space="0" w:color="auto"/>
        <w:bottom w:val="none" w:sz="0" w:space="0" w:color="auto"/>
        <w:right w:val="none" w:sz="0" w:space="0" w:color="auto"/>
      </w:divBdr>
    </w:div>
    <w:div w:id="1793135661">
      <w:marLeft w:val="0"/>
      <w:marRight w:val="0"/>
      <w:marTop w:val="0"/>
      <w:marBottom w:val="0"/>
      <w:divBdr>
        <w:top w:val="none" w:sz="0" w:space="0" w:color="auto"/>
        <w:left w:val="none" w:sz="0" w:space="0" w:color="auto"/>
        <w:bottom w:val="none" w:sz="0" w:space="0" w:color="auto"/>
        <w:right w:val="none" w:sz="0" w:space="0" w:color="auto"/>
      </w:divBdr>
    </w:div>
    <w:div w:id="1793358099">
      <w:marLeft w:val="0"/>
      <w:marRight w:val="0"/>
      <w:marTop w:val="0"/>
      <w:marBottom w:val="0"/>
      <w:divBdr>
        <w:top w:val="none" w:sz="0" w:space="0" w:color="auto"/>
        <w:left w:val="none" w:sz="0" w:space="0" w:color="auto"/>
        <w:bottom w:val="none" w:sz="0" w:space="0" w:color="auto"/>
        <w:right w:val="none" w:sz="0" w:space="0" w:color="auto"/>
      </w:divBdr>
      <w:divsChild>
        <w:div w:id="1084567408">
          <w:marLeft w:val="0"/>
          <w:marRight w:val="0"/>
          <w:marTop w:val="0"/>
          <w:marBottom w:val="0"/>
          <w:divBdr>
            <w:top w:val="none" w:sz="0" w:space="0" w:color="auto"/>
            <w:left w:val="none" w:sz="0" w:space="0" w:color="auto"/>
            <w:bottom w:val="none" w:sz="0" w:space="0" w:color="auto"/>
            <w:right w:val="none" w:sz="0" w:space="0" w:color="auto"/>
          </w:divBdr>
        </w:div>
      </w:divsChild>
    </w:div>
    <w:div w:id="1794009421">
      <w:marLeft w:val="0"/>
      <w:marRight w:val="0"/>
      <w:marTop w:val="180"/>
      <w:marBottom w:val="120"/>
      <w:divBdr>
        <w:top w:val="none" w:sz="0" w:space="0" w:color="auto"/>
        <w:left w:val="none" w:sz="0" w:space="0" w:color="auto"/>
        <w:bottom w:val="none" w:sz="0" w:space="0" w:color="auto"/>
        <w:right w:val="none" w:sz="0" w:space="0" w:color="auto"/>
      </w:divBdr>
    </w:div>
    <w:div w:id="1795443002">
      <w:marLeft w:val="0"/>
      <w:marRight w:val="0"/>
      <w:marTop w:val="120"/>
      <w:marBottom w:val="0"/>
      <w:divBdr>
        <w:top w:val="none" w:sz="0" w:space="0" w:color="auto"/>
        <w:left w:val="none" w:sz="0" w:space="0" w:color="auto"/>
        <w:bottom w:val="none" w:sz="0" w:space="0" w:color="auto"/>
        <w:right w:val="none" w:sz="0" w:space="0" w:color="auto"/>
      </w:divBdr>
    </w:div>
    <w:div w:id="1799454180">
      <w:marLeft w:val="0"/>
      <w:marRight w:val="0"/>
      <w:marTop w:val="0"/>
      <w:marBottom w:val="0"/>
      <w:divBdr>
        <w:top w:val="none" w:sz="0" w:space="0" w:color="auto"/>
        <w:left w:val="none" w:sz="0" w:space="0" w:color="auto"/>
        <w:bottom w:val="none" w:sz="0" w:space="0" w:color="auto"/>
        <w:right w:val="none" w:sz="0" w:space="0" w:color="auto"/>
      </w:divBdr>
    </w:div>
    <w:div w:id="1799956178">
      <w:marLeft w:val="0"/>
      <w:marRight w:val="0"/>
      <w:marTop w:val="120"/>
      <w:marBottom w:val="120"/>
      <w:divBdr>
        <w:top w:val="none" w:sz="0" w:space="0" w:color="auto"/>
        <w:left w:val="none" w:sz="0" w:space="0" w:color="auto"/>
        <w:bottom w:val="none" w:sz="0" w:space="0" w:color="auto"/>
        <w:right w:val="none" w:sz="0" w:space="0" w:color="auto"/>
      </w:divBdr>
    </w:div>
    <w:div w:id="1800024559">
      <w:marLeft w:val="0"/>
      <w:marRight w:val="0"/>
      <w:marTop w:val="120"/>
      <w:marBottom w:val="0"/>
      <w:divBdr>
        <w:top w:val="none" w:sz="0" w:space="0" w:color="auto"/>
        <w:left w:val="none" w:sz="0" w:space="0" w:color="auto"/>
        <w:bottom w:val="none" w:sz="0" w:space="0" w:color="auto"/>
        <w:right w:val="none" w:sz="0" w:space="0" w:color="auto"/>
      </w:divBdr>
    </w:div>
    <w:div w:id="1802335966">
      <w:marLeft w:val="0"/>
      <w:marRight w:val="0"/>
      <w:marTop w:val="240"/>
      <w:marBottom w:val="120"/>
      <w:divBdr>
        <w:top w:val="none" w:sz="0" w:space="0" w:color="auto"/>
        <w:left w:val="none" w:sz="0" w:space="0" w:color="auto"/>
        <w:bottom w:val="none" w:sz="0" w:space="0" w:color="auto"/>
        <w:right w:val="none" w:sz="0" w:space="0" w:color="auto"/>
      </w:divBdr>
    </w:div>
    <w:div w:id="1809860245">
      <w:marLeft w:val="0"/>
      <w:marRight w:val="0"/>
      <w:marTop w:val="0"/>
      <w:marBottom w:val="120"/>
      <w:divBdr>
        <w:top w:val="none" w:sz="0" w:space="0" w:color="auto"/>
        <w:left w:val="none" w:sz="0" w:space="0" w:color="auto"/>
        <w:bottom w:val="none" w:sz="0" w:space="0" w:color="auto"/>
        <w:right w:val="none" w:sz="0" w:space="0" w:color="auto"/>
      </w:divBdr>
    </w:div>
    <w:div w:id="1810977227">
      <w:marLeft w:val="0"/>
      <w:marRight w:val="0"/>
      <w:marTop w:val="120"/>
      <w:marBottom w:val="0"/>
      <w:divBdr>
        <w:top w:val="none" w:sz="0" w:space="0" w:color="auto"/>
        <w:left w:val="none" w:sz="0" w:space="0" w:color="auto"/>
        <w:bottom w:val="none" w:sz="0" w:space="0" w:color="auto"/>
        <w:right w:val="none" w:sz="0" w:space="0" w:color="auto"/>
      </w:divBdr>
    </w:div>
    <w:div w:id="1812558695">
      <w:marLeft w:val="0"/>
      <w:marRight w:val="0"/>
      <w:marTop w:val="0"/>
      <w:marBottom w:val="0"/>
      <w:divBdr>
        <w:top w:val="none" w:sz="0" w:space="0" w:color="auto"/>
        <w:left w:val="none" w:sz="0" w:space="0" w:color="auto"/>
        <w:bottom w:val="none" w:sz="0" w:space="0" w:color="auto"/>
        <w:right w:val="none" w:sz="0" w:space="0" w:color="auto"/>
      </w:divBdr>
      <w:divsChild>
        <w:div w:id="1421952645">
          <w:marLeft w:val="0"/>
          <w:marRight w:val="0"/>
          <w:marTop w:val="0"/>
          <w:marBottom w:val="0"/>
          <w:divBdr>
            <w:top w:val="none" w:sz="0" w:space="0" w:color="auto"/>
            <w:left w:val="none" w:sz="0" w:space="0" w:color="auto"/>
            <w:bottom w:val="none" w:sz="0" w:space="0" w:color="auto"/>
            <w:right w:val="none" w:sz="0" w:space="0" w:color="auto"/>
          </w:divBdr>
        </w:div>
      </w:divsChild>
    </w:div>
    <w:div w:id="1815247528">
      <w:marLeft w:val="0"/>
      <w:marRight w:val="0"/>
      <w:marTop w:val="120"/>
      <w:marBottom w:val="0"/>
      <w:divBdr>
        <w:top w:val="none" w:sz="0" w:space="0" w:color="auto"/>
        <w:left w:val="none" w:sz="0" w:space="0" w:color="auto"/>
        <w:bottom w:val="none" w:sz="0" w:space="0" w:color="auto"/>
        <w:right w:val="none" w:sz="0" w:space="0" w:color="auto"/>
      </w:divBdr>
    </w:div>
    <w:div w:id="1819951873">
      <w:marLeft w:val="0"/>
      <w:marRight w:val="0"/>
      <w:marTop w:val="0"/>
      <w:marBottom w:val="0"/>
      <w:divBdr>
        <w:top w:val="none" w:sz="0" w:space="0" w:color="auto"/>
        <w:left w:val="none" w:sz="0" w:space="0" w:color="auto"/>
        <w:bottom w:val="none" w:sz="0" w:space="0" w:color="auto"/>
        <w:right w:val="none" w:sz="0" w:space="0" w:color="auto"/>
      </w:divBdr>
      <w:divsChild>
        <w:div w:id="399140157">
          <w:marLeft w:val="0"/>
          <w:marRight w:val="0"/>
          <w:marTop w:val="0"/>
          <w:marBottom w:val="0"/>
          <w:divBdr>
            <w:top w:val="none" w:sz="0" w:space="0" w:color="auto"/>
            <w:left w:val="none" w:sz="0" w:space="0" w:color="auto"/>
            <w:bottom w:val="none" w:sz="0" w:space="0" w:color="auto"/>
            <w:right w:val="none" w:sz="0" w:space="0" w:color="auto"/>
          </w:divBdr>
        </w:div>
      </w:divsChild>
    </w:div>
    <w:div w:id="1821146753">
      <w:marLeft w:val="0"/>
      <w:marRight w:val="0"/>
      <w:marTop w:val="0"/>
      <w:marBottom w:val="0"/>
      <w:divBdr>
        <w:top w:val="none" w:sz="0" w:space="0" w:color="auto"/>
        <w:left w:val="none" w:sz="0" w:space="0" w:color="auto"/>
        <w:bottom w:val="none" w:sz="0" w:space="0" w:color="auto"/>
        <w:right w:val="none" w:sz="0" w:space="0" w:color="auto"/>
      </w:divBdr>
      <w:divsChild>
        <w:div w:id="99885748">
          <w:marLeft w:val="0"/>
          <w:marRight w:val="0"/>
          <w:marTop w:val="0"/>
          <w:marBottom w:val="0"/>
          <w:divBdr>
            <w:top w:val="none" w:sz="0" w:space="0" w:color="auto"/>
            <w:left w:val="none" w:sz="0" w:space="0" w:color="auto"/>
            <w:bottom w:val="none" w:sz="0" w:space="0" w:color="auto"/>
            <w:right w:val="none" w:sz="0" w:space="0" w:color="auto"/>
          </w:divBdr>
        </w:div>
      </w:divsChild>
    </w:div>
    <w:div w:id="1823741053">
      <w:marLeft w:val="0"/>
      <w:marRight w:val="0"/>
      <w:marTop w:val="120"/>
      <w:marBottom w:val="0"/>
      <w:divBdr>
        <w:top w:val="none" w:sz="0" w:space="0" w:color="auto"/>
        <w:left w:val="none" w:sz="0" w:space="0" w:color="auto"/>
        <w:bottom w:val="none" w:sz="0" w:space="0" w:color="auto"/>
        <w:right w:val="none" w:sz="0" w:space="0" w:color="auto"/>
      </w:divBdr>
    </w:div>
    <w:div w:id="1824083926">
      <w:marLeft w:val="0"/>
      <w:marRight w:val="0"/>
      <w:marTop w:val="120"/>
      <w:marBottom w:val="0"/>
      <w:divBdr>
        <w:top w:val="none" w:sz="0" w:space="0" w:color="auto"/>
        <w:left w:val="none" w:sz="0" w:space="0" w:color="auto"/>
        <w:bottom w:val="none" w:sz="0" w:space="0" w:color="auto"/>
        <w:right w:val="none" w:sz="0" w:space="0" w:color="auto"/>
      </w:divBdr>
    </w:div>
    <w:div w:id="1827742726">
      <w:marLeft w:val="0"/>
      <w:marRight w:val="0"/>
      <w:marTop w:val="120"/>
      <w:marBottom w:val="0"/>
      <w:divBdr>
        <w:top w:val="none" w:sz="0" w:space="0" w:color="auto"/>
        <w:left w:val="none" w:sz="0" w:space="0" w:color="auto"/>
        <w:bottom w:val="none" w:sz="0" w:space="0" w:color="auto"/>
        <w:right w:val="none" w:sz="0" w:space="0" w:color="auto"/>
      </w:divBdr>
    </w:div>
    <w:div w:id="1831016838">
      <w:marLeft w:val="0"/>
      <w:marRight w:val="0"/>
      <w:marTop w:val="120"/>
      <w:marBottom w:val="120"/>
      <w:divBdr>
        <w:top w:val="none" w:sz="0" w:space="0" w:color="auto"/>
        <w:left w:val="none" w:sz="0" w:space="0" w:color="auto"/>
        <w:bottom w:val="none" w:sz="0" w:space="0" w:color="auto"/>
        <w:right w:val="none" w:sz="0" w:space="0" w:color="auto"/>
      </w:divBdr>
    </w:div>
    <w:div w:id="1831291440">
      <w:marLeft w:val="0"/>
      <w:marRight w:val="0"/>
      <w:marTop w:val="180"/>
      <w:marBottom w:val="0"/>
      <w:divBdr>
        <w:top w:val="none" w:sz="0" w:space="0" w:color="auto"/>
        <w:left w:val="none" w:sz="0" w:space="0" w:color="auto"/>
        <w:bottom w:val="none" w:sz="0" w:space="0" w:color="auto"/>
        <w:right w:val="none" w:sz="0" w:space="0" w:color="auto"/>
      </w:divBdr>
    </w:div>
    <w:div w:id="1834224998">
      <w:marLeft w:val="0"/>
      <w:marRight w:val="0"/>
      <w:marTop w:val="120"/>
      <w:marBottom w:val="0"/>
      <w:divBdr>
        <w:top w:val="none" w:sz="0" w:space="0" w:color="auto"/>
        <w:left w:val="none" w:sz="0" w:space="0" w:color="auto"/>
        <w:bottom w:val="none" w:sz="0" w:space="0" w:color="auto"/>
        <w:right w:val="none" w:sz="0" w:space="0" w:color="auto"/>
      </w:divBdr>
      <w:divsChild>
        <w:div w:id="957562641">
          <w:marLeft w:val="0"/>
          <w:marRight w:val="0"/>
          <w:marTop w:val="0"/>
          <w:marBottom w:val="0"/>
          <w:divBdr>
            <w:top w:val="none" w:sz="0" w:space="0" w:color="auto"/>
            <w:left w:val="none" w:sz="0" w:space="0" w:color="auto"/>
            <w:bottom w:val="none" w:sz="0" w:space="0" w:color="auto"/>
            <w:right w:val="none" w:sz="0" w:space="0" w:color="auto"/>
          </w:divBdr>
        </w:div>
        <w:div w:id="89274789">
          <w:marLeft w:val="0"/>
          <w:marRight w:val="0"/>
          <w:marTop w:val="0"/>
          <w:marBottom w:val="0"/>
          <w:divBdr>
            <w:top w:val="none" w:sz="0" w:space="0" w:color="auto"/>
            <w:left w:val="none" w:sz="0" w:space="0" w:color="auto"/>
            <w:bottom w:val="none" w:sz="0" w:space="0" w:color="auto"/>
            <w:right w:val="none" w:sz="0" w:space="0" w:color="auto"/>
          </w:divBdr>
        </w:div>
        <w:div w:id="2020229639">
          <w:marLeft w:val="0"/>
          <w:marRight w:val="0"/>
          <w:marTop w:val="0"/>
          <w:marBottom w:val="0"/>
          <w:divBdr>
            <w:top w:val="none" w:sz="0" w:space="0" w:color="auto"/>
            <w:left w:val="none" w:sz="0" w:space="0" w:color="auto"/>
            <w:bottom w:val="none" w:sz="0" w:space="0" w:color="auto"/>
            <w:right w:val="none" w:sz="0" w:space="0" w:color="auto"/>
          </w:divBdr>
        </w:div>
        <w:div w:id="300497634">
          <w:marLeft w:val="0"/>
          <w:marRight w:val="0"/>
          <w:marTop w:val="0"/>
          <w:marBottom w:val="0"/>
          <w:divBdr>
            <w:top w:val="none" w:sz="0" w:space="0" w:color="auto"/>
            <w:left w:val="none" w:sz="0" w:space="0" w:color="auto"/>
            <w:bottom w:val="none" w:sz="0" w:space="0" w:color="auto"/>
            <w:right w:val="none" w:sz="0" w:space="0" w:color="auto"/>
          </w:divBdr>
        </w:div>
        <w:div w:id="2087222942">
          <w:marLeft w:val="0"/>
          <w:marRight w:val="0"/>
          <w:marTop w:val="0"/>
          <w:marBottom w:val="0"/>
          <w:divBdr>
            <w:top w:val="none" w:sz="0" w:space="0" w:color="auto"/>
            <w:left w:val="none" w:sz="0" w:space="0" w:color="auto"/>
            <w:bottom w:val="none" w:sz="0" w:space="0" w:color="auto"/>
            <w:right w:val="none" w:sz="0" w:space="0" w:color="auto"/>
          </w:divBdr>
        </w:div>
        <w:div w:id="586965479">
          <w:marLeft w:val="0"/>
          <w:marRight w:val="0"/>
          <w:marTop w:val="0"/>
          <w:marBottom w:val="0"/>
          <w:divBdr>
            <w:top w:val="none" w:sz="0" w:space="0" w:color="auto"/>
            <w:left w:val="none" w:sz="0" w:space="0" w:color="auto"/>
            <w:bottom w:val="none" w:sz="0" w:space="0" w:color="auto"/>
            <w:right w:val="none" w:sz="0" w:space="0" w:color="auto"/>
          </w:divBdr>
        </w:div>
        <w:div w:id="2106219595">
          <w:marLeft w:val="0"/>
          <w:marRight w:val="0"/>
          <w:marTop w:val="0"/>
          <w:marBottom w:val="0"/>
          <w:divBdr>
            <w:top w:val="none" w:sz="0" w:space="0" w:color="auto"/>
            <w:left w:val="none" w:sz="0" w:space="0" w:color="auto"/>
            <w:bottom w:val="none" w:sz="0" w:space="0" w:color="auto"/>
            <w:right w:val="none" w:sz="0" w:space="0" w:color="auto"/>
          </w:divBdr>
        </w:div>
        <w:div w:id="1058551822">
          <w:marLeft w:val="0"/>
          <w:marRight w:val="0"/>
          <w:marTop w:val="0"/>
          <w:marBottom w:val="0"/>
          <w:divBdr>
            <w:top w:val="none" w:sz="0" w:space="0" w:color="auto"/>
            <w:left w:val="none" w:sz="0" w:space="0" w:color="auto"/>
            <w:bottom w:val="none" w:sz="0" w:space="0" w:color="auto"/>
            <w:right w:val="none" w:sz="0" w:space="0" w:color="auto"/>
          </w:divBdr>
        </w:div>
        <w:div w:id="133497410">
          <w:marLeft w:val="0"/>
          <w:marRight w:val="0"/>
          <w:marTop w:val="0"/>
          <w:marBottom w:val="0"/>
          <w:divBdr>
            <w:top w:val="none" w:sz="0" w:space="0" w:color="auto"/>
            <w:left w:val="none" w:sz="0" w:space="0" w:color="auto"/>
            <w:bottom w:val="none" w:sz="0" w:space="0" w:color="auto"/>
            <w:right w:val="none" w:sz="0" w:space="0" w:color="auto"/>
          </w:divBdr>
        </w:div>
        <w:div w:id="476725845">
          <w:marLeft w:val="0"/>
          <w:marRight w:val="0"/>
          <w:marTop w:val="0"/>
          <w:marBottom w:val="0"/>
          <w:divBdr>
            <w:top w:val="none" w:sz="0" w:space="0" w:color="auto"/>
            <w:left w:val="none" w:sz="0" w:space="0" w:color="auto"/>
            <w:bottom w:val="none" w:sz="0" w:space="0" w:color="auto"/>
            <w:right w:val="none" w:sz="0" w:space="0" w:color="auto"/>
          </w:divBdr>
        </w:div>
        <w:div w:id="1158303239">
          <w:marLeft w:val="0"/>
          <w:marRight w:val="0"/>
          <w:marTop w:val="0"/>
          <w:marBottom w:val="0"/>
          <w:divBdr>
            <w:top w:val="none" w:sz="0" w:space="0" w:color="auto"/>
            <w:left w:val="none" w:sz="0" w:space="0" w:color="auto"/>
            <w:bottom w:val="none" w:sz="0" w:space="0" w:color="auto"/>
            <w:right w:val="none" w:sz="0" w:space="0" w:color="auto"/>
          </w:divBdr>
        </w:div>
        <w:div w:id="266738734">
          <w:marLeft w:val="0"/>
          <w:marRight w:val="0"/>
          <w:marTop w:val="0"/>
          <w:marBottom w:val="0"/>
          <w:divBdr>
            <w:top w:val="none" w:sz="0" w:space="0" w:color="auto"/>
            <w:left w:val="none" w:sz="0" w:space="0" w:color="auto"/>
            <w:bottom w:val="none" w:sz="0" w:space="0" w:color="auto"/>
            <w:right w:val="none" w:sz="0" w:space="0" w:color="auto"/>
          </w:divBdr>
        </w:div>
        <w:div w:id="707294420">
          <w:marLeft w:val="0"/>
          <w:marRight w:val="0"/>
          <w:marTop w:val="0"/>
          <w:marBottom w:val="0"/>
          <w:divBdr>
            <w:top w:val="none" w:sz="0" w:space="0" w:color="auto"/>
            <w:left w:val="none" w:sz="0" w:space="0" w:color="auto"/>
            <w:bottom w:val="none" w:sz="0" w:space="0" w:color="auto"/>
            <w:right w:val="none" w:sz="0" w:space="0" w:color="auto"/>
          </w:divBdr>
        </w:div>
        <w:div w:id="59257177">
          <w:marLeft w:val="0"/>
          <w:marRight w:val="0"/>
          <w:marTop w:val="0"/>
          <w:marBottom w:val="0"/>
          <w:divBdr>
            <w:top w:val="none" w:sz="0" w:space="0" w:color="auto"/>
            <w:left w:val="none" w:sz="0" w:space="0" w:color="auto"/>
            <w:bottom w:val="none" w:sz="0" w:space="0" w:color="auto"/>
            <w:right w:val="none" w:sz="0" w:space="0" w:color="auto"/>
          </w:divBdr>
        </w:div>
        <w:div w:id="792020192">
          <w:marLeft w:val="0"/>
          <w:marRight w:val="0"/>
          <w:marTop w:val="0"/>
          <w:marBottom w:val="0"/>
          <w:divBdr>
            <w:top w:val="none" w:sz="0" w:space="0" w:color="auto"/>
            <w:left w:val="none" w:sz="0" w:space="0" w:color="auto"/>
            <w:bottom w:val="none" w:sz="0" w:space="0" w:color="auto"/>
            <w:right w:val="none" w:sz="0" w:space="0" w:color="auto"/>
          </w:divBdr>
        </w:div>
        <w:div w:id="1643004584">
          <w:marLeft w:val="0"/>
          <w:marRight w:val="0"/>
          <w:marTop w:val="0"/>
          <w:marBottom w:val="0"/>
          <w:divBdr>
            <w:top w:val="none" w:sz="0" w:space="0" w:color="auto"/>
            <w:left w:val="none" w:sz="0" w:space="0" w:color="auto"/>
            <w:bottom w:val="none" w:sz="0" w:space="0" w:color="auto"/>
            <w:right w:val="none" w:sz="0" w:space="0" w:color="auto"/>
          </w:divBdr>
        </w:div>
        <w:div w:id="847215857">
          <w:marLeft w:val="0"/>
          <w:marRight w:val="0"/>
          <w:marTop w:val="0"/>
          <w:marBottom w:val="0"/>
          <w:divBdr>
            <w:top w:val="none" w:sz="0" w:space="0" w:color="auto"/>
            <w:left w:val="none" w:sz="0" w:space="0" w:color="auto"/>
            <w:bottom w:val="none" w:sz="0" w:space="0" w:color="auto"/>
            <w:right w:val="none" w:sz="0" w:space="0" w:color="auto"/>
          </w:divBdr>
        </w:div>
        <w:div w:id="1350834860">
          <w:marLeft w:val="0"/>
          <w:marRight w:val="0"/>
          <w:marTop w:val="0"/>
          <w:marBottom w:val="0"/>
          <w:divBdr>
            <w:top w:val="none" w:sz="0" w:space="0" w:color="auto"/>
            <w:left w:val="none" w:sz="0" w:space="0" w:color="auto"/>
            <w:bottom w:val="none" w:sz="0" w:space="0" w:color="auto"/>
            <w:right w:val="none" w:sz="0" w:space="0" w:color="auto"/>
          </w:divBdr>
        </w:div>
        <w:div w:id="1026564367">
          <w:marLeft w:val="0"/>
          <w:marRight w:val="0"/>
          <w:marTop w:val="0"/>
          <w:marBottom w:val="0"/>
          <w:divBdr>
            <w:top w:val="none" w:sz="0" w:space="0" w:color="auto"/>
            <w:left w:val="none" w:sz="0" w:space="0" w:color="auto"/>
            <w:bottom w:val="none" w:sz="0" w:space="0" w:color="auto"/>
            <w:right w:val="none" w:sz="0" w:space="0" w:color="auto"/>
          </w:divBdr>
        </w:div>
      </w:divsChild>
    </w:div>
    <w:div w:id="1834252824">
      <w:marLeft w:val="0"/>
      <w:marRight w:val="0"/>
      <w:marTop w:val="120"/>
      <w:marBottom w:val="120"/>
      <w:divBdr>
        <w:top w:val="none" w:sz="0" w:space="0" w:color="auto"/>
        <w:left w:val="none" w:sz="0" w:space="0" w:color="auto"/>
        <w:bottom w:val="none" w:sz="0" w:space="0" w:color="auto"/>
        <w:right w:val="none" w:sz="0" w:space="0" w:color="auto"/>
      </w:divBdr>
    </w:div>
    <w:div w:id="1835994830">
      <w:marLeft w:val="0"/>
      <w:marRight w:val="0"/>
      <w:marTop w:val="0"/>
      <w:marBottom w:val="120"/>
      <w:divBdr>
        <w:top w:val="none" w:sz="0" w:space="0" w:color="auto"/>
        <w:left w:val="none" w:sz="0" w:space="0" w:color="auto"/>
        <w:bottom w:val="none" w:sz="0" w:space="0" w:color="auto"/>
        <w:right w:val="none" w:sz="0" w:space="0" w:color="auto"/>
      </w:divBdr>
    </w:div>
    <w:div w:id="1837458163">
      <w:marLeft w:val="0"/>
      <w:marRight w:val="0"/>
      <w:marTop w:val="0"/>
      <w:marBottom w:val="0"/>
      <w:divBdr>
        <w:top w:val="none" w:sz="0" w:space="0" w:color="auto"/>
        <w:left w:val="none" w:sz="0" w:space="0" w:color="auto"/>
        <w:bottom w:val="none" w:sz="0" w:space="0" w:color="auto"/>
        <w:right w:val="none" w:sz="0" w:space="0" w:color="auto"/>
      </w:divBdr>
    </w:div>
    <w:div w:id="1839149974">
      <w:marLeft w:val="0"/>
      <w:marRight w:val="0"/>
      <w:marTop w:val="120"/>
      <w:marBottom w:val="0"/>
      <w:divBdr>
        <w:top w:val="none" w:sz="0" w:space="0" w:color="auto"/>
        <w:left w:val="none" w:sz="0" w:space="0" w:color="auto"/>
        <w:bottom w:val="none" w:sz="0" w:space="0" w:color="auto"/>
        <w:right w:val="none" w:sz="0" w:space="0" w:color="auto"/>
      </w:divBdr>
    </w:div>
    <w:div w:id="1843162734">
      <w:marLeft w:val="0"/>
      <w:marRight w:val="0"/>
      <w:marTop w:val="120"/>
      <w:marBottom w:val="120"/>
      <w:divBdr>
        <w:top w:val="none" w:sz="0" w:space="0" w:color="auto"/>
        <w:left w:val="none" w:sz="0" w:space="0" w:color="auto"/>
        <w:bottom w:val="none" w:sz="0" w:space="0" w:color="auto"/>
        <w:right w:val="none" w:sz="0" w:space="0" w:color="auto"/>
      </w:divBdr>
    </w:div>
    <w:div w:id="1844511799">
      <w:marLeft w:val="0"/>
      <w:marRight w:val="0"/>
      <w:marTop w:val="120"/>
      <w:marBottom w:val="120"/>
      <w:divBdr>
        <w:top w:val="none" w:sz="0" w:space="0" w:color="auto"/>
        <w:left w:val="none" w:sz="0" w:space="0" w:color="auto"/>
        <w:bottom w:val="none" w:sz="0" w:space="0" w:color="auto"/>
        <w:right w:val="none" w:sz="0" w:space="0" w:color="auto"/>
      </w:divBdr>
    </w:div>
    <w:div w:id="1846894399">
      <w:marLeft w:val="0"/>
      <w:marRight w:val="0"/>
      <w:marTop w:val="0"/>
      <w:marBottom w:val="0"/>
      <w:divBdr>
        <w:top w:val="none" w:sz="0" w:space="0" w:color="auto"/>
        <w:left w:val="none" w:sz="0" w:space="0" w:color="auto"/>
        <w:bottom w:val="none" w:sz="0" w:space="0" w:color="auto"/>
        <w:right w:val="none" w:sz="0" w:space="0" w:color="auto"/>
      </w:divBdr>
      <w:divsChild>
        <w:div w:id="378482711">
          <w:marLeft w:val="0"/>
          <w:marRight w:val="0"/>
          <w:marTop w:val="0"/>
          <w:marBottom w:val="0"/>
          <w:divBdr>
            <w:top w:val="none" w:sz="0" w:space="0" w:color="auto"/>
            <w:left w:val="none" w:sz="0" w:space="0" w:color="auto"/>
            <w:bottom w:val="none" w:sz="0" w:space="0" w:color="auto"/>
            <w:right w:val="none" w:sz="0" w:space="0" w:color="auto"/>
          </w:divBdr>
        </w:div>
      </w:divsChild>
    </w:div>
    <w:div w:id="1847288598">
      <w:marLeft w:val="0"/>
      <w:marRight w:val="0"/>
      <w:marTop w:val="120"/>
      <w:marBottom w:val="120"/>
      <w:divBdr>
        <w:top w:val="none" w:sz="0" w:space="0" w:color="auto"/>
        <w:left w:val="none" w:sz="0" w:space="0" w:color="auto"/>
        <w:bottom w:val="none" w:sz="0" w:space="0" w:color="auto"/>
        <w:right w:val="none" w:sz="0" w:space="0" w:color="auto"/>
      </w:divBdr>
    </w:div>
    <w:div w:id="1847667747">
      <w:marLeft w:val="0"/>
      <w:marRight w:val="0"/>
      <w:marTop w:val="0"/>
      <w:marBottom w:val="0"/>
      <w:divBdr>
        <w:top w:val="none" w:sz="0" w:space="0" w:color="auto"/>
        <w:left w:val="none" w:sz="0" w:space="0" w:color="auto"/>
        <w:bottom w:val="none" w:sz="0" w:space="0" w:color="auto"/>
        <w:right w:val="none" w:sz="0" w:space="0" w:color="auto"/>
      </w:divBdr>
    </w:div>
    <w:div w:id="1849562105">
      <w:marLeft w:val="0"/>
      <w:marRight w:val="0"/>
      <w:marTop w:val="120"/>
      <w:marBottom w:val="120"/>
      <w:divBdr>
        <w:top w:val="none" w:sz="0" w:space="0" w:color="auto"/>
        <w:left w:val="none" w:sz="0" w:space="0" w:color="auto"/>
        <w:bottom w:val="none" w:sz="0" w:space="0" w:color="auto"/>
        <w:right w:val="none" w:sz="0" w:space="0" w:color="auto"/>
      </w:divBdr>
    </w:div>
    <w:div w:id="1852139711">
      <w:marLeft w:val="0"/>
      <w:marRight w:val="0"/>
      <w:marTop w:val="240"/>
      <w:marBottom w:val="120"/>
      <w:divBdr>
        <w:top w:val="none" w:sz="0" w:space="0" w:color="auto"/>
        <w:left w:val="none" w:sz="0" w:space="0" w:color="auto"/>
        <w:bottom w:val="none" w:sz="0" w:space="0" w:color="auto"/>
        <w:right w:val="none" w:sz="0" w:space="0" w:color="auto"/>
      </w:divBdr>
    </w:div>
    <w:div w:id="1852451787">
      <w:marLeft w:val="0"/>
      <w:marRight w:val="0"/>
      <w:marTop w:val="0"/>
      <w:marBottom w:val="0"/>
      <w:divBdr>
        <w:top w:val="none" w:sz="0" w:space="0" w:color="auto"/>
        <w:left w:val="none" w:sz="0" w:space="0" w:color="auto"/>
        <w:bottom w:val="none" w:sz="0" w:space="0" w:color="auto"/>
        <w:right w:val="none" w:sz="0" w:space="0" w:color="auto"/>
      </w:divBdr>
    </w:div>
    <w:div w:id="1856579881">
      <w:marLeft w:val="0"/>
      <w:marRight w:val="0"/>
      <w:marTop w:val="120"/>
      <w:marBottom w:val="0"/>
      <w:divBdr>
        <w:top w:val="none" w:sz="0" w:space="0" w:color="auto"/>
        <w:left w:val="none" w:sz="0" w:space="0" w:color="auto"/>
        <w:bottom w:val="none" w:sz="0" w:space="0" w:color="auto"/>
        <w:right w:val="none" w:sz="0" w:space="0" w:color="auto"/>
      </w:divBdr>
    </w:div>
    <w:div w:id="1856842911">
      <w:marLeft w:val="0"/>
      <w:marRight w:val="0"/>
      <w:marTop w:val="120"/>
      <w:marBottom w:val="120"/>
      <w:divBdr>
        <w:top w:val="none" w:sz="0" w:space="0" w:color="auto"/>
        <w:left w:val="none" w:sz="0" w:space="0" w:color="auto"/>
        <w:bottom w:val="none" w:sz="0" w:space="0" w:color="auto"/>
        <w:right w:val="none" w:sz="0" w:space="0" w:color="auto"/>
      </w:divBdr>
    </w:div>
    <w:div w:id="1857038507">
      <w:marLeft w:val="0"/>
      <w:marRight w:val="0"/>
      <w:marTop w:val="120"/>
      <w:marBottom w:val="120"/>
      <w:divBdr>
        <w:top w:val="none" w:sz="0" w:space="0" w:color="auto"/>
        <w:left w:val="none" w:sz="0" w:space="0" w:color="auto"/>
        <w:bottom w:val="none" w:sz="0" w:space="0" w:color="auto"/>
        <w:right w:val="none" w:sz="0" w:space="0" w:color="auto"/>
      </w:divBdr>
    </w:div>
    <w:div w:id="1857843789">
      <w:marLeft w:val="0"/>
      <w:marRight w:val="0"/>
      <w:marTop w:val="120"/>
      <w:marBottom w:val="0"/>
      <w:divBdr>
        <w:top w:val="none" w:sz="0" w:space="0" w:color="auto"/>
        <w:left w:val="none" w:sz="0" w:space="0" w:color="auto"/>
        <w:bottom w:val="none" w:sz="0" w:space="0" w:color="auto"/>
        <w:right w:val="none" w:sz="0" w:space="0" w:color="auto"/>
      </w:divBdr>
    </w:div>
    <w:div w:id="1858078383">
      <w:marLeft w:val="0"/>
      <w:marRight w:val="0"/>
      <w:marTop w:val="120"/>
      <w:marBottom w:val="120"/>
      <w:divBdr>
        <w:top w:val="none" w:sz="0" w:space="0" w:color="auto"/>
        <w:left w:val="none" w:sz="0" w:space="0" w:color="auto"/>
        <w:bottom w:val="none" w:sz="0" w:space="0" w:color="auto"/>
        <w:right w:val="none" w:sz="0" w:space="0" w:color="auto"/>
      </w:divBdr>
    </w:div>
    <w:div w:id="1859276374">
      <w:marLeft w:val="0"/>
      <w:marRight w:val="0"/>
      <w:marTop w:val="120"/>
      <w:marBottom w:val="120"/>
      <w:divBdr>
        <w:top w:val="none" w:sz="0" w:space="0" w:color="auto"/>
        <w:left w:val="none" w:sz="0" w:space="0" w:color="auto"/>
        <w:bottom w:val="none" w:sz="0" w:space="0" w:color="auto"/>
        <w:right w:val="none" w:sz="0" w:space="0" w:color="auto"/>
      </w:divBdr>
    </w:div>
    <w:div w:id="1863124356">
      <w:marLeft w:val="0"/>
      <w:marRight w:val="0"/>
      <w:marTop w:val="0"/>
      <w:marBottom w:val="0"/>
      <w:divBdr>
        <w:top w:val="none" w:sz="0" w:space="0" w:color="auto"/>
        <w:left w:val="none" w:sz="0" w:space="0" w:color="auto"/>
        <w:bottom w:val="none" w:sz="0" w:space="0" w:color="auto"/>
        <w:right w:val="none" w:sz="0" w:space="0" w:color="auto"/>
      </w:divBdr>
      <w:divsChild>
        <w:div w:id="672149850">
          <w:marLeft w:val="0"/>
          <w:marRight w:val="0"/>
          <w:marTop w:val="0"/>
          <w:marBottom w:val="0"/>
          <w:divBdr>
            <w:top w:val="none" w:sz="0" w:space="0" w:color="auto"/>
            <w:left w:val="none" w:sz="0" w:space="0" w:color="auto"/>
            <w:bottom w:val="none" w:sz="0" w:space="0" w:color="auto"/>
            <w:right w:val="none" w:sz="0" w:space="0" w:color="auto"/>
          </w:divBdr>
        </w:div>
      </w:divsChild>
    </w:div>
    <w:div w:id="1868445875">
      <w:marLeft w:val="0"/>
      <w:marRight w:val="0"/>
      <w:marTop w:val="120"/>
      <w:marBottom w:val="120"/>
      <w:divBdr>
        <w:top w:val="none" w:sz="0" w:space="0" w:color="auto"/>
        <w:left w:val="none" w:sz="0" w:space="0" w:color="auto"/>
        <w:bottom w:val="none" w:sz="0" w:space="0" w:color="auto"/>
        <w:right w:val="none" w:sz="0" w:space="0" w:color="auto"/>
      </w:divBdr>
    </w:div>
    <w:div w:id="1881629369">
      <w:marLeft w:val="0"/>
      <w:marRight w:val="0"/>
      <w:marTop w:val="120"/>
      <w:marBottom w:val="0"/>
      <w:divBdr>
        <w:top w:val="none" w:sz="0" w:space="0" w:color="auto"/>
        <w:left w:val="none" w:sz="0" w:space="0" w:color="auto"/>
        <w:bottom w:val="none" w:sz="0" w:space="0" w:color="auto"/>
        <w:right w:val="none" w:sz="0" w:space="0" w:color="auto"/>
      </w:divBdr>
    </w:div>
    <w:div w:id="1881822854">
      <w:marLeft w:val="0"/>
      <w:marRight w:val="0"/>
      <w:marTop w:val="0"/>
      <w:marBottom w:val="0"/>
      <w:divBdr>
        <w:top w:val="none" w:sz="0" w:space="0" w:color="auto"/>
        <w:left w:val="none" w:sz="0" w:space="0" w:color="auto"/>
        <w:bottom w:val="none" w:sz="0" w:space="0" w:color="auto"/>
        <w:right w:val="none" w:sz="0" w:space="0" w:color="auto"/>
      </w:divBdr>
      <w:divsChild>
        <w:div w:id="1563906784">
          <w:marLeft w:val="0"/>
          <w:marRight w:val="0"/>
          <w:marTop w:val="0"/>
          <w:marBottom w:val="0"/>
          <w:divBdr>
            <w:top w:val="none" w:sz="0" w:space="0" w:color="auto"/>
            <w:left w:val="none" w:sz="0" w:space="0" w:color="auto"/>
            <w:bottom w:val="none" w:sz="0" w:space="0" w:color="auto"/>
            <w:right w:val="none" w:sz="0" w:space="0" w:color="auto"/>
          </w:divBdr>
        </w:div>
      </w:divsChild>
    </w:div>
    <w:div w:id="1882938776">
      <w:marLeft w:val="0"/>
      <w:marRight w:val="0"/>
      <w:marTop w:val="0"/>
      <w:marBottom w:val="0"/>
      <w:divBdr>
        <w:top w:val="none" w:sz="0" w:space="0" w:color="auto"/>
        <w:left w:val="none" w:sz="0" w:space="0" w:color="auto"/>
        <w:bottom w:val="none" w:sz="0" w:space="0" w:color="auto"/>
        <w:right w:val="none" w:sz="0" w:space="0" w:color="auto"/>
      </w:divBdr>
    </w:div>
    <w:div w:id="1883665299">
      <w:marLeft w:val="0"/>
      <w:marRight w:val="0"/>
      <w:marTop w:val="120"/>
      <w:marBottom w:val="0"/>
      <w:divBdr>
        <w:top w:val="none" w:sz="0" w:space="0" w:color="auto"/>
        <w:left w:val="none" w:sz="0" w:space="0" w:color="auto"/>
        <w:bottom w:val="none" w:sz="0" w:space="0" w:color="auto"/>
        <w:right w:val="none" w:sz="0" w:space="0" w:color="auto"/>
      </w:divBdr>
    </w:div>
    <w:div w:id="1884125566">
      <w:marLeft w:val="0"/>
      <w:marRight w:val="0"/>
      <w:marTop w:val="120"/>
      <w:marBottom w:val="120"/>
      <w:divBdr>
        <w:top w:val="none" w:sz="0" w:space="0" w:color="auto"/>
        <w:left w:val="none" w:sz="0" w:space="0" w:color="auto"/>
        <w:bottom w:val="none" w:sz="0" w:space="0" w:color="auto"/>
        <w:right w:val="none" w:sz="0" w:space="0" w:color="auto"/>
      </w:divBdr>
    </w:div>
    <w:div w:id="1884441767">
      <w:marLeft w:val="0"/>
      <w:marRight w:val="0"/>
      <w:marTop w:val="120"/>
      <w:marBottom w:val="120"/>
      <w:divBdr>
        <w:top w:val="none" w:sz="0" w:space="0" w:color="auto"/>
        <w:left w:val="none" w:sz="0" w:space="0" w:color="auto"/>
        <w:bottom w:val="none" w:sz="0" w:space="0" w:color="auto"/>
        <w:right w:val="none" w:sz="0" w:space="0" w:color="auto"/>
      </w:divBdr>
    </w:div>
    <w:div w:id="1887715075">
      <w:marLeft w:val="0"/>
      <w:marRight w:val="0"/>
      <w:marTop w:val="0"/>
      <w:marBottom w:val="0"/>
      <w:divBdr>
        <w:top w:val="none" w:sz="0" w:space="0" w:color="auto"/>
        <w:left w:val="none" w:sz="0" w:space="0" w:color="auto"/>
        <w:bottom w:val="none" w:sz="0" w:space="0" w:color="auto"/>
        <w:right w:val="none" w:sz="0" w:space="0" w:color="auto"/>
      </w:divBdr>
    </w:div>
    <w:div w:id="1888103360">
      <w:marLeft w:val="0"/>
      <w:marRight w:val="0"/>
      <w:marTop w:val="180"/>
      <w:marBottom w:val="120"/>
      <w:divBdr>
        <w:top w:val="none" w:sz="0" w:space="0" w:color="auto"/>
        <w:left w:val="none" w:sz="0" w:space="0" w:color="auto"/>
        <w:bottom w:val="none" w:sz="0" w:space="0" w:color="auto"/>
        <w:right w:val="none" w:sz="0" w:space="0" w:color="auto"/>
      </w:divBdr>
    </w:div>
    <w:div w:id="1888755874">
      <w:marLeft w:val="0"/>
      <w:marRight w:val="0"/>
      <w:marTop w:val="60"/>
      <w:marBottom w:val="0"/>
      <w:divBdr>
        <w:top w:val="none" w:sz="0" w:space="0" w:color="auto"/>
        <w:left w:val="none" w:sz="0" w:space="0" w:color="auto"/>
        <w:bottom w:val="none" w:sz="0" w:space="0" w:color="auto"/>
        <w:right w:val="none" w:sz="0" w:space="0" w:color="auto"/>
      </w:divBdr>
    </w:div>
    <w:div w:id="1892766009">
      <w:marLeft w:val="0"/>
      <w:marRight w:val="0"/>
      <w:marTop w:val="120"/>
      <w:marBottom w:val="120"/>
      <w:divBdr>
        <w:top w:val="none" w:sz="0" w:space="0" w:color="auto"/>
        <w:left w:val="none" w:sz="0" w:space="0" w:color="auto"/>
        <w:bottom w:val="none" w:sz="0" w:space="0" w:color="auto"/>
        <w:right w:val="none" w:sz="0" w:space="0" w:color="auto"/>
      </w:divBdr>
    </w:div>
    <w:div w:id="1892888227">
      <w:marLeft w:val="0"/>
      <w:marRight w:val="0"/>
      <w:marTop w:val="120"/>
      <w:marBottom w:val="0"/>
      <w:divBdr>
        <w:top w:val="none" w:sz="0" w:space="0" w:color="auto"/>
        <w:left w:val="none" w:sz="0" w:space="0" w:color="auto"/>
        <w:bottom w:val="none" w:sz="0" w:space="0" w:color="auto"/>
        <w:right w:val="none" w:sz="0" w:space="0" w:color="auto"/>
      </w:divBdr>
    </w:div>
    <w:div w:id="1892964388">
      <w:marLeft w:val="0"/>
      <w:marRight w:val="0"/>
      <w:marTop w:val="240"/>
      <w:marBottom w:val="0"/>
      <w:divBdr>
        <w:top w:val="none" w:sz="0" w:space="0" w:color="auto"/>
        <w:left w:val="none" w:sz="0" w:space="0" w:color="auto"/>
        <w:bottom w:val="none" w:sz="0" w:space="0" w:color="auto"/>
        <w:right w:val="none" w:sz="0" w:space="0" w:color="auto"/>
      </w:divBdr>
    </w:div>
    <w:div w:id="1894460916">
      <w:marLeft w:val="0"/>
      <w:marRight w:val="0"/>
      <w:marTop w:val="120"/>
      <w:marBottom w:val="120"/>
      <w:divBdr>
        <w:top w:val="none" w:sz="0" w:space="0" w:color="auto"/>
        <w:left w:val="none" w:sz="0" w:space="0" w:color="auto"/>
        <w:bottom w:val="none" w:sz="0" w:space="0" w:color="auto"/>
        <w:right w:val="none" w:sz="0" w:space="0" w:color="auto"/>
      </w:divBdr>
    </w:div>
    <w:div w:id="1896038202">
      <w:marLeft w:val="0"/>
      <w:marRight w:val="0"/>
      <w:marTop w:val="120"/>
      <w:marBottom w:val="0"/>
      <w:divBdr>
        <w:top w:val="none" w:sz="0" w:space="0" w:color="auto"/>
        <w:left w:val="none" w:sz="0" w:space="0" w:color="auto"/>
        <w:bottom w:val="none" w:sz="0" w:space="0" w:color="auto"/>
        <w:right w:val="none" w:sz="0" w:space="0" w:color="auto"/>
      </w:divBdr>
    </w:div>
    <w:div w:id="1896046997">
      <w:marLeft w:val="0"/>
      <w:marRight w:val="0"/>
      <w:marTop w:val="120"/>
      <w:marBottom w:val="120"/>
      <w:divBdr>
        <w:top w:val="none" w:sz="0" w:space="0" w:color="auto"/>
        <w:left w:val="none" w:sz="0" w:space="0" w:color="auto"/>
        <w:bottom w:val="none" w:sz="0" w:space="0" w:color="auto"/>
        <w:right w:val="none" w:sz="0" w:space="0" w:color="auto"/>
      </w:divBdr>
    </w:div>
    <w:div w:id="1899584554">
      <w:marLeft w:val="0"/>
      <w:marRight w:val="0"/>
      <w:marTop w:val="120"/>
      <w:marBottom w:val="120"/>
      <w:divBdr>
        <w:top w:val="none" w:sz="0" w:space="0" w:color="auto"/>
        <w:left w:val="none" w:sz="0" w:space="0" w:color="auto"/>
        <w:bottom w:val="none" w:sz="0" w:space="0" w:color="auto"/>
        <w:right w:val="none" w:sz="0" w:space="0" w:color="auto"/>
      </w:divBdr>
    </w:div>
    <w:div w:id="1899970568">
      <w:marLeft w:val="0"/>
      <w:marRight w:val="0"/>
      <w:marTop w:val="180"/>
      <w:marBottom w:val="120"/>
      <w:divBdr>
        <w:top w:val="none" w:sz="0" w:space="0" w:color="auto"/>
        <w:left w:val="none" w:sz="0" w:space="0" w:color="auto"/>
        <w:bottom w:val="none" w:sz="0" w:space="0" w:color="auto"/>
        <w:right w:val="none" w:sz="0" w:space="0" w:color="auto"/>
      </w:divBdr>
    </w:div>
    <w:div w:id="1900286980">
      <w:marLeft w:val="0"/>
      <w:marRight w:val="0"/>
      <w:marTop w:val="120"/>
      <w:marBottom w:val="0"/>
      <w:divBdr>
        <w:top w:val="none" w:sz="0" w:space="0" w:color="auto"/>
        <w:left w:val="none" w:sz="0" w:space="0" w:color="auto"/>
        <w:bottom w:val="none" w:sz="0" w:space="0" w:color="auto"/>
        <w:right w:val="none" w:sz="0" w:space="0" w:color="auto"/>
      </w:divBdr>
    </w:div>
    <w:div w:id="1900557101">
      <w:marLeft w:val="0"/>
      <w:marRight w:val="0"/>
      <w:marTop w:val="120"/>
      <w:marBottom w:val="0"/>
      <w:divBdr>
        <w:top w:val="none" w:sz="0" w:space="0" w:color="auto"/>
        <w:left w:val="none" w:sz="0" w:space="0" w:color="auto"/>
        <w:bottom w:val="none" w:sz="0" w:space="0" w:color="auto"/>
        <w:right w:val="none" w:sz="0" w:space="0" w:color="auto"/>
      </w:divBdr>
    </w:div>
    <w:div w:id="1903444880">
      <w:marLeft w:val="0"/>
      <w:marRight w:val="0"/>
      <w:marTop w:val="120"/>
      <w:marBottom w:val="0"/>
      <w:divBdr>
        <w:top w:val="none" w:sz="0" w:space="0" w:color="auto"/>
        <w:left w:val="none" w:sz="0" w:space="0" w:color="auto"/>
        <w:bottom w:val="none" w:sz="0" w:space="0" w:color="auto"/>
        <w:right w:val="none" w:sz="0" w:space="0" w:color="auto"/>
      </w:divBdr>
    </w:div>
    <w:div w:id="1903711948">
      <w:marLeft w:val="0"/>
      <w:marRight w:val="0"/>
      <w:marTop w:val="120"/>
      <w:marBottom w:val="0"/>
      <w:divBdr>
        <w:top w:val="none" w:sz="0" w:space="0" w:color="auto"/>
        <w:left w:val="none" w:sz="0" w:space="0" w:color="auto"/>
        <w:bottom w:val="none" w:sz="0" w:space="0" w:color="auto"/>
        <w:right w:val="none" w:sz="0" w:space="0" w:color="auto"/>
      </w:divBdr>
    </w:div>
    <w:div w:id="1906838099">
      <w:marLeft w:val="0"/>
      <w:marRight w:val="0"/>
      <w:marTop w:val="120"/>
      <w:marBottom w:val="0"/>
      <w:divBdr>
        <w:top w:val="none" w:sz="0" w:space="0" w:color="auto"/>
        <w:left w:val="none" w:sz="0" w:space="0" w:color="auto"/>
        <w:bottom w:val="none" w:sz="0" w:space="0" w:color="auto"/>
        <w:right w:val="none" w:sz="0" w:space="0" w:color="auto"/>
      </w:divBdr>
    </w:div>
    <w:div w:id="1906986855">
      <w:marLeft w:val="0"/>
      <w:marRight w:val="0"/>
      <w:marTop w:val="0"/>
      <w:marBottom w:val="0"/>
      <w:divBdr>
        <w:top w:val="none" w:sz="0" w:space="0" w:color="auto"/>
        <w:left w:val="none" w:sz="0" w:space="0" w:color="auto"/>
        <w:bottom w:val="none" w:sz="0" w:space="0" w:color="auto"/>
        <w:right w:val="none" w:sz="0" w:space="0" w:color="auto"/>
      </w:divBdr>
      <w:divsChild>
        <w:div w:id="712659356">
          <w:marLeft w:val="0"/>
          <w:marRight w:val="0"/>
          <w:marTop w:val="0"/>
          <w:marBottom w:val="0"/>
          <w:divBdr>
            <w:top w:val="none" w:sz="0" w:space="0" w:color="auto"/>
            <w:left w:val="none" w:sz="0" w:space="0" w:color="auto"/>
            <w:bottom w:val="none" w:sz="0" w:space="0" w:color="auto"/>
            <w:right w:val="none" w:sz="0" w:space="0" w:color="auto"/>
          </w:divBdr>
        </w:div>
      </w:divsChild>
    </w:div>
    <w:div w:id="1907177897">
      <w:marLeft w:val="0"/>
      <w:marRight w:val="0"/>
      <w:marTop w:val="120"/>
      <w:marBottom w:val="0"/>
      <w:divBdr>
        <w:top w:val="none" w:sz="0" w:space="0" w:color="auto"/>
        <w:left w:val="none" w:sz="0" w:space="0" w:color="auto"/>
        <w:bottom w:val="none" w:sz="0" w:space="0" w:color="auto"/>
        <w:right w:val="none" w:sz="0" w:space="0" w:color="auto"/>
      </w:divBdr>
    </w:div>
    <w:div w:id="1907716344">
      <w:marLeft w:val="0"/>
      <w:marRight w:val="0"/>
      <w:marTop w:val="120"/>
      <w:marBottom w:val="120"/>
      <w:divBdr>
        <w:top w:val="none" w:sz="0" w:space="0" w:color="auto"/>
        <w:left w:val="none" w:sz="0" w:space="0" w:color="auto"/>
        <w:bottom w:val="none" w:sz="0" w:space="0" w:color="auto"/>
        <w:right w:val="none" w:sz="0" w:space="0" w:color="auto"/>
      </w:divBdr>
    </w:div>
    <w:div w:id="1907956264">
      <w:marLeft w:val="0"/>
      <w:marRight w:val="0"/>
      <w:marTop w:val="0"/>
      <w:marBottom w:val="0"/>
      <w:divBdr>
        <w:top w:val="none" w:sz="0" w:space="0" w:color="auto"/>
        <w:left w:val="none" w:sz="0" w:space="0" w:color="auto"/>
        <w:bottom w:val="none" w:sz="0" w:space="0" w:color="auto"/>
        <w:right w:val="none" w:sz="0" w:space="0" w:color="auto"/>
      </w:divBdr>
    </w:div>
    <w:div w:id="1910311510">
      <w:marLeft w:val="0"/>
      <w:marRight w:val="0"/>
      <w:marTop w:val="0"/>
      <w:marBottom w:val="0"/>
      <w:divBdr>
        <w:top w:val="none" w:sz="0" w:space="0" w:color="auto"/>
        <w:left w:val="none" w:sz="0" w:space="0" w:color="auto"/>
        <w:bottom w:val="none" w:sz="0" w:space="0" w:color="auto"/>
        <w:right w:val="none" w:sz="0" w:space="0" w:color="auto"/>
      </w:divBdr>
    </w:div>
    <w:div w:id="1910384578">
      <w:marLeft w:val="0"/>
      <w:marRight w:val="0"/>
      <w:marTop w:val="120"/>
      <w:marBottom w:val="120"/>
      <w:divBdr>
        <w:top w:val="none" w:sz="0" w:space="0" w:color="auto"/>
        <w:left w:val="none" w:sz="0" w:space="0" w:color="auto"/>
        <w:bottom w:val="none" w:sz="0" w:space="0" w:color="auto"/>
        <w:right w:val="none" w:sz="0" w:space="0" w:color="auto"/>
      </w:divBdr>
    </w:div>
    <w:div w:id="1913616386">
      <w:marLeft w:val="0"/>
      <w:marRight w:val="0"/>
      <w:marTop w:val="120"/>
      <w:marBottom w:val="120"/>
      <w:divBdr>
        <w:top w:val="none" w:sz="0" w:space="0" w:color="auto"/>
        <w:left w:val="none" w:sz="0" w:space="0" w:color="auto"/>
        <w:bottom w:val="none" w:sz="0" w:space="0" w:color="auto"/>
        <w:right w:val="none" w:sz="0" w:space="0" w:color="auto"/>
      </w:divBdr>
    </w:div>
    <w:div w:id="1913853781">
      <w:marLeft w:val="0"/>
      <w:marRight w:val="0"/>
      <w:marTop w:val="0"/>
      <w:marBottom w:val="0"/>
      <w:divBdr>
        <w:top w:val="none" w:sz="0" w:space="0" w:color="auto"/>
        <w:left w:val="none" w:sz="0" w:space="0" w:color="auto"/>
        <w:bottom w:val="none" w:sz="0" w:space="0" w:color="auto"/>
        <w:right w:val="none" w:sz="0" w:space="0" w:color="auto"/>
      </w:divBdr>
    </w:div>
    <w:div w:id="1916163504">
      <w:marLeft w:val="0"/>
      <w:marRight w:val="0"/>
      <w:marTop w:val="120"/>
      <w:marBottom w:val="0"/>
      <w:divBdr>
        <w:top w:val="none" w:sz="0" w:space="0" w:color="auto"/>
        <w:left w:val="none" w:sz="0" w:space="0" w:color="auto"/>
        <w:bottom w:val="none" w:sz="0" w:space="0" w:color="auto"/>
        <w:right w:val="none" w:sz="0" w:space="0" w:color="auto"/>
      </w:divBdr>
    </w:div>
    <w:div w:id="1917861239">
      <w:marLeft w:val="0"/>
      <w:marRight w:val="0"/>
      <w:marTop w:val="0"/>
      <w:marBottom w:val="0"/>
      <w:divBdr>
        <w:top w:val="none" w:sz="0" w:space="0" w:color="auto"/>
        <w:left w:val="none" w:sz="0" w:space="0" w:color="auto"/>
        <w:bottom w:val="none" w:sz="0" w:space="0" w:color="auto"/>
        <w:right w:val="none" w:sz="0" w:space="0" w:color="auto"/>
      </w:divBdr>
    </w:div>
    <w:div w:id="1919435107">
      <w:marLeft w:val="0"/>
      <w:marRight w:val="0"/>
      <w:marTop w:val="120"/>
      <w:marBottom w:val="120"/>
      <w:divBdr>
        <w:top w:val="none" w:sz="0" w:space="0" w:color="auto"/>
        <w:left w:val="none" w:sz="0" w:space="0" w:color="auto"/>
        <w:bottom w:val="none" w:sz="0" w:space="0" w:color="auto"/>
        <w:right w:val="none" w:sz="0" w:space="0" w:color="auto"/>
      </w:divBdr>
    </w:div>
    <w:div w:id="1923442544">
      <w:marLeft w:val="0"/>
      <w:marRight w:val="0"/>
      <w:marTop w:val="120"/>
      <w:marBottom w:val="0"/>
      <w:divBdr>
        <w:top w:val="none" w:sz="0" w:space="0" w:color="auto"/>
        <w:left w:val="none" w:sz="0" w:space="0" w:color="auto"/>
        <w:bottom w:val="none" w:sz="0" w:space="0" w:color="auto"/>
        <w:right w:val="none" w:sz="0" w:space="0" w:color="auto"/>
      </w:divBdr>
    </w:div>
    <w:div w:id="1923642479">
      <w:marLeft w:val="0"/>
      <w:marRight w:val="0"/>
      <w:marTop w:val="120"/>
      <w:marBottom w:val="0"/>
      <w:divBdr>
        <w:top w:val="none" w:sz="0" w:space="0" w:color="auto"/>
        <w:left w:val="none" w:sz="0" w:space="0" w:color="auto"/>
        <w:bottom w:val="none" w:sz="0" w:space="0" w:color="auto"/>
        <w:right w:val="none" w:sz="0" w:space="0" w:color="auto"/>
      </w:divBdr>
    </w:div>
    <w:div w:id="1935360679">
      <w:marLeft w:val="0"/>
      <w:marRight w:val="0"/>
      <w:marTop w:val="120"/>
      <w:marBottom w:val="0"/>
      <w:divBdr>
        <w:top w:val="none" w:sz="0" w:space="0" w:color="auto"/>
        <w:left w:val="none" w:sz="0" w:space="0" w:color="auto"/>
        <w:bottom w:val="none" w:sz="0" w:space="0" w:color="auto"/>
        <w:right w:val="none" w:sz="0" w:space="0" w:color="auto"/>
      </w:divBdr>
    </w:div>
    <w:div w:id="1938364357">
      <w:marLeft w:val="0"/>
      <w:marRight w:val="0"/>
      <w:marTop w:val="120"/>
      <w:marBottom w:val="0"/>
      <w:divBdr>
        <w:top w:val="none" w:sz="0" w:space="0" w:color="auto"/>
        <w:left w:val="none" w:sz="0" w:space="0" w:color="auto"/>
        <w:bottom w:val="none" w:sz="0" w:space="0" w:color="auto"/>
        <w:right w:val="none" w:sz="0" w:space="0" w:color="auto"/>
      </w:divBdr>
    </w:div>
    <w:div w:id="1938901403">
      <w:marLeft w:val="0"/>
      <w:marRight w:val="0"/>
      <w:marTop w:val="120"/>
      <w:marBottom w:val="0"/>
      <w:divBdr>
        <w:top w:val="none" w:sz="0" w:space="0" w:color="auto"/>
        <w:left w:val="none" w:sz="0" w:space="0" w:color="auto"/>
        <w:bottom w:val="none" w:sz="0" w:space="0" w:color="auto"/>
        <w:right w:val="none" w:sz="0" w:space="0" w:color="auto"/>
      </w:divBdr>
    </w:div>
    <w:div w:id="1939211740">
      <w:marLeft w:val="0"/>
      <w:marRight w:val="0"/>
      <w:marTop w:val="0"/>
      <w:marBottom w:val="120"/>
      <w:divBdr>
        <w:top w:val="none" w:sz="0" w:space="0" w:color="auto"/>
        <w:left w:val="none" w:sz="0" w:space="0" w:color="auto"/>
        <w:bottom w:val="none" w:sz="0" w:space="0" w:color="auto"/>
        <w:right w:val="none" w:sz="0" w:space="0" w:color="auto"/>
      </w:divBdr>
    </w:div>
    <w:div w:id="1940134706">
      <w:marLeft w:val="0"/>
      <w:marRight w:val="0"/>
      <w:marTop w:val="120"/>
      <w:marBottom w:val="0"/>
      <w:divBdr>
        <w:top w:val="none" w:sz="0" w:space="0" w:color="auto"/>
        <w:left w:val="none" w:sz="0" w:space="0" w:color="auto"/>
        <w:bottom w:val="none" w:sz="0" w:space="0" w:color="auto"/>
        <w:right w:val="none" w:sz="0" w:space="0" w:color="auto"/>
      </w:divBdr>
    </w:div>
    <w:div w:id="1942764773">
      <w:marLeft w:val="0"/>
      <w:marRight w:val="0"/>
      <w:marTop w:val="120"/>
      <w:marBottom w:val="0"/>
      <w:divBdr>
        <w:top w:val="none" w:sz="0" w:space="0" w:color="auto"/>
        <w:left w:val="none" w:sz="0" w:space="0" w:color="auto"/>
        <w:bottom w:val="none" w:sz="0" w:space="0" w:color="auto"/>
        <w:right w:val="none" w:sz="0" w:space="0" w:color="auto"/>
      </w:divBdr>
    </w:div>
    <w:div w:id="1945770703">
      <w:marLeft w:val="0"/>
      <w:marRight w:val="0"/>
      <w:marTop w:val="120"/>
      <w:marBottom w:val="0"/>
      <w:divBdr>
        <w:top w:val="none" w:sz="0" w:space="0" w:color="auto"/>
        <w:left w:val="none" w:sz="0" w:space="0" w:color="auto"/>
        <w:bottom w:val="none" w:sz="0" w:space="0" w:color="auto"/>
        <w:right w:val="none" w:sz="0" w:space="0" w:color="auto"/>
      </w:divBdr>
    </w:div>
    <w:div w:id="1948539666">
      <w:marLeft w:val="0"/>
      <w:marRight w:val="0"/>
      <w:marTop w:val="120"/>
      <w:marBottom w:val="120"/>
      <w:divBdr>
        <w:top w:val="none" w:sz="0" w:space="0" w:color="auto"/>
        <w:left w:val="none" w:sz="0" w:space="0" w:color="auto"/>
        <w:bottom w:val="none" w:sz="0" w:space="0" w:color="auto"/>
        <w:right w:val="none" w:sz="0" w:space="0" w:color="auto"/>
      </w:divBdr>
    </w:div>
    <w:div w:id="1951743571">
      <w:marLeft w:val="0"/>
      <w:marRight w:val="0"/>
      <w:marTop w:val="0"/>
      <w:marBottom w:val="0"/>
      <w:divBdr>
        <w:top w:val="none" w:sz="0" w:space="0" w:color="auto"/>
        <w:left w:val="none" w:sz="0" w:space="0" w:color="auto"/>
        <w:bottom w:val="none" w:sz="0" w:space="0" w:color="auto"/>
        <w:right w:val="none" w:sz="0" w:space="0" w:color="auto"/>
      </w:divBdr>
      <w:divsChild>
        <w:div w:id="684677666">
          <w:marLeft w:val="0"/>
          <w:marRight w:val="0"/>
          <w:marTop w:val="0"/>
          <w:marBottom w:val="0"/>
          <w:divBdr>
            <w:top w:val="none" w:sz="0" w:space="0" w:color="auto"/>
            <w:left w:val="none" w:sz="0" w:space="0" w:color="auto"/>
            <w:bottom w:val="none" w:sz="0" w:space="0" w:color="auto"/>
            <w:right w:val="none" w:sz="0" w:space="0" w:color="auto"/>
          </w:divBdr>
        </w:div>
      </w:divsChild>
    </w:div>
    <w:div w:id="1952275795">
      <w:marLeft w:val="0"/>
      <w:marRight w:val="0"/>
      <w:marTop w:val="0"/>
      <w:marBottom w:val="0"/>
      <w:divBdr>
        <w:top w:val="none" w:sz="0" w:space="0" w:color="auto"/>
        <w:left w:val="none" w:sz="0" w:space="0" w:color="auto"/>
        <w:bottom w:val="none" w:sz="0" w:space="0" w:color="auto"/>
        <w:right w:val="none" w:sz="0" w:space="0" w:color="auto"/>
      </w:divBdr>
      <w:divsChild>
        <w:div w:id="1466922699">
          <w:marLeft w:val="0"/>
          <w:marRight w:val="0"/>
          <w:marTop w:val="0"/>
          <w:marBottom w:val="0"/>
          <w:divBdr>
            <w:top w:val="none" w:sz="0" w:space="0" w:color="auto"/>
            <w:left w:val="none" w:sz="0" w:space="0" w:color="auto"/>
            <w:bottom w:val="none" w:sz="0" w:space="0" w:color="auto"/>
            <w:right w:val="none" w:sz="0" w:space="0" w:color="auto"/>
          </w:divBdr>
        </w:div>
      </w:divsChild>
    </w:div>
    <w:div w:id="1952668637">
      <w:marLeft w:val="0"/>
      <w:marRight w:val="0"/>
      <w:marTop w:val="0"/>
      <w:marBottom w:val="0"/>
      <w:divBdr>
        <w:top w:val="none" w:sz="0" w:space="0" w:color="auto"/>
        <w:left w:val="none" w:sz="0" w:space="0" w:color="auto"/>
        <w:bottom w:val="none" w:sz="0" w:space="0" w:color="auto"/>
        <w:right w:val="none" w:sz="0" w:space="0" w:color="auto"/>
      </w:divBdr>
    </w:div>
    <w:div w:id="1953201742">
      <w:marLeft w:val="0"/>
      <w:marRight w:val="0"/>
      <w:marTop w:val="120"/>
      <w:marBottom w:val="0"/>
      <w:divBdr>
        <w:top w:val="none" w:sz="0" w:space="0" w:color="auto"/>
        <w:left w:val="none" w:sz="0" w:space="0" w:color="auto"/>
        <w:bottom w:val="none" w:sz="0" w:space="0" w:color="auto"/>
        <w:right w:val="none" w:sz="0" w:space="0" w:color="auto"/>
      </w:divBdr>
    </w:div>
    <w:div w:id="1956522312">
      <w:marLeft w:val="0"/>
      <w:marRight w:val="0"/>
      <w:marTop w:val="0"/>
      <w:marBottom w:val="0"/>
      <w:divBdr>
        <w:top w:val="none" w:sz="0" w:space="0" w:color="auto"/>
        <w:left w:val="none" w:sz="0" w:space="0" w:color="auto"/>
        <w:bottom w:val="none" w:sz="0" w:space="0" w:color="auto"/>
        <w:right w:val="none" w:sz="0" w:space="0" w:color="auto"/>
      </w:divBdr>
      <w:divsChild>
        <w:div w:id="1769228436">
          <w:marLeft w:val="0"/>
          <w:marRight w:val="0"/>
          <w:marTop w:val="0"/>
          <w:marBottom w:val="0"/>
          <w:divBdr>
            <w:top w:val="none" w:sz="0" w:space="0" w:color="auto"/>
            <w:left w:val="none" w:sz="0" w:space="0" w:color="auto"/>
            <w:bottom w:val="none" w:sz="0" w:space="0" w:color="auto"/>
            <w:right w:val="none" w:sz="0" w:space="0" w:color="auto"/>
          </w:divBdr>
        </w:div>
      </w:divsChild>
    </w:div>
    <w:div w:id="1959868308">
      <w:marLeft w:val="0"/>
      <w:marRight w:val="0"/>
      <w:marTop w:val="0"/>
      <w:marBottom w:val="0"/>
      <w:divBdr>
        <w:top w:val="none" w:sz="0" w:space="0" w:color="auto"/>
        <w:left w:val="none" w:sz="0" w:space="0" w:color="auto"/>
        <w:bottom w:val="none" w:sz="0" w:space="0" w:color="auto"/>
        <w:right w:val="none" w:sz="0" w:space="0" w:color="auto"/>
      </w:divBdr>
    </w:div>
    <w:div w:id="1959985861">
      <w:marLeft w:val="0"/>
      <w:marRight w:val="0"/>
      <w:marTop w:val="60"/>
      <w:marBottom w:val="0"/>
      <w:divBdr>
        <w:top w:val="none" w:sz="0" w:space="0" w:color="auto"/>
        <w:left w:val="none" w:sz="0" w:space="0" w:color="auto"/>
        <w:bottom w:val="none" w:sz="0" w:space="0" w:color="auto"/>
        <w:right w:val="none" w:sz="0" w:space="0" w:color="auto"/>
      </w:divBdr>
    </w:div>
    <w:div w:id="1960138391">
      <w:marLeft w:val="0"/>
      <w:marRight w:val="0"/>
      <w:marTop w:val="120"/>
      <w:marBottom w:val="120"/>
      <w:divBdr>
        <w:top w:val="none" w:sz="0" w:space="0" w:color="auto"/>
        <w:left w:val="none" w:sz="0" w:space="0" w:color="auto"/>
        <w:bottom w:val="none" w:sz="0" w:space="0" w:color="auto"/>
        <w:right w:val="none" w:sz="0" w:space="0" w:color="auto"/>
      </w:divBdr>
    </w:div>
    <w:div w:id="1961641503">
      <w:marLeft w:val="0"/>
      <w:marRight w:val="0"/>
      <w:marTop w:val="120"/>
      <w:marBottom w:val="120"/>
      <w:divBdr>
        <w:top w:val="none" w:sz="0" w:space="0" w:color="auto"/>
        <w:left w:val="none" w:sz="0" w:space="0" w:color="auto"/>
        <w:bottom w:val="none" w:sz="0" w:space="0" w:color="auto"/>
        <w:right w:val="none" w:sz="0" w:space="0" w:color="auto"/>
      </w:divBdr>
    </w:div>
    <w:div w:id="1961647592">
      <w:marLeft w:val="0"/>
      <w:marRight w:val="0"/>
      <w:marTop w:val="0"/>
      <w:marBottom w:val="0"/>
      <w:divBdr>
        <w:top w:val="none" w:sz="0" w:space="0" w:color="auto"/>
        <w:left w:val="none" w:sz="0" w:space="0" w:color="auto"/>
        <w:bottom w:val="none" w:sz="0" w:space="0" w:color="auto"/>
        <w:right w:val="none" w:sz="0" w:space="0" w:color="auto"/>
      </w:divBdr>
      <w:divsChild>
        <w:div w:id="2049603292">
          <w:marLeft w:val="0"/>
          <w:marRight w:val="0"/>
          <w:marTop w:val="0"/>
          <w:marBottom w:val="0"/>
          <w:divBdr>
            <w:top w:val="none" w:sz="0" w:space="0" w:color="auto"/>
            <w:left w:val="none" w:sz="0" w:space="0" w:color="auto"/>
            <w:bottom w:val="none" w:sz="0" w:space="0" w:color="auto"/>
            <w:right w:val="none" w:sz="0" w:space="0" w:color="auto"/>
          </w:divBdr>
        </w:div>
      </w:divsChild>
    </w:div>
    <w:div w:id="1963999566">
      <w:marLeft w:val="0"/>
      <w:marRight w:val="0"/>
      <w:marTop w:val="120"/>
      <w:marBottom w:val="0"/>
      <w:divBdr>
        <w:top w:val="none" w:sz="0" w:space="0" w:color="auto"/>
        <w:left w:val="none" w:sz="0" w:space="0" w:color="auto"/>
        <w:bottom w:val="none" w:sz="0" w:space="0" w:color="auto"/>
        <w:right w:val="none" w:sz="0" w:space="0" w:color="auto"/>
      </w:divBdr>
    </w:div>
    <w:div w:id="1964577495">
      <w:marLeft w:val="0"/>
      <w:marRight w:val="0"/>
      <w:marTop w:val="0"/>
      <w:marBottom w:val="0"/>
      <w:divBdr>
        <w:top w:val="none" w:sz="0" w:space="0" w:color="auto"/>
        <w:left w:val="none" w:sz="0" w:space="0" w:color="auto"/>
        <w:bottom w:val="none" w:sz="0" w:space="0" w:color="auto"/>
        <w:right w:val="none" w:sz="0" w:space="0" w:color="auto"/>
      </w:divBdr>
    </w:div>
    <w:div w:id="1965890425">
      <w:marLeft w:val="0"/>
      <w:marRight w:val="0"/>
      <w:marTop w:val="120"/>
      <w:marBottom w:val="120"/>
      <w:divBdr>
        <w:top w:val="none" w:sz="0" w:space="0" w:color="auto"/>
        <w:left w:val="none" w:sz="0" w:space="0" w:color="auto"/>
        <w:bottom w:val="none" w:sz="0" w:space="0" w:color="auto"/>
        <w:right w:val="none" w:sz="0" w:space="0" w:color="auto"/>
      </w:divBdr>
    </w:div>
    <w:div w:id="1966932516">
      <w:marLeft w:val="0"/>
      <w:marRight w:val="0"/>
      <w:marTop w:val="120"/>
      <w:marBottom w:val="0"/>
      <w:divBdr>
        <w:top w:val="none" w:sz="0" w:space="0" w:color="auto"/>
        <w:left w:val="none" w:sz="0" w:space="0" w:color="auto"/>
        <w:bottom w:val="none" w:sz="0" w:space="0" w:color="auto"/>
        <w:right w:val="none" w:sz="0" w:space="0" w:color="auto"/>
      </w:divBdr>
    </w:div>
    <w:div w:id="1969697651">
      <w:marLeft w:val="0"/>
      <w:marRight w:val="0"/>
      <w:marTop w:val="180"/>
      <w:marBottom w:val="120"/>
      <w:divBdr>
        <w:top w:val="none" w:sz="0" w:space="0" w:color="auto"/>
        <w:left w:val="none" w:sz="0" w:space="0" w:color="auto"/>
        <w:bottom w:val="none" w:sz="0" w:space="0" w:color="auto"/>
        <w:right w:val="none" w:sz="0" w:space="0" w:color="auto"/>
      </w:divBdr>
    </w:div>
    <w:div w:id="1970162670">
      <w:marLeft w:val="0"/>
      <w:marRight w:val="0"/>
      <w:marTop w:val="120"/>
      <w:marBottom w:val="120"/>
      <w:divBdr>
        <w:top w:val="none" w:sz="0" w:space="0" w:color="auto"/>
        <w:left w:val="none" w:sz="0" w:space="0" w:color="auto"/>
        <w:bottom w:val="none" w:sz="0" w:space="0" w:color="auto"/>
        <w:right w:val="none" w:sz="0" w:space="0" w:color="auto"/>
      </w:divBdr>
    </w:div>
    <w:div w:id="1975284670">
      <w:marLeft w:val="0"/>
      <w:marRight w:val="0"/>
      <w:marTop w:val="0"/>
      <w:marBottom w:val="0"/>
      <w:divBdr>
        <w:top w:val="none" w:sz="0" w:space="0" w:color="auto"/>
        <w:left w:val="none" w:sz="0" w:space="0" w:color="auto"/>
        <w:bottom w:val="none" w:sz="0" w:space="0" w:color="auto"/>
        <w:right w:val="none" w:sz="0" w:space="0" w:color="auto"/>
      </w:divBdr>
      <w:divsChild>
        <w:div w:id="67770860">
          <w:marLeft w:val="0"/>
          <w:marRight w:val="0"/>
          <w:marTop w:val="0"/>
          <w:marBottom w:val="0"/>
          <w:divBdr>
            <w:top w:val="none" w:sz="0" w:space="0" w:color="auto"/>
            <w:left w:val="none" w:sz="0" w:space="0" w:color="auto"/>
            <w:bottom w:val="none" w:sz="0" w:space="0" w:color="auto"/>
            <w:right w:val="none" w:sz="0" w:space="0" w:color="auto"/>
          </w:divBdr>
        </w:div>
      </w:divsChild>
    </w:div>
    <w:div w:id="1975598952">
      <w:marLeft w:val="0"/>
      <w:marRight w:val="0"/>
      <w:marTop w:val="0"/>
      <w:marBottom w:val="0"/>
      <w:divBdr>
        <w:top w:val="none" w:sz="0" w:space="0" w:color="auto"/>
        <w:left w:val="none" w:sz="0" w:space="0" w:color="auto"/>
        <w:bottom w:val="none" w:sz="0" w:space="0" w:color="auto"/>
        <w:right w:val="none" w:sz="0" w:space="0" w:color="auto"/>
      </w:divBdr>
      <w:divsChild>
        <w:div w:id="2095085276">
          <w:marLeft w:val="0"/>
          <w:marRight w:val="0"/>
          <w:marTop w:val="0"/>
          <w:marBottom w:val="0"/>
          <w:divBdr>
            <w:top w:val="none" w:sz="0" w:space="0" w:color="auto"/>
            <w:left w:val="none" w:sz="0" w:space="0" w:color="auto"/>
            <w:bottom w:val="none" w:sz="0" w:space="0" w:color="auto"/>
            <w:right w:val="none" w:sz="0" w:space="0" w:color="auto"/>
          </w:divBdr>
        </w:div>
      </w:divsChild>
    </w:div>
    <w:div w:id="1975720922">
      <w:marLeft w:val="0"/>
      <w:marRight w:val="0"/>
      <w:marTop w:val="0"/>
      <w:marBottom w:val="120"/>
      <w:divBdr>
        <w:top w:val="none" w:sz="0" w:space="0" w:color="auto"/>
        <w:left w:val="none" w:sz="0" w:space="0" w:color="auto"/>
        <w:bottom w:val="none" w:sz="0" w:space="0" w:color="auto"/>
        <w:right w:val="none" w:sz="0" w:space="0" w:color="auto"/>
      </w:divBdr>
    </w:div>
    <w:div w:id="1980261107">
      <w:marLeft w:val="0"/>
      <w:marRight w:val="0"/>
      <w:marTop w:val="0"/>
      <w:marBottom w:val="0"/>
      <w:divBdr>
        <w:top w:val="none" w:sz="0" w:space="0" w:color="auto"/>
        <w:left w:val="none" w:sz="0" w:space="0" w:color="auto"/>
        <w:bottom w:val="none" w:sz="0" w:space="0" w:color="auto"/>
        <w:right w:val="none" w:sz="0" w:space="0" w:color="auto"/>
      </w:divBdr>
      <w:divsChild>
        <w:div w:id="2051030220">
          <w:marLeft w:val="0"/>
          <w:marRight w:val="0"/>
          <w:marTop w:val="0"/>
          <w:marBottom w:val="0"/>
          <w:divBdr>
            <w:top w:val="none" w:sz="0" w:space="0" w:color="auto"/>
            <w:left w:val="none" w:sz="0" w:space="0" w:color="auto"/>
            <w:bottom w:val="none" w:sz="0" w:space="0" w:color="auto"/>
            <w:right w:val="none" w:sz="0" w:space="0" w:color="auto"/>
          </w:divBdr>
        </w:div>
      </w:divsChild>
    </w:div>
    <w:div w:id="1982490710">
      <w:marLeft w:val="0"/>
      <w:marRight w:val="0"/>
      <w:marTop w:val="0"/>
      <w:marBottom w:val="0"/>
      <w:divBdr>
        <w:top w:val="none" w:sz="0" w:space="0" w:color="auto"/>
        <w:left w:val="none" w:sz="0" w:space="0" w:color="auto"/>
        <w:bottom w:val="none" w:sz="0" w:space="0" w:color="auto"/>
        <w:right w:val="none" w:sz="0" w:space="0" w:color="auto"/>
      </w:divBdr>
    </w:div>
    <w:div w:id="1986162314">
      <w:marLeft w:val="0"/>
      <w:marRight w:val="0"/>
      <w:marTop w:val="120"/>
      <w:marBottom w:val="0"/>
      <w:divBdr>
        <w:top w:val="none" w:sz="0" w:space="0" w:color="auto"/>
        <w:left w:val="none" w:sz="0" w:space="0" w:color="auto"/>
        <w:bottom w:val="none" w:sz="0" w:space="0" w:color="auto"/>
        <w:right w:val="none" w:sz="0" w:space="0" w:color="auto"/>
      </w:divBdr>
    </w:div>
    <w:div w:id="1986541434">
      <w:marLeft w:val="0"/>
      <w:marRight w:val="0"/>
      <w:marTop w:val="0"/>
      <w:marBottom w:val="0"/>
      <w:divBdr>
        <w:top w:val="none" w:sz="0" w:space="0" w:color="auto"/>
        <w:left w:val="none" w:sz="0" w:space="0" w:color="auto"/>
        <w:bottom w:val="none" w:sz="0" w:space="0" w:color="auto"/>
        <w:right w:val="none" w:sz="0" w:space="0" w:color="auto"/>
      </w:divBdr>
    </w:div>
    <w:div w:id="1988049086">
      <w:marLeft w:val="0"/>
      <w:marRight w:val="0"/>
      <w:marTop w:val="120"/>
      <w:marBottom w:val="120"/>
      <w:divBdr>
        <w:top w:val="none" w:sz="0" w:space="0" w:color="auto"/>
        <w:left w:val="none" w:sz="0" w:space="0" w:color="auto"/>
        <w:bottom w:val="none" w:sz="0" w:space="0" w:color="auto"/>
        <w:right w:val="none" w:sz="0" w:space="0" w:color="auto"/>
      </w:divBdr>
    </w:div>
    <w:div w:id="1989436337">
      <w:marLeft w:val="0"/>
      <w:marRight w:val="0"/>
      <w:marTop w:val="120"/>
      <w:marBottom w:val="120"/>
      <w:divBdr>
        <w:top w:val="none" w:sz="0" w:space="0" w:color="auto"/>
        <w:left w:val="none" w:sz="0" w:space="0" w:color="auto"/>
        <w:bottom w:val="none" w:sz="0" w:space="0" w:color="auto"/>
        <w:right w:val="none" w:sz="0" w:space="0" w:color="auto"/>
      </w:divBdr>
    </w:div>
    <w:div w:id="1994289797">
      <w:marLeft w:val="0"/>
      <w:marRight w:val="0"/>
      <w:marTop w:val="120"/>
      <w:marBottom w:val="120"/>
      <w:divBdr>
        <w:top w:val="none" w:sz="0" w:space="0" w:color="auto"/>
        <w:left w:val="none" w:sz="0" w:space="0" w:color="auto"/>
        <w:bottom w:val="none" w:sz="0" w:space="0" w:color="auto"/>
        <w:right w:val="none" w:sz="0" w:space="0" w:color="auto"/>
      </w:divBdr>
    </w:div>
    <w:div w:id="1998076105">
      <w:marLeft w:val="0"/>
      <w:marRight w:val="0"/>
      <w:marTop w:val="180"/>
      <w:marBottom w:val="120"/>
      <w:divBdr>
        <w:top w:val="none" w:sz="0" w:space="0" w:color="auto"/>
        <w:left w:val="none" w:sz="0" w:space="0" w:color="auto"/>
        <w:bottom w:val="none" w:sz="0" w:space="0" w:color="auto"/>
        <w:right w:val="none" w:sz="0" w:space="0" w:color="auto"/>
      </w:divBdr>
    </w:div>
    <w:div w:id="2001039941">
      <w:marLeft w:val="0"/>
      <w:marRight w:val="0"/>
      <w:marTop w:val="0"/>
      <w:marBottom w:val="0"/>
      <w:divBdr>
        <w:top w:val="none" w:sz="0" w:space="0" w:color="auto"/>
        <w:left w:val="none" w:sz="0" w:space="0" w:color="auto"/>
        <w:bottom w:val="none" w:sz="0" w:space="0" w:color="auto"/>
        <w:right w:val="none" w:sz="0" w:space="0" w:color="auto"/>
      </w:divBdr>
    </w:div>
    <w:div w:id="2002079220">
      <w:marLeft w:val="0"/>
      <w:marRight w:val="0"/>
      <w:marTop w:val="180"/>
      <w:marBottom w:val="120"/>
      <w:divBdr>
        <w:top w:val="none" w:sz="0" w:space="0" w:color="auto"/>
        <w:left w:val="none" w:sz="0" w:space="0" w:color="auto"/>
        <w:bottom w:val="none" w:sz="0" w:space="0" w:color="auto"/>
        <w:right w:val="none" w:sz="0" w:space="0" w:color="auto"/>
      </w:divBdr>
    </w:div>
    <w:div w:id="2006275324">
      <w:marLeft w:val="0"/>
      <w:marRight w:val="0"/>
      <w:marTop w:val="0"/>
      <w:marBottom w:val="0"/>
      <w:divBdr>
        <w:top w:val="none" w:sz="0" w:space="0" w:color="auto"/>
        <w:left w:val="none" w:sz="0" w:space="0" w:color="auto"/>
        <w:bottom w:val="none" w:sz="0" w:space="0" w:color="auto"/>
        <w:right w:val="none" w:sz="0" w:space="0" w:color="auto"/>
      </w:divBdr>
      <w:divsChild>
        <w:div w:id="1235312493">
          <w:marLeft w:val="0"/>
          <w:marRight w:val="0"/>
          <w:marTop w:val="0"/>
          <w:marBottom w:val="0"/>
          <w:divBdr>
            <w:top w:val="none" w:sz="0" w:space="0" w:color="auto"/>
            <w:left w:val="none" w:sz="0" w:space="0" w:color="auto"/>
            <w:bottom w:val="none" w:sz="0" w:space="0" w:color="auto"/>
            <w:right w:val="none" w:sz="0" w:space="0" w:color="auto"/>
          </w:divBdr>
        </w:div>
      </w:divsChild>
    </w:div>
    <w:div w:id="2009020172">
      <w:marLeft w:val="0"/>
      <w:marRight w:val="0"/>
      <w:marTop w:val="0"/>
      <w:marBottom w:val="0"/>
      <w:divBdr>
        <w:top w:val="none" w:sz="0" w:space="0" w:color="auto"/>
        <w:left w:val="none" w:sz="0" w:space="0" w:color="auto"/>
        <w:bottom w:val="none" w:sz="0" w:space="0" w:color="auto"/>
        <w:right w:val="none" w:sz="0" w:space="0" w:color="auto"/>
      </w:divBdr>
      <w:divsChild>
        <w:div w:id="1240674454">
          <w:marLeft w:val="0"/>
          <w:marRight w:val="0"/>
          <w:marTop w:val="0"/>
          <w:marBottom w:val="0"/>
          <w:divBdr>
            <w:top w:val="none" w:sz="0" w:space="0" w:color="auto"/>
            <w:left w:val="none" w:sz="0" w:space="0" w:color="auto"/>
            <w:bottom w:val="none" w:sz="0" w:space="0" w:color="auto"/>
            <w:right w:val="none" w:sz="0" w:space="0" w:color="auto"/>
          </w:divBdr>
        </w:div>
      </w:divsChild>
    </w:div>
    <w:div w:id="2011443908">
      <w:marLeft w:val="0"/>
      <w:marRight w:val="0"/>
      <w:marTop w:val="180"/>
      <w:marBottom w:val="0"/>
      <w:divBdr>
        <w:top w:val="none" w:sz="0" w:space="0" w:color="auto"/>
        <w:left w:val="none" w:sz="0" w:space="0" w:color="auto"/>
        <w:bottom w:val="none" w:sz="0" w:space="0" w:color="auto"/>
        <w:right w:val="none" w:sz="0" w:space="0" w:color="auto"/>
      </w:divBdr>
    </w:div>
    <w:div w:id="2017076340">
      <w:marLeft w:val="0"/>
      <w:marRight w:val="0"/>
      <w:marTop w:val="0"/>
      <w:marBottom w:val="0"/>
      <w:divBdr>
        <w:top w:val="none" w:sz="0" w:space="0" w:color="auto"/>
        <w:left w:val="none" w:sz="0" w:space="0" w:color="auto"/>
        <w:bottom w:val="none" w:sz="0" w:space="0" w:color="auto"/>
        <w:right w:val="none" w:sz="0" w:space="0" w:color="auto"/>
      </w:divBdr>
    </w:div>
    <w:div w:id="2018993192">
      <w:marLeft w:val="0"/>
      <w:marRight w:val="0"/>
      <w:marTop w:val="120"/>
      <w:marBottom w:val="120"/>
      <w:divBdr>
        <w:top w:val="none" w:sz="0" w:space="0" w:color="auto"/>
        <w:left w:val="none" w:sz="0" w:space="0" w:color="auto"/>
        <w:bottom w:val="none" w:sz="0" w:space="0" w:color="auto"/>
        <w:right w:val="none" w:sz="0" w:space="0" w:color="auto"/>
      </w:divBdr>
    </w:div>
    <w:div w:id="2020278716">
      <w:marLeft w:val="0"/>
      <w:marRight w:val="0"/>
      <w:marTop w:val="120"/>
      <w:marBottom w:val="0"/>
      <w:divBdr>
        <w:top w:val="none" w:sz="0" w:space="0" w:color="auto"/>
        <w:left w:val="none" w:sz="0" w:space="0" w:color="auto"/>
        <w:bottom w:val="none" w:sz="0" w:space="0" w:color="auto"/>
        <w:right w:val="none" w:sz="0" w:space="0" w:color="auto"/>
      </w:divBdr>
    </w:div>
    <w:div w:id="2022203097">
      <w:marLeft w:val="0"/>
      <w:marRight w:val="0"/>
      <w:marTop w:val="120"/>
      <w:marBottom w:val="0"/>
      <w:divBdr>
        <w:top w:val="none" w:sz="0" w:space="0" w:color="auto"/>
        <w:left w:val="none" w:sz="0" w:space="0" w:color="auto"/>
        <w:bottom w:val="none" w:sz="0" w:space="0" w:color="auto"/>
        <w:right w:val="none" w:sz="0" w:space="0" w:color="auto"/>
      </w:divBdr>
    </w:div>
    <w:div w:id="2024894100">
      <w:marLeft w:val="0"/>
      <w:marRight w:val="0"/>
      <w:marTop w:val="0"/>
      <w:marBottom w:val="0"/>
      <w:divBdr>
        <w:top w:val="none" w:sz="0" w:space="0" w:color="auto"/>
        <w:left w:val="none" w:sz="0" w:space="0" w:color="auto"/>
        <w:bottom w:val="none" w:sz="0" w:space="0" w:color="auto"/>
        <w:right w:val="none" w:sz="0" w:space="0" w:color="auto"/>
      </w:divBdr>
    </w:div>
    <w:div w:id="2026862898">
      <w:marLeft w:val="0"/>
      <w:marRight w:val="0"/>
      <w:marTop w:val="120"/>
      <w:marBottom w:val="0"/>
      <w:divBdr>
        <w:top w:val="none" w:sz="0" w:space="0" w:color="auto"/>
        <w:left w:val="none" w:sz="0" w:space="0" w:color="auto"/>
        <w:bottom w:val="none" w:sz="0" w:space="0" w:color="auto"/>
        <w:right w:val="none" w:sz="0" w:space="0" w:color="auto"/>
      </w:divBdr>
    </w:div>
    <w:div w:id="2027363371">
      <w:marLeft w:val="0"/>
      <w:marRight w:val="0"/>
      <w:marTop w:val="0"/>
      <w:marBottom w:val="0"/>
      <w:divBdr>
        <w:top w:val="none" w:sz="0" w:space="0" w:color="auto"/>
        <w:left w:val="none" w:sz="0" w:space="0" w:color="auto"/>
        <w:bottom w:val="none" w:sz="0" w:space="0" w:color="auto"/>
        <w:right w:val="none" w:sz="0" w:space="0" w:color="auto"/>
      </w:divBdr>
      <w:divsChild>
        <w:div w:id="526527227">
          <w:marLeft w:val="0"/>
          <w:marRight w:val="0"/>
          <w:marTop w:val="0"/>
          <w:marBottom w:val="0"/>
          <w:divBdr>
            <w:top w:val="none" w:sz="0" w:space="0" w:color="auto"/>
            <w:left w:val="none" w:sz="0" w:space="0" w:color="auto"/>
            <w:bottom w:val="none" w:sz="0" w:space="0" w:color="auto"/>
            <w:right w:val="none" w:sz="0" w:space="0" w:color="auto"/>
          </w:divBdr>
        </w:div>
      </w:divsChild>
    </w:div>
    <w:div w:id="2029520650">
      <w:marLeft w:val="0"/>
      <w:marRight w:val="0"/>
      <w:marTop w:val="120"/>
      <w:marBottom w:val="120"/>
      <w:divBdr>
        <w:top w:val="none" w:sz="0" w:space="0" w:color="auto"/>
        <w:left w:val="none" w:sz="0" w:space="0" w:color="auto"/>
        <w:bottom w:val="none" w:sz="0" w:space="0" w:color="auto"/>
        <w:right w:val="none" w:sz="0" w:space="0" w:color="auto"/>
      </w:divBdr>
    </w:div>
    <w:div w:id="2033259137">
      <w:marLeft w:val="0"/>
      <w:marRight w:val="0"/>
      <w:marTop w:val="120"/>
      <w:marBottom w:val="0"/>
      <w:divBdr>
        <w:top w:val="none" w:sz="0" w:space="0" w:color="auto"/>
        <w:left w:val="none" w:sz="0" w:space="0" w:color="auto"/>
        <w:bottom w:val="none" w:sz="0" w:space="0" w:color="auto"/>
        <w:right w:val="none" w:sz="0" w:space="0" w:color="auto"/>
      </w:divBdr>
    </w:div>
    <w:div w:id="2033677823">
      <w:marLeft w:val="0"/>
      <w:marRight w:val="0"/>
      <w:marTop w:val="120"/>
      <w:marBottom w:val="120"/>
      <w:divBdr>
        <w:top w:val="none" w:sz="0" w:space="0" w:color="auto"/>
        <w:left w:val="none" w:sz="0" w:space="0" w:color="auto"/>
        <w:bottom w:val="none" w:sz="0" w:space="0" w:color="auto"/>
        <w:right w:val="none" w:sz="0" w:space="0" w:color="auto"/>
      </w:divBdr>
    </w:div>
    <w:div w:id="2038967653">
      <w:marLeft w:val="0"/>
      <w:marRight w:val="0"/>
      <w:marTop w:val="120"/>
      <w:marBottom w:val="120"/>
      <w:divBdr>
        <w:top w:val="none" w:sz="0" w:space="0" w:color="auto"/>
        <w:left w:val="none" w:sz="0" w:space="0" w:color="auto"/>
        <w:bottom w:val="none" w:sz="0" w:space="0" w:color="auto"/>
        <w:right w:val="none" w:sz="0" w:space="0" w:color="auto"/>
      </w:divBdr>
    </w:div>
    <w:div w:id="2040659979">
      <w:marLeft w:val="0"/>
      <w:marRight w:val="0"/>
      <w:marTop w:val="0"/>
      <w:marBottom w:val="0"/>
      <w:divBdr>
        <w:top w:val="none" w:sz="0" w:space="0" w:color="auto"/>
        <w:left w:val="none" w:sz="0" w:space="0" w:color="auto"/>
        <w:bottom w:val="none" w:sz="0" w:space="0" w:color="auto"/>
        <w:right w:val="none" w:sz="0" w:space="0" w:color="auto"/>
      </w:divBdr>
      <w:divsChild>
        <w:div w:id="256377429">
          <w:marLeft w:val="0"/>
          <w:marRight w:val="0"/>
          <w:marTop w:val="0"/>
          <w:marBottom w:val="0"/>
          <w:divBdr>
            <w:top w:val="none" w:sz="0" w:space="0" w:color="auto"/>
            <w:left w:val="none" w:sz="0" w:space="0" w:color="auto"/>
            <w:bottom w:val="none" w:sz="0" w:space="0" w:color="auto"/>
            <w:right w:val="none" w:sz="0" w:space="0" w:color="auto"/>
          </w:divBdr>
        </w:div>
      </w:divsChild>
    </w:div>
    <w:div w:id="2040813148">
      <w:marLeft w:val="0"/>
      <w:marRight w:val="0"/>
      <w:marTop w:val="120"/>
      <w:marBottom w:val="0"/>
      <w:divBdr>
        <w:top w:val="none" w:sz="0" w:space="0" w:color="auto"/>
        <w:left w:val="none" w:sz="0" w:space="0" w:color="auto"/>
        <w:bottom w:val="none" w:sz="0" w:space="0" w:color="auto"/>
        <w:right w:val="none" w:sz="0" w:space="0" w:color="auto"/>
      </w:divBdr>
    </w:div>
    <w:div w:id="2047290658">
      <w:marLeft w:val="0"/>
      <w:marRight w:val="0"/>
      <w:marTop w:val="0"/>
      <w:marBottom w:val="0"/>
      <w:divBdr>
        <w:top w:val="none" w:sz="0" w:space="0" w:color="auto"/>
        <w:left w:val="none" w:sz="0" w:space="0" w:color="auto"/>
        <w:bottom w:val="none" w:sz="0" w:space="0" w:color="auto"/>
        <w:right w:val="none" w:sz="0" w:space="0" w:color="auto"/>
      </w:divBdr>
      <w:divsChild>
        <w:div w:id="913126647">
          <w:marLeft w:val="0"/>
          <w:marRight w:val="0"/>
          <w:marTop w:val="0"/>
          <w:marBottom w:val="0"/>
          <w:divBdr>
            <w:top w:val="none" w:sz="0" w:space="0" w:color="auto"/>
            <w:left w:val="none" w:sz="0" w:space="0" w:color="auto"/>
            <w:bottom w:val="none" w:sz="0" w:space="0" w:color="auto"/>
            <w:right w:val="none" w:sz="0" w:space="0" w:color="auto"/>
          </w:divBdr>
        </w:div>
      </w:divsChild>
    </w:div>
    <w:div w:id="2049260360">
      <w:marLeft w:val="0"/>
      <w:marRight w:val="0"/>
      <w:marTop w:val="120"/>
      <w:marBottom w:val="120"/>
      <w:divBdr>
        <w:top w:val="none" w:sz="0" w:space="0" w:color="auto"/>
        <w:left w:val="none" w:sz="0" w:space="0" w:color="auto"/>
        <w:bottom w:val="none" w:sz="0" w:space="0" w:color="auto"/>
        <w:right w:val="none" w:sz="0" w:space="0" w:color="auto"/>
      </w:divBdr>
    </w:div>
    <w:div w:id="2049641633">
      <w:marLeft w:val="0"/>
      <w:marRight w:val="0"/>
      <w:marTop w:val="120"/>
      <w:marBottom w:val="120"/>
      <w:divBdr>
        <w:top w:val="none" w:sz="0" w:space="0" w:color="auto"/>
        <w:left w:val="none" w:sz="0" w:space="0" w:color="auto"/>
        <w:bottom w:val="none" w:sz="0" w:space="0" w:color="auto"/>
        <w:right w:val="none" w:sz="0" w:space="0" w:color="auto"/>
      </w:divBdr>
    </w:div>
    <w:div w:id="2051762939">
      <w:marLeft w:val="0"/>
      <w:marRight w:val="0"/>
      <w:marTop w:val="0"/>
      <w:marBottom w:val="0"/>
      <w:divBdr>
        <w:top w:val="none" w:sz="0" w:space="0" w:color="auto"/>
        <w:left w:val="none" w:sz="0" w:space="0" w:color="auto"/>
        <w:bottom w:val="none" w:sz="0" w:space="0" w:color="auto"/>
        <w:right w:val="none" w:sz="0" w:space="0" w:color="auto"/>
      </w:divBdr>
    </w:div>
    <w:div w:id="2054382628">
      <w:marLeft w:val="0"/>
      <w:marRight w:val="0"/>
      <w:marTop w:val="180"/>
      <w:marBottom w:val="60"/>
      <w:divBdr>
        <w:top w:val="none" w:sz="0" w:space="0" w:color="auto"/>
        <w:left w:val="none" w:sz="0" w:space="0" w:color="auto"/>
        <w:bottom w:val="none" w:sz="0" w:space="0" w:color="auto"/>
        <w:right w:val="none" w:sz="0" w:space="0" w:color="auto"/>
      </w:divBdr>
    </w:div>
    <w:div w:id="2057194318">
      <w:marLeft w:val="0"/>
      <w:marRight w:val="0"/>
      <w:marTop w:val="120"/>
      <w:marBottom w:val="120"/>
      <w:divBdr>
        <w:top w:val="none" w:sz="0" w:space="0" w:color="auto"/>
        <w:left w:val="none" w:sz="0" w:space="0" w:color="auto"/>
        <w:bottom w:val="none" w:sz="0" w:space="0" w:color="auto"/>
        <w:right w:val="none" w:sz="0" w:space="0" w:color="auto"/>
      </w:divBdr>
    </w:div>
    <w:div w:id="2057267063">
      <w:marLeft w:val="0"/>
      <w:marRight w:val="0"/>
      <w:marTop w:val="120"/>
      <w:marBottom w:val="120"/>
      <w:divBdr>
        <w:top w:val="none" w:sz="0" w:space="0" w:color="auto"/>
        <w:left w:val="none" w:sz="0" w:space="0" w:color="auto"/>
        <w:bottom w:val="none" w:sz="0" w:space="0" w:color="auto"/>
        <w:right w:val="none" w:sz="0" w:space="0" w:color="auto"/>
      </w:divBdr>
    </w:div>
    <w:div w:id="2067557583">
      <w:marLeft w:val="0"/>
      <w:marRight w:val="0"/>
      <w:marTop w:val="120"/>
      <w:marBottom w:val="0"/>
      <w:divBdr>
        <w:top w:val="none" w:sz="0" w:space="0" w:color="auto"/>
        <w:left w:val="none" w:sz="0" w:space="0" w:color="auto"/>
        <w:bottom w:val="none" w:sz="0" w:space="0" w:color="auto"/>
        <w:right w:val="none" w:sz="0" w:space="0" w:color="auto"/>
      </w:divBdr>
    </w:div>
    <w:div w:id="2068066243">
      <w:marLeft w:val="0"/>
      <w:marRight w:val="0"/>
      <w:marTop w:val="120"/>
      <w:marBottom w:val="120"/>
      <w:divBdr>
        <w:top w:val="none" w:sz="0" w:space="0" w:color="auto"/>
        <w:left w:val="none" w:sz="0" w:space="0" w:color="auto"/>
        <w:bottom w:val="none" w:sz="0" w:space="0" w:color="auto"/>
        <w:right w:val="none" w:sz="0" w:space="0" w:color="auto"/>
      </w:divBdr>
    </w:div>
    <w:div w:id="2070810207">
      <w:marLeft w:val="0"/>
      <w:marRight w:val="0"/>
      <w:marTop w:val="120"/>
      <w:marBottom w:val="120"/>
      <w:divBdr>
        <w:top w:val="none" w:sz="0" w:space="0" w:color="auto"/>
        <w:left w:val="none" w:sz="0" w:space="0" w:color="auto"/>
        <w:bottom w:val="none" w:sz="0" w:space="0" w:color="auto"/>
        <w:right w:val="none" w:sz="0" w:space="0" w:color="auto"/>
      </w:divBdr>
    </w:div>
    <w:div w:id="2071272488">
      <w:marLeft w:val="0"/>
      <w:marRight w:val="0"/>
      <w:marTop w:val="120"/>
      <w:marBottom w:val="120"/>
      <w:divBdr>
        <w:top w:val="none" w:sz="0" w:space="0" w:color="auto"/>
        <w:left w:val="none" w:sz="0" w:space="0" w:color="auto"/>
        <w:bottom w:val="none" w:sz="0" w:space="0" w:color="auto"/>
        <w:right w:val="none" w:sz="0" w:space="0" w:color="auto"/>
      </w:divBdr>
    </w:div>
    <w:div w:id="2071952639">
      <w:marLeft w:val="0"/>
      <w:marRight w:val="0"/>
      <w:marTop w:val="120"/>
      <w:marBottom w:val="120"/>
      <w:divBdr>
        <w:top w:val="none" w:sz="0" w:space="0" w:color="auto"/>
        <w:left w:val="none" w:sz="0" w:space="0" w:color="auto"/>
        <w:bottom w:val="none" w:sz="0" w:space="0" w:color="auto"/>
        <w:right w:val="none" w:sz="0" w:space="0" w:color="auto"/>
      </w:divBdr>
    </w:div>
    <w:div w:id="2072264570">
      <w:marLeft w:val="0"/>
      <w:marRight w:val="0"/>
      <w:marTop w:val="120"/>
      <w:marBottom w:val="0"/>
      <w:divBdr>
        <w:top w:val="none" w:sz="0" w:space="0" w:color="auto"/>
        <w:left w:val="none" w:sz="0" w:space="0" w:color="auto"/>
        <w:bottom w:val="none" w:sz="0" w:space="0" w:color="auto"/>
        <w:right w:val="none" w:sz="0" w:space="0" w:color="auto"/>
      </w:divBdr>
    </w:div>
    <w:div w:id="2073691342">
      <w:marLeft w:val="0"/>
      <w:marRight w:val="0"/>
      <w:marTop w:val="120"/>
      <w:marBottom w:val="0"/>
      <w:divBdr>
        <w:top w:val="none" w:sz="0" w:space="0" w:color="auto"/>
        <w:left w:val="none" w:sz="0" w:space="0" w:color="auto"/>
        <w:bottom w:val="none" w:sz="0" w:space="0" w:color="auto"/>
        <w:right w:val="none" w:sz="0" w:space="0" w:color="auto"/>
      </w:divBdr>
    </w:div>
    <w:div w:id="2080132241">
      <w:marLeft w:val="0"/>
      <w:marRight w:val="0"/>
      <w:marTop w:val="0"/>
      <w:marBottom w:val="120"/>
      <w:divBdr>
        <w:top w:val="none" w:sz="0" w:space="0" w:color="auto"/>
        <w:left w:val="none" w:sz="0" w:space="0" w:color="auto"/>
        <w:bottom w:val="none" w:sz="0" w:space="0" w:color="auto"/>
        <w:right w:val="none" w:sz="0" w:space="0" w:color="auto"/>
      </w:divBdr>
    </w:div>
    <w:div w:id="2080443017">
      <w:marLeft w:val="0"/>
      <w:marRight w:val="0"/>
      <w:marTop w:val="120"/>
      <w:marBottom w:val="120"/>
      <w:divBdr>
        <w:top w:val="none" w:sz="0" w:space="0" w:color="auto"/>
        <w:left w:val="none" w:sz="0" w:space="0" w:color="auto"/>
        <w:bottom w:val="none" w:sz="0" w:space="0" w:color="auto"/>
        <w:right w:val="none" w:sz="0" w:space="0" w:color="auto"/>
      </w:divBdr>
    </w:div>
    <w:div w:id="2080517061">
      <w:marLeft w:val="0"/>
      <w:marRight w:val="0"/>
      <w:marTop w:val="0"/>
      <w:marBottom w:val="0"/>
      <w:divBdr>
        <w:top w:val="none" w:sz="0" w:space="0" w:color="auto"/>
        <w:left w:val="none" w:sz="0" w:space="0" w:color="auto"/>
        <w:bottom w:val="none" w:sz="0" w:space="0" w:color="auto"/>
        <w:right w:val="none" w:sz="0" w:space="0" w:color="auto"/>
      </w:divBdr>
    </w:div>
    <w:div w:id="2080787434">
      <w:marLeft w:val="0"/>
      <w:marRight w:val="0"/>
      <w:marTop w:val="120"/>
      <w:marBottom w:val="120"/>
      <w:divBdr>
        <w:top w:val="none" w:sz="0" w:space="0" w:color="auto"/>
        <w:left w:val="none" w:sz="0" w:space="0" w:color="auto"/>
        <w:bottom w:val="none" w:sz="0" w:space="0" w:color="auto"/>
        <w:right w:val="none" w:sz="0" w:space="0" w:color="auto"/>
      </w:divBdr>
    </w:div>
    <w:div w:id="2081059037">
      <w:marLeft w:val="0"/>
      <w:marRight w:val="0"/>
      <w:marTop w:val="120"/>
      <w:marBottom w:val="0"/>
      <w:divBdr>
        <w:top w:val="none" w:sz="0" w:space="0" w:color="auto"/>
        <w:left w:val="none" w:sz="0" w:space="0" w:color="auto"/>
        <w:bottom w:val="none" w:sz="0" w:space="0" w:color="auto"/>
        <w:right w:val="none" w:sz="0" w:space="0" w:color="auto"/>
      </w:divBdr>
    </w:div>
    <w:div w:id="2081101625">
      <w:marLeft w:val="0"/>
      <w:marRight w:val="0"/>
      <w:marTop w:val="0"/>
      <w:marBottom w:val="0"/>
      <w:divBdr>
        <w:top w:val="none" w:sz="0" w:space="0" w:color="auto"/>
        <w:left w:val="none" w:sz="0" w:space="0" w:color="auto"/>
        <w:bottom w:val="none" w:sz="0" w:space="0" w:color="auto"/>
        <w:right w:val="none" w:sz="0" w:space="0" w:color="auto"/>
      </w:divBdr>
      <w:divsChild>
        <w:div w:id="639578535">
          <w:marLeft w:val="0"/>
          <w:marRight w:val="0"/>
          <w:marTop w:val="0"/>
          <w:marBottom w:val="0"/>
          <w:divBdr>
            <w:top w:val="none" w:sz="0" w:space="0" w:color="auto"/>
            <w:left w:val="none" w:sz="0" w:space="0" w:color="auto"/>
            <w:bottom w:val="none" w:sz="0" w:space="0" w:color="auto"/>
            <w:right w:val="none" w:sz="0" w:space="0" w:color="auto"/>
          </w:divBdr>
        </w:div>
      </w:divsChild>
    </w:div>
    <w:div w:id="2082218104">
      <w:marLeft w:val="0"/>
      <w:marRight w:val="0"/>
      <w:marTop w:val="120"/>
      <w:marBottom w:val="120"/>
      <w:divBdr>
        <w:top w:val="none" w:sz="0" w:space="0" w:color="auto"/>
        <w:left w:val="none" w:sz="0" w:space="0" w:color="auto"/>
        <w:bottom w:val="none" w:sz="0" w:space="0" w:color="auto"/>
        <w:right w:val="none" w:sz="0" w:space="0" w:color="auto"/>
      </w:divBdr>
    </w:div>
    <w:div w:id="2083137818">
      <w:marLeft w:val="0"/>
      <w:marRight w:val="0"/>
      <w:marTop w:val="0"/>
      <w:marBottom w:val="0"/>
      <w:divBdr>
        <w:top w:val="none" w:sz="0" w:space="0" w:color="auto"/>
        <w:left w:val="none" w:sz="0" w:space="0" w:color="auto"/>
        <w:bottom w:val="none" w:sz="0" w:space="0" w:color="auto"/>
        <w:right w:val="none" w:sz="0" w:space="0" w:color="auto"/>
      </w:divBdr>
    </w:div>
    <w:div w:id="2083140743">
      <w:marLeft w:val="0"/>
      <w:marRight w:val="0"/>
      <w:marTop w:val="0"/>
      <w:marBottom w:val="0"/>
      <w:divBdr>
        <w:top w:val="none" w:sz="0" w:space="0" w:color="auto"/>
        <w:left w:val="none" w:sz="0" w:space="0" w:color="auto"/>
        <w:bottom w:val="none" w:sz="0" w:space="0" w:color="auto"/>
        <w:right w:val="none" w:sz="0" w:space="0" w:color="auto"/>
      </w:divBdr>
    </w:div>
    <w:div w:id="2083679922">
      <w:marLeft w:val="0"/>
      <w:marRight w:val="0"/>
      <w:marTop w:val="120"/>
      <w:marBottom w:val="120"/>
      <w:divBdr>
        <w:top w:val="none" w:sz="0" w:space="0" w:color="auto"/>
        <w:left w:val="none" w:sz="0" w:space="0" w:color="auto"/>
        <w:bottom w:val="none" w:sz="0" w:space="0" w:color="auto"/>
        <w:right w:val="none" w:sz="0" w:space="0" w:color="auto"/>
      </w:divBdr>
    </w:div>
    <w:div w:id="2089645694">
      <w:marLeft w:val="0"/>
      <w:marRight w:val="0"/>
      <w:marTop w:val="120"/>
      <w:marBottom w:val="120"/>
      <w:divBdr>
        <w:top w:val="none" w:sz="0" w:space="0" w:color="auto"/>
        <w:left w:val="none" w:sz="0" w:space="0" w:color="auto"/>
        <w:bottom w:val="none" w:sz="0" w:space="0" w:color="auto"/>
        <w:right w:val="none" w:sz="0" w:space="0" w:color="auto"/>
      </w:divBdr>
    </w:div>
    <w:div w:id="2092966121">
      <w:marLeft w:val="0"/>
      <w:marRight w:val="0"/>
      <w:marTop w:val="0"/>
      <w:marBottom w:val="0"/>
      <w:divBdr>
        <w:top w:val="none" w:sz="0" w:space="0" w:color="auto"/>
        <w:left w:val="none" w:sz="0" w:space="0" w:color="auto"/>
        <w:bottom w:val="none" w:sz="0" w:space="0" w:color="auto"/>
        <w:right w:val="none" w:sz="0" w:space="0" w:color="auto"/>
      </w:divBdr>
      <w:divsChild>
        <w:div w:id="1602107309">
          <w:marLeft w:val="0"/>
          <w:marRight w:val="0"/>
          <w:marTop w:val="0"/>
          <w:marBottom w:val="0"/>
          <w:divBdr>
            <w:top w:val="none" w:sz="0" w:space="0" w:color="auto"/>
            <w:left w:val="none" w:sz="0" w:space="0" w:color="auto"/>
            <w:bottom w:val="none" w:sz="0" w:space="0" w:color="auto"/>
            <w:right w:val="none" w:sz="0" w:space="0" w:color="auto"/>
          </w:divBdr>
        </w:div>
      </w:divsChild>
    </w:div>
    <w:div w:id="2093503126">
      <w:marLeft w:val="0"/>
      <w:marRight w:val="0"/>
      <w:marTop w:val="180"/>
      <w:marBottom w:val="120"/>
      <w:divBdr>
        <w:top w:val="none" w:sz="0" w:space="0" w:color="auto"/>
        <w:left w:val="none" w:sz="0" w:space="0" w:color="auto"/>
        <w:bottom w:val="none" w:sz="0" w:space="0" w:color="auto"/>
        <w:right w:val="none" w:sz="0" w:space="0" w:color="auto"/>
      </w:divBdr>
    </w:div>
    <w:div w:id="2094160024">
      <w:marLeft w:val="0"/>
      <w:marRight w:val="0"/>
      <w:marTop w:val="0"/>
      <w:marBottom w:val="0"/>
      <w:divBdr>
        <w:top w:val="none" w:sz="0" w:space="0" w:color="auto"/>
        <w:left w:val="none" w:sz="0" w:space="0" w:color="auto"/>
        <w:bottom w:val="none" w:sz="0" w:space="0" w:color="auto"/>
        <w:right w:val="none" w:sz="0" w:space="0" w:color="auto"/>
      </w:divBdr>
    </w:div>
    <w:div w:id="2094547124">
      <w:marLeft w:val="0"/>
      <w:marRight w:val="0"/>
      <w:marTop w:val="0"/>
      <w:marBottom w:val="0"/>
      <w:divBdr>
        <w:top w:val="none" w:sz="0" w:space="0" w:color="auto"/>
        <w:left w:val="none" w:sz="0" w:space="0" w:color="auto"/>
        <w:bottom w:val="none" w:sz="0" w:space="0" w:color="auto"/>
        <w:right w:val="none" w:sz="0" w:space="0" w:color="auto"/>
      </w:divBdr>
      <w:divsChild>
        <w:div w:id="774206465">
          <w:marLeft w:val="0"/>
          <w:marRight w:val="0"/>
          <w:marTop w:val="0"/>
          <w:marBottom w:val="0"/>
          <w:divBdr>
            <w:top w:val="none" w:sz="0" w:space="0" w:color="auto"/>
            <w:left w:val="none" w:sz="0" w:space="0" w:color="auto"/>
            <w:bottom w:val="none" w:sz="0" w:space="0" w:color="auto"/>
            <w:right w:val="none" w:sz="0" w:space="0" w:color="auto"/>
          </w:divBdr>
        </w:div>
      </w:divsChild>
    </w:div>
    <w:div w:id="2102678200">
      <w:marLeft w:val="0"/>
      <w:marRight w:val="0"/>
      <w:marTop w:val="120"/>
      <w:marBottom w:val="0"/>
      <w:divBdr>
        <w:top w:val="none" w:sz="0" w:space="0" w:color="auto"/>
        <w:left w:val="none" w:sz="0" w:space="0" w:color="auto"/>
        <w:bottom w:val="none" w:sz="0" w:space="0" w:color="auto"/>
        <w:right w:val="none" w:sz="0" w:space="0" w:color="auto"/>
      </w:divBdr>
    </w:div>
    <w:div w:id="2103649259">
      <w:marLeft w:val="0"/>
      <w:marRight w:val="0"/>
      <w:marTop w:val="0"/>
      <w:marBottom w:val="0"/>
      <w:divBdr>
        <w:top w:val="none" w:sz="0" w:space="0" w:color="auto"/>
        <w:left w:val="none" w:sz="0" w:space="0" w:color="auto"/>
        <w:bottom w:val="none" w:sz="0" w:space="0" w:color="auto"/>
        <w:right w:val="none" w:sz="0" w:space="0" w:color="auto"/>
      </w:divBdr>
      <w:divsChild>
        <w:div w:id="2053143420">
          <w:marLeft w:val="0"/>
          <w:marRight w:val="0"/>
          <w:marTop w:val="0"/>
          <w:marBottom w:val="0"/>
          <w:divBdr>
            <w:top w:val="none" w:sz="0" w:space="0" w:color="auto"/>
            <w:left w:val="none" w:sz="0" w:space="0" w:color="auto"/>
            <w:bottom w:val="none" w:sz="0" w:space="0" w:color="auto"/>
            <w:right w:val="none" w:sz="0" w:space="0" w:color="auto"/>
          </w:divBdr>
        </w:div>
      </w:divsChild>
    </w:div>
    <w:div w:id="2104104050">
      <w:marLeft w:val="0"/>
      <w:marRight w:val="0"/>
      <w:marTop w:val="120"/>
      <w:marBottom w:val="0"/>
      <w:divBdr>
        <w:top w:val="none" w:sz="0" w:space="0" w:color="auto"/>
        <w:left w:val="none" w:sz="0" w:space="0" w:color="auto"/>
        <w:bottom w:val="none" w:sz="0" w:space="0" w:color="auto"/>
        <w:right w:val="none" w:sz="0" w:space="0" w:color="auto"/>
      </w:divBdr>
    </w:div>
    <w:div w:id="2104833147">
      <w:marLeft w:val="0"/>
      <w:marRight w:val="0"/>
      <w:marTop w:val="0"/>
      <w:marBottom w:val="120"/>
      <w:divBdr>
        <w:top w:val="none" w:sz="0" w:space="0" w:color="auto"/>
        <w:left w:val="none" w:sz="0" w:space="0" w:color="auto"/>
        <w:bottom w:val="none" w:sz="0" w:space="0" w:color="auto"/>
        <w:right w:val="none" w:sz="0" w:space="0" w:color="auto"/>
      </w:divBdr>
    </w:div>
    <w:div w:id="2106489064">
      <w:marLeft w:val="0"/>
      <w:marRight w:val="0"/>
      <w:marTop w:val="120"/>
      <w:marBottom w:val="120"/>
      <w:divBdr>
        <w:top w:val="none" w:sz="0" w:space="0" w:color="auto"/>
        <w:left w:val="none" w:sz="0" w:space="0" w:color="auto"/>
        <w:bottom w:val="none" w:sz="0" w:space="0" w:color="auto"/>
        <w:right w:val="none" w:sz="0" w:space="0" w:color="auto"/>
      </w:divBdr>
    </w:div>
    <w:div w:id="2106684787">
      <w:marLeft w:val="0"/>
      <w:marRight w:val="0"/>
      <w:marTop w:val="120"/>
      <w:marBottom w:val="0"/>
      <w:divBdr>
        <w:top w:val="none" w:sz="0" w:space="0" w:color="auto"/>
        <w:left w:val="none" w:sz="0" w:space="0" w:color="auto"/>
        <w:bottom w:val="none" w:sz="0" w:space="0" w:color="auto"/>
        <w:right w:val="none" w:sz="0" w:space="0" w:color="auto"/>
      </w:divBdr>
    </w:div>
    <w:div w:id="2107144369">
      <w:marLeft w:val="0"/>
      <w:marRight w:val="0"/>
      <w:marTop w:val="0"/>
      <w:marBottom w:val="0"/>
      <w:divBdr>
        <w:top w:val="none" w:sz="0" w:space="0" w:color="auto"/>
        <w:left w:val="none" w:sz="0" w:space="0" w:color="auto"/>
        <w:bottom w:val="none" w:sz="0" w:space="0" w:color="auto"/>
        <w:right w:val="none" w:sz="0" w:space="0" w:color="auto"/>
      </w:divBdr>
      <w:divsChild>
        <w:div w:id="1446002676">
          <w:marLeft w:val="0"/>
          <w:marRight w:val="0"/>
          <w:marTop w:val="0"/>
          <w:marBottom w:val="0"/>
          <w:divBdr>
            <w:top w:val="none" w:sz="0" w:space="0" w:color="auto"/>
            <w:left w:val="none" w:sz="0" w:space="0" w:color="auto"/>
            <w:bottom w:val="none" w:sz="0" w:space="0" w:color="auto"/>
            <w:right w:val="none" w:sz="0" w:space="0" w:color="auto"/>
          </w:divBdr>
        </w:div>
      </w:divsChild>
    </w:div>
    <w:div w:id="2109544449">
      <w:marLeft w:val="0"/>
      <w:marRight w:val="0"/>
      <w:marTop w:val="120"/>
      <w:marBottom w:val="0"/>
      <w:divBdr>
        <w:top w:val="none" w:sz="0" w:space="0" w:color="auto"/>
        <w:left w:val="none" w:sz="0" w:space="0" w:color="auto"/>
        <w:bottom w:val="none" w:sz="0" w:space="0" w:color="auto"/>
        <w:right w:val="none" w:sz="0" w:space="0" w:color="auto"/>
      </w:divBdr>
    </w:div>
    <w:div w:id="2110345259">
      <w:marLeft w:val="0"/>
      <w:marRight w:val="0"/>
      <w:marTop w:val="240"/>
      <w:marBottom w:val="0"/>
      <w:divBdr>
        <w:top w:val="none" w:sz="0" w:space="0" w:color="auto"/>
        <w:left w:val="none" w:sz="0" w:space="0" w:color="auto"/>
        <w:bottom w:val="none" w:sz="0" w:space="0" w:color="auto"/>
        <w:right w:val="none" w:sz="0" w:space="0" w:color="auto"/>
      </w:divBdr>
    </w:div>
    <w:div w:id="2110536751">
      <w:marLeft w:val="0"/>
      <w:marRight w:val="0"/>
      <w:marTop w:val="120"/>
      <w:marBottom w:val="0"/>
      <w:divBdr>
        <w:top w:val="none" w:sz="0" w:space="0" w:color="auto"/>
        <w:left w:val="none" w:sz="0" w:space="0" w:color="auto"/>
        <w:bottom w:val="none" w:sz="0" w:space="0" w:color="auto"/>
        <w:right w:val="none" w:sz="0" w:space="0" w:color="auto"/>
      </w:divBdr>
    </w:div>
    <w:div w:id="2111928139">
      <w:marLeft w:val="0"/>
      <w:marRight w:val="0"/>
      <w:marTop w:val="240"/>
      <w:marBottom w:val="120"/>
      <w:divBdr>
        <w:top w:val="none" w:sz="0" w:space="0" w:color="auto"/>
        <w:left w:val="none" w:sz="0" w:space="0" w:color="auto"/>
        <w:bottom w:val="none" w:sz="0" w:space="0" w:color="auto"/>
        <w:right w:val="none" w:sz="0" w:space="0" w:color="auto"/>
      </w:divBdr>
    </w:div>
    <w:div w:id="2113353449">
      <w:marLeft w:val="0"/>
      <w:marRight w:val="0"/>
      <w:marTop w:val="120"/>
      <w:marBottom w:val="0"/>
      <w:divBdr>
        <w:top w:val="none" w:sz="0" w:space="0" w:color="auto"/>
        <w:left w:val="none" w:sz="0" w:space="0" w:color="auto"/>
        <w:bottom w:val="none" w:sz="0" w:space="0" w:color="auto"/>
        <w:right w:val="none" w:sz="0" w:space="0" w:color="auto"/>
      </w:divBdr>
    </w:div>
    <w:div w:id="2114665476">
      <w:marLeft w:val="0"/>
      <w:marRight w:val="0"/>
      <w:marTop w:val="0"/>
      <w:marBottom w:val="120"/>
      <w:divBdr>
        <w:top w:val="none" w:sz="0" w:space="0" w:color="auto"/>
        <w:left w:val="none" w:sz="0" w:space="0" w:color="auto"/>
        <w:bottom w:val="none" w:sz="0" w:space="0" w:color="auto"/>
        <w:right w:val="none" w:sz="0" w:space="0" w:color="auto"/>
      </w:divBdr>
    </w:div>
    <w:div w:id="2117676564">
      <w:marLeft w:val="0"/>
      <w:marRight w:val="0"/>
      <w:marTop w:val="120"/>
      <w:marBottom w:val="0"/>
      <w:divBdr>
        <w:top w:val="none" w:sz="0" w:space="0" w:color="auto"/>
        <w:left w:val="none" w:sz="0" w:space="0" w:color="auto"/>
        <w:bottom w:val="none" w:sz="0" w:space="0" w:color="auto"/>
        <w:right w:val="none" w:sz="0" w:space="0" w:color="auto"/>
      </w:divBdr>
    </w:div>
    <w:div w:id="2119254574">
      <w:marLeft w:val="0"/>
      <w:marRight w:val="0"/>
      <w:marTop w:val="120"/>
      <w:marBottom w:val="60"/>
      <w:divBdr>
        <w:top w:val="none" w:sz="0" w:space="0" w:color="auto"/>
        <w:left w:val="none" w:sz="0" w:space="0" w:color="auto"/>
        <w:bottom w:val="none" w:sz="0" w:space="0" w:color="auto"/>
        <w:right w:val="none" w:sz="0" w:space="0" w:color="auto"/>
      </w:divBdr>
    </w:div>
    <w:div w:id="2119332461">
      <w:marLeft w:val="0"/>
      <w:marRight w:val="0"/>
      <w:marTop w:val="0"/>
      <w:marBottom w:val="0"/>
      <w:divBdr>
        <w:top w:val="none" w:sz="0" w:space="0" w:color="auto"/>
        <w:left w:val="none" w:sz="0" w:space="0" w:color="auto"/>
        <w:bottom w:val="none" w:sz="0" w:space="0" w:color="auto"/>
        <w:right w:val="none" w:sz="0" w:space="0" w:color="auto"/>
      </w:divBdr>
      <w:divsChild>
        <w:div w:id="271206892">
          <w:marLeft w:val="0"/>
          <w:marRight w:val="0"/>
          <w:marTop w:val="0"/>
          <w:marBottom w:val="0"/>
          <w:divBdr>
            <w:top w:val="none" w:sz="0" w:space="0" w:color="auto"/>
            <w:left w:val="none" w:sz="0" w:space="0" w:color="auto"/>
            <w:bottom w:val="none" w:sz="0" w:space="0" w:color="auto"/>
            <w:right w:val="none" w:sz="0" w:space="0" w:color="auto"/>
          </w:divBdr>
        </w:div>
      </w:divsChild>
    </w:div>
    <w:div w:id="2120752838">
      <w:marLeft w:val="0"/>
      <w:marRight w:val="0"/>
      <w:marTop w:val="0"/>
      <w:marBottom w:val="0"/>
      <w:divBdr>
        <w:top w:val="none" w:sz="0" w:space="0" w:color="auto"/>
        <w:left w:val="none" w:sz="0" w:space="0" w:color="auto"/>
        <w:bottom w:val="none" w:sz="0" w:space="0" w:color="auto"/>
        <w:right w:val="none" w:sz="0" w:space="0" w:color="auto"/>
      </w:divBdr>
    </w:div>
    <w:div w:id="2122911559">
      <w:marLeft w:val="0"/>
      <w:marRight w:val="0"/>
      <w:marTop w:val="120"/>
      <w:marBottom w:val="120"/>
      <w:divBdr>
        <w:top w:val="none" w:sz="0" w:space="0" w:color="auto"/>
        <w:left w:val="none" w:sz="0" w:space="0" w:color="auto"/>
        <w:bottom w:val="none" w:sz="0" w:space="0" w:color="auto"/>
        <w:right w:val="none" w:sz="0" w:space="0" w:color="auto"/>
      </w:divBdr>
    </w:div>
    <w:div w:id="2124809754">
      <w:marLeft w:val="0"/>
      <w:marRight w:val="0"/>
      <w:marTop w:val="120"/>
      <w:marBottom w:val="0"/>
      <w:divBdr>
        <w:top w:val="none" w:sz="0" w:space="0" w:color="auto"/>
        <w:left w:val="none" w:sz="0" w:space="0" w:color="auto"/>
        <w:bottom w:val="none" w:sz="0" w:space="0" w:color="auto"/>
        <w:right w:val="none" w:sz="0" w:space="0" w:color="auto"/>
      </w:divBdr>
    </w:div>
    <w:div w:id="2126121778">
      <w:marLeft w:val="0"/>
      <w:marRight w:val="0"/>
      <w:marTop w:val="120"/>
      <w:marBottom w:val="0"/>
      <w:divBdr>
        <w:top w:val="none" w:sz="0" w:space="0" w:color="auto"/>
        <w:left w:val="none" w:sz="0" w:space="0" w:color="auto"/>
        <w:bottom w:val="none" w:sz="0" w:space="0" w:color="auto"/>
        <w:right w:val="none" w:sz="0" w:space="0" w:color="auto"/>
      </w:divBdr>
    </w:div>
    <w:div w:id="2129007168">
      <w:marLeft w:val="0"/>
      <w:marRight w:val="0"/>
      <w:marTop w:val="120"/>
      <w:marBottom w:val="120"/>
      <w:divBdr>
        <w:top w:val="none" w:sz="0" w:space="0" w:color="auto"/>
        <w:left w:val="none" w:sz="0" w:space="0" w:color="auto"/>
        <w:bottom w:val="none" w:sz="0" w:space="0" w:color="auto"/>
        <w:right w:val="none" w:sz="0" w:space="0" w:color="auto"/>
      </w:divBdr>
    </w:div>
    <w:div w:id="2131315738">
      <w:marLeft w:val="0"/>
      <w:marRight w:val="0"/>
      <w:marTop w:val="120"/>
      <w:marBottom w:val="0"/>
      <w:divBdr>
        <w:top w:val="none" w:sz="0" w:space="0" w:color="auto"/>
        <w:left w:val="none" w:sz="0" w:space="0" w:color="auto"/>
        <w:bottom w:val="none" w:sz="0" w:space="0" w:color="auto"/>
        <w:right w:val="none" w:sz="0" w:space="0" w:color="auto"/>
      </w:divBdr>
    </w:div>
    <w:div w:id="2132047352">
      <w:marLeft w:val="0"/>
      <w:marRight w:val="0"/>
      <w:marTop w:val="240"/>
      <w:marBottom w:val="120"/>
      <w:divBdr>
        <w:top w:val="none" w:sz="0" w:space="0" w:color="auto"/>
        <w:left w:val="none" w:sz="0" w:space="0" w:color="auto"/>
        <w:bottom w:val="none" w:sz="0" w:space="0" w:color="auto"/>
        <w:right w:val="none" w:sz="0" w:space="0" w:color="auto"/>
      </w:divBdr>
    </w:div>
    <w:div w:id="2133330013">
      <w:marLeft w:val="0"/>
      <w:marRight w:val="0"/>
      <w:marTop w:val="120"/>
      <w:marBottom w:val="0"/>
      <w:divBdr>
        <w:top w:val="none" w:sz="0" w:space="0" w:color="auto"/>
        <w:left w:val="none" w:sz="0" w:space="0" w:color="auto"/>
        <w:bottom w:val="none" w:sz="0" w:space="0" w:color="auto"/>
        <w:right w:val="none" w:sz="0" w:space="0" w:color="auto"/>
      </w:divBdr>
    </w:div>
    <w:div w:id="2134668319">
      <w:marLeft w:val="0"/>
      <w:marRight w:val="0"/>
      <w:marTop w:val="120"/>
      <w:marBottom w:val="120"/>
      <w:divBdr>
        <w:top w:val="none" w:sz="0" w:space="0" w:color="auto"/>
        <w:left w:val="none" w:sz="0" w:space="0" w:color="auto"/>
        <w:bottom w:val="none" w:sz="0" w:space="0" w:color="auto"/>
        <w:right w:val="none" w:sz="0" w:space="0" w:color="auto"/>
      </w:divBdr>
    </w:div>
    <w:div w:id="2136097258">
      <w:marLeft w:val="0"/>
      <w:marRight w:val="0"/>
      <w:marTop w:val="120"/>
      <w:marBottom w:val="120"/>
      <w:divBdr>
        <w:top w:val="none" w:sz="0" w:space="0" w:color="auto"/>
        <w:left w:val="none" w:sz="0" w:space="0" w:color="auto"/>
        <w:bottom w:val="none" w:sz="0" w:space="0" w:color="auto"/>
        <w:right w:val="none" w:sz="0" w:space="0" w:color="auto"/>
      </w:divBdr>
    </w:div>
    <w:div w:id="2139178602">
      <w:marLeft w:val="0"/>
      <w:marRight w:val="0"/>
      <w:marTop w:val="0"/>
      <w:marBottom w:val="120"/>
      <w:divBdr>
        <w:top w:val="none" w:sz="0" w:space="0" w:color="auto"/>
        <w:left w:val="none" w:sz="0" w:space="0" w:color="auto"/>
        <w:bottom w:val="none" w:sz="0" w:space="0" w:color="auto"/>
        <w:right w:val="none" w:sz="0" w:space="0" w:color="auto"/>
      </w:divBdr>
    </w:div>
    <w:div w:id="2140682380">
      <w:marLeft w:val="0"/>
      <w:marRight w:val="0"/>
      <w:marTop w:val="0"/>
      <w:marBottom w:val="0"/>
      <w:divBdr>
        <w:top w:val="none" w:sz="0" w:space="0" w:color="auto"/>
        <w:left w:val="none" w:sz="0" w:space="0" w:color="auto"/>
        <w:bottom w:val="none" w:sz="0" w:space="0" w:color="auto"/>
        <w:right w:val="none" w:sz="0" w:space="0" w:color="auto"/>
      </w:divBdr>
      <w:divsChild>
        <w:div w:id="32048652">
          <w:marLeft w:val="0"/>
          <w:marRight w:val="0"/>
          <w:marTop w:val="0"/>
          <w:marBottom w:val="0"/>
          <w:divBdr>
            <w:top w:val="none" w:sz="0" w:space="0" w:color="auto"/>
            <w:left w:val="none" w:sz="0" w:space="0" w:color="auto"/>
            <w:bottom w:val="none" w:sz="0" w:space="0" w:color="auto"/>
            <w:right w:val="none" w:sz="0" w:space="0" w:color="auto"/>
          </w:divBdr>
        </w:div>
      </w:divsChild>
    </w:div>
    <w:div w:id="2142964268">
      <w:marLeft w:val="0"/>
      <w:marRight w:val="0"/>
      <w:marTop w:val="240"/>
      <w:marBottom w:val="120"/>
      <w:divBdr>
        <w:top w:val="none" w:sz="0" w:space="0" w:color="auto"/>
        <w:left w:val="none" w:sz="0" w:space="0" w:color="auto"/>
        <w:bottom w:val="none" w:sz="0" w:space="0" w:color="auto"/>
        <w:right w:val="none" w:sz="0" w:space="0" w:color="auto"/>
      </w:divBdr>
    </w:div>
    <w:div w:id="2144302200">
      <w:marLeft w:val="0"/>
      <w:marRight w:val="0"/>
      <w:marTop w:val="120"/>
      <w:marBottom w:val="0"/>
      <w:divBdr>
        <w:top w:val="none" w:sz="0" w:space="0" w:color="auto"/>
        <w:left w:val="none" w:sz="0" w:space="0" w:color="auto"/>
        <w:bottom w:val="none" w:sz="0" w:space="0" w:color="auto"/>
        <w:right w:val="none" w:sz="0" w:space="0" w:color="auto"/>
      </w:divBdr>
    </w:div>
    <w:div w:id="2144882946">
      <w:marLeft w:val="0"/>
      <w:marRight w:val="0"/>
      <w:marTop w:val="120"/>
      <w:marBottom w:val="120"/>
      <w:divBdr>
        <w:top w:val="none" w:sz="0" w:space="0" w:color="auto"/>
        <w:left w:val="none" w:sz="0" w:space="0" w:color="auto"/>
        <w:bottom w:val="none" w:sz="0" w:space="0" w:color="auto"/>
        <w:right w:val="none" w:sz="0" w:space="0" w:color="auto"/>
      </w:divBdr>
    </w:div>
    <w:div w:id="2145734666">
      <w:marLeft w:val="0"/>
      <w:marRight w:val="0"/>
      <w:marTop w:val="120"/>
      <w:marBottom w:val="0"/>
      <w:divBdr>
        <w:top w:val="none" w:sz="0" w:space="0" w:color="auto"/>
        <w:left w:val="none" w:sz="0" w:space="0" w:color="auto"/>
        <w:bottom w:val="none" w:sz="0" w:space="0" w:color="auto"/>
        <w:right w:val="none" w:sz="0" w:space="0" w:color="auto"/>
      </w:divBdr>
    </w:div>
    <w:div w:id="2146002486">
      <w:marLeft w:val="0"/>
      <w:marRight w:val="0"/>
      <w:marTop w:val="6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804328/000110465920096322/tm2027698d1_ex4-5.htm" TargetMode="External"/><Relationship Id="rId21" Type="http://schemas.openxmlformats.org/officeDocument/2006/relationships/hyperlink" Target="http://www.sec.gov/Archives/edgar/data/804328/000110465920058923/tm2015417d4_ex4-2.htm" TargetMode="External"/><Relationship Id="rId34" Type="http://schemas.openxmlformats.org/officeDocument/2006/relationships/hyperlink" Target="http://www.sec.gov/Archives/edgar/data/804328/000110465920134200/tm2038119d1_ex10-1.htm" TargetMode="External"/><Relationship Id="rId42" Type="http://schemas.openxmlformats.org/officeDocument/2006/relationships/hyperlink" Target="http://www.sec.gov/Archives/edgar/data/804328/000172894920000031/qcom03292020ex107.htm" TargetMode="External"/><Relationship Id="rId47" Type="http://schemas.openxmlformats.org/officeDocument/2006/relationships/hyperlink" Target="http://www.sec.gov/Archives/edgar/data/804328/000172894921000076/qcom092621ex1022.htm" TargetMode="External"/><Relationship Id="rId50" Type="http://schemas.openxmlformats.org/officeDocument/2006/relationships/hyperlink" Target="http://www.sec.gov/Archives/edgar/data/804328/000172894921000066/qcom062721ex1011.htm" TargetMode="External"/><Relationship Id="rId55" Type="http://schemas.openxmlformats.org/officeDocument/2006/relationships/hyperlink" Target="qcom092522ex1019.htm" TargetMode="External"/><Relationship Id="rId63" Type="http://schemas.openxmlformats.org/officeDocument/2006/relationships/hyperlink" Target="qcom092522ex321.htm" TargetMode="External"/><Relationship Id="rId7" Type="http://schemas.openxmlformats.org/officeDocument/2006/relationships/hyperlink" Target="http://www.sec.gov/Archives/edgar/data/804328/000172894918000029/qcom04182018ex31.htm" TargetMode="External"/><Relationship Id="rId2" Type="http://schemas.openxmlformats.org/officeDocument/2006/relationships/settings" Target="settings.xml"/><Relationship Id="rId16" Type="http://schemas.openxmlformats.org/officeDocument/2006/relationships/hyperlink" Target="http://www.sec.gov/Archives/edgar/data/804328/000119312517189502/d383851dex45.htm" TargetMode="External"/><Relationship Id="rId29" Type="http://schemas.openxmlformats.org/officeDocument/2006/relationships/hyperlink" Target="http://www.sec.gov/Archives/edgar/data/804328/000172894921000022/qcom122720ex425.htm" TargetMode="External"/><Relationship Id="rId11" Type="http://schemas.openxmlformats.org/officeDocument/2006/relationships/hyperlink" Target="http://www.sec.gov/Archives/edgar/data/804328/000119312515195451/d931327dex42.htm" TargetMode="External"/><Relationship Id="rId24" Type="http://schemas.openxmlformats.org/officeDocument/2006/relationships/hyperlink" Target="http://www.sec.gov/Archives/edgar/data/804328/000110465920096322/tm2027698d1_ex4-2.htm" TargetMode="External"/><Relationship Id="rId32" Type="http://schemas.openxmlformats.org/officeDocument/2006/relationships/hyperlink" Target="http://www.sec.gov/Archives/edgar/data/804328/000110465922057562/tm2213834d4_ex4-4.htm" TargetMode="External"/><Relationship Id="rId37" Type="http://schemas.openxmlformats.org/officeDocument/2006/relationships/hyperlink" Target="http://www.sec.gov/Archives/edgar/data/804328/000110465920134200/tm2038119d1_ex10-1.htm" TargetMode="External"/><Relationship Id="rId40" Type="http://schemas.openxmlformats.org/officeDocument/2006/relationships/hyperlink" Target="http://www.sec.gov/Archives/edgar/data/804328/000172894922000026/qcom03272022ex1027.htm" TargetMode="External"/><Relationship Id="rId45" Type="http://schemas.openxmlformats.org/officeDocument/2006/relationships/hyperlink" Target="http://www.sec.gov/Archives/edgar/data/804328/000172894920000067/qcom092720ex1021.htm" TargetMode="External"/><Relationship Id="rId53" Type="http://schemas.openxmlformats.org/officeDocument/2006/relationships/hyperlink" Target="http://www.sec.gov/Archives/edgar/data/804328/000172894921000022/qcom122720ex1016.htm" TargetMode="External"/><Relationship Id="rId58" Type="http://schemas.openxmlformats.org/officeDocument/2006/relationships/hyperlink" Target="http://www.sec.gov/Archives/edgar/data/804328/000172894918000039/qcom032518ex1060.htm" TargetMode="External"/><Relationship Id="rId66" Type="http://schemas.openxmlformats.org/officeDocument/2006/relationships/theme" Target="theme/theme1.xml"/><Relationship Id="rId5" Type="http://schemas.openxmlformats.org/officeDocument/2006/relationships/hyperlink" Target="http://www.sec.gov/Archives/edgar/data/804328/000172894921000009/nile-mergeragreement.htm" TargetMode="External"/><Relationship Id="rId61" Type="http://schemas.openxmlformats.org/officeDocument/2006/relationships/hyperlink" Target="qcom092522ex311.htm" TargetMode="External"/><Relationship Id="rId19" Type="http://schemas.openxmlformats.org/officeDocument/2006/relationships/hyperlink" Target="http://www.sec.gov/Archives/edgar/data/804328/000119312517189502/d383851dex410.htm" TargetMode="External"/><Relationship Id="rId14" Type="http://schemas.openxmlformats.org/officeDocument/2006/relationships/hyperlink" Target="http://www.sec.gov/Archives/edgar/data/804328/000119312515195451/d931327dex410.htm" TargetMode="External"/><Relationship Id="rId22" Type="http://schemas.openxmlformats.org/officeDocument/2006/relationships/hyperlink" Target="http://www.sec.gov/Archives/edgar/data/804328/000110465920058923/tm2015417d4_ex4-3.htm" TargetMode="External"/><Relationship Id="rId27" Type="http://schemas.openxmlformats.org/officeDocument/2006/relationships/hyperlink" Target="http://www.sec.gov/Archives/edgar/data/804328/000172894921000022/qcom122720ex423.htm" TargetMode="External"/><Relationship Id="rId30" Type="http://schemas.openxmlformats.org/officeDocument/2006/relationships/hyperlink" Target="http://www.sec.gov/Archives/edgar/data/804328/000110465922057562/tm2213834d4_ex4-2.htm" TargetMode="External"/><Relationship Id="rId35" Type="http://schemas.openxmlformats.org/officeDocument/2006/relationships/hyperlink" Target="http://www.sec.gov/Archives/edgar/data/804328/000110465920134200/tm2038119d1_ex10-1.htm" TargetMode="External"/><Relationship Id="rId43" Type="http://schemas.openxmlformats.org/officeDocument/2006/relationships/hyperlink" Target="http://www.sec.gov/Archives/edgar/data/804328/000172894918000039/qcom032518ex1062.htm" TargetMode="External"/><Relationship Id="rId48" Type="http://schemas.openxmlformats.org/officeDocument/2006/relationships/hyperlink" Target="http://www.sec.gov/Archives/edgar/data/804328/000172894921000076/qcom092621ex1023.htm" TargetMode="External"/><Relationship Id="rId56" Type="http://schemas.openxmlformats.org/officeDocument/2006/relationships/hyperlink" Target="http://www.sec.gov/Archives/edgar/data/804328/000123445216000429/qcom32716ex1032.htm" TargetMode="External"/><Relationship Id="rId64" Type="http://schemas.openxmlformats.org/officeDocument/2006/relationships/hyperlink" Target="qcom092522ex322.htm" TargetMode="External"/><Relationship Id="rId8" Type="http://schemas.openxmlformats.org/officeDocument/2006/relationships/hyperlink" Target="http://www.sec.gov/Archives/edgar/data/804328/000172894921000055/ex-32amendedandrestatedbyl.htm" TargetMode="External"/><Relationship Id="rId51" Type="http://schemas.openxmlformats.org/officeDocument/2006/relationships/hyperlink" Target="http://www.sec.gov/Archives/edgar/data/804328/000172894921000066/qcom062721ex1012.htm" TargetMode="External"/><Relationship Id="rId3" Type="http://schemas.openxmlformats.org/officeDocument/2006/relationships/webSettings" Target="webSettings.xml"/><Relationship Id="rId12" Type="http://schemas.openxmlformats.org/officeDocument/2006/relationships/hyperlink" Target="http://www.sec.gov/Archives/edgar/data/804328/000119312515195451/d931327dex48.htm" TargetMode="External"/><Relationship Id="rId17" Type="http://schemas.openxmlformats.org/officeDocument/2006/relationships/hyperlink" Target="http://www.sec.gov/Archives/edgar/data/804328/000119312517189502/d383851dex48.htm" TargetMode="External"/><Relationship Id="rId25" Type="http://schemas.openxmlformats.org/officeDocument/2006/relationships/hyperlink" Target="http://www.sec.gov/Archives/edgar/data/804328/000110465920096322/tm2027698d1_ex4-3.htm" TargetMode="External"/><Relationship Id="rId33" Type="http://schemas.openxmlformats.org/officeDocument/2006/relationships/hyperlink" Target="https://www.sec.gov/Archives/edgar/data/804328/000172894919000072/qcom092919ex415.htm" TargetMode="External"/><Relationship Id="rId38" Type="http://schemas.openxmlformats.org/officeDocument/2006/relationships/hyperlink" Target="http://www.sec.gov/Archives/edgar/data/804328/000172894922000012/qcom12262021ex1025.htm" TargetMode="External"/><Relationship Id="rId46" Type="http://schemas.openxmlformats.org/officeDocument/2006/relationships/hyperlink" Target="http://www.sec.gov/Archives/edgar/data/804328/000172894921000022/qcom122720ex1020.htm" TargetMode="External"/><Relationship Id="rId59" Type="http://schemas.openxmlformats.org/officeDocument/2006/relationships/hyperlink" Target="qcom092522ex21.htm" TargetMode="External"/><Relationship Id="rId20" Type="http://schemas.openxmlformats.org/officeDocument/2006/relationships/hyperlink" Target="http://www.sec.gov/Archives/edgar/data/804328/000119312517189502/d383851dex411.htm" TargetMode="External"/><Relationship Id="rId41" Type="http://schemas.openxmlformats.org/officeDocument/2006/relationships/hyperlink" Target="http://www.sec.gov/Archives/edgar/data/804328/000123445215000271/qcom92715ex101.htm" TargetMode="External"/><Relationship Id="rId54" Type="http://schemas.openxmlformats.org/officeDocument/2006/relationships/hyperlink" Target="http://www.sec.gov/Archives/edgar/data/804328/000172894921000076/qcom092621ex1024.htm" TargetMode="External"/><Relationship Id="rId62" Type="http://schemas.openxmlformats.org/officeDocument/2006/relationships/hyperlink" Target="qcom092522ex312.htm" TargetMode="External"/><Relationship Id="rId1" Type="http://schemas.openxmlformats.org/officeDocument/2006/relationships/styles" Target="styles.xml"/><Relationship Id="rId6" Type="http://schemas.openxmlformats.org/officeDocument/2006/relationships/hyperlink" Target="http://www.sec.gov/Archives/edgar/data/804328/000110465921122578/tm2129124d1_ex2-1.htm" TargetMode="External"/><Relationship Id="rId15" Type="http://schemas.openxmlformats.org/officeDocument/2006/relationships/hyperlink" Target="http://www.sec.gov/Archives/edgar/data/804328/000119312517189502/d383851dex42.htm" TargetMode="External"/><Relationship Id="rId23" Type="http://schemas.openxmlformats.org/officeDocument/2006/relationships/hyperlink" Target="http://www.sec.gov/Archives/edgar/data/804328/000110465920058923/tm2015417d4_ex4-4.htm" TargetMode="External"/><Relationship Id="rId28" Type="http://schemas.openxmlformats.org/officeDocument/2006/relationships/hyperlink" Target="http://www.sec.gov/Archives/edgar/data/804328/000172894921000022/qcom122720ex424.htm" TargetMode="External"/><Relationship Id="rId36" Type="http://schemas.openxmlformats.org/officeDocument/2006/relationships/hyperlink" Target="http://www.sec.gov/Archives/edgar/data/804328/000110465920134200/tm2038119d1_ex10-1.htm" TargetMode="External"/><Relationship Id="rId49" Type="http://schemas.openxmlformats.org/officeDocument/2006/relationships/hyperlink" Target="http://www.sec.gov/Archives/edgar/data/804328/000172894922000012/qcom12262021ex1026.htm" TargetMode="External"/><Relationship Id="rId57" Type="http://schemas.openxmlformats.org/officeDocument/2006/relationships/hyperlink" Target="http://www.sec.gov/Archives/edgar/data/804328/000172894921000043/qcom032821ex104.htm" TargetMode="External"/><Relationship Id="rId10" Type="http://schemas.openxmlformats.org/officeDocument/2006/relationships/hyperlink" Target="http://www.sec.gov/Archives/edgar/data/804328/000119312515195451/d931327dex41.htm" TargetMode="External"/><Relationship Id="rId31" Type="http://schemas.openxmlformats.org/officeDocument/2006/relationships/hyperlink" Target="http://www.sec.gov/Archives/edgar/data/804328/000110465922057562/tm2213834d4_ex4-3.htm" TargetMode="External"/><Relationship Id="rId44" Type="http://schemas.openxmlformats.org/officeDocument/2006/relationships/hyperlink" Target="http://www.sec.gov/Archives/edgar/data/804328/000172894919000072/qcom092919ex1029.htm" TargetMode="External"/><Relationship Id="rId52" Type="http://schemas.openxmlformats.org/officeDocument/2006/relationships/hyperlink" Target="http://www.sec.gov/Archives/edgar/data/804328/000172894921000066/qcom062721ex107.htm" TargetMode="External"/><Relationship Id="rId60" Type="http://schemas.openxmlformats.org/officeDocument/2006/relationships/hyperlink" Target="qcom092522ex231.htm" TargetMode="External"/><Relationship Id="rId65" Type="http://schemas.openxmlformats.org/officeDocument/2006/relationships/fontTable" Target="fontTable.xml"/><Relationship Id="rId4" Type="http://schemas.openxmlformats.org/officeDocument/2006/relationships/image" Target="file:///E:\projects\LLMs\new_data_collection\data_new\htm\QUALCOMM%20INC\qcom-20220925_g1.jpg" TargetMode="External"/><Relationship Id="rId9" Type="http://schemas.openxmlformats.org/officeDocument/2006/relationships/hyperlink" Target="http://www.sec.gov/Archives/edgar/data/804328/000119312515195451/d931327dex41.htm" TargetMode="External"/><Relationship Id="rId13" Type="http://schemas.openxmlformats.org/officeDocument/2006/relationships/hyperlink" Target="http://www.sec.gov/Archives/edgar/data/804328/000119312515195451/d931327dex49.htm" TargetMode="External"/><Relationship Id="rId18" Type="http://schemas.openxmlformats.org/officeDocument/2006/relationships/hyperlink" Target="http://www.sec.gov/Archives/edgar/data/804328/000119312517189502/d383851dex49.htm" TargetMode="External"/><Relationship Id="rId39" Type="http://schemas.openxmlformats.org/officeDocument/2006/relationships/hyperlink" Target="http://www.sec.gov/Archives/edgar/data/804328/000110465921122578/tm2129124d1_ex1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67617</Words>
  <Characters>385420</Characters>
  <Application>Microsoft Office Word</Application>
  <DocSecurity>0</DocSecurity>
  <Lines>3211</Lines>
  <Paragraphs>904</Paragraphs>
  <ScaleCrop>false</ScaleCrop>
  <Company/>
  <LinksUpToDate>false</LinksUpToDate>
  <CharactersWithSpaces>452133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qcom-20220925</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