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931E1">
      <w:pPr>
        <w:divId w:val="975834647"/>
        <w:rPr>
          <w:rFonts w:eastAsia="Times New Roman"/>
          <w:vanish/>
        </w:rPr>
      </w:pPr>
      <w:r>
        <w:rPr>
          <w:rFonts w:eastAsia="Times New Roman"/>
          <w:vanish/>
        </w:rPr>
        <w:t>QUALCOMM INC/DE00008043282023FYFALSE--09-24P1MP1Mhttp://fasb.org/us-gaap/2023#NonoperatingIncomeExpensehttp://fasb.org/us-gaap/2023#NonoperatingIncomeExpense</w:t>
      </w:r>
      <w:r>
        <w:rPr>
          <w:rFonts w:eastAsia="Times New Roman"/>
          <w:vanish/>
        </w:rPr>
        <w:t>http://fasb.org/us-gaap/2023#NonoperatingIncomeExpensehttp://fasb.org/us-gaap/2023#OtherOperatingIncomeExpenseNethttp://fasb.org/us-gaap/2023#OtherOperatingIncomeExpenseNethttp://fasb.org/us-gaap/2023#InterestExpensehttp://fasb.org/us-gaap/2023#OtherAssets</w:t>
      </w:r>
      <w:r>
        <w:rPr>
          <w:rFonts w:eastAsia="Times New Roman"/>
          <w:vanish/>
        </w:rPr>
        <w:t>Currenthttp://fasb.org/us-gaap/2023#OtherAssetsCurrenthttp://fasb.org/us-gaap/2023#OtherLiabilitiesCurrenthttp://fasb.org/us-gaap/2023#OtherLiabilitiesCurrenthttp://fasb.org/us-gaap/2023#OtherLiabilitieshttp://fasb.org/us-gaap/2023#OtherLiabilities00008043</w:t>
      </w:r>
      <w:r>
        <w:rPr>
          <w:rFonts w:eastAsia="Times New Roman"/>
          <w:vanish/>
        </w:rPr>
        <w:t>282022-09-262023-09-2400008043282023-03-24iso4217:USD00008043282023-10-30xbrli:shares00008043282023-06-262023-09-2400008043282023-09-2400008043282022-09-25iso4217:USDxbrli:shares00008043282021-09-272022-09-2500008043282020-09-282021-09-2600008043282020-09-</w:t>
      </w:r>
      <w:r>
        <w:rPr>
          <w:rFonts w:eastAsia="Times New Roman"/>
          <w:vanish/>
        </w:rPr>
        <w:t>282021-06-2700008043282021-09-2600008043282020-09-270000804328us-gaap:CommonStockIncludingAdditionalPaidInCapitalMember2022-09-250000804328us-gaap:CommonStockIncludingAdditionalPaidInCapitalMember2021-09-260000804328us-gaap:CommonStockIncludingAdditionalPa</w:t>
      </w:r>
      <w:r>
        <w:rPr>
          <w:rFonts w:eastAsia="Times New Roman"/>
          <w:vanish/>
        </w:rPr>
        <w:t>idInCapitalMember2020-09-270000804328us-gaap:CommonStockIncludingAdditionalPaidInCapitalMember2022-09-262023-09-240000804328us-gaap:CommonStockIncludingAdditionalPaidInCapitalMember2021-09-272022-09-250000804328us-gaap:CommonStockIncludingAdditionalPaidInC</w:t>
      </w:r>
      <w:r>
        <w:rPr>
          <w:rFonts w:eastAsia="Times New Roman"/>
          <w:vanish/>
        </w:rPr>
        <w:t>apitalMember2020-09-282021-09-260000804328us-gaap:CommonStockIncludingAdditionalPaidInCapitalMember2023-09-240000804328us-gaap:RetainedEarningsMember2022-09-250000804328us-gaap:RetainedEarningsMember2021-09-260000804328us-gaap:RetainedEarningsMember2020-09</w:t>
      </w:r>
      <w:r>
        <w:rPr>
          <w:rFonts w:eastAsia="Times New Roman"/>
          <w:vanish/>
        </w:rPr>
        <w:t>-270000804328us-gaap:RetainedEarningsMember2022-09-262023-09-240000804328us-gaap:RetainedEarningsMember2021-09-272022-09-250000804328us-gaap:RetainedEarningsMember2020-09-282021-09-260000804328us-gaap:RetainedEarningsMember2023-09-240000804328us-gaap:Accum</w:t>
      </w:r>
      <w:r>
        <w:rPr>
          <w:rFonts w:eastAsia="Times New Roman"/>
          <w:vanish/>
        </w:rPr>
        <w:t>ulatedOtherComprehensiveIncomeMember2022-09-250000804328us-gaap:AccumulatedOtherComprehensiveIncomeMember2021-09-260000804328us-gaap:AccumulatedOtherComprehensiveIncomeMember2020-09-270000804328us-gaap:AccumulatedOtherComprehensiveIncomeMember2022-09-26202</w:t>
      </w:r>
      <w:r>
        <w:rPr>
          <w:rFonts w:eastAsia="Times New Roman"/>
          <w:vanish/>
        </w:rPr>
        <w:t>3-09-240000804328us-gaap:AccumulatedOtherComprehensiveIncomeMember2021-09-272022-09-250000804328us-gaap:AccumulatedOtherComprehensiveIncomeMember2020-09-282021-09-260000804328us-gaap:AccumulatedOtherComprehensiveIncomeMember2023-09-240000804328us-gaap:Fore</w:t>
      </w:r>
      <w:r>
        <w:rPr>
          <w:rFonts w:eastAsia="Times New Roman"/>
          <w:vanish/>
        </w:rPr>
        <w:t>ignExchangeContractMembersrt:MinimumMember2023-09-240000804328us-gaap:ForeignExchangeContractMembersrt:MinimumMember2022-09-250000804328us-gaap:ForeignExchangeContractMembersrt:MaximumMember2023-09-240000804328us-gaap:ForeignExchangeContractMembersrt:Maxim</w:t>
      </w:r>
      <w:r>
        <w:rPr>
          <w:rFonts w:eastAsia="Times New Roman"/>
          <w:vanish/>
        </w:rPr>
        <w:t>umMember2022-09-250000804328us-gaap:ForwardContractsMember2023-09-240000804328us-gaap:ForwardContractsMember2022-09-250000804328us-gaap:StockOptionMember2023-09-240000804328us-gaap:StockOptionMember2022-09-250000804328us-gaap:SwapMember2023-09-240000804328</w:t>
      </w:r>
      <w:r>
        <w:rPr>
          <w:rFonts w:eastAsia="Times New Roman"/>
          <w:vanish/>
        </w:rPr>
        <w:t>us-gaap:SwapMember2022-09-250000804328currency:CNY2023-09-240000804328currency:CNY2022-09-250000804328currency:INR2023-09-240000804328currency:INR2022-09-250000804328currency:USD2023-09-240000804328currency:USD2022-09-250000804328srt:OtherCurrencyMember202</w:t>
      </w:r>
      <w:r>
        <w:rPr>
          <w:rFonts w:eastAsia="Times New Roman"/>
          <w:vanish/>
        </w:rPr>
        <w:t>3-09-240000804328srt:OtherCurrencyMember2022-09-250000804328us-gaap:BuildingMember2023-09-240000804328us-gaap:BuildingImprovementsMember2023-09-240000804328us-gaap:LeaseholdImprovementsMembersrt:MaximumMember2023-09-240000804328us-gaap:BuildingMembersrt:Ma</w:t>
      </w:r>
      <w:r>
        <w:rPr>
          <w:rFonts w:eastAsia="Times New Roman"/>
          <w:vanish/>
        </w:rPr>
        <w:t>ximumMember2023-09-240000804328us-gaap:PropertyPlantAndEquipmentOtherTypesMembersrt:MinimumMember2023-09-240000804328us-gaap:PropertyPlantAndEquipmentOtherTypesMembersrt:MaximumMember2023-09-240000804328us-gaap:ServiceOtherMember2020-09-282021-09-26xbrli:p</w:t>
      </w:r>
      <w:r>
        <w:rPr>
          <w:rFonts w:eastAsia="Times New Roman"/>
          <w:vanish/>
        </w:rPr>
        <w:t>ure0000804328us-gaap:ServiceOtherMember2021-09-272022-09-250000804328us-gaap:ServiceOtherMember2022-09-262023-09-240000804328qcom:QctMember2021-09-260000804328qcom:QtlMember2021-09-260000804328qcom:QctMember2021-09-272022-09-250000804328qcom:QtlMember2021-</w:t>
      </w:r>
      <w:r>
        <w:rPr>
          <w:rFonts w:eastAsia="Times New Roman"/>
          <w:vanish/>
        </w:rPr>
        <w:t>09-272022-09-250000804328qcom:QctMember2022-09-250000804328qcom:QtlMember2022-09-250000804328qcom:QctMember2022-09-262023-09-240000804328qcom:QtlMember2022-09-262023-09-240000804328qcom:QctMember2023-09-240000804328qcom:QtlMember2023-09-240000804328us-gaap</w:t>
      </w:r>
      <w:r>
        <w:rPr>
          <w:rFonts w:eastAsia="Times New Roman"/>
          <w:vanish/>
        </w:rPr>
        <w:t>:TechnologyBasedIntangibleAssetsMember2023-09-240000804328us-gaap:TechnologyBasedIntangibleAssetsMember2022-09-262023-09-240000804328us-gaap:TechnologyBasedIntangibleAssetsMember2022-09-250000804328us-gaap:TechnologyBasedIntangibleAssetsMember2021-09-27202</w:t>
      </w:r>
      <w:r>
        <w:rPr>
          <w:rFonts w:eastAsia="Times New Roman"/>
          <w:vanish/>
        </w:rPr>
        <w:t>2-09-250000804328us-gaap:OtherIntangibleAssetsMember2023-09-240000804328us-gaap:OtherIntangibleAssetsMember2022-09-262023-09-240000804328us-gaap:OtherIntangibleAssetsMember2022-09-250000804328us-gaap:OtherIntangibleAssetsMember2021-09-272022-09-25000080432</w:t>
      </w:r>
      <w:r>
        <w:rPr>
          <w:rFonts w:eastAsia="Times New Roman"/>
          <w:vanish/>
        </w:rPr>
        <w:t>8qcom:QctMemberqcom:MobileHandsetsMember2022-09-262023-09-240000804328qcom:QctMemberqcom:MobileHandsetsMember2021-09-272022-09-250000804328qcom:QctMemberqcom:MobileHandsetsMember2020-09-282021-09-260000804328qcom:QctMemberqcom:AutomotiveMember2022-09-26202</w:t>
      </w:r>
      <w:r>
        <w:rPr>
          <w:rFonts w:eastAsia="Times New Roman"/>
          <w:vanish/>
        </w:rPr>
        <w:t>3-09-240000804328qcom:QctMemberqcom:AutomotiveMember2021-09-272022-09-250000804328qcom:QctMemberqcom:AutomotiveMember2020-09-282021-09-260000804328qcom:QctMemberqcom:IoTMember2022-09-262023-09-240000804328qcom:QctMemberqcom:IoTMember2021-09-272022-09-25000</w:t>
      </w:r>
      <w:r>
        <w:rPr>
          <w:rFonts w:eastAsia="Times New Roman"/>
          <w:vanish/>
        </w:rPr>
        <w:t>0804328qcom:QctMemberqcom:IoTMember2020-09-282021-09-260000804328qcom:QctMember2020-09-282021-09-260000804328qcom:CustomerOneMemberus-gaap:SalesMemberus-gaap:CustomerConcentrationRiskMember2022-09-262023-09-240000804328qcom:CustomerOneMemberus-gaap:SalesMe</w:t>
      </w:r>
      <w:r>
        <w:rPr>
          <w:rFonts w:eastAsia="Times New Roman"/>
          <w:vanish/>
        </w:rPr>
        <w:t>mberus-gaap:CustomerConcentrationRiskMember2021-09-272022-09-250000804328qcom:CustomerOneMemberus-gaap:SalesMemberus-gaap:CustomerConcentrationRiskMember2020-09-282021-09-260000804328us-gaap:SalesMemberus-gaap:CustomerConcentrationRiskMemberqcom:CustomerTw</w:t>
      </w:r>
      <w:r>
        <w:rPr>
          <w:rFonts w:eastAsia="Times New Roman"/>
          <w:vanish/>
        </w:rPr>
        <w:t>oMember2022-09-262023-09-240000804328us-gaap:SalesMemberus-gaap:CustomerConcentrationRiskMemberqcom:CustomerTwoMember2021-09-272022-09-250000804328us-gaap:SalesMemberus-gaap:CustomerConcentrationRiskMemberqcom:CustomerTwoMember2020-09-282021-09-26000080432</w:t>
      </w:r>
      <w:r>
        <w:rPr>
          <w:rFonts w:eastAsia="Times New Roman"/>
          <w:vanish/>
        </w:rPr>
        <w:t>8qcom:CustomerthreeMemberus-gaap:SalesMemberus-gaap:CustomerConcentrationRiskMember2020-09-282021-09-260000804328qcom:ECMember2021-09-272022-09-250000804328qcom:FDIIEffectiveTaxRateMember2022-09-262023-09-240000804328us-gaap:InternalRevenueServiceIRSMember</w:t>
      </w:r>
      <w:r>
        <w:rPr>
          <w:rFonts w:eastAsia="Times New Roman"/>
          <w:vanish/>
        </w:rPr>
        <w:t>qcom:FDIIEffectiveTaxRateMember2022-09-262023-09-240000804328srt:ScenarioForecastMemberqcom:FDIITaxRateEffective2027Member2026-09-282026-09-280000804328us-gaap:OtherCurrentLiabilitiesMember2023-09-240000804328us-gaap:OtherCurrentLiabilitiesMember2022-09-25</w:t>
      </w:r>
      <w:r>
        <w:rPr>
          <w:rFonts w:eastAsia="Times New Roman"/>
          <w:vanish/>
        </w:rPr>
        <w:t>0000804328qcom:U.S.TaxCutsandJobsActEffective2018Member2023-09-240000804328us-gaap:OtherLiabilitiesMember2023-09-240000804328us-gaap:OtherLiabilitiesMember2022-09-250000804328us-gaap:InternalRevenueServiceIRSMember2023-09-240000804328us-gaap:StateAndLocalJ</w:t>
      </w:r>
      <w:r>
        <w:rPr>
          <w:rFonts w:eastAsia="Times New Roman"/>
          <w:vanish/>
        </w:rPr>
        <w:t>urisdictionMember2023-09-240000804328us-gaap:ForeignCountryMember2023-09-240000804328qcom:A10BStockRepurchaseProgramAnnouncedOctober122021Member2021-10-120000804328qcom:A10BStockRepurchaseProgramAnnouncedOctober122021Member2023-09-240000804328us-gaap:Subse</w:t>
      </w:r>
      <w:r>
        <w:rPr>
          <w:rFonts w:eastAsia="Times New Roman"/>
          <w:vanish/>
        </w:rPr>
        <w:t>quentEventMember2023-10-132023-10-130000804328us-gaap:SubsequentEventMember2023-12-142023-12-140000804328us-gaap:SubsequentEventMember2023-11-302023-11-3000008043282023-03-082023-03-080000804328us-gaap:RestrictedStockUnitsRSUMember2022-09-262023-09-2400008</w:t>
      </w:r>
      <w:r>
        <w:rPr>
          <w:rFonts w:eastAsia="Times New Roman"/>
          <w:vanish/>
        </w:rPr>
        <w:t>04328us-gaap:StockCompensationPlanMember2023-09-240000804328us-gaap:RestrictedStockUnitsRSUMember2022-09-250000804328us-gaap:RestrictedStockUnitsRSUMember2023-09-240000804328us-gaap:RestrictedStockUnitsRSUMember2021-09-272022-09-250000804328us-gaap:Restric</w:t>
      </w:r>
      <w:r>
        <w:rPr>
          <w:rFonts w:eastAsia="Times New Roman"/>
          <w:vanish/>
        </w:rPr>
        <w:t>tedStockUnitsRSUMember2020-09-282021-09-260000804328us-gaap:EmployeeStockOptionMember2022-09-262023-09-240000804328us-gaap:EmployeeStockOptionMember2021-09-272022-09-250000804328us-gaap:EmployeeStockOptionMember2020-09-282021-09-260000804328qcom:EmployeeSt</w:t>
      </w:r>
      <w:r>
        <w:rPr>
          <w:rFonts w:eastAsia="Times New Roman"/>
          <w:vanish/>
        </w:rPr>
        <w:t>ockPurchasePlansMember2022-09-262023-09-240000804328qcom:EmployeeStockPurchasePlansMember2023-09-240000804328qcom:EmployeeStockPurchasePlansMember2021-09-272022-09-250000804328qcom:EmployeeStockPurchasePlansMember2020-09-282021-09-260000804328us-gaap:CostO</w:t>
      </w:r>
      <w:r>
        <w:rPr>
          <w:rFonts w:eastAsia="Times New Roman"/>
          <w:vanish/>
        </w:rPr>
        <w:t>fSalesMember2022-09-262023-09-240000804328us-gaap:CostOfSalesMember2021-09-272022-09-250000804328us-gaap:CostOfSalesMember2020-09-282021-09-260000804328us-gaap:ResearchAndDevelopmentExpenseMember2022-09-262023-09-240000804328us-gaap:ResearchAndDevelopmentE</w:t>
      </w:r>
      <w:r>
        <w:rPr>
          <w:rFonts w:eastAsia="Times New Roman"/>
          <w:vanish/>
        </w:rPr>
        <w:t>xpenseMember2021-09-272022-09-250000804328us-gaap:ResearchAndDevelopmentExpenseMember2020-09-282021-09-260000804328us-gaap:SellingGeneralAndAdministrativeExpensesMember2022-09-262023-09-240000804328us-gaap:SellingGeneralAndAdministrativeExpensesMember2021-</w:t>
      </w:r>
      <w:r>
        <w:rPr>
          <w:rFonts w:eastAsia="Times New Roman"/>
          <w:vanish/>
        </w:rPr>
        <w:t>09-272022-09-250000804328us-gaap:SellingGeneralAndAdministrativeExpensesMember2020-09-282021-09-260000804328qcom:FixedRate540DueMay2033Member2023-09-240000804328qcom:FixedRate60DueMay2053Member2023-09-240000804328qcom:FixedRateNotesDueJanuary2023Member2023</w:t>
      </w:r>
      <w:r>
        <w:rPr>
          <w:rFonts w:eastAsia="Times New Roman"/>
          <w:vanish/>
        </w:rPr>
        <w:t>-09-240000804328qcom:FloatingRateNotesDueJanuary2023Member2023-09-240000804328qcom:May2015NotesMember2022-09-262023-09-240000804328qcom:May2015NotesMember2023-09-240000804328qcom:May2015NotesMembersrt:MinimumMember2023-09-240000804328qcom:May2015NotesMembe</w:t>
      </w:r>
      <w:r>
        <w:rPr>
          <w:rFonts w:eastAsia="Times New Roman"/>
          <w:vanish/>
        </w:rPr>
        <w:t>rsrt:MaximumMember2023-09-240000804328qcom:May2015NotesMember2021-09-272022-09-250000804328qcom:May2015NotesMember2022-09-250000804328qcom:May2015NotesMembersrt:MinimumMember2022-09-250000804328qcom:May2015NotesMembersrt:MaximumMember2022-09-250000804328qc</w:t>
      </w:r>
      <w:r>
        <w:rPr>
          <w:rFonts w:eastAsia="Times New Roman"/>
          <w:vanish/>
        </w:rPr>
        <w:t>om:May2017NotesMember2022-09-262023-09-240000804328qcom:May2017NotesMember2023-09-240000804328qcom:May2017NotesMembersrt:MinimumMember2023-09-240000804328qcom:May2017NotesMembersrt:MaximumMember2023-09-240000804328qcom:May2017NotesMember2021-09-272022-09-2</w:t>
      </w:r>
      <w:r>
        <w:rPr>
          <w:rFonts w:eastAsia="Times New Roman"/>
          <w:vanish/>
        </w:rPr>
        <w:t>50000804328qcom:May2017NotesMember2022-09-250000804328qcom:May2017NotesMembersrt:MinimumMember2022-09-250000804328qcom:May2017NotesMembersrt:MaximumMember2022-09-250000804328qcom:May2020NotesMember2022-09-262023-09-240000804328qcom:May2020NotesMember2023-0</w:t>
      </w:r>
      <w:r>
        <w:rPr>
          <w:rFonts w:eastAsia="Times New Roman"/>
          <w:vanish/>
        </w:rPr>
        <w:t>9-240000804328qcom:May2020NotesMembersrt:MinimumMember2023-09-240000804328qcom:May2020NotesMembersrt:MaximumMember2023-09-240000804328qcom:May2020NotesMember2021-09-272022-09-250000804328qcom:May2020NotesMember2022-09-250000804328qcom:May2020NotesMembersrt</w:t>
      </w:r>
      <w:r>
        <w:rPr>
          <w:rFonts w:eastAsia="Times New Roman"/>
          <w:vanish/>
        </w:rPr>
        <w:t>:MinimumMember2022-09-250000804328qcom:May2020NotesMembersrt:MaximumMember2022-09-250000804328qcom:August2020NotesMember2022-09-262023-09-240000804328qcom:August2020NotesMember2023-09-240000804328qcom:August2020NotesMembersrt:MinimumMember2023-09-240000804</w:t>
      </w:r>
      <w:r>
        <w:rPr>
          <w:rFonts w:eastAsia="Times New Roman"/>
          <w:vanish/>
        </w:rPr>
        <w:t>328qcom:August2020NotesMembersrt:MaximumMember2023-09-240000804328qcom:August2020NotesMember2021-09-272022-09-250000804328qcom:August2020NotesMember2022-09-250000804328qcom:August2020NotesMembersrt:MinimumMember2022-09-250000804328qcom:August2020NotesMembe</w:t>
      </w:r>
      <w:r>
        <w:rPr>
          <w:rFonts w:eastAsia="Times New Roman"/>
          <w:vanish/>
        </w:rPr>
        <w:t>rsrt:MaximumMember2022-09-250000804328qcom:May2022NotesMember2022-09-262023-09-240000804328qcom:May2022NotesMember2023-09-240000804328qcom:May2022NotesMembersrt:MinimumMember2023-09-240000804328qcom:May2022NotesMembersrt:MaximumMember2023-09-240000804328qc</w:t>
      </w:r>
      <w:r>
        <w:rPr>
          <w:rFonts w:eastAsia="Times New Roman"/>
          <w:vanish/>
        </w:rPr>
        <w:t>om:May2022NotesMember2021-09-272022-09-250000804328qcom:May2022NotesMember2022-09-250000804328qcom:May2022NotesMembersrt:MinimumMember2022-09-250000804328qcom:May2022NotesMembersrt:MaximumMember2022-09-250000804328qcom:November2022NotesMember2022-09-262023</w:t>
      </w:r>
      <w:r>
        <w:rPr>
          <w:rFonts w:eastAsia="Times New Roman"/>
          <w:vanish/>
        </w:rPr>
        <w:t>-09-240000804328qcom:November2022NotesMember2023-09-240000804328qcom:November2022NotesMembersrt:MinimumMember2023-09-240000804328qcom:November2022NotesMembersrt:MaximumMember2023-09-240000804328qcom:November2022NotesMember2022-09-250000804328qcom:ForwardSt</w:t>
      </w:r>
      <w:r>
        <w:rPr>
          <w:rFonts w:eastAsia="Times New Roman"/>
          <w:vanish/>
        </w:rPr>
        <w:t>artingInterestRateSwapMember2022-09-250000804328qcom:ForwardStartingInterestRateSwapMember2022-09-262023-09-240000804328us-gaap:InterestRateSwapMember2023-09-240000804328us-gaap:CommercialPaperMemberqcom:November2021Member2023-09-240000804328us-gaap:Commer</w:t>
      </w:r>
      <w:r>
        <w:rPr>
          <w:rFonts w:eastAsia="Times New Roman"/>
          <w:vanish/>
        </w:rPr>
        <w:t>cialPaperMembersrt:MinimumMember2022-09-262023-09-240000804328us-gaap:CommercialPaperMembersrt:MaximumMember2022-09-262023-09-240000804328us-gaap:CommercialPaperMember2023-09-240000804328us-gaap:CommercialPaperMember2022-09-250000804328srt:WeightedAverageM</w:t>
      </w:r>
      <w:r>
        <w:rPr>
          <w:rFonts w:eastAsia="Times New Roman"/>
          <w:vanish/>
        </w:rPr>
        <w:t>emberus-gaap:CommercialPaperMember2021-09-272022-09-250000804328us-gaap:RevolvingCreditFacilityMemberqcom:November2021Member2023-09-240000804328us-gaap:RevolvingCreditFacilityMember2023-09-240000804328us-gaap:RevolvingCreditFacilityMember2022-09-262023-09-</w:t>
      </w:r>
      <w:r>
        <w:rPr>
          <w:rFonts w:eastAsia="Times New Roman"/>
          <w:vanish/>
        </w:rPr>
        <w:t>240000804328us-gaap:OtherCurrentAssetsMember2023-09-240000804328us-gaap:OtherCurrentAssetsMember2022-09-250000804328us-gaap:OtherAssetsMember2023-09-240000804328us-gaap:OtherAssetsMember2022-09-250000804328srt:MinimumMember2023-09-240000804328srt:MaximumMe</w:t>
      </w:r>
      <w:r>
        <w:rPr>
          <w:rFonts w:eastAsia="Times New Roman"/>
          <w:vanish/>
        </w:rPr>
        <w:t>mber2023-09-240000804328qcom:QtlMember2020-09-282021-09-260000804328qcom:QsiMember2022-09-262023-09-240000804328qcom:QsiMember2021-09-272022-09-250000804328qcom:QsiMember2020-09-282021-09-260000804328us-gaap:MaterialReconcilingItemsMember2022-09-262023-09-</w:t>
      </w:r>
      <w:r>
        <w:rPr>
          <w:rFonts w:eastAsia="Times New Roman"/>
          <w:vanish/>
        </w:rPr>
        <w:t>240000804328us-gaap:MaterialReconcilingItemsMember2021-09-272022-09-250000804328us-gaap:MaterialReconcilingItemsMember2020-09-282021-09-260000804328us-gaap:AllOtherSegmentsMember2022-09-262023-09-240000804328us-gaap:AllOtherSegmentsMember2021-09-272022-09-</w:t>
      </w:r>
      <w:r>
        <w:rPr>
          <w:rFonts w:eastAsia="Times New Roman"/>
          <w:vanish/>
        </w:rPr>
        <w:t>250000804328us-gaap:AllOtherSegmentsMember2020-09-282021-09-260000804328us-gaap:MaterialReconcilingItemsMemberus-gaap:LicensingAgreementsMember2022-09-262023-09-240000804328us-gaap:MaterialReconcilingItemsMemberus-gaap:LicensingAgreementsMember2021-09-2720</w:t>
      </w:r>
      <w:r>
        <w:rPr>
          <w:rFonts w:eastAsia="Times New Roman"/>
          <w:vanish/>
        </w:rPr>
        <w:t>22-09-250000804328us-gaap:MaterialReconcilingItemsMemberus-gaap:LicensingAgreementsMember2020-09-282021-09-260000804328us-gaap:MaterialReconcilingItemsMemberus-gaap:AllOtherSegmentsMember2022-09-262023-09-240000804328us-gaap:MaterialReconcilingItemsMemberu</w:t>
      </w:r>
      <w:r>
        <w:rPr>
          <w:rFonts w:eastAsia="Times New Roman"/>
          <w:vanish/>
        </w:rPr>
        <w:t>s-gaap:AllOtherSegmentsMember2021-09-272022-09-250000804328us-gaap:MaterialReconcilingItemsMemberus-gaap:AllOtherSegmentsMember2020-09-282021-09-260000804328us-gaap:NonUsMember2023-09-240000804328us-gaap:NonUsMember2022-09-250000804328country:US2023-09-240</w:t>
      </w:r>
      <w:r>
        <w:rPr>
          <w:rFonts w:eastAsia="Times New Roman"/>
          <w:vanish/>
        </w:rPr>
        <w:t>000804328country:US2022-09-250000804328country:CN2022-09-262023-09-240000804328country:CN2021-09-272022-09-250000804328country:CN2020-09-282021-09-260000804328country:VN2022-09-262023-09-240000804328country:VN2021-09-272022-09-250000804328country:VN2020-09</w:t>
      </w:r>
      <w:r>
        <w:rPr>
          <w:rFonts w:eastAsia="Times New Roman"/>
          <w:vanish/>
        </w:rPr>
        <w:t>-282021-09-260000804328country:KR2022-09-262023-09-240000804328country:KR2021-09-272022-09-250000804328country:KR2020-09-282021-09-260000804328country:US2022-09-262023-09-240000804328country:US2021-09-272022-09-250000804328country:US2020-09-282021-09-26000</w:t>
      </w:r>
      <w:r>
        <w:rPr>
          <w:rFonts w:eastAsia="Times New Roman"/>
          <w:vanish/>
        </w:rPr>
        <w:t>0804328qcom:OtherForeignMember2022-09-262023-09-240000804328qcom:OtherForeignMember2021-09-272022-09-250000804328qcom:OtherForeignMember2020-09-282021-09-260000804328qcom:VeoneerMember2022-04-012022-04-010000804328qcom:RemainderOfPaymentMemberqcom:VeoneerM</w:t>
      </w:r>
      <w:r>
        <w:rPr>
          <w:rFonts w:eastAsia="Times New Roman"/>
          <w:vanish/>
        </w:rPr>
        <w:t>ember2022-04-012022-04-010000804328qcom:VeoneerMember2021-10-042021-10-040000804328qcom:VeoneerMember2022-04-0100008043282022-04-010000804328us-gaap:FairValueInputsLevel1Memberus-gaap:FairValueMeasurementsRecurringMember2023-09-240000804328us-gaap:FairValu</w:t>
      </w:r>
      <w:r>
        <w:rPr>
          <w:rFonts w:eastAsia="Times New Roman"/>
          <w:vanish/>
        </w:rPr>
        <w:t>eInputsLevel2Memberus-gaap:FairValueMeasurementsRecurringMember2023-09-240000804328us-gaap:FairValueInputsLevel3Memberus-gaap:FairValueMeasurementsRecurringMember2023-09-240000804328us-gaap:FairValueMeasurementsRecurringMember2023-09-240000804328us-gaap:Fa</w:t>
      </w:r>
      <w:r>
        <w:rPr>
          <w:rFonts w:eastAsia="Times New Roman"/>
          <w:vanish/>
        </w:rPr>
        <w:t>irValueInputsLevel1Memberus-gaap:CorporateDebtSecuritiesMemberus-gaap:FairValueMeasurementsRecurringMember2023-09-240000804328us-gaap:CorporateDebtSecuritiesMemberus-gaap:FairValueInputsLevel2Memberus-gaap:FairValueMeasurementsRecurringMember2023-09-240000</w:t>
      </w:r>
      <w:r>
        <w:rPr>
          <w:rFonts w:eastAsia="Times New Roman"/>
          <w:vanish/>
        </w:rPr>
        <w:t>804328us-gaap:CorporateDebtSecuritiesMemberus-gaap:FairValueInputsLevel3Memberus-gaap:FairValueMeasurementsRecurringMember2023-09-240000804328us-gaap:CorporateDebtSecuritiesMemberus-gaap:FairValueMeasurementsRecurringMember2023-09-240000804328us-gaap:FairV</w:t>
      </w:r>
      <w:r>
        <w:rPr>
          <w:rFonts w:eastAsia="Times New Roman"/>
          <w:vanish/>
        </w:rPr>
        <w:t>alueInputsLevel1Memberus-gaap:FairValueMeasurementsRecurringMemberqcom:MortgageandassetbackedandauctionratesecuritiesMember2023-09-240000804328us-gaap:FairValueInputsLevel2Memberus-gaap:FairValueMeasurementsRecurringMemberqcom:Mortgageandassetbackedandauct</w:t>
      </w:r>
      <w:r>
        <w:rPr>
          <w:rFonts w:eastAsia="Times New Roman"/>
          <w:vanish/>
        </w:rPr>
        <w:t>ionratesecuritiesMember2023-09-240000804328us-gaap:FairValueInputsLevel3Memberus-gaap:FairValueMeasurementsRecurringMemberqcom:MortgageandassetbackedandauctionratesecuritiesMember2023-09-240000804328us-gaap:FairValueMeasurementsRecurringMemberqcom:Mortgage</w:t>
      </w:r>
      <w:r>
        <w:rPr>
          <w:rFonts w:eastAsia="Times New Roman"/>
          <w:vanish/>
        </w:rPr>
        <w:t>andassetbackedandauctionratesecuritiesMember2023-09-240000804328us-gaap:FairValueInputsLevel1Memberus-gaap:FairValueMeasurementsRecurringMemberus-gaap:EquitySecuritiesMember2023-09-240000804328us-gaap:FairValueInputsLevel2Memberus-gaap:FairValueMeasurement</w:t>
      </w:r>
      <w:r>
        <w:rPr>
          <w:rFonts w:eastAsia="Times New Roman"/>
          <w:vanish/>
        </w:rPr>
        <w:t>sRecurringMemberus-gaap:EquitySecuritiesMember2023-09-240000804328us-gaap:FairValueInputsLevel3Memberus-gaap:FairValueMeasurementsRecurringMemberus-gaap:EquitySecuritiesMember2023-09-240000804328us-gaap:FairValueMeasurementsRecurringMemberus-gaap:EquitySec</w:t>
      </w:r>
      <w:r>
        <w:rPr>
          <w:rFonts w:eastAsia="Times New Roman"/>
          <w:vanish/>
        </w:rPr>
        <w:t>uritiesMember2023-09-240000804328us-gaap:FairValueInputsLevel1Memberus-gaap:USTreasuryAndGovernmentMemberus-gaap:FairValueMeasurementsRecurringMember2023-09-240000804328us-gaap:USTreasuryAndGovernmentMemberus-gaap:FairValueInputsLevel2Memberus-gaap:FairVal</w:t>
      </w:r>
      <w:r>
        <w:rPr>
          <w:rFonts w:eastAsia="Times New Roman"/>
          <w:vanish/>
        </w:rPr>
        <w:t>ueMeasurementsRecurringMember2023-09-240000804328us-gaap:FairValueInputsLevel3Memberus-gaap:USTreasuryAndGovernmentMemberus-gaap:FairValueMeasurementsRecurringMember2023-09-240000804328us-gaap:USTreasuryAndGovernmentMemberus-gaap:FairValueMeasurementsRecur</w:t>
      </w:r>
      <w:r>
        <w:rPr>
          <w:rFonts w:eastAsia="Times New Roman"/>
          <w:vanish/>
        </w:rPr>
        <w:t>ringMember2023-09-240000804328us-gaap:AvailableforsaleSecuritiesMember2023-09-240000804328us-gaap:ValuationAllowanceOfDeferredTaxAssetsMember2022-09-250000804328us-gaap:ValuationAllowanceOfDeferredTaxAssetsMember2022-09-262023-09-240000804328us-gaap:Valuat</w:t>
      </w:r>
      <w:r>
        <w:rPr>
          <w:rFonts w:eastAsia="Times New Roman"/>
          <w:vanish/>
        </w:rPr>
        <w:t>ionAllowanceOfDeferredTaxAssetsMember2023-09-240000804328us-gaap:ValuationAllowanceOfDeferredTaxAssetsMember2021-09-260000804328us-gaap:ValuationAllowanceOfDeferredTaxAssetsMember2021-09-272022-09-250000804328us-gaap:ValuationAllowanceOfDeferredTaxAssetsMe</w:t>
      </w:r>
      <w:r>
        <w:rPr>
          <w:rFonts w:eastAsia="Times New Roman"/>
          <w:vanish/>
        </w:rPr>
        <w:t>mber2020-09-270000804328us-gaap:ValuationAllowanceOfDeferredTaxAssetsMember2020-09-282021-09-26</w:t>
      </w:r>
    </w:p>
    <w:p w:rsidR="00000000" w:rsidRDefault="008931E1">
      <w:pPr>
        <w:divId w:val="489640043"/>
        <w:rPr>
          <w:rFonts w:eastAsia="Times New Roman"/>
        </w:rPr>
      </w:pPr>
    </w:p>
    <w:tbl>
      <w:tblPr>
        <w:tblW w:w="4822" w:type="pct"/>
        <w:jc w:val="center"/>
        <w:tblCellMar>
          <w:top w:w="15" w:type="dxa"/>
          <w:left w:w="15" w:type="dxa"/>
          <w:bottom w:w="15" w:type="dxa"/>
          <w:right w:w="15" w:type="dxa"/>
        </w:tblCellMar>
        <w:tblLook w:val="04A0" w:firstRow="1" w:lastRow="0" w:firstColumn="1" w:lastColumn="0" w:noHBand="0" w:noVBand="1"/>
      </w:tblPr>
      <w:tblGrid>
        <w:gridCol w:w="66"/>
        <w:gridCol w:w="1500"/>
        <w:gridCol w:w="36"/>
        <w:gridCol w:w="66"/>
        <w:gridCol w:w="1500"/>
        <w:gridCol w:w="36"/>
        <w:gridCol w:w="66"/>
        <w:gridCol w:w="1500"/>
        <w:gridCol w:w="36"/>
        <w:gridCol w:w="66"/>
        <w:gridCol w:w="1500"/>
        <w:gridCol w:w="36"/>
        <w:gridCol w:w="66"/>
        <w:gridCol w:w="1500"/>
        <w:gridCol w:w="36"/>
      </w:tblGrid>
      <w:tr w:rsidR="00000000">
        <w:trPr>
          <w:divId w:val="1426610452"/>
          <w:jc w:val="center"/>
        </w:trPr>
        <w:tc>
          <w:tcPr>
            <w:tcW w:w="50" w:type="pct"/>
            <w:vAlign w:val="center"/>
            <w:hideMark/>
          </w:tcPr>
          <w:p w:rsidR="00000000" w:rsidRDefault="008931E1">
            <w:pPr>
              <w:rPr>
                <w:rFonts w:eastAsia="Times New Roman"/>
              </w:rPr>
            </w:pPr>
          </w:p>
        </w:tc>
        <w:tc>
          <w:tcPr>
            <w:tcW w:w="94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94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94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94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94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426610452"/>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r>
    </w:tbl>
    <w:p w:rsidR="00000000" w:rsidRDefault="008931E1">
      <w:pPr>
        <w:jc w:val="center"/>
        <w:divId w:val="2100909297"/>
        <w:rPr>
          <w:rFonts w:eastAsia="Times New Roman"/>
        </w:rPr>
      </w:pPr>
      <w:r>
        <w:rPr>
          <w:rFonts w:eastAsia="Times New Roman"/>
          <w:b/>
          <w:bCs/>
          <w:color w:val="000000"/>
          <w:sz w:val="28"/>
          <w:szCs w:val="28"/>
        </w:rPr>
        <w:t>UNITED STATES</w:t>
      </w:r>
    </w:p>
    <w:p w:rsidR="00000000" w:rsidRDefault="008931E1">
      <w:pPr>
        <w:jc w:val="center"/>
        <w:rPr>
          <w:rFonts w:eastAsia="Times New Roman"/>
        </w:rPr>
      </w:pPr>
      <w:r>
        <w:rPr>
          <w:rFonts w:eastAsia="Times New Roman"/>
          <w:b/>
          <w:bCs/>
          <w:color w:val="000000"/>
          <w:sz w:val="28"/>
          <w:szCs w:val="28"/>
        </w:rPr>
        <w:t>SECURITIES AND EXCHANGE COMMISSION</w:t>
      </w:r>
    </w:p>
    <w:p w:rsidR="00000000" w:rsidRDefault="008931E1">
      <w:pPr>
        <w:jc w:val="center"/>
        <w:rPr>
          <w:rFonts w:eastAsia="Times New Roman"/>
        </w:rPr>
      </w:pPr>
      <w:r>
        <w:rPr>
          <w:rFonts w:eastAsia="Times New Roman"/>
          <w:b/>
          <w:bCs/>
          <w:color w:val="000000"/>
        </w:rPr>
        <w:t>WASHINGTON, D.C. 20549</w:t>
      </w:r>
    </w:p>
    <w:p w:rsidR="00000000" w:rsidRDefault="008931E1">
      <w:pPr>
        <w:jc w:val="center"/>
        <w:divId w:val="879590372"/>
        <w:rPr>
          <w:rFonts w:eastAsia="Times New Roman"/>
        </w:rPr>
      </w:pPr>
      <w:r>
        <w:rPr>
          <w:rFonts w:eastAsia="Times New Roman"/>
          <w:b/>
          <w:bCs/>
          <w:color w:val="000000"/>
          <w:sz w:val="36"/>
          <w:szCs w:val="36"/>
        </w:rPr>
        <w:t xml:space="preserve">FORM 10-K </w:t>
      </w:r>
    </w:p>
    <w:p w:rsidR="00000000" w:rsidRDefault="008931E1">
      <w:pPr>
        <w:divId w:val="570389476"/>
        <w:rPr>
          <w:rFonts w:eastAsia="Times New Roman"/>
        </w:rPr>
      </w:pPr>
      <w:r>
        <w:rPr>
          <w:rFonts w:eastAsia="Times New Roman"/>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601"/>
        <w:gridCol w:w="36"/>
        <w:gridCol w:w="69"/>
        <w:gridCol w:w="270"/>
        <w:gridCol w:w="36"/>
        <w:gridCol w:w="69"/>
        <w:gridCol w:w="7120"/>
        <w:gridCol w:w="36"/>
      </w:tblGrid>
      <w:tr w:rsidR="00000000">
        <w:trPr>
          <w:divId w:val="570389476"/>
        </w:trPr>
        <w:tc>
          <w:tcPr>
            <w:tcW w:w="50" w:type="pct"/>
            <w:vAlign w:val="center"/>
            <w:hideMark/>
          </w:tcPr>
          <w:p w:rsidR="00000000" w:rsidRDefault="008931E1">
            <w:pPr>
              <w:rPr>
                <w:rFonts w:eastAsia="Times New Roman"/>
              </w:rPr>
            </w:pPr>
          </w:p>
        </w:tc>
        <w:tc>
          <w:tcPr>
            <w:tcW w:w="37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17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429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570389476"/>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2"/>
                <w:szCs w:val="12"/>
              </w:rPr>
              <w:t> </w:t>
            </w:r>
          </w:p>
        </w:tc>
      </w:tr>
      <w:tr w:rsidR="00000000">
        <w:trPr>
          <w:divId w:val="570389476"/>
        </w:trPr>
        <w:tc>
          <w:tcPr>
            <w:tcW w:w="0" w:type="auto"/>
            <w:gridSpan w:val="3"/>
            <w:tcMar>
              <w:top w:w="30" w:type="dxa"/>
              <w:left w:w="20" w:type="dxa"/>
              <w:bottom w:w="30" w:type="dxa"/>
              <w:right w:w="20" w:type="dxa"/>
            </w:tcMar>
            <w:hideMark/>
          </w:tcPr>
          <w:p w:rsidR="00000000" w:rsidRDefault="008931E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8931E1">
            <w:pPr>
              <w:spacing w:after="100"/>
              <w:rPr>
                <w:rFonts w:eastAsia="Times New Roman"/>
              </w:rPr>
            </w:pPr>
            <w:r>
              <w:rPr>
                <w:rFonts w:eastAsia="Times New Roman"/>
                <w:b/>
                <w:bCs/>
                <w:color w:val="000000"/>
                <w:sz w:val="20"/>
                <w:szCs w:val="20"/>
              </w:rPr>
              <w:t>ANNUAL REPORT PURSUANT TO SECTION 13 OR 15(d) OF THE SECURITIES EXCHANGE ACT OF 1934</w:t>
            </w:r>
          </w:p>
        </w:tc>
      </w:tr>
    </w:tbl>
    <w:p w:rsidR="00000000" w:rsidRDefault="008931E1">
      <w:pPr>
        <w:jc w:val="center"/>
        <w:divId w:val="663243350"/>
        <w:rPr>
          <w:rFonts w:eastAsia="Times New Roman"/>
        </w:rPr>
      </w:pPr>
      <w:r>
        <w:rPr>
          <w:rFonts w:eastAsia="Times New Roman"/>
          <w:b/>
          <w:bCs/>
          <w:color w:val="000000"/>
          <w:sz w:val="20"/>
          <w:szCs w:val="20"/>
        </w:rPr>
        <w:t xml:space="preserve">For the fiscal year ended September 24, 2023 </w:t>
      </w:r>
    </w:p>
    <w:p w:rsidR="00000000" w:rsidRDefault="008931E1">
      <w:pPr>
        <w:jc w:val="center"/>
        <w:divId w:val="831412074"/>
        <w:rPr>
          <w:rFonts w:eastAsia="Times New Roman"/>
        </w:rPr>
      </w:pPr>
      <w:r>
        <w:rPr>
          <w:rFonts w:eastAsia="Times New Roman"/>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01"/>
        <w:gridCol w:w="36"/>
        <w:gridCol w:w="69"/>
        <w:gridCol w:w="270"/>
        <w:gridCol w:w="36"/>
        <w:gridCol w:w="69"/>
        <w:gridCol w:w="7120"/>
        <w:gridCol w:w="36"/>
      </w:tblGrid>
      <w:tr w:rsidR="00000000">
        <w:trPr>
          <w:divId w:val="831412074"/>
          <w:jc w:val="center"/>
        </w:trPr>
        <w:tc>
          <w:tcPr>
            <w:tcW w:w="50" w:type="pct"/>
            <w:vAlign w:val="center"/>
            <w:hideMark/>
          </w:tcPr>
          <w:p w:rsidR="00000000" w:rsidRDefault="008931E1">
            <w:pPr>
              <w:jc w:val="center"/>
              <w:rPr>
                <w:rFonts w:eastAsia="Times New Roman"/>
              </w:rPr>
            </w:pPr>
          </w:p>
        </w:tc>
        <w:tc>
          <w:tcPr>
            <w:tcW w:w="37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17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429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831412074"/>
          <w:jc w:val="center"/>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2"/>
                <w:szCs w:val="12"/>
              </w:rPr>
              <w:t> </w:t>
            </w:r>
          </w:p>
        </w:tc>
      </w:tr>
      <w:tr w:rsidR="00000000">
        <w:trPr>
          <w:divId w:val="831412074"/>
          <w:jc w:val="center"/>
        </w:trPr>
        <w:tc>
          <w:tcPr>
            <w:tcW w:w="0" w:type="auto"/>
            <w:gridSpan w:val="3"/>
            <w:tcMar>
              <w:top w:w="30" w:type="dxa"/>
              <w:left w:w="20" w:type="dxa"/>
              <w:bottom w:w="30" w:type="dxa"/>
              <w:right w:w="20" w:type="dxa"/>
            </w:tcMar>
            <w:hideMark/>
          </w:tcPr>
          <w:p w:rsidR="00000000" w:rsidRDefault="008931E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8931E1">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8931E1">
      <w:pPr>
        <w:jc w:val="center"/>
        <w:divId w:val="553542949"/>
        <w:rPr>
          <w:rFonts w:eastAsia="Times New Roman"/>
        </w:rPr>
      </w:pPr>
      <w:r>
        <w:rPr>
          <w:rFonts w:eastAsia="Times New Roman"/>
          <w:b/>
          <w:bCs/>
          <w:color w:val="000000"/>
          <w:sz w:val="20"/>
          <w:szCs w:val="20"/>
        </w:rPr>
        <w:t xml:space="preserve">For the transition period from </w:t>
      </w:r>
      <w:r>
        <w:rPr>
          <w:rFonts w:eastAsia="Times New Roman"/>
          <w:b/>
          <w:bCs/>
          <w:color w:val="000000"/>
          <w:sz w:val="20"/>
          <w:szCs w:val="20"/>
          <w:u w:val="single"/>
        </w:rPr>
        <w:t>                    </w:t>
      </w:r>
      <w:r>
        <w:rPr>
          <w:rFonts w:eastAsia="Times New Roman"/>
          <w:b/>
          <w:bCs/>
          <w:color w:val="000000"/>
          <w:sz w:val="20"/>
          <w:szCs w:val="20"/>
        </w:rPr>
        <w:t xml:space="preserve"> to </w:t>
      </w:r>
      <w:r>
        <w:rPr>
          <w:rFonts w:eastAsia="Times New Roman"/>
          <w:b/>
          <w:bCs/>
          <w:color w:val="000000"/>
          <w:sz w:val="20"/>
          <w:szCs w:val="20"/>
          <w:u w:val="single"/>
        </w:rPr>
        <w:t>                    </w:t>
      </w:r>
      <w:r>
        <w:rPr>
          <w:rFonts w:eastAsia="Times New Roman"/>
          <w:b/>
          <w:bCs/>
          <w:color w:val="000000"/>
          <w:sz w:val="20"/>
          <w:szCs w:val="20"/>
        </w:rPr>
        <w:t xml:space="preserve"> .</w:t>
      </w:r>
    </w:p>
    <w:p w:rsidR="00000000" w:rsidRDefault="008931E1">
      <w:pPr>
        <w:jc w:val="center"/>
        <w:divId w:val="1404985244"/>
        <w:rPr>
          <w:rFonts w:eastAsia="Times New Roman"/>
        </w:rPr>
      </w:pPr>
      <w:r>
        <w:rPr>
          <w:rFonts w:eastAsia="Times New Roman"/>
          <w:b/>
          <w:bCs/>
          <w:color w:val="000000"/>
          <w:sz w:val="20"/>
          <w:szCs w:val="20"/>
        </w:rPr>
        <w:t xml:space="preserve">Commission File Number 0-19528 </w:t>
      </w:r>
    </w:p>
    <w:p w:rsidR="00000000" w:rsidRDefault="008931E1">
      <w:pPr>
        <w:jc w:val="center"/>
        <w:divId w:val="332294092"/>
        <w:rPr>
          <w:rFonts w:eastAsia="Times New Roman"/>
        </w:rPr>
      </w:pPr>
      <w:r>
        <w:rPr>
          <w:rFonts w:eastAsia="Times New Roman"/>
          <w:b/>
          <w:bCs/>
          <w:color w:val="000000"/>
          <w:sz w:val="48"/>
          <w:szCs w:val="48"/>
        </w:rPr>
        <w:t>QUALCOMM Incorporated</w:t>
      </w:r>
    </w:p>
    <w:p w:rsidR="00000000" w:rsidRDefault="008931E1">
      <w:pPr>
        <w:jc w:val="center"/>
        <w:rPr>
          <w:rFonts w:eastAsia="Times New Roman"/>
        </w:rPr>
      </w:pPr>
      <w:r>
        <w:rPr>
          <w:rFonts w:eastAsia="Times New Roman"/>
          <w:b/>
          <w:bCs/>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3"/>
        <w:gridCol w:w="36"/>
        <w:gridCol w:w="69"/>
        <w:gridCol w:w="1119"/>
        <w:gridCol w:w="38"/>
        <w:gridCol w:w="69"/>
        <w:gridCol w:w="589"/>
        <w:gridCol w:w="36"/>
        <w:gridCol w:w="69"/>
        <w:gridCol w:w="554"/>
        <w:gridCol w:w="36"/>
        <w:gridCol w:w="69"/>
        <w:gridCol w:w="1873"/>
        <w:gridCol w:w="36"/>
        <w:gridCol w:w="70"/>
        <w:gridCol w:w="3255"/>
        <w:gridCol w:w="36"/>
      </w:tblGrid>
      <w:tr w:rsidR="00000000">
        <w:trPr>
          <w:jc w:val="center"/>
        </w:trPr>
        <w:tc>
          <w:tcPr>
            <w:tcW w:w="50" w:type="pct"/>
            <w:vAlign w:val="center"/>
            <w:hideMark/>
          </w:tcPr>
          <w:p w:rsidR="00000000" w:rsidRDefault="008931E1">
            <w:pPr>
              <w:jc w:val="center"/>
              <w:rPr>
                <w:rFonts w:eastAsia="Times New Roman"/>
              </w:rPr>
            </w:pPr>
          </w:p>
        </w:tc>
        <w:tc>
          <w:tcPr>
            <w:tcW w:w="17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68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363"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34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113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196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b/>
                <w:bCs/>
                <w:color w:val="000000"/>
                <w:sz w:val="16"/>
                <w:szCs w:val="16"/>
              </w:rPr>
              <w:t>Delaware</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b/>
                <w:bCs/>
                <w:color w:val="000000"/>
                <w:sz w:val="16"/>
                <w:szCs w:val="16"/>
              </w:rPr>
              <w:t>95-3685934</w:t>
            </w:r>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31E1">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b/>
                <w:bCs/>
                <w:color w:val="000000"/>
                <w:sz w:val="16"/>
                <w:szCs w:val="16"/>
              </w:rPr>
              <w:t>5775 Morehouse Dr., San Diego, California</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b/>
                <w:bCs/>
                <w:color w:val="000000"/>
                <w:sz w:val="16"/>
                <w:szCs w:val="16"/>
              </w:rPr>
              <w:t>92121-1714</w:t>
            </w:r>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b/>
                <w:bCs/>
                <w:color w:val="000000"/>
                <w:sz w:val="16"/>
                <w:szCs w:val="16"/>
              </w:rPr>
              <w:t>(Address of Principal Executive Offices) </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b/>
                <w:bCs/>
                <w:color w:val="000000"/>
                <w:sz w:val="16"/>
                <w:szCs w:val="16"/>
              </w:rPr>
              <w:t>(Zip Code)</w:t>
            </w:r>
          </w:p>
        </w:tc>
      </w:tr>
    </w:tbl>
    <w:p w:rsidR="00000000" w:rsidRDefault="008931E1">
      <w:pPr>
        <w:jc w:val="center"/>
        <w:rPr>
          <w:rFonts w:eastAsia="Times New Roman"/>
        </w:rPr>
      </w:pPr>
    </w:p>
    <w:p w:rsidR="00000000" w:rsidRDefault="008931E1">
      <w:pPr>
        <w:jc w:val="center"/>
        <w:rPr>
          <w:rFonts w:eastAsia="Times New Roman"/>
        </w:rPr>
      </w:pPr>
      <w:r>
        <w:rPr>
          <w:rFonts w:eastAsia="Times New Roman"/>
          <w:b/>
          <w:bCs/>
          <w:color w:val="000000"/>
          <w:sz w:val="20"/>
          <w:szCs w:val="20"/>
        </w:rPr>
        <w:t xml:space="preserve">(858) 587-1121 </w:t>
      </w:r>
    </w:p>
    <w:p w:rsidR="00000000" w:rsidRDefault="008931E1">
      <w:pPr>
        <w:jc w:val="center"/>
        <w:rPr>
          <w:rFonts w:eastAsia="Times New Roman"/>
        </w:rPr>
      </w:pPr>
      <w:r>
        <w:rPr>
          <w:rFonts w:eastAsia="Times New Roman"/>
          <w:b/>
          <w:bCs/>
          <w:color w:val="000000"/>
          <w:sz w:val="20"/>
          <w:szCs w:val="20"/>
        </w:rPr>
        <w:t>(Registrant’s telephone number, including area code)</w:t>
      </w:r>
    </w:p>
    <w:p w:rsidR="00000000" w:rsidRDefault="008931E1">
      <w:pPr>
        <w:jc w:val="center"/>
        <w:divId w:val="231546335"/>
        <w:rPr>
          <w:rFonts w:eastAsia="Times New Roman"/>
        </w:rPr>
      </w:pPr>
      <w:r>
        <w:rPr>
          <w:rFonts w:eastAsia="Times New Roman"/>
          <w:b/>
          <w:bCs/>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036"/>
        <w:gridCol w:w="37"/>
        <w:gridCol w:w="69"/>
        <w:gridCol w:w="1812"/>
        <w:gridCol w:w="36"/>
        <w:gridCol w:w="69"/>
        <w:gridCol w:w="3142"/>
        <w:gridCol w:w="36"/>
      </w:tblGrid>
      <w:tr w:rsidR="00000000">
        <w:trPr>
          <w:divId w:val="231546335"/>
          <w:jc w:val="center"/>
        </w:trPr>
        <w:tc>
          <w:tcPr>
            <w:tcW w:w="50" w:type="pct"/>
            <w:vAlign w:val="center"/>
            <w:hideMark/>
          </w:tcPr>
          <w:p w:rsidR="00000000" w:rsidRDefault="008931E1">
            <w:pPr>
              <w:jc w:val="center"/>
              <w:rPr>
                <w:rFonts w:eastAsia="Times New Roman"/>
              </w:rPr>
            </w:pPr>
          </w:p>
        </w:tc>
        <w:tc>
          <w:tcPr>
            <w:tcW w:w="183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109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189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231546335"/>
          <w:jc w:val="center"/>
        </w:trPr>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color w:val="000000"/>
                <w:sz w:val="16"/>
                <w:szCs w:val="16"/>
                <w:u w:val="single"/>
              </w:rPr>
              <w:t>Title of Each Class</w:t>
            </w: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color w:val="000000"/>
                <w:sz w:val="16"/>
                <w:szCs w:val="16"/>
              </w:rPr>
              <w:t> </w:t>
            </w:r>
            <w:r>
              <w:rPr>
                <w:rFonts w:eastAsia="Times New Roman"/>
                <w:color w:val="000000"/>
                <w:sz w:val="16"/>
                <w:szCs w:val="16"/>
                <w:u w:val="single"/>
              </w:rPr>
              <w:t>Trading Symbol(s)</w:t>
            </w:r>
            <w:r>
              <w:rPr>
                <w:rFonts w:eastAsia="Times New Roman"/>
                <w:color w:val="000000"/>
                <w:sz w:val="16"/>
                <w:szCs w:val="16"/>
              </w:rPr>
              <w:t> </w:t>
            </w: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color w:val="000000"/>
                <w:sz w:val="16"/>
                <w:szCs w:val="16"/>
                <w:u w:val="single"/>
              </w:rPr>
              <w:t>Name of Each Exchange on Which Registered</w:t>
            </w:r>
          </w:p>
        </w:tc>
      </w:tr>
      <w:tr w:rsidR="00000000">
        <w:trPr>
          <w:divId w:val="231546335"/>
          <w:jc w:val="center"/>
        </w:trPr>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color w:val="000000"/>
                <w:sz w:val="20"/>
                <w:szCs w:val="20"/>
              </w:rPr>
              <w:t>Common stock, $0.0001 par value</w:t>
            </w: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color w:val="000000"/>
                <w:sz w:val="20"/>
                <w:szCs w:val="20"/>
              </w:rPr>
              <w:t> QCOM </w:t>
            </w: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color w:val="000000"/>
                <w:sz w:val="20"/>
                <w:szCs w:val="20"/>
              </w:rPr>
              <w:t>The Nasdaq Stock Market LLC</w:t>
            </w:r>
          </w:p>
        </w:tc>
      </w:tr>
    </w:tbl>
    <w:p w:rsidR="00000000" w:rsidRDefault="008931E1">
      <w:pPr>
        <w:jc w:val="center"/>
        <w:divId w:val="108859909"/>
        <w:rPr>
          <w:rFonts w:eastAsia="Times New Roman"/>
        </w:rPr>
      </w:pPr>
      <w:r>
        <w:rPr>
          <w:rFonts w:eastAsia="Times New Roman"/>
          <w:b/>
          <w:bCs/>
          <w:color w:val="000000"/>
          <w:sz w:val="20"/>
          <w:szCs w:val="20"/>
        </w:rPr>
        <w:t>Securities registered pursuant to Section 12(g) of the Act:</w:t>
      </w:r>
    </w:p>
    <w:p w:rsidR="00000000" w:rsidRDefault="008931E1">
      <w:pPr>
        <w:jc w:val="center"/>
        <w:divId w:val="1491141446"/>
        <w:rPr>
          <w:rFonts w:eastAsia="Times New Roman"/>
        </w:rPr>
      </w:pPr>
      <w:r>
        <w:rPr>
          <w:rFonts w:eastAsia="Times New Roman"/>
          <w:color w:val="000000"/>
          <w:sz w:val="20"/>
          <w:szCs w:val="20"/>
        </w:rPr>
        <w:t>None</w:t>
      </w:r>
    </w:p>
    <w:p w:rsidR="00000000" w:rsidRDefault="008931E1">
      <w:pPr>
        <w:ind w:firstLine="315"/>
        <w:divId w:val="169950829"/>
        <w:rPr>
          <w:rFonts w:eastAsia="Times New Roman"/>
        </w:rPr>
      </w:pPr>
      <w:r>
        <w:rPr>
          <w:rFonts w:eastAsia="Times New Roman"/>
          <w:color w:val="000000"/>
          <w:sz w:val="20"/>
          <w:szCs w:val="20"/>
        </w:rPr>
        <w:t xml:space="preserve">Indicate by check mark if the registrant is a well-known seasoned issuer, as defined in Rule 405 of the Securities Act. </w:t>
      </w:r>
    </w:p>
    <w:p w:rsidR="00000000" w:rsidRDefault="008931E1">
      <w:pPr>
        <w:ind w:firstLine="270"/>
        <w:divId w:val="1677002331"/>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8931E1">
      <w:pPr>
        <w:ind w:firstLine="315"/>
        <w:divId w:val="1416702768"/>
        <w:rPr>
          <w:rFonts w:eastAsia="Times New Roman"/>
        </w:rPr>
      </w:pPr>
      <w:r>
        <w:rPr>
          <w:rFonts w:eastAsia="Times New Roman"/>
          <w:color w:val="000000"/>
          <w:sz w:val="20"/>
          <w:szCs w:val="20"/>
        </w:rPr>
        <w:lastRenderedPageBreak/>
        <w:t>Indicate by check mark if the registrant is not required to</w:t>
      </w:r>
      <w:r>
        <w:rPr>
          <w:rFonts w:eastAsia="Times New Roman"/>
          <w:color w:val="000000"/>
          <w:sz w:val="20"/>
          <w:szCs w:val="20"/>
        </w:rPr>
        <w:t xml:space="preserve"> file reports pursuant to Section 13 or Section 15(d) of the Act.</w:t>
      </w:r>
    </w:p>
    <w:p w:rsidR="00000000" w:rsidRDefault="008931E1">
      <w:pPr>
        <w:ind w:firstLine="270"/>
        <w:divId w:val="1391416773"/>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8931E1">
      <w:pPr>
        <w:ind w:firstLine="315"/>
        <w:divId w:val="2035812173"/>
        <w:rPr>
          <w:rFonts w:eastAsia="Times New Roman"/>
        </w:rPr>
      </w:pPr>
      <w:r>
        <w:rPr>
          <w:rFonts w:eastAsia="Times New Roman"/>
          <w:color w:val="000000"/>
          <w:sz w:val="20"/>
          <w:szCs w:val="20"/>
        </w:rPr>
        <w:t>Indicate by check mark whether the registrant (1) has filed all reports required to be filed by Section </w:t>
      </w:r>
      <w:r>
        <w:rPr>
          <w:rFonts w:eastAsia="Times New Roman"/>
          <w:color w:val="000000"/>
          <w:sz w:val="20"/>
          <w:szCs w:val="20"/>
        </w:rPr>
        <w:t xml:space="preserve">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20"/>
          <w:szCs w:val="20"/>
        </w:rPr>
        <w:t>☒</w:t>
      </w:r>
      <w:r>
        <w:rPr>
          <w:rFonts w:ascii="Arial Unicode MS" w:eastAsia="Times New Roman" w:hAnsi="Arial Unicode MS"/>
          <w:color w:val="000000"/>
          <w:sz w:val="20"/>
          <w:szCs w:val="20"/>
        </w:rPr>
        <w:t xml:space="preserve"> </w:t>
      </w:r>
      <w:r>
        <w:rPr>
          <w:rFonts w:eastAsia="Times New Roman"/>
          <w:color w:val="000000"/>
          <w:sz w:val="20"/>
          <w:szCs w:val="20"/>
        </w:rPr>
        <w:t xml:space="preserve">No </w:t>
      </w:r>
      <w:r>
        <w:rPr>
          <w:rFonts w:ascii="Segoe UI Symbol" w:eastAsia="Times New Roman" w:hAnsi="Segoe UI Symbol" w:cs="Segoe UI Symbol"/>
          <w:color w:val="000000"/>
          <w:sz w:val="20"/>
          <w:szCs w:val="20"/>
        </w:rPr>
        <w:t>☐</w:t>
      </w:r>
    </w:p>
    <w:p w:rsidR="00000000" w:rsidRDefault="008931E1">
      <w:pPr>
        <w:ind w:firstLine="315"/>
        <w:divId w:val="685978830"/>
        <w:rPr>
          <w:rFonts w:eastAsia="Times New Roman"/>
        </w:rPr>
      </w:pPr>
      <w:r>
        <w:rPr>
          <w:rFonts w:eastAsia="Times New Roman"/>
          <w:color w:val="000000"/>
          <w:sz w:val="20"/>
          <w:szCs w:val="20"/>
        </w:rPr>
        <w:t>Indi</w:t>
      </w:r>
      <w:r>
        <w:rPr>
          <w:rFonts w:eastAsia="Times New Roman"/>
          <w:color w:val="000000"/>
          <w:sz w:val="20"/>
          <w:szCs w:val="20"/>
        </w:rPr>
        <w:t>cate by check mark whether the registrant has submitted electronically every Interactive Data File required to be submitted pursuant to Rule 405 of Regulation S-T (§232.405 of this chapter) during the preceding 12 months (or for such shorter period that th</w:t>
      </w:r>
      <w:r>
        <w:rPr>
          <w:rFonts w:eastAsia="Times New Roman"/>
          <w:color w:val="000000"/>
          <w:sz w:val="20"/>
          <w:szCs w:val="20"/>
        </w:rPr>
        <w:t xml:space="preserve">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8931E1">
      <w:pPr>
        <w:ind w:firstLine="315"/>
        <w:divId w:val="725301963"/>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the defini</w:t>
      </w:r>
      <w:r>
        <w:rPr>
          <w:rFonts w:eastAsia="Times New Roman"/>
          <w:color w:val="000000"/>
          <w:sz w:val="20"/>
          <w:szCs w:val="20"/>
        </w:rPr>
        <w:t xml:space="preserve">tions of “large accelerated filer,” “accelerated filer,” “smaller reporting company,” and “emerging growth company” in Rule 12b-2 of the Exchange Act. </w:t>
      </w:r>
    </w:p>
    <w:tbl>
      <w:tblPr>
        <w:tblW w:w="4808" w:type="pct"/>
        <w:tblCellMar>
          <w:top w:w="15" w:type="dxa"/>
          <w:left w:w="15" w:type="dxa"/>
          <w:bottom w:w="15" w:type="dxa"/>
          <w:right w:w="15" w:type="dxa"/>
        </w:tblCellMar>
        <w:tblLook w:val="04A0" w:firstRow="1" w:lastRow="0" w:firstColumn="1" w:lastColumn="0" w:noHBand="0" w:noVBand="1"/>
      </w:tblPr>
      <w:tblGrid>
        <w:gridCol w:w="60"/>
        <w:gridCol w:w="1074"/>
        <w:gridCol w:w="36"/>
        <w:gridCol w:w="70"/>
        <w:gridCol w:w="137"/>
        <w:gridCol w:w="36"/>
        <w:gridCol w:w="94"/>
        <w:gridCol w:w="892"/>
        <w:gridCol w:w="36"/>
        <w:gridCol w:w="37"/>
        <w:gridCol w:w="196"/>
        <w:gridCol w:w="36"/>
        <w:gridCol w:w="37"/>
        <w:gridCol w:w="2142"/>
        <w:gridCol w:w="36"/>
        <w:gridCol w:w="37"/>
        <w:gridCol w:w="196"/>
        <w:gridCol w:w="36"/>
        <w:gridCol w:w="49"/>
        <w:gridCol w:w="1098"/>
        <w:gridCol w:w="36"/>
        <w:gridCol w:w="37"/>
        <w:gridCol w:w="196"/>
        <w:gridCol w:w="36"/>
        <w:gridCol w:w="57"/>
        <w:gridCol w:w="985"/>
        <w:gridCol w:w="36"/>
        <w:gridCol w:w="37"/>
        <w:gridCol w:w="196"/>
        <w:gridCol w:w="36"/>
      </w:tblGrid>
      <w:tr w:rsidR="00000000">
        <w:trPr>
          <w:divId w:val="725301963"/>
        </w:trPr>
        <w:tc>
          <w:tcPr>
            <w:tcW w:w="50" w:type="pct"/>
            <w:vAlign w:val="center"/>
            <w:hideMark/>
          </w:tcPr>
          <w:p w:rsidR="00000000" w:rsidRDefault="008931E1">
            <w:pPr>
              <w:ind w:firstLine="315"/>
              <w:rPr>
                <w:rFonts w:eastAsia="Times New Roman"/>
              </w:rPr>
            </w:pPr>
          </w:p>
        </w:tc>
        <w:tc>
          <w:tcPr>
            <w:tcW w:w="734"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9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47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11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144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11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74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11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67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11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725301963"/>
        </w:trPr>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8931E1">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8931E1">
      <w:pPr>
        <w:ind w:firstLine="315"/>
        <w:divId w:val="312024036"/>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r>
        <w:rPr>
          <w:rFonts w:eastAsia="Times New Roman"/>
          <w:color w:val="000000"/>
          <w:sz w:val="20"/>
          <w:szCs w:val="20"/>
        </w:rPr>
        <w:t xml:space="preserve"> </w:t>
      </w:r>
    </w:p>
    <w:p w:rsidR="00000000" w:rsidRDefault="008931E1">
      <w:pPr>
        <w:ind w:firstLine="270"/>
        <w:divId w:val="173888080"/>
        <w:rPr>
          <w:rFonts w:eastAsia="Times New Roman"/>
        </w:rPr>
      </w:pPr>
      <w:r>
        <w:rPr>
          <w:rFonts w:eastAsia="Times New Roman"/>
          <w:color w:val="000000"/>
          <w:sz w:val="20"/>
          <w:szCs w:val="20"/>
        </w:rPr>
        <w:t>Indicate by check mark whether the registrant has filed a report on and attestation to its management’s assessment of the effectiveness of its internal control over financial reporting under Section 404(b) of the Sarbanes-Oxley Act (15 U.S.C.7262(b)) by th</w:t>
      </w:r>
      <w:r>
        <w:rPr>
          <w:rFonts w:eastAsia="Times New Roman"/>
          <w:color w:val="000000"/>
          <w:sz w:val="20"/>
          <w:szCs w:val="20"/>
        </w:rPr>
        <w:t xml:space="preserve">e registered public accounting firm that prepared or issued its audit report. </w:t>
      </w:r>
      <w:r>
        <w:rPr>
          <w:rFonts w:ascii="Segoe UI Symbol" w:eastAsia="Times New Roman" w:hAnsi="Segoe UI Symbol" w:cs="Segoe UI Symbol"/>
          <w:color w:val="000000"/>
          <w:sz w:val="20"/>
          <w:szCs w:val="20"/>
        </w:rPr>
        <w:t>☒</w:t>
      </w:r>
    </w:p>
    <w:p w:rsidR="00000000" w:rsidRDefault="008931E1">
      <w:pPr>
        <w:ind w:firstLine="270"/>
        <w:divId w:val="1923483812"/>
        <w:rPr>
          <w:rFonts w:eastAsia="Times New Roman"/>
        </w:rPr>
      </w:pPr>
      <w:r>
        <w:rPr>
          <w:rFonts w:eastAsia="Times New Roman"/>
          <w:color w:val="000000"/>
          <w:sz w:val="20"/>
          <w:szCs w:val="20"/>
        </w:rPr>
        <w:t xml:space="preserve">If securities are registered pursuant to Section 12(b) of the Act, indicate by check mark whether the financial statements of the registrant included in the filing reflect the </w:t>
      </w:r>
      <w:r>
        <w:rPr>
          <w:rFonts w:eastAsia="Times New Roman"/>
          <w:color w:val="000000"/>
          <w:sz w:val="20"/>
          <w:szCs w:val="20"/>
        </w:rPr>
        <w:t xml:space="preserve">correction of an error to previously issued financial statements. </w:t>
      </w:r>
      <w:r>
        <w:rPr>
          <w:rFonts w:ascii="Segoe UI Symbol" w:eastAsia="Times New Roman" w:hAnsi="Segoe UI Symbol" w:cs="Segoe UI Symbol"/>
          <w:color w:val="000000"/>
          <w:sz w:val="20"/>
          <w:szCs w:val="20"/>
        </w:rPr>
        <w:t>☐</w:t>
      </w:r>
    </w:p>
    <w:p w:rsidR="00000000" w:rsidRDefault="008931E1">
      <w:pPr>
        <w:ind w:firstLine="270"/>
        <w:divId w:val="226644842"/>
        <w:rPr>
          <w:rFonts w:eastAsia="Times New Roman"/>
        </w:rPr>
      </w:pPr>
      <w:r>
        <w:rPr>
          <w:rFonts w:eastAsia="Times New Roman"/>
          <w:color w:val="000000"/>
          <w:sz w:val="20"/>
          <w:szCs w:val="20"/>
        </w:rPr>
        <w:t>Indicate by check mark whether any of those error corrections are restatements that required a recovery analysis of incentive-based compensation received by any of the registrant’s executi</w:t>
      </w:r>
      <w:r>
        <w:rPr>
          <w:rFonts w:eastAsia="Times New Roman"/>
          <w:color w:val="000000"/>
          <w:sz w:val="20"/>
          <w:szCs w:val="20"/>
        </w:rPr>
        <w:t xml:space="preserve">ve officers during the relevant recovery period pursuant to §240.10D-1(b). </w:t>
      </w:r>
      <w:r>
        <w:rPr>
          <w:rFonts w:ascii="Segoe UI Symbol" w:eastAsia="Times New Roman" w:hAnsi="Segoe UI Symbol" w:cs="Segoe UI Symbol"/>
          <w:color w:val="000000"/>
          <w:sz w:val="20"/>
          <w:szCs w:val="20"/>
        </w:rPr>
        <w:t>☐</w:t>
      </w:r>
    </w:p>
    <w:p w:rsidR="00000000" w:rsidRDefault="008931E1">
      <w:pPr>
        <w:ind w:firstLine="270"/>
        <w:divId w:val="1979146390"/>
        <w:rPr>
          <w:rFonts w:eastAsia="Times New Roman"/>
        </w:rPr>
      </w:pPr>
      <w:r>
        <w:rPr>
          <w:rFonts w:eastAsia="Times New Roman"/>
          <w:color w:val="000000"/>
          <w:sz w:val="20"/>
          <w:szCs w:val="20"/>
        </w:rPr>
        <w:t xml:space="preserve">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8"/>
        <w:gridCol w:w="1791"/>
        <w:gridCol w:w="36"/>
        <w:gridCol w:w="68"/>
        <w:gridCol w:w="1498"/>
        <w:gridCol w:w="36"/>
        <w:gridCol w:w="69"/>
        <w:gridCol w:w="1498"/>
        <w:gridCol w:w="36"/>
        <w:gridCol w:w="69"/>
        <w:gridCol w:w="1498"/>
        <w:gridCol w:w="36"/>
        <w:gridCol w:w="69"/>
        <w:gridCol w:w="1498"/>
        <w:gridCol w:w="36"/>
      </w:tblGrid>
      <w:tr w:rsidR="00000000">
        <w:trPr>
          <w:divId w:val="1979146390"/>
        </w:trPr>
        <w:tc>
          <w:tcPr>
            <w:tcW w:w="50" w:type="pct"/>
            <w:vAlign w:val="center"/>
            <w:hideMark/>
          </w:tcPr>
          <w:p w:rsidR="00000000" w:rsidRDefault="008931E1">
            <w:pPr>
              <w:ind w:firstLine="270"/>
              <w:rPr>
                <w:rFonts w:eastAsia="Times New Roman"/>
              </w:rPr>
            </w:pPr>
          </w:p>
        </w:tc>
        <w:tc>
          <w:tcPr>
            <w:tcW w:w="108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90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90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90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90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979146390"/>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r>
    </w:tbl>
    <w:p w:rsidR="00000000" w:rsidRDefault="008931E1">
      <w:pPr>
        <w:ind w:firstLine="315"/>
        <w:divId w:val="2072346274"/>
        <w:rPr>
          <w:rFonts w:eastAsia="Times New Roman"/>
        </w:rPr>
      </w:pPr>
      <w:r>
        <w:rPr>
          <w:rFonts w:eastAsia="Times New Roman"/>
          <w:color w:val="000000"/>
          <w:sz w:val="20"/>
          <w:szCs w:val="20"/>
        </w:rPr>
        <w:t>The aggregate market value of the voting and non-voting common equity held by non-affiliates of the registrant at March 24, 2023 (the last business day of the registrant’s most recently completed second fiscal quarter) was $138.9 billion, based upon the cl</w:t>
      </w:r>
      <w:r>
        <w:rPr>
          <w:rFonts w:eastAsia="Times New Roman"/>
          <w:color w:val="000000"/>
          <w:sz w:val="20"/>
          <w:szCs w:val="20"/>
        </w:rPr>
        <w:t>osing price of the registrant’s common stock on that date as reported on the NASDAQ Global Select Market.</w:t>
      </w:r>
    </w:p>
    <w:p w:rsidR="00000000" w:rsidRDefault="008931E1">
      <w:pPr>
        <w:ind w:firstLine="315"/>
        <w:divId w:val="1267075296"/>
        <w:rPr>
          <w:rFonts w:eastAsia="Times New Roman"/>
        </w:rPr>
      </w:pPr>
      <w:r>
        <w:rPr>
          <w:rFonts w:eastAsia="Times New Roman"/>
          <w:color w:val="000000"/>
          <w:sz w:val="20"/>
          <w:szCs w:val="20"/>
        </w:rPr>
        <w:t>The number of shares outstanding of the registrant’s common stock was 1,113 million at October 30, 2023.</w:t>
      </w:r>
    </w:p>
    <w:p w:rsidR="00000000" w:rsidRDefault="008931E1">
      <w:pPr>
        <w:jc w:val="center"/>
        <w:divId w:val="1901673452"/>
        <w:rPr>
          <w:rFonts w:eastAsia="Times New Roman"/>
        </w:rPr>
      </w:pPr>
      <w:r>
        <w:rPr>
          <w:rFonts w:eastAsia="Times New Roman"/>
          <w:b/>
          <w:bCs/>
          <w:color w:val="000000"/>
          <w:sz w:val="20"/>
          <w:szCs w:val="20"/>
        </w:rPr>
        <w:t>DOCUMENTS INCORPORATED BY REFERENCE</w:t>
      </w:r>
    </w:p>
    <w:p w:rsidR="00000000" w:rsidRDefault="008931E1">
      <w:pPr>
        <w:ind w:firstLine="315"/>
        <w:divId w:val="2003123958"/>
        <w:rPr>
          <w:rFonts w:eastAsia="Times New Roman"/>
        </w:rPr>
      </w:pPr>
      <w:r>
        <w:rPr>
          <w:rFonts w:eastAsia="Times New Roman"/>
          <w:color w:val="000000"/>
          <w:sz w:val="20"/>
          <w:szCs w:val="20"/>
        </w:rPr>
        <w:t xml:space="preserve">Portions </w:t>
      </w:r>
      <w:r>
        <w:rPr>
          <w:rFonts w:eastAsia="Times New Roman"/>
          <w:color w:val="000000"/>
          <w:sz w:val="20"/>
          <w:szCs w:val="20"/>
        </w:rPr>
        <w:t>of the registrant’s Definitive Proxy Statement for its 2024 Annual Meeting of Stockholders, to be filed with the Commission subsequent to the date hereof, are incorporated by reference into Part III of this Annual Report where indicated.</w:t>
      </w:r>
    </w:p>
    <w:p w:rsidR="00000000" w:rsidRDefault="008931E1">
      <w:pPr>
        <w:jc w:val="center"/>
        <w:divId w:val="54816106"/>
        <w:rPr>
          <w:rFonts w:eastAsia="Times New Roman"/>
        </w:rPr>
      </w:pPr>
    </w:p>
    <w:p w:rsidR="00000000" w:rsidRDefault="008931E1">
      <w:pPr>
        <w:rPr>
          <w:rFonts w:eastAsia="Times New Roman"/>
        </w:rPr>
      </w:pPr>
      <w:r>
        <w:rPr>
          <w:rFonts w:eastAsia="Times New Roman"/>
        </w:rPr>
        <w:pict>
          <v:rect id="_x0000_i1025" style="width:0;height:1.5pt" o:hralign="center" o:hrstd="t" o:hr="t" fillcolor="#a0a0a0" stroked="f"/>
        </w:pict>
      </w:r>
    </w:p>
    <w:p w:rsidR="00000000" w:rsidRDefault="008931E1">
      <w:pPr>
        <w:divId w:val="1880896180"/>
        <w:rPr>
          <w:rFonts w:eastAsia="Times New Roman"/>
        </w:rPr>
      </w:pPr>
    </w:p>
    <w:tbl>
      <w:tblPr>
        <w:tblW w:w="4928" w:type="pct"/>
        <w:jc w:val="center"/>
        <w:tblCellMar>
          <w:top w:w="15" w:type="dxa"/>
          <w:left w:w="15" w:type="dxa"/>
          <w:bottom w:w="15" w:type="dxa"/>
          <w:right w:w="15" w:type="dxa"/>
        </w:tblCellMar>
        <w:tblLook w:val="04A0" w:firstRow="1" w:lastRow="0" w:firstColumn="1" w:lastColumn="0" w:noHBand="0" w:noVBand="1"/>
      </w:tblPr>
      <w:tblGrid>
        <w:gridCol w:w="67"/>
        <w:gridCol w:w="3989"/>
        <w:gridCol w:w="37"/>
        <w:gridCol w:w="68"/>
        <w:gridCol w:w="3989"/>
        <w:gridCol w:w="36"/>
      </w:tblGrid>
      <w:tr w:rsidR="00000000">
        <w:trPr>
          <w:jc w:val="center"/>
        </w:trPr>
        <w:tc>
          <w:tcPr>
            <w:tcW w:w="50" w:type="pct"/>
            <w:vAlign w:val="center"/>
            <w:hideMark/>
          </w:tcPr>
          <w:p w:rsidR="00000000" w:rsidRDefault="008931E1">
            <w:pPr>
              <w:rPr>
                <w:rFonts w:eastAsia="Times New Roman"/>
              </w:rPr>
            </w:pPr>
          </w:p>
        </w:tc>
        <w:tc>
          <w:tcPr>
            <w:tcW w:w="244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244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20"/>
                <w:szCs w:val="20"/>
              </w:rPr>
              <w:t>QUALCOMM Incorporated</w:t>
            </w:r>
          </w:p>
        </w:tc>
      </w:tr>
      <w:tr w:rsidR="00000000">
        <w:trPr>
          <w:jc w:val="center"/>
        </w:trPr>
        <w:tc>
          <w:tcPr>
            <w:tcW w:w="0" w:type="auto"/>
            <w:gridSpan w:val="6"/>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20"/>
                <w:szCs w:val="20"/>
              </w:rPr>
              <w:t>Form 10-K</w:t>
            </w:r>
          </w:p>
        </w:tc>
      </w:tr>
      <w:tr w:rsidR="00000000">
        <w:trPr>
          <w:jc w:val="center"/>
        </w:trPr>
        <w:tc>
          <w:tcPr>
            <w:tcW w:w="0" w:type="auto"/>
            <w:gridSpan w:val="6"/>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20"/>
                <w:szCs w:val="20"/>
              </w:rPr>
              <w:lastRenderedPageBreak/>
              <w:t>For the Fiscal Year Ended September 24, 2023</w:t>
            </w:r>
          </w:p>
        </w:tc>
      </w:tr>
      <w:tr w:rsidR="00000000">
        <w:trPr>
          <w:jc w:val="center"/>
        </w:trPr>
        <w:tc>
          <w:tcPr>
            <w:tcW w:w="0" w:type="auto"/>
            <w:gridSpan w:val="6"/>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b/>
                <w:bCs/>
                <w:color w:val="000000"/>
                <w:sz w:val="20"/>
                <w:szCs w:val="20"/>
              </w:rPr>
              <w:t>Index</w:t>
            </w:r>
          </w:p>
        </w:tc>
      </w:tr>
    </w:tbl>
    <w:p w:rsidR="00000000" w:rsidRDefault="008931E1">
      <w:pPr>
        <w:jc w:val="center"/>
        <w:rPr>
          <w:rFonts w:eastAsia="Times New Roman"/>
          <w:vanish/>
        </w:rPr>
      </w:pPr>
    </w:p>
    <w:tbl>
      <w:tblPr>
        <w:tblW w:w="4906" w:type="pct"/>
        <w:jc w:val="center"/>
        <w:tblCellMar>
          <w:top w:w="15" w:type="dxa"/>
          <w:left w:w="15" w:type="dxa"/>
          <w:bottom w:w="15" w:type="dxa"/>
          <w:right w:w="15" w:type="dxa"/>
        </w:tblCellMar>
        <w:tblLook w:val="04A0" w:firstRow="1" w:lastRow="0" w:firstColumn="1" w:lastColumn="0" w:noHBand="0" w:noVBand="1"/>
      </w:tblPr>
      <w:tblGrid>
        <w:gridCol w:w="67"/>
        <w:gridCol w:w="694"/>
        <w:gridCol w:w="36"/>
        <w:gridCol w:w="67"/>
        <w:gridCol w:w="6614"/>
        <w:gridCol w:w="39"/>
        <w:gridCol w:w="68"/>
        <w:gridCol w:w="529"/>
        <w:gridCol w:w="36"/>
      </w:tblGrid>
      <w:tr w:rsidR="00000000">
        <w:trPr>
          <w:jc w:val="center"/>
        </w:trPr>
        <w:tc>
          <w:tcPr>
            <w:tcW w:w="50" w:type="pct"/>
            <w:vAlign w:val="center"/>
            <w:hideMark/>
          </w:tcPr>
          <w:p w:rsidR="00000000" w:rsidRDefault="008931E1">
            <w:pPr>
              <w:jc w:val="center"/>
              <w:rPr>
                <w:rFonts w:eastAsia="Times New Roman"/>
              </w:rPr>
            </w:pPr>
          </w:p>
        </w:tc>
        <w:tc>
          <w:tcPr>
            <w:tcW w:w="43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406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333"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20"/>
                <w:szCs w:val="20"/>
              </w:rPr>
              <w:t>Page</w:t>
            </w:r>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divId w:val="464860567"/>
              <w:rPr>
                <w:rFonts w:eastAsia="Times New Roman"/>
              </w:rPr>
            </w:pPr>
            <w:hyperlink w:anchor="i57f6c49b29cd4e6996f8c5a8c66d5d80_10" w:history="1">
              <w:r>
                <w:rPr>
                  <w:rStyle w:val="a3"/>
                  <w:rFonts w:eastAsia="Times New Roman"/>
                  <w:sz w:val="18"/>
                  <w:szCs w:val="18"/>
                </w:rPr>
                <w:t>Risk Factors Summary</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0" w:history="1">
              <w:r>
                <w:rPr>
                  <w:rStyle w:val="a3"/>
                  <w:rFonts w:eastAsia="Times New Roman"/>
                  <w:sz w:val="18"/>
                  <w:szCs w:val="18"/>
                </w:rPr>
                <w:t>4</w:t>
              </w:r>
            </w:hyperlink>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8931E1">
            <w:pPr>
              <w:spacing w:after="100"/>
              <w:jc w:val="center"/>
              <w:rPr>
                <w:rFonts w:eastAsia="Times New Roman"/>
              </w:rPr>
            </w:pPr>
            <w:hyperlink w:anchor="i57f6c49b29cd4e6996f8c5a8c66d5d80_13" w:history="1">
              <w:r>
                <w:rPr>
                  <w:rStyle w:val="a3"/>
                  <w:rFonts w:eastAsia="Times New Roman"/>
                  <w:b/>
                  <w:bCs/>
                  <w:sz w:val="18"/>
                  <w:szCs w:val="18"/>
                </w:rPr>
                <w:t>PART I</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70802423"/>
              <w:rPr>
                <w:rFonts w:eastAsia="Times New Roman"/>
              </w:rPr>
            </w:pPr>
            <w:hyperlink w:anchor="i57f6c49b29cd4e6996f8c5a8c66d5d80_16" w:history="1">
              <w:r>
                <w:rPr>
                  <w:rStyle w:val="a3"/>
                  <w:rFonts w:eastAsia="Times New Roman"/>
                  <w:sz w:val="18"/>
                  <w:szCs w:val="18"/>
                </w:rPr>
                <w:t>Item 1.</w:t>
              </w:r>
            </w:hyperlink>
          </w:p>
        </w:tc>
        <w:tc>
          <w:tcPr>
            <w:tcW w:w="0" w:type="auto"/>
            <w:gridSpan w:val="3"/>
            <w:tcMar>
              <w:top w:w="30" w:type="dxa"/>
              <w:left w:w="20" w:type="dxa"/>
              <w:bottom w:w="30" w:type="dxa"/>
              <w:right w:w="20" w:type="dxa"/>
            </w:tcMar>
            <w:vAlign w:val="bottom"/>
            <w:hideMark/>
          </w:tcPr>
          <w:p w:rsidR="00000000" w:rsidRDefault="008931E1">
            <w:pPr>
              <w:spacing w:after="100"/>
              <w:divId w:val="1763717454"/>
              <w:rPr>
                <w:rFonts w:eastAsia="Times New Roman"/>
              </w:rPr>
            </w:pPr>
            <w:hyperlink w:anchor="i57f6c49b29cd4e6996f8c5a8c66d5d80_16" w:history="1">
              <w:r>
                <w:rPr>
                  <w:rStyle w:val="a3"/>
                  <w:rFonts w:eastAsia="Times New Roman"/>
                  <w:sz w:val="18"/>
                  <w:szCs w:val="18"/>
                </w:rPr>
                <w:t>Business</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6" w:history="1">
              <w:r>
                <w:rPr>
                  <w:rStyle w:val="a3"/>
                  <w:rFonts w:eastAsia="Times New Roman"/>
                  <w:sz w:val="18"/>
                  <w:szCs w:val="18"/>
                </w:rPr>
                <w:t>6</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403919332"/>
              <w:rPr>
                <w:rFonts w:eastAsia="Times New Roman"/>
              </w:rPr>
            </w:pPr>
            <w:hyperlink w:anchor="i57f6c49b29cd4e6996f8c5a8c66d5d80_64" w:history="1">
              <w:r>
                <w:rPr>
                  <w:rStyle w:val="a3"/>
                  <w:rFonts w:eastAsia="Times New Roman"/>
                  <w:sz w:val="18"/>
                  <w:szCs w:val="18"/>
                </w:rPr>
                <w:t>Item 1A.</w:t>
              </w:r>
            </w:hyperlink>
          </w:p>
        </w:tc>
        <w:tc>
          <w:tcPr>
            <w:tcW w:w="0" w:type="auto"/>
            <w:gridSpan w:val="3"/>
            <w:tcMar>
              <w:top w:w="30" w:type="dxa"/>
              <w:left w:w="20" w:type="dxa"/>
              <w:bottom w:w="30" w:type="dxa"/>
              <w:right w:w="20" w:type="dxa"/>
            </w:tcMar>
            <w:vAlign w:val="bottom"/>
            <w:hideMark/>
          </w:tcPr>
          <w:p w:rsidR="00000000" w:rsidRDefault="008931E1">
            <w:pPr>
              <w:spacing w:after="100"/>
              <w:divId w:val="844393155"/>
              <w:rPr>
                <w:rFonts w:eastAsia="Times New Roman"/>
              </w:rPr>
            </w:pPr>
            <w:hyperlink w:anchor="i57f6c49b29cd4e6996f8c5a8c66d5d80_64" w:history="1">
              <w:r>
                <w:rPr>
                  <w:rStyle w:val="a3"/>
                  <w:rFonts w:eastAsia="Times New Roman"/>
                  <w:sz w:val="18"/>
                  <w:szCs w:val="18"/>
                </w:rPr>
                <w:t>Risk Factors</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64" w:history="1">
              <w:r>
                <w:rPr>
                  <w:rStyle w:val="a3"/>
                  <w:rFonts w:eastAsia="Times New Roman"/>
                  <w:sz w:val="18"/>
                  <w:szCs w:val="18"/>
                </w:rPr>
                <w:t>18</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469661672"/>
              <w:rPr>
                <w:rFonts w:eastAsia="Times New Roman"/>
              </w:rPr>
            </w:pPr>
            <w:hyperlink w:anchor="i57f6c49b29cd4e6996f8c5a8c66d5d80_67" w:history="1">
              <w:r>
                <w:rPr>
                  <w:rStyle w:val="a3"/>
                  <w:rFonts w:eastAsia="Times New Roman"/>
                  <w:sz w:val="18"/>
                  <w:szCs w:val="18"/>
                </w:rPr>
                <w:t>Item 1B.</w:t>
              </w:r>
            </w:hyperlink>
          </w:p>
        </w:tc>
        <w:tc>
          <w:tcPr>
            <w:tcW w:w="0" w:type="auto"/>
            <w:gridSpan w:val="3"/>
            <w:tcMar>
              <w:top w:w="30" w:type="dxa"/>
              <w:left w:w="20" w:type="dxa"/>
              <w:bottom w:w="30" w:type="dxa"/>
              <w:right w:w="20" w:type="dxa"/>
            </w:tcMar>
            <w:vAlign w:val="bottom"/>
            <w:hideMark/>
          </w:tcPr>
          <w:p w:rsidR="00000000" w:rsidRDefault="008931E1">
            <w:pPr>
              <w:spacing w:after="100"/>
              <w:divId w:val="254362452"/>
              <w:rPr>
                <w:rFonts w:eastAsia="Times New Roman"/>
              </w:rPr>
            </w:pPr>
            <w:hyperlink w:anchor="i57f6c49b29cd4e6996f8c5a8c66d5d80_67" w:history="1">
              <w:r>
                <w:rPr>
                  <w:rStyle w:val="a3"/>
                  <w:rFonts w:eastAsia="Times New Roman"/>
                  <w:sz w:val="18"/>
                  <w:szCs w:val="18"/>
                </w:rPr>
                <w:t>Unresolved Staff Comments</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67" w:history="1">
              <w:r>
                <w:rPr>
                  <w:rStyle w:val="a3"/>
                  <w:rFonts w:eastAsia="Times New Roman"/>
                  <w:sz w:val="18"/>
                  <w:szCs w:val="18"/>
                </w:rPr>
                <w:t>37</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33241613"/>
              <w:rPr>
                <w:rFonts w:eastAsia="Times New Roman"/>
              </w:rPr>
            </w:pPr>
            <w:hyperlink w:anchor="i57f6c49b29cd4e6996f8c5a8c66d5d80_2406" w:history="1">
              <w:r>
                <w:rPr>
                  <w:rStyle w:val="a3"/>
                  <w:rFonts w:eastAsia="Times New Roman"/>
                  <w:sz w:val="18"/>
                  <w:szCs w:val="18"/>
                </w:rPr>
                <w:t>Item 1</w:t>
              </w:r>
            </w:hyperlink>
            <w:hyperlink w:anchor="i57f6c49b29cd4e6996f8c5a8c66d5d80_2406" w:history="1">
              <w:r>
                <w:rPr>
                  <w:rStyle w:val="a3"/>
                  <w:rFonts w:eastAsia="Times New Roman"/>
                  <w:sz w:val="18"/>
                  <w:szCs w:val="18"/>
                </w:rPr>
                <w:t>C</w:t>
              </w:r>
            </w:hyperlink>
            <w:hyperlink w:anchor="i57f6c49b29cd4e6996f8c5a8c66d5d80_2406" w:history="1">
              <w:r>
                <w:rPr>
                  <w:rStyle w:val="a3"/>
                  <w:rFonts w:eastAsia="Times New Roman"/>
                  <w:sz w:val="18"/>
                  <w:szCs w:val="18"/>
                </w:rPr>
                <w:t>.</w:t>
              </w:r>
            </w:hyperlink>
          </w:p>
        </w:tc>
        <w:tc>
          <w:tcPr>
            <w:tcW w:w="0" w:type="auto"/>
            <w:gridSpan w:val="3"/>
            <w:tcMar>
              <w:top w:w="30" w:type="dxa"/>
              <w:left w:w="20" w:type="dxa"/>
              <w:bottom w:w="30" w:type="dxa"/>
              <w:right w:w="20" w:type="dxa"/>
            </w:tcMar>
            <w:vAlign w:val="bottom"/>
            <w:hideMark/>
          </w:tcPr>
          <w:p w:rsidR="00000000" w:rsidRDefault="008931E1">
            <w:pPr>
              <w:spacing w:after="100"/>
              <w:divId w:val="523132893"/>
              <w:rPr>
                <w:rFonts w:eastAsia="Times New Roman"/>
              </w:rPr>
            </w:pPr>
            <w:hyperlink w:anchor="i57f6c49b29cd4e6996f8c5a8c66d5d80_2406" w:history="1">
              <w:r>
                <w:rPr>
                  <w:rStyle w:val="a3"/>
                  <w:rFonts w:eastAsia="Times New Roman"/>
                  <w:sz w:val="18"/>
                  <w:szCs w:val="18"/>
                </w:rPr>
                <w:t>C</w:t>
              </w:r>
              <w:r>
                <w:rPr>
                  <w:rStyle w:val="a3"/>
                  <w:rFonts w:eastAsia="Times New Roman"/>
                  <w:sz w:val="18"/>
                  <w:szCs w:val="18"/>
                </w:rPr>
                <w:t>ybersecurity</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70" w:history="1">
              <w:r>
                <w:rPr>
                  <w:rStyle w:val="a3"/>
                  <w:rFonts w:eastAsia="Times New Roman"/>
                  <w:sz w:val="18"/>
                  <w:szCs w:val="18"/>
                </w:rPr>
                <w:t>37</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330597560"/>
              <w:rPr>
                <w:rFonts w:eastAsia="Times New Roman"/>
              </w:rPr>
            </w:pPr>
            <w:hyperlink w:anchor="i57f6c49b29cd4e6996f8c5a8c66d5d80_70" w:history="1">
              <w:r>
                <w:rPr>
                  <w:rStyle w:val="a3"/>
                  <w:rFonts w:eastAsia="Times New Roman"/>
                  <w:sz w:val="18"/>
                  <w:szCs w:val="18"/>
                </w:rPr>
                <w:t>Item 2.</w:t>
              </w:r>
            </w:hyperlink>
          </w:p>
        </w:tc>
        <w:tc>
          <w:tcPr>
            <w:tcW w:w="0" w:type="auto"/>
            <w:gridSpan w:val="3"/>
            <w:tcMar>
              <w:top w:w="30" w:type="dxa"/>
              <w:left w:w="20" w:type="dxa"/>
              <w:bottom w:w="30" w:type="dxa"/>
              <w:right w:w="20" w:type="dxa"/>
            </w:tcMar>
            <w:vAlign w:val="bottom"/>
            <w:hideMark/>
          </w:tcPr>
          <w:p w:rsidR="00000000" w:rsidRDefault="008931E1">
            <w:pPr>
              <w:spacing w:after="100"/>
              <w:divId w:val="187841613"/>
              <w:rPr>
                <w:rFonts w:eastAsia="Times New Roman"/>
              </w:rPr>
            </w:pPr>
            <w:hyperlink w:anchor="i57f6c49b29cd4e6996f8c5a8c66d5d80_70" w:history="1">
              <w:r>
                <w:rPr>
                  <w:rStyle w:val="a3"/>
                  <w:rFonts w:eastAsia="Times New Roman"/>
                  <w:sz w:val="18"/>
                  <w:szCs w:val="18"/>
                </w:rPr>
                <w:t>Properties</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70" w:history="1">
              <w:r>
                <w:rPr>
                  <w:rStyle w:val="a3"/>
                  <w:rFonts w:eastAsia="Times New Roman"/>
                  <w:sz w:val="18"/>
                  <w:szCs w:val="18"/>
                </w:rPr>
                <w:t>37</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560941643"/>
              <w:rPr>
                <w:rFonts w:eastAsia="Times New Roman"/>
              </w:rPr>
            </w:pPr>
            <w:hyperlink w:anchor="i57f6c49b29cd4e6996f8c5a8c66d5d80_73" w:history="1">
              <w:r>
                <w:rPr>
                  <w:rStyle w:val="a3"/>
                  <w:rFonts w:eastAsia="Times New Roman"/>
                  <w:sz w:val="18"/>
                  <w:szCs w:val="18"/>
                </w:rPr>
                <w:t>Item 3.</w:t>
              </w:r>
            </w:hyperlink>
          </w:p>
        </w:tc>
        <w:tc>
          <w:tcPr>
            <w:tcW w:w="0" w:type="auto"/>
            <w:gridSpan w:val="3"/>
            <w:tcMar>
              <w:top w:w="30" w:type="dxa"/>
              <w:left w:w="20" w:type="dxa"/>
              <w:bottom w:w="30" w:type="dxa"/>
              <w:right w:w="20" w:type="dxa"/>
            </w:tcMar>
            <w:vAlign w:val="bottom"/>
            <w:hideMark/>
          </w:tcPr>
          <w:p w:rsidR="00000000" w:rsidRDefault="008931E1">
            <w:pPr>
              <w:spacing w:after="100"/>
              <w:divId w:val="309292681"/>
              <w:rPr>
                <w:rFonts w:eastAsia="Times New Roman"/>
              </w:rPr>
            </w:pPr>
            <w:hyperlink w:anchor="i57f6c49b29cd4e6996f8c5a8c66d5d80_73" w:history="1">
              <w:r>
                <w:rPr>
                  <w:rStyle w:val="a3"/>
                  <w:rFonts w:eastAsia="Times New Roman"/>
                  <w:sz w:val="18"/>
                  <w:szCs w:val="18"/>
                </w:rPr>
                <w:t>Legal and Regulatory Proceedings</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73" w:history="1">
              <w:r>
                <w:rPr>
                  <w:rStyle w:val="a3"/>
                  <w:rFonts w:eastAsia="Times New Roman"/>
                  <w:sz w:val="18"/>
                  <w:szCs w:val="18"/>
                </w:rPr>
                <w:t>38</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329023301"/>
              <w:rPr>
                <w:rFonts w:eastAsia="Times New Roman"/>
              </w:rPr>
            </w:pPr>
            <w:hyperlink w:anchor="i57f6c49b29cd4e6996f8c5a8c66d5d80_76" w:history="1">
              <w:r>
                <w:rPr>
                  <w:rStyle w:val="a3"/>
                  <w:rFonts w:eastAsia="Times New Roman"/>
                  <w:sz w:val="18"/>
                  <w:szCs w:val="18"/>
                </w:rPr>
                <w:t>Item 4.</w:t>
              </w:r>
            </w:hyperlink>
          </w:p>
        </w:tc>
        <w:tc>
          <w:tcPr>
            <w:tcW w:w="0" w:type="auto"/>
            <w:gridSpan w:val="3"/>
            <w:tcMar>
              <w:top w:w="30" w:type="dxa"/>
              <w:left w:w="20" w:type="dxa"/>
              <w:bottom w:w="30" w:type="dxa"/>
              <w:right w:w="20" w:type="dxa"/>
            </w:tcMar>
            <w:vAlign w:val="bottom"/>
            <w:hideMark/>
          </w:tcPr>
          <w:p w:rsidR="00000000" w:rsidRDefault="008931E1">
            <w:pPr>
              <w:spacing w:after="100"/>
              <w:divId w:val="632176055"/>
              <w:rPr>
                <w:rFonts w:eastAsia="Times New Roman"/>
              </w:rPr>
            </w:pPr>
            <w:hyperlink w:anchor="i57f6c49b29cd4e6996f8c5a8c66d5d80_76" w:history="1">
              <w:r>
                <w:rPr>
                  <w:rStyle w:val="a3"/>
                  <w:rFonts w:eastAsia="Times New Roman"/>
                  <w:sz w:val="18"/>
                  <w:szCs w:val="18"/>
                </w:rPr>
                <w:t>Mine Safety Disclosures</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76" w:history="1">
              <w:r>
                <w:rPr>
                  <w:rStyle w:val="a3"/>
                  <w:rFonts w:eastAsia="Times New Roman"/>
                  <w:sz w:val="18"/>
                  <w:szCs w:val="18"/>
                </w:rPr>
                <w:t>38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r>
      <w:tr w:rsidR="00000000">
        <w:trPr>
          <w:jc w:val="center"/>
        </w:trPr>
        <w:tc>
          <w:tcPr>
            <w:tcW w:w="0" w:type="auto"/>
            <w:gridSpan w:val="9"/>
            <w:tcMar>
              <w:top w:w="30" w:type="dxa"/>
              <w:left w:w="20" w:type="dxa"/>
              <w:bottom w:w="30" w:type="dxa"/>
              <w:right w:w="20" w:type="dxa"/>
            </w:tcMar>
            <w:vAlign w:val="bottom"/>
            <w:hideMark/>
          </w:tcPr>
          <w:p w:rsidR="00000000" w:rsidRDefault="008931E1">
            <w:pPr>
              <w:spacing w:after="100"/>
              <w:jc w:val="center"/>
              <w:rPr>
                <w:rFonts w:eastAsia="Times New Roman"/>
              </w:rPr>
            </w:pPr>
            <w:hyperlink w:anchor="i57f6c49b29cd4e6996f8c5a8c66d5d80_79" w:history="1">
              <w:r>
                <w:rPr>
                  <w:rStyle w:val="a3"/>
                  <w:rFonts w:eastAsia="Times New Roman"/>
                  <w:b/>
                  <w:bCs/>
                  <w:sz w:val="18"/>
                  <w:szCs w:val="18"/>
                </w:rPr>
                <w:t>PART II</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909576735"/>
              <w:rPr>
                <w:rFonts w:eastAsia="Times New Roman"/>
              </w:rPr>
            </w:pPr>
            <w:hyperlink w:anchor="i57f6c49b29cd4e6996f8c5a8c66d5d80_82" w:history="1">
              <w:r>
                <w:rPr>
                  <w:rStyle w:val="a3"/>
                  <w:rFonts w:eastAsia="Times New Roman"/>
                  <w:sz w:val="18"/>
                  <w:szCs w:val="18"/>
                </w:rPr>
                <w:t>Item 5.</w:t>
              </w:r>
            </w:hyperlink>
          </w:p>
        </w:tc>
        <w:tc>
          <w:tcPr>
            <w:tcW w:w="0" w:type="auto"/>
            <w:gridSpan w:val="3"/>
            <w:tcMar>
              <w:top w:w="30" w:type="dxa"/>
              <w:left w:w="20" w:type="dxa"/>
              <w:bottom w:w="30" w:type="dxa"/>
              <w:right w:w="20" w:type="dxa"/>
            </w:tcMar>
            <w:vAlign w:val="bottom"/>
            <w:hideMark/>
          </w:tcPr>
          <w:p w:rsidR="00000000" w:rsidRDefault="008931E1">
            <w:pPr>
              <w:spacing w:after="100"/>
              <w:divId w:val="1685282240"/>
              <w:rPr>
                <w:rFonts w:eastAsia="Times New Roman"/>
              </w:rPr>
            </w:pPr>
            <w:hyperlink w:anchor="i57f6c49b29cd4e6996f8c5a8c66d5d80_82" w:history="1">
              <w:r>
                <w:rPr>
                  <w:rStyle w:val="a3"/>
                  <w:rFonts w:eastAsia="Times New Roman"/>
                  <w:sz w:val="18"/>
                  <w:szCs w:val="18"/>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82" w:history="1">
              <w:r>
                <w:rPr>
                  <w:rStyle w:val="a3"/>
                  <w:rFonts w:eastAsia="Times New Roman"/>
                  <w:sz w:val="18"/>
                  <w:szCs w:val="18"/>
                </w:rPr>
                <w:t>39</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072851435"/>
              <w:rPr>
                <w:rFonts w:eastAsia="Times New Roman"/>
              </w:rPr>
            </w:pPr>
            <w:hyperlink w:anchor="i57f6c49b29cd4e6996f8c5a8c66d5d80_88" w:history="1">
              <w:r>
                <w:rPr>
                  <w:rStyle w:val="a3"/>
                  <w:rFonts w:eastAsia="Times New Roman"/>
                  <w:sz w:val="18"/>
                  <w:szCs w:val="18"/>
                </w:rPr>
                <w:t>Item 6.</w:t>
              </w:r>
            </w:hyperlink>
          </w:p>
        </w:tc>
        <w:tc>
          <w:tcPr>
            <w:tcW w:w="0" w:type="auto"/>
            <w:gridSpan w:val="3"/>
            <w:tcMar>
              <w:top w:w="30" w:type="dxa"/>
              <w:left w:w="20" w:type="dxa"/>
              <w:bottom w:w="30" w:type="dxa"/>
              <w:right w:w="20" w:type="dxa"/>
            </w:tcMar>
            <w:vAlign w:val="bottom"/>
            <w:hideMark/>
          </w:tcPr>
          <w:p w:rsidR="00000000" w:rsidRDefault="008931E1">
            <w:pPr>
              <w:spacing w:after="100"/>
              <w:divId w:val="31661951"/>
              <w:rPr>
                <w:rFonts w:eastAsia="Times New Roman"/>
              </w:rPr>
            </w:pPr>
            <w:hyperlink w:anchor="i57f6c49b29cd4e6996f8c5a8c66d5d80_88" w:history="1">
              <w:r>
                <w:rPr>
                  <w:rStyle w:val="a3"/>
                  <w:rFonts w:eastAsia="Times New Roman"/>
                  <w:sz w:val="18"/>
                  <w:szCs w:val="18"/>
                </w:rPr>
                <w:t>(Reserved)</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88" w:history="1">
              <w:r>
                <w:rPr>
                  <w:rStyle w:val="a3"/>
                  <w:rFonts w:eastAsia="Times New Roman"/>
                  <w:sz w:val="18"/>
                  <w:szCs w:val="18"/>
                </w:rPr>
                <w:t>40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696733450"/>
              <w:rPr>
                <w:rFonts w:eastAsia="Times New Roman"/>
              </w:rPr>
            </w:pPr>
            <w:hyperlink w:anchor="i57f6c49b29cd4e6996f8c5a8c66d5d80_91" w:history="1">
              <w:r>
                <w:rPr>
                  <w:rStyle w:val="a3"/>
                  <w:rFonts w:eastAsia="Times New Roman"/>
                  <w:sz w:val="18"/>
                  <w:szCs w:val="18"/>
                </w:rPr>
                <w:t>Item 7.</w:t>
              </w:r>
            </w:hyperlink>
          </w:p>
        </w:tc>
        <w:tc>
          <w:tcPr>
            <w:tcW w:w="0" w:type="auto"/>
            <w:gridSpan w:val="3"/>
            <w:tcMar>
              <w:top w:w="30" w:type="dxa"/>
              <w:left w:w="20" w:type="dxa"/>
              <w:bottom w:w="30" w:type="dxa"/>
              <w:right w:w="20" w:type="dxa"/>
            </w:tcMar>
            <w:vAlign w:val="bottom"/>
            <w:hideMark/>
          </w:tcPr>
          <w:p w:rsidR="00000000" w:rsidRDefault="008931E1">
            <w:pPr>
              <w:spacing w:after="100"/>
              <w:divId w:val="785974629"/>
              <w:rPr>
                <w:rFonts w:eastAsia="Times New Roman"/>
              </w:rPr>
            </w:pPr>
            <w:hyperlink w:anchor="i57f6c49b29cd4e6996f8c5a8c66d5d80_91" w:history="1">
              <w:r>
                <w:rPr>
                  <w:rStyle w:val="a3"/>
                  <w:rFonts w:eastAsia="Times New Roman"/>
                  <w:sz w:val="18"/>
                  <w:szCs w:val="18"/>
                </w:rPr>
                <w:t>Management’</w:t>
              </w:r>
              <w:r>
                <w:rPr>
                  <w:rStyle w:val="a3"/>
                  <w:rFonts w:eastAsia="Times New Roman"/>
                  <w:sz w:val="18"/>
                  <w:szCs w:val="18"/>
                </w:rPr>
                <w: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91" w:history="1">
              <w:r>
                <w:rPr>
                  <w:rStyle w:val="a3"/>
                  <w:rFonts w:eastAsia="Times New Roman"/>
                  <w:sz w:val="18"/>
                  <w:szCs w:val="18"/>
                </w:rPr>
                <w:t>40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968929905"/>
              <w:rPr>
                <w:rFonts w:eastAsia="Times New Roman"/>
              </w:rPr>
            </w:pPr>
            <w:hyperlink w:anchor="i57f6c49b29cd4e6996f8c5a8c66d5d80_130" w:history="1">
              <w:r>
                <w:rPr>
                  <w:rStyle w:val="a3"/>
                  <w:rFonts w:eastAsia="Times New Roman"/>
                  <w:sz w:val="18"/>
                  <w:szCs w:val="18"/>
                </w:rPr>
                <w:t>Item 7A.</w:t>
              </w:r>
            </w:hyperlink>
          </w:p>
        </w:tc>
        <w:tc>
          <w:tcPr>
            <w:tcW w:w="0" w:type="auto"/>
            <w:gridSpan w:val="3"/>
            <w:tcMar>
              <w:top w:w="30" w:type="dxa"/>
              <w:left w:w="20" w:type="dxa"/>
              <w:bottom w:w="30" w:type="dxa"/>
              <w:right w:w="20" w:type="dxa"/>
            </w:tcMar>
            <w:vAlign w:val="bottom"/>
            <w:hideMark/>
          </w:tcPr>
          <w:p w:rsidR="00000000" w:rsidRDefault="008931E1">
            <w:pPr>
              <w:spacing w:after="100"/>
              <w:divId w:val="594097653"/>
              <w:rPr>
                <w:rFonts w:eastAsia="Times New Roman"/>
              </w:rPr>
            </w:pPr>
            <w:hyperlink w:anchor="i57f6c49b29cd4e6996f8c5a8c66d5d80_130" w:history="1">
              <w:r>
                <w:rPr>
                  <w:rStyle w:val="a3"/>
                  <w:rFonts w:eastAsia="Times New Roman"/>
                  <w:sz w:val="18"/>
                  <w:szCs w:val="18"/>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30" w:history="1">
              <w:r>
                <w:rPr>
                  <w:rStyle w:val="a3"/>
                  <w:rFonts w:eastAsia="Times New Roman"/>
                  <w:sz w:val="18"/>
                  <w:szCs w:val="18"/>
                </w:rPr>
                <w:t>48</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550190430"/>
              <w:rPr>
                <w:rFonts w:eastAsia="Times New Roman"/>
              </w:rPr>
            </w:pPr>
            <w:hyperlink w:anchor="i57f6c49b29cd4e6996f8c5a8c66d5d80_133" w:history="1">
              <w:r>
                <w:rPr>
                  <w:rStyle w:val="a3"/>
                  <w:rFonts w:eastAsia="Times New Roman"/>
                  <w:sz w:val="18"/>
                  <w:szCs w:val="18"/>
                </w:rPr>
                <w:t>Item 8.</w:t>
              </w:r>
            </w:hyperlink>
          </w:p>
        </w:tc>
        <w:tc>
          <w:tcPr>
            <w:tcW w:w="0" w:type="auto"/>
            <w:gridSpan w:val="3"/>
            <w:tcMar>
              <w:top w:w="30" w:type="dxa"/>
              <w:left w:w="20" w:type="dxa"/>
              <w:bottom w:w="30" w:type="dxa"/>
              <w:right w:w="20" w:type="dxa"/>
            </w:tcMar>
            <w:vAlign w:val="bottom"/>
            <w:hideMark/>
          </w:tcPr>
          <w:p w:rsidR="00000000" w:rsidRDefault="008931E1">
            <w:pPr>
              <w:spacing w:after="100"/>
              <w:divId w:val="1768652223"/>
              <w:rPr>
                <w:rFonts w:eastAsia="Times New Roman"/>
              </w:rPr>
            </w:pPr>
            <w:hyperlink w:anchor="i57f6c49b29cd4e6996f8c5a8c66d5d80_133" w:history="1">
              <w:r>
                <w:rPr>
                  <w:rStyle w:val="a3"/>
                  <w:rFonts w:eastAsia="Times New Roman"/>
                  <w:sz w:val="18"/>
                  <w:szCs w:val="18"/>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33" w:history="1">
              <w:r>
                <w:rPr>
                  <w:rStyle w:val="a3"/>
                  <w:rFonts w:eastAsia="Times New Roman"/>
                  <w:sz w:val="18"/>
                  <w:szCs w:val="18"/>
                </w:rPr>
                <w:t>49</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002199116"/>
              <w:rPr>
                <w:rFonts w:eastAsia="Times New Roman"/>
              </w:rPr>
            </w:pPr>
            <w:hyperlink w:anchor="i57f6c49b29cd4e6996f8c5a8c66d5d80_136" w:history="1">
              <w:r>
                <w:rPr>
                  <w:rStyle w:val="a3"/>
                  <w:rFonts w:eastAsia="Times New Roman"/>
                  <w:sz w:val="18"/>
                  <w:szCs w:val="18"/>
                </w:rPr>
                <w:t>Item 9.</w:t>
              </w:r>
            </w:hyperlink>
          </w:p>
        </w:tc>
        <w:tc>
          <w:tcPr>
            <w:tcW w:w="0" w:type="auto"/>
            <w:gridSpan w:val="3"/>
            <w:tcMar>
              <w:top w:w="30" w:type="dxa"/>
              <w:left w:w="20" w:type="dxa"/>
              <w:bottom w:w="30" w:type="dxa"/>
              <w:right w:w="20" w:type="dxa"/>
            </w:tcMar>
            <w:vAlign w:val="bottom"/>
            <w:hideMark/>
          </w:tcPr>
          <w:p w:rsidR="00000000" w:rsidRDefault="008931E1">
            <w:pPr>
              <w:spacing w:after="100"/>
              <w:divId w:val="2003700159"/>
              <w:rPr>
                <w:rFonts w:eastAsia="Times New Roman"/>
              </w:rPr>
            </w:pPr>
            <w:hyperlink w:anchor="i57f6c49b29cd4e6996f8c5a8c66d5d80_136" w:history="1">
              <w:r>
                <w:rPr>
                  <w:rStyle w:val="a3"/>
                  <w:rFonts w:eastAsia="Times New Roman"/>
                  <w:sz w:val="18"/>
                  <w:szCs w:val="18"/>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36" w:history="1">
              <w:r>
                <w:rPr>
                  <w:rStyle w:val="a3"/>
                  <w:rFonts w:eastAsia="Times New Roman"/>
                  <w:sz w:val="18"/>
                  <w:szCs w:val="18"/>
                </w:rPr>
                <w:t>49</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629126587"/>
              <w:rPr>
                <w:rFonts w:eastAsia="Times New Roman"/>
              </w:rPr>
            </w:pPr>
            <w:hyperlink w:anchor="i57f6c49b29cd4e6996f8c5a8c66d5d80_139" w:history="1">
              <w:r>
                <w:rPr>
                  <w:rStyle w:val="a3"/>
                  <w:rFonts w:eastAsia="Times New Roman"/>
                  <w:sz w:val="18"/>
                  <w:szCs w:val="18"/>
                </w:rPr>
                <w:t>Item 9A.</w:t>
              </w:r>
            </w:hyperlink>
          </w:p>
        </w:tc>
        <w:tc>
          <w:tcPr>
            <w:tcW w:w="0" w:type="auto"/>
            <w:gridSpan w:val="3"/>
            <w:tcMar>
              <w:top w:w="30" w:type="dxa"/>
              <w:left w:w="20" w:type="dxa"/>
              <w:bottom w:w="30" w:type="dxa"/>
              <w:right w:w="20" w:type="dxa"/>
            </w:tcMar>
            <w:vAlign w:val="bottom"/>
            <w:hideMark/>
          </w:tcPr>
          <w:p w:rsidR="00000000" w:rsidRDefault="008931E1">
            <w:pPr>
              <w:spacing w:after="100"/>
              <w:divId w:val="1438213067"/>
              <w:rPr>
                <w:rFonts w:eastAsia="Times New Roman"/>
              </w:rPr>
            </w:pPr>
            <w:hyperlink w:anchor="i57f6c49b29cd4e6996f8c5a8c66d5d80_139" w:history="1">
              <w:r>
                <w:rPr>
                  <w:rStyle w:val="a3"/>
                  <w:rFonts w:eastAsia="Times New Roman"/>
                  <w:sz w:val="18"/>
                  <w:szCs w:val="18"/>
                </w:rPr>
                <w:t>Controls and Procedures</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39" w:history="1">
              <w:r>
                <w:rPr>
                  <w:rStyle w:val="a3"/>
                  <w:rFonts w:eastAsia="Times New Roman"/>
                  <w:sz w:val="18"/>
                  <w:szCs w:val="18"/>
                </w:rPr>
                <w:t>49</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39883511"/>
              <w:rPr>
                <w:rFonts w:eastAsia="Times New Roman"/>
              </w:rPr>
            </w:pPr>
            <w:hyperlink w:anchor="i57f6c49b29cd4e6996f8c5a8c66d5d80_142" w:history="1">
              <w:r>
                <w:rPr>
                  <w:rStyle w:val="a3"/>
                  <w:rFonts w:eastAsia="Times New Roman"/>
                  <w:sz w:val="18"/>
                  <w:szCs w:val="18"/>
                </w:rPr>
                <w:t>Item 9B.</w:t>
              </w:r>
            </w:hyperlink>
          </w:p>
        </w:tc>
        <w:tc>
          <w:tcPr>
            <w:tcW w:w="0" w:type="auto"/>
            <w:gridSpan w:val="3"/>
            <w:tcMar>
              <w:top w:w="30" w:type="dxa"/>
              <w:left w:w="20" w:type="dxa"/>
              <w:bottom w:w="30" w:type="dxa"/>
              <w:right w:w="20" w:type="dxa"/>
            </w:tcMar>
            <w:vAlign w:val="bottom"/>
            <w:hideMark/>
          </w:tcPr>
          <w:p w:rsidR="00000000" w:rsidRDefault="008931E1">
            <w:pPr>
              <w:spacing w:after="100"/>
              <w:divId w:val="131143809"/>
              <w:rPr>
                <w:rFonts w:eastAsia="Times New Roman"/>
              </w:rPr>
            </w:pPr>
            <w:hyperlink w:anchor="i57f6c49b29cd4e6996f8c5a8c66d5d80_142" w:history="1">
              <w:r>
                <w:rPr>
                  <w:rStyle w:val="a3"/>
                  <w:rFonts w:eastAsia="Times New Roman"/>
                  <w:sz w:val="18"/>
                  <w:szCs w:val="18"/>
                </w:rPr>
                <w:t>Other Information</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42" w:history="1">
              <w:r>
                <w:rPr>
                  <w:rStyle w:val="a3"/>
                  <w:rFonts w:eastAsia="Times New Roman"/>
                  <w:sz w:val="18"/>
                  <w:szCs w:val="18"/>
                </w:rPr>
                <w:t>49</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622809829"/>
              <w:rPr>
                <w:rFonts w:eastAsia="Times New Roman"/>
              </w:rPr>
            </w:pPr>
            <w:hyperlink w:anchor="i57f6c49b29cd4e6996f8c5a8c66d5d80_145" w:history="1">
              <w:r>
                <w:rPr>
                  <w:rStyle w:val="a3"/>
                  <w:rFonts w:eastAsia="Times New Roman"/>
                  <w:sz w:val="18"/>
                  <w:szCs w:val="18"/>
                </w:rPr>
                <w:t>Item 9</w:t>
              </w:r>
            </w:hyperlink>
            <w:hyperlink w:anchor="i57f6c49b29cd4e6996f8c5a8c66d5d80_145" w:history="1">
              <w:r>
                <w:rPr>
                  <w:rStyle w:val="a3"/>
                  <w:rFonts w:eastAsia="Times New Roman"/>
                  <w:sz w:val="18"/>
                  <w:szCs w:val="18"/>
                </w:rPr>
                <w:t>C</w:t>
              </w:r>
            </w:hyperlink>
            <w:hyperlink w:anchor="i57f6c49b29cd4e6996f8c5a8c66d5d80_145" w:history="1">
              <w:r>
                <w:rPr>
                  <w:rStyle w:val="a3"/>
                  <w:rFonts w:eastAsia="Times New Roman"/>
                  <w:sz w:val="18"/>
                  <w:szCs w:val="18"/>
                </w:rPr>
                <w:t>.</w:t>
              </w:r>
            </w:hyperlink>
          </w:p>
        </w:tc>
        <w:tc>
          <w:tcPr>
            <w:tcW w:w="0" w:type="auto"/>
            <w:gridSpan w:val="3"/>
            <w:tcMar>
              <w:top w:w="30" w:type="dxa"/>
              <w:left w:w="20" w:type="dxa"/>
              <w:bottom w:w="30" w:type="dxa"/>
              <w:right w:w="20" w:type="dxa"/>
            </w:tcMar>
            <w:vAlign w:val="bottom"/>
            <w:hideMark/>
          </w:tcPr>
          <w:p w:rsidR="00000000" w:rsidRDefault="008931E1">
            <w:pPr>
              <w:spacing w:after="100"/>
              <w:divId w:val="1111822381"/>
              <w:rPr>
                <w:rFonts w:eastAsia="Times New Roman"/>
              </w:rPr>
            </w:pPr>
            <w:hyperlink w:anchor="i57f6c49b29cd4e6996f8c5a8c66d5d80_145" w:history="1">
              <w:r>
                <w:rPr>
                  <w:rStyle w:val="a3"/>
                  <w:rFonts w:eastAsia="Times New Roman"/>
                  <w:sz w:val="18"/>
                  <w:szCs w:val="18"/>
                </w:rPr>
                <w:t>Disclosure Regarding Foreign Jurisdictions that Prevent Inspections</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45" w:history="1">
              <w:r>
                <w:rPr>
                  <w:rStyle w:val="a3"/>
                  <w:rFonts w:eastAsia="Times New Roman"/>
                  <w:sz w:val="18"/>
                  <w:szCs w:val="18"/>
                </w:rPr>
                <w:t>49</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r>
      <w:tr w:rsidR="00000000">
        <w:trPr>
          <w:jc w:val="center"/>
        </w:trPr>
        <w:tc>
          <w:tcPr>
            <w:tcW w:w="0" w:type="auto"/>
            <w:gridSpan w:val="9"/>
            <w:tcMar>
              <w:top w:w="30" w:type="dxa"/>
              <w:left w:w="20" w:type="dxa"/>
              <w:bottom w:w="30" w:type="dxa"/>
              <w:right w:w="20" w:type="dxa"/>
            </w:tcMar>
            <w:vAlign w:val="bottom"/>
            <w:hideMark/>
          </w:tcPr>
          <w:p w:rsidR="00000000" w:rsidRDefault="008931E1">
            <w:pPr>
              <w:spacing w:after="100"/>
              <w:jc w:val="center"/>
              <w:rPr>
                <w:rFonts w:eastAsia="Times New Roman"/>
              </w:rPr>
            </w:pPr>
            <w:hyperlink w:anchor="i57f6c49b29cd4e6996f8c5a8c66d5d80_148" w:history="1">
              <w:r>
                <w:rPr>
                  <w:rStyle w:val="a3"/>
                  <w:rFonts w:eastAsia="Times New Roman"/>
                  <w:b/>
                  <w:bCs/>
                  <w:sz w:val="18"/>
                  <w:szCs w:val="18"/>
                </w:rPr>
                <w:t>PART III</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389501311"/>
              <w:rPr>
                <w:rFonts w:eastAsia="Times New Roman"/>
              </w:rPr>
            </w:pPr>
            <w:hyperlink w:anchor="i57f6c49b29cd4e6996f8c5a8c66d5d80_151" w:history="1">
              <w:r>
                <w:rPr>
                  <w:rStyle w:val="a3"/>
                  <w:rFonts w:eastAsia="Times New Roman"/>
                  <w:sz w:val="18"/>
                  <w:szCs w:val="18"/>
                </w:rPr>
                <w:t>Item 10.</w:t>
              </w:r>
            </w:hyperlink>
          </w:p>
        </w:tc>
        <w:tc>
          <w:tcPr>
            <w:tcW w:w="0" w:type="auto"/>
            <w:gridSpan w:val="3"/>
            <w:tcMar>
              <w:top w:w="30" w:type="dxa"/>
              <w:left w:w="20" w:type="dxa"/>
              <w:bottom w:w="30" w:type="dxa"/>
              <w:right w:w="20" w:type="dxa"/>
            </w:tcMar>
            <w:vAlign w:val="bottom"/>
            <w:hideMark/>
          </w:tcPr>
          <w:p w:rsidR="00000000" w:rsidRDefault="008931E1">
            <w:pPr>
              <w:spacing w:after="100"/>
              <w:divId w:val="542132622"/>
              <w:rPr>
                <w:rFonts w:eastAsia="Times New Roman"/>
              </w:rPr>
            </w:pPr>
            <w:hyperlink w:anchor="i57f6c49b29cd4e6996f8c5a8c66d5d80_151" w:history="1">
              <w:r>
                <w:rPr>
                  <w:rStyle w:val="a3"/>
                  <w:rFonts w:eastAsia="Times New Roman"/>
                  <w:sz w:val="18"/>
                  <w:szCs w:val="18"/>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51" w:history="1">
              <w:r>
                <w:rPr>
                  <w:rStyle w:val="a3"/>
                  <w:rFonts w:eastAsia="Times New Roman"/>
                  <w:sz w:val="18"/>
                  <w:szCs w:val="18"/>
                </w:rPr>
                <w:t>50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928222525"/>
              <w:rPr>
                <w:rFonts w:eastAsia="Times New Roman"/>
              </w:rPr>
            </w:pPr>
            <w:hyperlink w:anchor="i57f6c49b29cd4e6996f8c5a8c66d5d80_154" w:history="1">
              <w:r>
                <w:rPr>
                  <w:rStyle w:val="a3"/>
                  <w:rFonts w:eastAsia="Times New Roman"/>
                  <w:sz w:val="18"/>
                  <w:szCs w:val="18"/>
                </w:rPr>
                <w:t>Item 11.</w:t>
              </w:r>
            </w:hyperlink>
          </w:p>
        </w:tc>
        <w:tc>
          <w:tcPr>
            <w:tcW w:w="0" w:type="auto"/>
            <w:gridSpan w:val="3"/>
            <w:tcMar>
              <w:top w:w="30" w:type="dxa"/>
              <w:left w:w="20" w:type="dxa"/>
              <w:bottom w:w="30" w:type="dxa"/>
              <w:right w:w="20" w:type="dxa"/>
            </w:tcMar>
            <w:vAlign w:val="bottom"/>
            <w:hideMark/>
          </w:tcPr>
          <w:p w:rsidR="00000000" w:rsidRDefault="008931E1">
            <w:pPr>
              <w:spacing w:after="100"/>
              <w:divId w:val="1576550616"/>
              <w:rPr>
                <w:rFonts w:eastAsia="Times New Roman"/>
              </w:rPr>
            </w:pPr>
            <w:hyperlink w:anchor="i57f6c49b29cd4e6996f8c5a8c66d5d80_154" w:history="1">
              <w:r>
                <w:rPr>
                  <w:rStyle w:val="a3"/>
                  <w:rFonts w:eastAsia="Times New Roman"/>
                  <w:sz w:val="18"/>
                  <w:szCs w:val="18"/>
                </w:rPr>
                <w:t>Executive Compensation</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54" w:history="1">
              <w:r>
                <w:rPr>
                  <w:rStyle w:val="a3"/>
                  <w:rFonts w:eastAsia="Times New Roman"/>
                  <w:sz w:val="18"/>
                  <w:szCs w:val="18"/>
                </w:rPr>
                <w:t>50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755442037"/>
              <w:rPr>
                <w:rFonts w:eastAsia="Times New Roman"/>
              </w:rPr>
            </w:pPr>
            <w:hyperlink w:anchor="i57f6c49b29cd4e6996f8c5a8c66d5d80_157" w:history="1">
              <w:r>
                <w:rPr>
                  <w:rStyle w:val="a3"/>
                  <w:rFonts w:eastAsia="Times New Roman"/>
                  <w:sz w:val="18"/>
                  <w:szCs w:val="18"/>
                </w:rPr>
                <w:t>Item 12.</w:t>
              </w:r>
            </w:hyperlink>
          </w:p>
        </w:tc>
        <w:tc>
          <w:tcPr>
            <w:tcW w:w="0" w:type="auto"/>
            <w:gridSpan w:val="3"/>
            <w:tcMar>
              <w:top w:w="30" w:type="dxa"/>
              <w:left w:w="20" w:type="dxa"/>
              <w:bottom w:w="30" w:type="dxa"/>
              <w:right w:w="20" w:type="dxa"/>
            </w:tcMar>
            <w:vAlign w:val="bottom"/>
            <w:hideMark/>
          </w:tcPr>
          <w:p w:rsidR="00000000" w:rsidRDefault="008931E1">
            <w:pPr>
              <w:spacing w:after="100"/>
              <w:divId w:val="139008800"/>
              <w:rPr>
                <w:rFonts w:eastAsia="Times New Roman"/>
              </w:rPr>
            </w:pPr>
            <w:hyperlink w:anchor="i57f6c49b29cd4e6996f8c5a8c66d5d80_157" w:history="1">
              <w:r>
                <w:rPr>
                  <w:rStyle w:val="a3"/>
                  <w:rFonts w:eastAsia="Times New Roman"/>
                  <w:sz w:val="18"/>
                  <w:szCs w:val="18"/>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57" w:history="1">
              <w:r>
                <w:rPr>
                  <w:rStyle w:val="a3"/>
                  <w:rFonts w:eastAsia="Times New Roman"/>
                  <w:sz w:val="18"/>
                  <w:szCs w:val="18"/>
                </w:rPr>
                <w:t>50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702438234"/>
              <w:rPr>
                <w:rFonts w:eastAsia="Times New Roman"/>
              </w:rPr>
            </w:pPr>
            <w:hyperlink w:anchor="i57f6c49b29cd4e6996f8c5a8c66d5d80_160" w:history="1">
              <w:r>
                <w:rPr>
                  <w:rStyle w:val="a3"/>
                  <w:rFonts w:eastAsia="Times New Roman"/>
                  <w:sz w:val="18"/>
                  <w:szCs w:val="18"/>
                </w:rPr>
                <w:t>Item 13.</w:t>
              </w:r>
            </w:hyperlink>
          </w:p>
        </w:tc>
        <w:tc>
          <w:tcPr>
            <w:tcW w:w="0" w:type="auto"/>
            <w:gridSpan w:val="3"/>
            <w:tcMar>
              <w:top w:w="30" w:type="dxa"/>
              <w:left w:w="20" w:type="dxa"/>
              <w:bottom w:w="30" w:type="dxa"/>
              <w:right w:w="20" w:type="dxa"/>
            </w:tcMar>
            <w:vAlign w:val="bottom"/>
            <w:hideMark/>
          </w:tcPr>
          <w:p w:rsidR="00000000" w:rsidRDefault="008931E1">
            <w:pPr>
              <w:spacing w:after="100"/>
              <w:divId w:val="828669873"/>
              <w:rPr>
                <w:rFonts w:eastAsia="Times New Roman"/>
              </w:rPr>
            </w:pPr>
            <w:hyperlink w:anchor="i57f6c49b29cd4e6996f8c5a8c66d5d80_160" w:history="1">
              <w:r>
                <w:rPr>
                  <w:rStyle w:val="a3"/>
                  <w:rFonts w:eastAsia="Times New Roman"/>
                  <w:sz w:val="18"/>
                  <w:szCs w:val="18"/>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60" w:history="1">
              <w:r>
                <w:rPr>
                  <w:rStyle w:val="a3"/>
                  <w:rFonts w:eastAsia="Times New Roman"/>
                  <w:sz w:val="18"/>
                  <w:szCs w:val="18"/>
                </w:rPr>
                <w:t>50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659459445"/>
              <w:rPr>
                <w:rFonts w:eastAsia="Times New Roman"/>
              </w:rPr>
            </w:pPr>
            <w:hyperlink w:anchor="i57f6c49b29cd4e6996f8c5a8c66d5d80_163" w:history="1">
              <w:r>
                <w:rPr>
                  <w:rStyle w:val="a3"/>
                  <w:rFonts w:eastAsia="Times New Roman"/>
                  <w:sz w:val="18"/>
                  <w:szCs w:val="18"/>
                </w:rPr>
                <w:t>Item 14.</w:t>
              </w:r>
            </w:hyperlink>
          </w:p>
        </w:tc>
        <w:tc>
          <w:tcPr>
            <w:tcW w:w="0" w:type="auto"/>
            <w:gridSpan w:val="3"/>
            <w:tcMar>
              <w:top w:w="30" w:type="dxa"/>
              <w:left w:w="20" w:type="dxa"/>
              <w:bottom w:w="30" w:type="dxa"/>
              <w:right w:w="20" w:type="dxa"/>
            </w:tcMar>
            <w:vAlign w:val="bottom"/>
            <w:hideMark/>
          </w:tcPr>
          <w:p w:rsidR="00000000" w:rsidRDefault="008931E1">
            <w:pPr>
              <w:spacing w:after="100"/>
              <w:divId w:val="1141533879"/>
              <w:rPr>
                <w:rFonts w:eastAsia="Times New Roman"/>
              </w:rPr>
            </w:pPr>
            <w:hyperlink w:anchor="i57f6c49b29cd4e6996f8c5a8c66d5d80_163" w:history="1">
              <w:r>
                <w:rPr>
                  <w:rStyle w:val="a3"/>
                  <w:rFonts w:eastAsia="Times New Roman"/>
                  <w:sz w:val="18"/>
                  <w:szCs w:val="18"/>
                </w:rPr>
                <w:t>Principal Accounting Fees and Services</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63" w:history="1">
              <w:r>
                <w:rPr>
                  <w:rStyle w:val="a3"/>
                  <w:rFonts w:eastAsia="Times New Roman"/>
                  <w:sz w:val="18"/>
                  <w:szCs w:val="18"/>
                </w:rPr>
                <w:t>50</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r>
      <w:tr w:rsidR="00000000">
        <w:trPr>
          <w:jc w:val="center"/>
        </w:trPr>
        <w:tc>
          <w:tcPr>
            <w:tcW w:w="0" w:type="auto"/>
            <w:gridSpan w:val="9"/>
            <w:tcMar>
              <w:top w:w="30" w:type="dxa"/>
              <w:left w:w="20" w:type="dxa"/>
              <w:bottom w:w="30" w:type="dxa"/>
              <w:right w:w="20" w:type="dxa"/>
            </w:tcMar>
            <w:vAlign w:val="bottom"/>
            <w:hideMark/>
          </w:tcPr>
          <w:p w:rsidR="00000000" w:rsidRDefault="008931E1">
            <w:pPr>
              <w:spacing w:after="100"/>
              <w:jc w:val="center"/>
              <w:rPr>
                <w:rFonts w:eastAsia="Times New Roman"/>
              </w:rPr>
            </w:pPr>
            <w:hyperlink w:anchor="i57f6c49b29cd4e6996f8c5a8c66d5d80_166" w:history="1">
              <w:r>
                <w:rPr>
                  <w:rStyle w:val="a3"/>
                  <w:rFonts w:eastAsia="Times New Roman"/>
                  <w:b/>
                  <w:bCs/>
                  <w:sz w:val="18"/>
                  <w:szCs w:val="18"/>
                </w:rPr>
                <w:t>PART IV</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512179634"/>
              <w:rPr>
                <w:rFonts w:eastAsia="Times New Roman"/>
              </w:rPr>
            </w:pPr>
            <w:hyperlink w:anchor="i57f6c49b29cd4e6996f8c5a8c66d5d80_169" w:history="1">
              <w:r>
                <w:rPr>
                  <w:rStyle w:val="a3"/>
                  <w:rFonts w:eastAsia="Times New Roman"/>
                  <w:sz w:val="18"/>
                  <w:szCs w:val="18"/>
                </w:rPr>
                <w:t>Item 15.</w:t>
              </w:r>
            </w:hyperlink>
          </w:p>
        </w:tc>
        <w:tc>
          <w:tcPr>
            <w:tcW w:w="0" w:type="auto"/>
            <w:gridSpan w:val="3"/>
            <w:tcMar>
              <w:top w:w="30" w:type="dxa"/>
              <w:left w:w="20" w:type="dxa"/>
              <w:bottom w:w="30" w:type="dxa"/>
              <w:right w:w="20" w:type="dxa"/>
            </w:tcMar>
            <w:vAlign w:val="bottom"/>
            <w:hideMark/>
          </w:tcPr>
          <w:p w:rsidR="00000000" w:rsidRDefault="008931E1">
            <w:pPr>
              <w:spacing w:after="100"/>
              <w:divId w:val="1282223748"/>
              <w:rPr>
                <w:rFonts w:eastAsia="Times New Roman"/>
              </w:rPr>
            </w:pPr>
            <w:hyperlink w:anchor="i57f6c49b29cd4e6996f8c5a8c66d5d80_169" w:history="1">
              <w:r>
                <w:rPr>
                  <w:rStyle w:val="a3"/>
                  <w:rFonts w:eastAsia="Times New Roman"/>
                  <w:sz w:val="18"/>
                  <w:szCs w:val="18"/>
                </w:rPr>
                <w:t>Exhibits and Financial Statement Schedules</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69" w:history="1">
              <w:r>
                <w:rPr>
                  <w:rStyle w:val="a3"/>
                  <w:rFonts w:eastAsia="Times New Roman"/>
                  <w:sz w:val="18"/>
                  <w:szCs w:val="18"/>
                </w:rPr>
                <w:t>50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462382627"/>
              <w:rPr>
                <w:rFonts w:eastAsia="Times New Roman"/>
              </w:rPr>
            </w:pPr>
            <w:hyperlink w:anchor="i57f6c49b29cd4e6996f8c5a8c66d5d80_175" w:history="1">
              <w:r>
                <w:rPr>
                  <w:rStyle w:val="a3"/>
                  <w:rFonts w:eastAsia="Times New Roman"/>
                  <w:sz w:val="18"/>
                  <w:szCs w:val="18"/>
                </w:rPr>
                <w:t>Item 16.</w:t>
              </w:r>
            </w:hyperlink>
          </w:p>
        </w:tc>
        <w:tc>
          <w:tcPr>
            <w:tcW w:w="0" w:type="auto"/>
            <w:gridSpan w:val="3"/>
            <w:tcMar>
              <w:top w:w="30" w:type="dxa"/>
              <w:left w:w="20" w:type="dxa"/>
              <w:bottom w:w="30" w:type="dxa"/>
              <w:right w:w="20" w:type="dxa"/>
            </w:tcMar>
            <w:vAlign w:val="bottom"/>
            <w:hideMark/>
          </w:tcPr>
          <w:p w:rsidR="00000000" w:rsidRDefault="008931E1">
            <w:pPr>
              <w:spacing w:after="100"/>
              <w:divId w:val="1773623442"/>
              <w:rPr>
                <w:rFonts w:eastAsia="Times New Roman"/>
              </w:rPr>
            </w:pPr>
            <w:hyperlink w:anchor="i57f6c49b29cd4e6996f8c5a8c66d5d80_175" w:history="1">
              <w:r>
                <w:rPr>
                  <w:rStyle w:val="a3"/>
                  <w:rFonts w:eastAsia="Times New Roman"/>
                  <w:sz w:val="18"/>
                  <w:szCs w:val="18"/>
                </w:rPr>
                <w:t>Form 10-K Summary</w:t>
              </w:r>
            </w:hyperlink>
          </w:p>
        </w:tc>
        <w:tc>
          <w:tcPr>
            <w:tcW w:w="0" w:type="auto"/>
            <w:gridSpan w:val="3"/>
            <w:tcMar>
              <w:top w:w="30" w:type="dxa"/>
              <w:left w:w="20" w:type="dxa"/>
              <w:bottom w:w="30" w:type="dxa"/>
              <w:right w:w="20" w:type="dxa"/>
            </w:tcMar>
            <w:vAlign w:val="bottom"/>
            <w:hideMark/>
          </w:tcPr>
          <w:p w:rsidR="00000000" w:rsidRDefault="008931E1">
            <w:pPr>
              <w:spacing w:after="100"/>
              <w:jc w:val="right"/>
              <w:rPr>
                <w:rFonts w:eastAsia="Times New Roman"/>
              </w:rPr>
            </w:pPr>
            <w:hyperlink w:anchor="i57f6c49b29cd4e6996f8c5a8c66d5d80_175" w:history="1">
              <w:r>
                <w:rPr>
                  <w:rStyle w:val="a3"/>
                  <w:rFonts w:eastAsia="Times New Roman"/>
                  <w:sz w:val="18"/>
                  <w:szCs w:val="18"/>
                </w:rPr>
                <w:t>53</w:t>
              </w:r>
            </w:hyperlink>
          </w:p>
        </w:tc>
      </w:tr>
    </w:tbl>
    <w:p w:rsidR="00000000" w:rsidRDefault="008931E1">
      <w:pPr>
        <w:divId w:val="1673799905"/>
        <w:rPr>
          <w:rFonts w:eastAsia="Times New Roman"/>
        </w:rPr>
      </w:pPr>
    </w:p>
    <w:p w:rsidR="00000000" w:rsidRDefault="008931E1">
      <w:pPr>
        <w:jc w:val="center"/>
        <w:divId w:val="1450004641"/>
        <w:rPr>
          <w:rFonts w:eastAsia="Times New Roman"/>
        </w:rPr>
      </w:pPr>
      <w:r>
        <w:rPr>
          <w:rFonts w:eastAsia="Times New Roman"/>
          <w:color w:val="000000"/>
          <w:sz w:val="20"/>
          <w:szCs w:val="20"/>
        </w:rPr>
        <w:t>3</w:t>
      </w:r>
    </w:p>
    <w:p w:rsidR="00000000" w:rsidRDefault="008931E1">
      <w:pPr>
        <w:rPr>
          <w:rFonts w:eastAsia="Times New Roman"/>
        </w:rPr>
      </w:pPr>
      <w:r>
        <w:rPr>
          <w:rFonts w:eastAsia="Times New Roman"/>
        </w:rPr>
        <w:pict>
          <v:rect id="_x0000_i1026" style="width:0;height:1.5pt" o:hralign="center" o:hrstd="t" o:hr="t" fillcolor="#a0a0a0" stroked="f"/>
        </w:pict>
      </w:r>
    </w:p>
    <w:p w:rsidR="00000000" w:rsidRDefault="008931E1">
      <w:pPr>
        <w:divId w:val="198861699"/>
        <w:rPr>
          <w:rFonts w:eastAsia="Times New Roman"/>
        </w:rPr>
      </w:pPr>
    </w:p>
    <w:p w:rsidR="00000000" w:rsidRDefault="008931E1">
      <w:pPr>
        <w:divId w:val="1185292834"/>
        <w:rPr>
          <w:rFonts w:eastAsia="Times New Roman"/>
        </w:rPr>
      </w:pPr>
      <w:r>
        <w:rPr>
          <w:rFonts w:eastAsia="Times New Roman"/>
          <w:b/>
          <w:bCs/>
          <w:color w:val="000000"/>
          <w:sz w:val="20"/>
          <w:szCs w:val="20"/>
        </w:rPr>
        <w:t xml:space="preserve">Risk Factors Summary: </w:t>
      </w:r>
    </w:p>
    <w:p w:rsidR="00000000" w:rsidRDefault="008931E1">
      <w:pPr>
        <w:ind w:firstLine="360"/>
        <w:divId w:val="301010565"/>
        <w:rPr>
          <w:rFonts w:eastAsia="Times New Roman"/>
        </w:rPr>
      </w:pPr>
      <w:r>
        <w:rPr>
          <w:rFonts w:eastAsia="Times New Roman"/>
          <w:color w:val="000000"/>
          <w:sz w:val="20"/>
          <w:szCs w:val="20"/>
        </w:rPr>
        <w:t>Our business is subject to numerous risks and uncertainties, including those described in “Part I, Item 1A, Risk Factors” of this Annual Report. These risks include, but are not limited to, the f</w:t>
      </w:r>
      <w:r>
        <w:rPr>
          <w:rFonts w:eastAsia="Times New Roman"/>
          <w:color w:val="000000"/>
          <w:sz w:val="20"/>
          <w:szCs w:val="20"/>
        </w:rPr>
        <w:t xml:space="preserve">ollowing: </w:t>
      </w:r>
    </w:p>
    <w:p w:rsidR="00000000" w:rsidRDefault="008931E1">
      <w:pPr>
        <w:divId w:val="391317924"/>
        <w:rPr>
          <w:rFonts w:eastAsia="Times New Roman"/>
        </w:rPr>
      </w:pPr>
      <w:r>
        <w:rPr>
          <w:rFonts w:eastAsia="Times New Roman"/>
          <w:b/>
          <w:bCs/>
          <w:color w:val="000000"/>
          <w:sz w:val="20"/>
          <w:szCs w:val="20"/>
        </w:rPr>
        <w:t>RISKS RELATED TO OUR OPERATING BUSINESSES</w:t>
      </w:r>
    </w:p>
    <w:p w:rsidR="00000000" w:rsidRDefault="008931E1">
      <w:pPr>
        <w:ind w:hanging="360"/>
        <w:divId w:val="1436558715"/>
        <w:rPr>
          <w:rFonts w:eastAsia="Times New Roman"/>
        </w:rPr>
      </w:pPr>
      <w:r>
        <w:rPr>
          <w:rFonts w:eastAsia="Times New Roman"/>
          <w:color w:val="000000"/>
          <w:sz w:val="20"/>
          <w:szCs w:val="20"/>
        </w:rPr>
        <w:t>•</w:t>
      </w:r>
      <w:r>
        <w:rPr>
          <w:rFonts w:eastAsia="Times New Roman"/>
          <w:i/>
          <w:iCs/>
          <w:color w:val="000000"/>
          <w:sz w:val="20"/>
          <w:szCs w:val="20"/>
        </w:rPr>
        <w:t>We derive a significant portion of our revenues from a small number of customers and licensees, and particularly from their sale of premium tier handset devices. If revenues derived from these customers</w:t>
      </w:r>
      <w:r>
        <w:rPr>
          <w:rFonts w:eastAsia="Times New Roman"/>
          <w:i/>
          <w:iCs/>
          <w:color w:val="000000"/>
          <w:sz w:val="20"/>
          <w:szCs w:val="20"/>
        </w:rPr>
        <w:t xml:space="preserve"> or licensees decrease or the timing of such revenues fluctuates, our business and results of operations could be negatively affected.</w:t>
      </w:r>
    </w:p>
    <w:p w:rsidR="00000000" w:rsidRDefault="008931E1">
      <w:pPr>
        <w:ind w:hanging="360"/>
        <w:divId w:val="2045977684"/>
        <w:rPr>
          <w:rFonts w:eastAsia="Times New Roman"/>
        </w:rPr>
      </w:pPr>
      <w:r>
        <w:rPr>
          <w:rFonts w:eastAsia="Times New Roman"/>
          <w:i/>
          <w:iCs/>
          <w:color w:val="000000"/>
          <w:sz w:val="20"/>
          <w:szCs w:val="20"/>
        </w:rPr>
        <w:t>•Our business, particularly our semiconductor business, may suffer as a result of our customers vertically integrating (i</w:t>
      </w:r>
      <w:r>
        <w:rPr>
          <w:rFonts w:eastAsia="Times New Roman"/>
          <w:i/>
          <w:iCs/>
          <w:color w:val="000000"/>
          <w:sz w:val="20"/>
          <w:szCs w:val="20"/>
        </w:rPr>
        <w:t>.e., developing their own integrated circuit products).</w:t>
      </w:r>
    </w:p>
    <w:p w:rsidR="00000000" w:rsidRDefault="008931E1">
      <w:pPr>
        <w:ind w:hanging="360"/>
        <w:divId w:val="860356787"/>
        <w:rPr>
          <w:rFonts w:eastAsia="Times New Roman"/>
        </w:rPr>
      </w:pPr>
      <w:r>
        <w:rPr>
          <w:rFonts w:eastAsia="Times New Roman"/>
          <w:i/>
          <w:iCs/>
          <w:color w:val="000000"/>
          <w:sz w:val="20"/>
          <w:szCs w:val="20"/>
        </w:rPr>
        <w:t>•A significant portion of our business is concentrated in China, and the risks of such concentration are exacerbated by U.S./China trade and national security tensions.</w:t>
      </w:r>
    </w:p>
    <w:p w:rsidR="00000000" w:rsidRDefault="008931E1">
      <w:pPr>
        <w:divId w:val="1573270145"/>
        <w:rPr>
          <w:rFonts w:eastAsia="Times New Roman"/>
        </w:rPr>
      </w:pPr>
      <w:r>
        <w:rPr>
          <w:rFonts w:eastAsia="Times New Roman"/>
          <w:b/>
          <w:bCs/>
          <w:color w:val="000000"/>
          <w:sz w:val="20"/>
          <w:szCs w:val="20"/>
        </w:rPr>
        <w:t>RISKS RELATED TO NEW INITIATIVE</w:t>
      </w:r>
      <w:r>
        <w:rPr>
          <w:rFonts w:eastAsia="Times New Roman"/>
          <w:b/>
          <w:bCs/>
          <w:color w:val="000000"/>
          <w:sz w:val="20"/>
          <w:szCs w:val="20"/>
        </w:rPr>
        <w:t>S</w:t>
      </w:r>
    </w:p>
    <w:p w:rsidR="00000000" w:rsidRDefault="008931E1">
      <w:pPr>
        <w:ind w:hanging="360"/>
        <w:divId w:val="186412264"/>
        <w:rPr>
          <w:rFonts w:eastAsia="Times New Roman"/>
        </w:rPr>
      </w:pPr>
      <w:r>
        <w:rPr>
          <w:rFonts w:eastAsia="Times New Roman"/>
          <w:i/>
          <w:iCs/>
          <w:color w:val="000000"/>
          <w:sz w:val="20"/>
          <w:szCs w:val="20"/>
        </w:rPr>
        <w:t>•Our growth depends in part on our ability to extend our technologies and products into new and expanded product areas, and industries and applications beyond mobile handsets. Our research, development and other investments in these new and expanded prod</w:t>
      </w:r>
      <w:r>
        <w:rPr>
          <w:rFonts w:eastAsia="Times New Roman"/>
          <w:i/>
          <w:iCs/>
          <w:color w:val="000000"/>
          <w:sz w:val="20"/>
          <w:szCs w:val="20"/>
        </w:rPr>
        <w:t>uct areas, industries and applications, and related technologies and products, as well as in our existing technologies and products, and new technologies, may not generate operating income or contribute to future results of operations that meet our expecta</w:t>
      </w:r>
      <w:r>
        <w:rPr>
          <w:rFonts w:eastAsia="Times New Roman"/>
          <w:i/>
          <w:iCs/>
          <w:color w:val="000000"/>
          <w:sz w:val="20"/>
          <w:szCs w:val="20"/>
        </w:rPr>
        <w:t>tions.</w:t>
      </w:r>
    </w:p>
    <w:p w:rsidR="00000000" w:rsidRDefault="008931E1">
      <w:pPr>
        <w:ind w:hanging="360"/>
        <w:divId w:val="805783719"/>
        <w:rPr>
          <w:rFonts w:eastAsia="Times New Roman"/>
        </w:rPr>
      </w:pPr>
      <w:r>
        <w:rPr>
          <w:rFonts w:eastAsia="Times New Roman"/>
          <w:i/>
          <w:iCs/>
          <w:color w:val="000000"/>
          <w:sz w:val="20"/>
          <w:szCs w:val="20"/>
        </w:rPr>
        <w:t>•We may engage in acquisitions and other strategic transactions or make investments, or be unable to consummate planned strategic acquisitions, which could adversely affect our results of operations or fail to enhance stockholder value.</w:t>
      </w:r>
    </w:p>
    <w:p w:rsidR="00000000" w:rsidRDefault="008931E1">
      <w:pPr>
        <w:divId w:val="1048915878"/>
        <w:rPr>
          <w:rFonts w:eastAsia="Times New Roman"/>
        </w:rPr>
      </w:pPr>
      <w:r>
        <w:rPr>
          <w:rFonts w:eastAsia="Times New Roman"/>
          <w:b/>
          <w:bCs/>
          <w:color w:val="000000"/>
          <w:sz w:val="20"/>
          <w:szCs w:val="20"/>
        </w:rPr>
        <w:t>RISKS RELATE</w:t>
      </w:r>
      <w:r>
        <w:rPr>
          <w:rFonts w:eastAsia="Times New Roman"/>
          <w:b/>
          <w:bCs/>
          <w:color w:val="000000"/>
          <w:sz w:val="20"/>
          <w:szCs w:val="20"/>
        </w:rPr>
        <w:t xml:space="preserve">D TO SUPPLY AND MANUFACTURING </w:t>
      </w:r>
    </w:p>
    <w:p w:rsidR="00000000" w:rsidRDefault="008931E1">
      <w:pPr>
        <w:ind w:hanging="360"/>
        <w:divId w:val="56828943"/>
        <w:rPr>
          <w:rFonts w:eastAsia="Times New Roman"/>
        </w:rPr>
      </w:pPr>
      <w:r>
        <w:rPr>
          <w:rFonts w:eastAsia="Times New Roman"/>
          <w:i/>
          <w:iCs/>
          <w:color w:val="000000"/>
          <w:sz w:val="20"/>
          <w:szCs w:val="20"/>
        </w:rPr>
        <w:t>•We depend on a limited number of third-party suppliers for the procurement, manufacture, assembly and testing of our products manufactured in a fabless production model. If we fail to execute supply strategies that provide s</w:t>
      </w:r>
      <w:r>
        <w:rPr>
          <w:rFonts w:eastAsia="Times New Roman"/>
          <w:i/>
          <w:iCs/>
          <w:color w:val="000000"/>
          <w:sz w:val="20"/>
          <w:szCs w:val="20"/>
        </w:rPr>
        <w:t>upply assurance, technology leadership and reasonable margins, our business and results of operations may be harmed. We are also subject to order and shipment uncertainties that could negatively impact our results of operations.</w:t>
      </w:r>
    </w:p>
    <w:p w:rsidR="00000000" w:rsidRDefault="008931E1">
      <w:pPr>
        <w:ind w:hanging="360"/>
        <w:divId w:val="1738699600"/>
        <w:rPr>
          <w:rFonts w:eastAsia="Times New Roman"/>
        </w:rPr>
      </w:pPr>
      <w:r>
        <w:rPr>
          <w:rFonts w:eastAsia="Times New Roman"/>
          <w:i/>
          <w:iCs/>
          <w:color w:val="000000"/>
          <w:sz w:val="20"/>
          <w:szCs w:val="20"/>
        </w:rPr>
        <w:t>•There are numerous risks a</w:t>
      </w:r>
      <w:r>
        <w:rPr>
          <w:rFonts w:eastAsia="Times New Roman"/>
          <w:i/>
          <w:iCs/>
          <w:color w:val="000000"/>
          <w:sz w:val="20"/>
          <w:szCs w:val="20"/>
        </w:rPr>
        <w:t>ssociated with the operation and control of our manufacturing facilities, including a higher portion of fixed costs relative to a fabless model; environmental compliance and liability; impacts related to climate change; exposure to natural disasters, healt</w:t>
      </w:r>
      <w:r>
        <w:rPr>
          <w:rFonts w:eastAsia="Times New Roman"/>
          <w:i/>
          <w:iCs/>
          <w:color w:val="000000"/>
          <w:sz w:val="20"/>
          <w:szCs w:val="20"/>
        </w:rPr>
        <w:t>h crises, geopolitical conflicts and cyber-attacks; timely supply of equipment and materials; and various manufacturing issues.</w:t>
      </w:r>
    </w:p>
    <w:p w:rsidR="00000000" w:rsidRDefault="008931E1">
      <w:pPr>
        <w:divId w:val="2116630029"/>
        <w:rPr>
          <w:rFonts w:eastAsia="Times New Roman"/>
        </w:rPr>
      </w:pPr>
      <w:r>
        <w:rPr>
          <w:rFonts w:eastAsia="Times New Roman"/>
          <w:b/>
          <w:bCs/>
          <w:color w:val="000000"/>
          <w:sz w:val="20"/>
          <w:szCs w:val="20"/>
        </w:rPr>
        <w:t>RISKS RELATED TO CYBERSECURITY OR MISAPPROPRIATION OF OUR CRITICAL INFORMATION</w:t>
      </w:r>
    </w:p>
    <w:p w:rsidR="00000000" w:rsidRDefault="008931E1">
      <w:pPr>
        <w:ind w:hanging="360"/>
        <w:divId w:val="485173889"/>
        <w:rPr>
          <w:rFonts w:eastAsia="Times New Roman"/>
        </w:rPr>
      </w:pPr>
      <w:r>
        <w:rPr>
          <w:rFonts w:eastAsia="Times New Roman"/>
          <w:i/>
          <w:iCs/>
          <w:color w:val="000000"/>
          <w:sz w:val="20"/>
          <w:szCs w:val="20"/>
        </w:rPr>
        <w:t xml:space="preserve">•Our business and operations could suffer in the </w:t>
      </w:r>
      <w:r>
        <w:rPr>
          <w:rFonts w:eastAsia="Times New Roman"/>
          <w:i/>
          <w:iCs/>
          <w:color w:val="000000"/>
          <w:sz w:val="20"/>
          <w:szCs w:val="20"/>
        </w:rPr>
        <w:t>event of security breaches of our IT systems, or other misappropriation of our technology, intellectual property or other proprietary or confidential information.</w:t>
      </w:r>
    </w:p>
    <w:p w:rsidR="00000000" w:rsidRDefault="008931E1">
      <w:pPr>
        <w:divId w:val="573398313"/>
        <w:rPr>
          <w:rFonts w:eastAsia="Times New Roman"/>
        </w:rPr>
      </w:pPr>
      <w:r>
        <w:rPr>
          <w:rFonts w:eastAsia="Times New Roman"/>
          <w:b/>
          <w:bCs/>
          <w:color w:val="000000"/>
          <w:sz w:val="20"/>
          <w:szCs w:val="20"/>
        </w:rPr>
        <w:t>RISKS RELATED TO HUMAN CAPITAL MANAGEMENT</w:t>
      </w:r>
    </w:p>
    <w:p w:rsidR="00000000" w:rsidRDefault="008931E1">
      <w:pPr>
        <w:ind w:hanging="360"/>
        <w:divId w:val="484125408"/>
        <w:rPr>
          <w:rFonts w:eastAsia="Times New Roman"/>
        </w:rPr>
      </w:pPr>
      <w:r>
        <w:rPr>
          <w:rFonts w:eastAsia="Times New Roman"/>
          <w:i/>
          <w:iCs/>
          <w:color w:val="000000"/>
          <w:sz w:val="20"/>
          <w:szCs w:val="20"/>
        </w:rPr>
        <w:t xml:space="preserve">•We may not be able to attract or retain qualified </w:t>
      </w:r>
      <w:r>
        <w:rPr>
          <w:rFonts w:eastAsia="Times New Roman"/>
          <w:i/>
          <w:iCs/>
          <w:color w:val="000000"/>
          <w:sz w:val="20"/>
          <w:szCs w:val="20"/>
        </w:rPr>
        <w:t>employees.</w:t>
      </w:r>
    </w:p>
    <w:p w:rsidR="00000000" w:rsidRDefault="008931E1">
      <w:pPr>
        <w:divId w:val="1783721293"/>
        <w:rPr>
          <w:rFonts w:eastAsia="Times New Roman"/>
        </w:rPr>
      </w:pPr>
      <w:r>
        <w:rPr>
          <w:rFonts w:eastAsia="Times New Roman"/>
          <w:b/>
          <w:bCs/>
          <w:color w:val="000000"/>
          <w:sz w:val="20"/>
          <w:szCs w:val="20"/>
        </w:rPr>
        <w:t xml:space="preserve">RISKS SPECIFIC TO OUR LICENSING BUSINESS </w:t>
      </w:r>
    </w:p>
    <w:p w:rsidR="00000000" w:rsidRDefault="008931E1">
      <w:pPr>
        <w:ind w:hanging="360"/>
        <w:divId w:val="1422330615"/>
        <w:rPr>
          <w:rFonts w:eastAsia="Times New Roman"/>
        </w:rPr>
      </w:pPr>
      <w:r>
        <w:rPr>
          <w:rFonts w:eastAsia="Times New Roman"/>
          <w:i/>
          <w:iCs/>
          <w:color w:val="000000"/>
          <w:sz w:val="20"/>
          <w:szCs w:val="20"/>
        </w:rPr>
        <w:lastRenderedPageBreak/>
        <w:t>•</w:t>
      </w:r>
      <w:r>
        <w:rPr>
          <w:rFonts w:eastAsia="Times New Roman"/>
          <w:i/>
          <w:iCs/>
          <w:color w:val="000000"/>
          <w:sz w:val="20"/>
          <w:szCs w:val="20"/>
        </w:rPr>
        <w:t>The continued and future success of our licensing programs requires us to continue to evolve our patent portfolio and to renew or renegotiate license agreements that are expiring.</w:t>
      </w:r>
    </w:p>
    <w:p w:rsidR="00000000" w:rsidRDefault="008931E1">
      <w:pPr>
        <w:ind w:hanging="360"/>
        <w:divId w:val="789325028"/>
        <w:rPr>
          <w:rFonts w:eastAsia="Times New Roman"/>
        </w:rPr>
      </w:pPr>
      <w:r>
        <w:rPr>
          <w:rFonts w:eastAsia="Times New Roman"/>
          <w:i/>
          <w:iCs/>
          <w:color w:val="000000"/>
          <w:sz w:val="20"/>
          <w:szCs w:val="20"/>
        </w:rPr>
        <w:t>•Efforts by some original equipment manufacturers (OEMs) to avoid paying fai</w:t>
      </w:r>
      <w:r>
        <w:rPr>
          <w:rFonts w:eastAsia="Times New Roman"/>
          <w:i/>
          <w:iCs/>
          <w:color w:val="000000"/>
          <w:sz w:val="20"/>
          <w:szCs w:val="20"/>
        </w:rPr>
        <w:t>r and reasonable royalties for the use of our intellectual property may require the investment of substantial management time and financial resources and may result in legal decisions or actions by governments, courts, regulators or agencies, Standards Dev</w:t>
      </w:r>
      <w:r>
        <w:rPr>
          <w:rFonts w:eastAsia="Times New Roman"/>
          <w:i/>
          <w:iCs/>
          <w:color w:val="000000"/>
          <w:sz w:val="20"/>
          <w:szCs w:val="20"/>
        </w:rPr>
        <w:t xml:space="preserve">elopment Organizations (SDOs) or other industry organizations that harm our business. </w:t>
      </w:r>
    </w:p>
    <w:p w:rsidR="00000000" w:rsidRDefault="008931E1">
      <w:pPr>
        <w:ind w:hanging="360"/>
        <w:divId w:val="1408379307"/>
        <w:rPr>
          <w:rFonts w:eastAsia="Times New Roman"/>
        </w:rPr>
      </w:pPr>
      <w:r>
        <w:rPr>
          <w:rFonts w:eastAsia="Times New Roman"/>
          <w:i/>
          <w:iCs/>
          <w:color w:val="000000"/>
          <w:sz w:val="20"/>
          <w:szCs w:val="20"/>
        </w:rPr>
        <w:t>•Changes in our patent licensing practices, whether due to governmental investigations, legal challenges or otherwise, could adversely impact our business and results of</w:t>
      </w:r>
      <w:r>
        <w:rPr>
          <w:rFonts w:eastAsia="Times New Roman"/>
          <w:i/>
          <w:iCs/>
          <w:color w:val="000000"/>
          <w:sz w:val="20"/>
          <w:szCs w:val="20"/>
        </w:rPr>
        <w:t xml:space="preserve"> operations.</w:t>
      </w:r>
    </w:p>
    <w:p w:rsidR="00000000" w:rsidRDefault="008931E1">
      <w:pPr>
        <w:divId w:val="326400702"/>
        <w:rPr>
          <w:rFonts w:eastAsia="Times New Roman"/>
        </w:rPr>
      </w:pPr>
    </w:p>
    <w:p w:rsidR="00000000" w:rsidRDefault="008931E1">
      <w:pPr>
        <w:divId w:val="1753696148"/>
        <w:rPr>
          <w:rFonts w:eastAsia="Times New Roman"/>
        </w:rPr>
      </w:pPr>
    </w:p>
    <w:p w:rsidR="00000000" w:rsidRDefault="008931E1">
      <w:pPr>
        <w:jc w:val="center"/>
        <w:divId w:val="458840929"/>
        <w:rPr>
          <w:rFonts w:eastAsia="Times New Roman"/>
        </w:rPr>
      </w:pPr>
      <w:r>
        <w:rPr>
          <w:rFonts w:eastAsia="Times New Roman"/>
          <w:color w:val="000000"/>
          <w:sz w:val="20"/>
          <w:szCs w:val="20"/>
        </w:rPr>
        <w:t>4</w:t>
      </w:r>
    </w:p>
    <w:p w:rsidR="00000000" w:rsidRDefault="008931E1">
      <w:pPr>
        <w:rPr>
          <w:rFonts w:eastAsia="Times New Roman"/>
        </w:rPr>
      </w:pPr>
      <w:r>
        <w:rPr>
          <w:rFonts w:eastAsia="Times New Roman"/>
        </w:rPr>
        <w:pict>
          <v:rect id="_x0000_i1027" style="width:0;height:1.5pt" o:hralign="center" o:hrstd="t" o:hr="t" fillcolor="#a0a0a0" stroked="f"/>
        </w:pict>
      </w:r>
    </w:p>
    <w:p w:rsidR="00000000" w:rsidRDefault="008931E1">
      <w:pPr>
        <w:divId w:val="1327780681"/>
        <w:rPr>
          <w:rFonts w:eastAsia="Times New Roman"/>
        </w:rPr>
      </w:pPr>
    </w:p>
    <w:p w:rsidR="00000000" w:rsidRDefault="008931E1">
      <w:pPr>
        <w:divId w:val="281618502"/>
        <w:rPr>
          <w:rFonts w:eastAsia="Times New Roman"/>
        </w:rPr>
      </w:pPr>
      <w:r>
        <w:rPr>
          <w:rFonts w:eastAsia="Times New Roman"/>
          <w:b/>
          <w:bCs/>
          <w:color w:val="000000"/>
          <w:sz w:val="20"/>
          <w:szCs w:val="20"/>
        </w:rPr>
        <w:t xml:space="preserve">RISKS RELATED TO REGULATORY AND LEGAL CHALLENGES </w:t>
      </w:r>
    </w:p>
    <w:p w:rsidR="00000000" w:rsidRDefault="008931E1">
      <w:pPr>
        <w:ind w:hanging="360"/>
        <w:divId w:val="389811234"/>
        <w:rPr>
          <w:rFonts w:eastAsia="Times New Roman"/>
        </w:rPr>
      </w:pPr>
      <w:r>
        <w:rPr>
          <w:rFonts w:eastAsia="Times New Roman"/>
          <w:i/>
          <w:iCs/>
          <w:color w:val="000000"/>
          <w:sz w:val="20"/>
          <w:szCs w:val="20"/>
        </w:rPr>
        <w:t>•Our business may suffer as a result of adverse rulings in governmental investigations or proceedings or other legal proceedings.</w:t>
      </w:r>
    </w:p>
    <w:p w:rsidR="00000000" w:rsidRDefault="008931E1">
      <w:pPr>
        <w:divId w:val="2133090251"/>
        <w:rPr>
          <w:rFonts w:eastAsia="Times New Roman"/>
        </w:rPr>
      </w:pPr>
      <w:r>
        <w:rPr>
          <w:rFonts w:eastAsia="Times New Roman"/>
          <w:b/>
          <w:bCs/>
          <w:color w:val="000000"/>
          <w:sz w:val="20"/>
          <w:szCs w:val="20"/>
        </w:rPr>
        <w:t>RISKS RELATED TO I</w:t>
      </w:r>
      <w:r>
        <w:rPr>
          <w:rFonts w:eastAsia="Times New Roman"/>
          <w:b/>
          <w:bCs/>
          <w:color w:val="000000"/>
          <w:sz w:val="20"/>
          <w:szCs w:val="20"/>
        </w:rPr>
        <w:t>NDUSTRY DYNAMICS AND COMPETITION</w:t>
      </w:r>
    </w:p>
    <w:p w:rsidR="00000000" w:rsidRDefault="008931E1">
      <w:pPr>
        <w:ind w:hanging="360"/>
        <w:divId w:val="535697471"/>
        <w:rPr>
          <w:rFonts w:eastAsia="Times New Roman"/>
        </w:rPr>
      </w:pPr>
      <w:r>
        <w:rPr>
          <w:rFonts w:eastAsia="Times New Roman"/>
          <w:i/>
          <w:iCs/>
          <w:color w:val="000000"/>
          <w:sz w:val="20"/>
          <w:szCs w:val="20"/>
        </w:rPr>
        <w:t>•Our revenues depend on our customers’ and licensees’ sales of products and services based on CDMA, OFDMA and other communications technologies, including 5G, and customer demand for our products based on these technologies</w:t>
      </w:r>
      <w:r>
        <w:rPr>
          <w:rFonts w:eastAsia="Times New Roman"/>
          <w:i/>
          <w:iCs/>
          <w:color w:val="000000"/>
          <w:sz w:val="20"/>
          <w:szCs w:val="20"/>
        </w:rPr>
        <w:t>.</w:t>
      </w:r>
    </w:p>
    <w:p w:rsidR="00000000" w:rsidRDefault="008931E1">
      <w:pPr>
        <w:ind w:hanging="360"/>
        <w:divId w:val="763650039"/>
        <w:rPr>
          <w:rFonts w:eastAsia="Times New Roman"/>
        </w:rPr>
      </w:pPr>
      <w:r>
        <w:rPr>
          <w:rFonts w:eastAsia="Times New Roman"/>
          <w:i/>
          <w:iCs/>
          <w:color w:val="000000"/>
          <w:sz w:val="20"/>
          <w:szCs w:val="20"/>
        </w:rPr>
        <w:t xml:space="preserve">•Our industry is subject to intense competition in an environment of rapid technological change. Our success depends in part on our ability to adapt to such change and compete effectively; and such change and competition could result in decreased demand </w:t>
      </w:r>
      <w:r>
        <w:rPr>
          <w:rFonts w:eastAsia="Times New Roman"/>
          <w:i/>
          <w:iCs/>
          <w:color w:val="000000"/>
          <w:sz w:val="20"/>
          <w:szCs w:val="20"/>
        </w:rPr>
        <w:t>for our products and technologies or declining average selling prices for our products or those of our customers or licensees.</w:t>
      </w:r>
    </w:p>
    <w:p w:rsidR="00000000" w:rsidRDefault="008931E1">
      <w:pPr>
        <w:divId w:val="539781128"/>
        <w:rPr>
          <w:rFonts w:eastAsia="Times New Roman"/>
        </w:rPr>
      </w:pPr>
      <w:r>
        <w:rPr>
          <w:rFonts w:eastAsia="Times New Roman"/>
          <w:b/>
          <w:bCs/>
          <w:color w:val="000000"/>
          <w:sz w:val="20"/>
          <w:szCs w:val="20"/>
        </w:rPr>
        <w:t xml:space="preserve">RISKS RELATED TO PRODUCT DEFECTS OR SECURITY VULNERABILITIES </w:t>
      </w:r>
    </w:p>
    <w:p w:rsidR="00000000" w:rsidRDefault="008931E1">
      <w:pPr>
        <w:ind w:hanging="360"/>
        <w:divId w:val="547423017"/>
        <w:rPr>
          <w:rFonts w:eastAsia="Times New Roman"/>
        </w:rPr>
      </w:pPr>
      <w:r>
        <w:rPr>
          <w:rFonts w:eastAsia="Times New Roman"/>
          <w:i/>
          <w:iCs/>
          <w:color w:val="000000"/>
          <w:sz w:val="20"/>
          <w:szCs w:val="20"/>
        </w:rPr>
        <w:t>•Failures in our products, or in the products of our customers or l</w:t>
      </w:r>
      <w:r>
        <w:rPr>
          <w:rFonts w:eastAsia="Times New Roman"/>
          <w:i/>
          <w:iCs/>
          <w:color w:val="000000"/>
          <w:sz w:val="20"/>
          <w:szCs w:val="20"/>
        </w:rPr>
        <w:t>icensees, including those resulting from security vulnerabilities, defects or errors, could harm our business.</w:t>
      </w:r>
    </w:p>
    <w:p w:rsidR="00000000" w:rsidRDefault="008931E1">
      <w:pPr>
        <w:divId w:val="1240559503"/>
        <w:rPr>
          <w:rFonts w:eastAsia="Times New Roman"/>
        </w:rPr>
      </w:pPr>
      <w:r>
        <w:rPr>
          <w:rFonts w:eastAsia="Times New Roman"/>
          <w:b/>
          <w:bCs/>
          <w:color w:val="000000"/>
          <w:sz w:val="20"/>
          <w:szCs w:val="20"/>
        </w:rPr>
        <w:t>RISKS RELATED TO INTELLECTUAL PROPERTY</w:t>
      </w:r>
    </w:p>
    <w:p w:rsidR="00000000" w:rsidRDefault="008931E1">
      <w:pPr>
        <w:ind w:hanging="360"/>
        <w:divId w:val="1674528291"/>
        <w:rPr>
          <w:rFonts w:eastAsia="Times New Roman"/>
        </w:rPr>
      </w:pPr>
      <w:r>
        <w:rPr>
          <w:rFonts w:eastAsia="Times New Roman"/>
          <w:i/>
          <w:iCs/>
          <w:color w:val="000000"/>
          <w:sz w:val="20"/>
          <w:szCs w:val="20"/>
        </w:rPr>
        <w:t>•The enforcement and protection of our intellectual property may be expensive, could fail to prevent misap</w:t>
      </w:r>
      <w:r>
        <w:rPr>
          <w:rFonts w:eastAsia="Times New Roman"/>
          <w:i/>
          <w:iCs/>
          <w:color w:val="000000"/>
          <w:sz w:val="20"/>
          <w:szCs w:val="20"/>
        </w:rPr>
        <w:t>propriation or unauthorized use of our intellectual property, could result in the loss of our ability to enforce one or more patents, and could be adversely affected by changes in patent laws, by laws in certain foreign jurisdictions that may not effective</w:t>
      </w:r>
      <w:r>
        <w:rPr>
          <w:rFonts w:eastAsia="Times New Roman"/>
          <w:i/>
          <w:iCs/>
          <w:color w:val="000000"/>
          <w:sz w:val="20"/>
          <w:szCs w:val="20"/>
        </w:rPr>
        <w:t>ly protect our intellectual property and by ineffective enforcement of laws in such jurisdictions.</w:t>
      </w:r>
    </w:p>
    <w:p w:rsidR="00000000" w:rsidRDefault="008931E1">
      <w:pPr>
        <w:ind w:hanging="360"/>
        <w:divId w:val="955479694"/>
        <w:rPr>
          <w:rFonts w:eastAsia="Times New Roman"/>
        </w:rPr>
      </w:pPr>
      <w:r>
        <w:rPr>
          <w:rFonts w:eastAsia="Times New Roman"/>
          <w:i/>
          <w:iCs/>
          <w:color w:val="000000"/>
          <w:sz w:val="20"/>
          <w:szCs w:val="20"/>
        </w:rPr>
        <w:t>•Claims by other companies that we infringe their intellectual property could adversely affect our business.</w:t>
      </w:r>
    </w:p>
    <w:p w:rsidR="00000000" w:rsidRDefault="008931E1">
      <w:pPr>
        <w:ind w:hanging="360"/>
        <w:divId w:val="1279484533"/>
        <w:rPr>
          <w:rFonts w:eastAsia="Times New Roman"/>
        </w:rPr>
      </w:pPr>
      <w:r>
        <w:rPr>
          <w:rFonts w:eastAsia="Times New Roman"/>
          <w:i/>
          <w:iCs/>
          <w:color w:val="000000"/>
          <w:sz w:val="20"/>
          <w:szCs w:val="20"/>
        </w:rPr>
        <w:t>•Our use of open source software may harm our bu</w:t>
      </w:r>
      <w:r>
        <w:rPr>
          <w:rFonts w:eastAsia="Times New Roman"/>
          <w:i/>
          <w:iCs/>
          <w:color w:val="000000"/>
          <w:sz w:val="20"/>
          <w:szCs w:val="20"/>
        </w:rPr>
        <w:t>siness.</w:t>
      </w:r>
    </w:p>
    <w:p w:rsidR="00000000" w:rsidRDefault="008931E1">
      <w:pPr>
        <w:divId w:val="1314604602"/>
        <w:rPr>
          <w:rFonts w:eastAsia="Times New Roman"/>
        </w:rPr>
      </w:pPr>
      <w:r>
        <w:rPr>
          <w:rFonts w:eastAsia="Times New Roman"/>
          <w:b/>
          <w:bCs/>
          <w:color w:val="000000"/>
          <w:sz w:val="20"/>
          <w:szCs w:val="20"/>
        </w:rPr>
        <w:t>GENERAL RISK FACTORS</w:t>
      </w:r>
    </w:p>
    <w:p w:rsidR="00000000" w:rsidRDefault="008931E1">
      <w:pPr>
        <w:ind w:hanging="360"/>
        <w:divId w:val="1282149733"/>
        <w:rPr>
          <w:rFonts w:eastAsia="Times New Roman"/>
        </w:rPr>
      </w:pPr>
      <w:r>
        <w:rPr>
          <w:rFonts w:eastAsia="Times New Roman"/>
          <w:i/>
          <w:iCs/>
          <w:color w:val="000000"/>
          <w:sz w:val="20"/>
          <w:szCs w:val="20"/>
        </w:rPr>
        <w:t>•We operate in the highly cyclical semiconductor industry, which is subject to significant downturns. We are also susceptible to declines in global, regional and local economic conditions generally. Our stock price and financia</w:t>
      </w:r>
      <w:r>
        <w:rPr>
          <w:rFonts w:eastAsia="Times New Roman"/>
          <w:i/>
          <w:iCs/>
          <w:color w:val="000000"/>
          <w:sz w:val="20"/>
          <w:szCs w:val="20"/>
        </w:rPr>
        <w:t>l results are subject to substantial quarterly and annual fluctuations due to these dynamics, among others.</w:t>
      </w:r>
    </w:p>
    <w:p w:rsidR="00000000" w:rsidRDefault="008931E1">
      <w:pPr>
        <w:ind w:hanging="360"/>
        <w:divId w:val="1953632246"/>
        <w:rPr>
          <w:rFonts w:eastAsia="Times New Roman"/>
        </w:rPr>
      </w:pPr>
      <w:r>
        <w:rPr>
          <w:rFonts w:eastAsia="Times New Roman"/>
          <w:i/>
          <w:iCs/>
          <w:color w:val="000000"/>
          <w:sz w:val="20"/>
          <w:szCs w:val="20"/>
        </w:rPr>
        <w:t>•Geopolitical conflicts, natural disasters, pandemics and other health crises, and other factors outside of our control, could significantly disrupt</w:t>
      </w:r>
      <w:r>
        <w:rPr>
          <w:rFonts w:eastAsia="Times New Roman"/>
          <w:i/>
          <w:iCs/>
          <w:color w:val="000000"/>
          <w:sz w:val="20"/>
          <w:szCs w:val="20"/>
        </w:rPr>
        <w:t xml:space="preserve"> our business.</w:t>
      </w:r>
    </w:p>
    <w:p w:rsidR="00000000" w:rsidRDefault="008931E1">
      <w:pPr>
        <w:ind w:hanging="360"/>
        <w:divId w:val="1767577035"/>
        <w:rPr>
          <w:rFonts w:eastAsia="Times New Roman"/>
        </w:rPr>
      </w:pPr>
      <w:r>
        <w:rPr>
          <w:rFonts w:eastAsia="Times New Roman"/>
          <w:i/>
          <w:iCs/>
          <w:color w:val="000000"/>
          <w:sz w:val="20"/>
          <w:szCs w:val="20"/>
        </w:rPr>
        <w:t>•Our business may suffer due to the impact of, or our failure to comply with, the various existing, new or amended laws, regulations, policies or standards to which we are subject.</w:t>
      </w:r>
    </w:p>
    <w:p w:rsidR="00000000" w:rsidRDefault="008931E1">
      <w:pPr>
        <w:ind w:hanging="360"/>
        <w:divId w:val="286812470"/>
        <w:rPr>
          <w:rFonts w:eastAsia="Times New Roman"/>
        </w:rPr>
      </w:pPr>
      <w:r>
        <w:rPr>
          <w:rFonts w:eastAsia="Times New Roman"/>
          <w:i/>
          <w:iCs/>
          <w:color w:val="000000"/>
          <w:sz w:val="20"/>
          <w:szCs w:val="20"/>
        </w:rPr>
        <w:t>•</w:t>
      </w:r>
      <w:r>
        <w:rPr>
          <w:rFonts w:eastAsia="Times New Roman"/>
          <w:i/>
          <w:iCs/>
          <w:color w:val="000000"/>
          <w:sz w:val="20"/>
          <w:szCs w:val="20"/>
        </w:rPr>
        <w:t>There are risks associated with our debt.</w:t>
      </w:r>
    </w:p>
    <w:p w:rsidR="00000000" w:rsidRDefault="008931E1">
      <w:pPr>
        <w:ind w:hanging="360"/>
        <w:divId w:val="1610970080"/>
        <w:rPr>
          <w:rFonts w:eastAsia="Times New Roman"/>
        </w:rPr>
      </w:pPr>
      <w:r>
        <w:rPr>
          <w:rFonts w:eastAsia="Times New Roman"/>
          <w:i/>
          <w:iCs/>
          <w:color w:val="000000"/>
          <w:sz w:val="20"/>
          <w:szCs w:val="20"/>
        </w:rPr>
        <w:t>•Tax liabilities could adversely affect our results of operations.</w:t>
      </w:r>
    </w:p>
    <w:p w:rsidR="00000000" w:rsidRDefault="008931E1">
      <w:pPr>
        <w:jc w:val="center"/>
        <w:divId w:val="2013751804"/>
        <w:rPr>
          <w:rFonts w:eastAsia="Times New Roman"/>
        </w:rPr>
      </w:pPr>
      <w:r>
        <w:rPr>
          <w:rFonts w:eastAsia="Times New Roman"/>
          <w:color w:val="000000"/>
          <w:sz w:val="20"/>
          <w:szCs w:val="20"/>
        </w:rPr>
        <w:t>5</w:t>
      </w:r>
    </w:p>
    <w:p w:rsidR="00000000" w:rsidRDefault="008931E1">
      <w:pPr>
        <w:rPr>
          <w:rFonts w:eastAsia="Times New Roman"/>
        </w:rPr>
      </w:pPr>
      <w:r>
        <w:rPr>
          <w:rFonts w:eastAsia="Times New Roman"/>
        </w:rPr>
        <w:lastRenderedPageBreak/>
        <w:pict>
          <v:rect id="_x0000_i1028" style="width:0;height:1.5pt" o:hralign="center" o:hrstd="t" o:hr="t" fillcolor="#a0a0a0" stroked="f"/>
        </w:pict>
      </w:r>
    </w:p>
    <w:p w:rsidR="00000000" w:rsidRDefault="008931E1">
      <w:pPr>
        <w:divId w:val="1179464726"/>
        <w:rPr>
          <w:rFonts w:eastAsia="Times New Roman"/>
        </w:rPr>
      </w:pPr>
    </w:p>
    <w:p w:rsidR="00000000" w:rsidRDefault="008931E1">
      <w:pPr>
        <w:ind w:firstLine="360"/>
        <w:divId w:val="402871329"/>
        <w:rPr>
          <w:rFonts w:eastAsia="Times New Roman"/>
        </w:rPr>
      </w:pPr>
      <w:r>
        <w:rPr>
          <w:rFonts w:eastAsia="Times New Roman"/>
          <w:color w:val="000000"/>
          <w:sz w:val="20"/>
          <w:szCs w:val="20"/>
        </w:rPr>
        <w:t xml:space="preserve">In this Annual Report, the words “Qualcomm,” “we,” “our,” “ours” and “us” </w:t>
      </w:r>
      <w:r>
        <w:rPr>
          <w:rFonts w:eastAsia="Times New Roman"/>
          <w:color w:val="000000"/>
          <w:sz w:val="20"/>
          <w:szCs w:val="20"/>
        </w:rPr>
        <w:t>refer only to QUALCOMM Incorporated and its subsidiaries and not any other person or entity. This Annual Report (including but not limited to the section titled “Management’s Discussion and Analysis of Financial Condition and Results of Operations”) contai</w:t>
      </w:r>
      <w:r>
        <w:rPr>
          <w:rFonts w:eastAsia="Times New Roman"/>
          <w:color w:val="000000"/>
          <w:sz w:val="20"/>
          <w:szCs w:val="20"/>
        </w:rPr>
        <w:t>ns forward-looking statements. Words such as “expects,” “anticipates,” “intends,” “plans,” “believes,” “seeks,” “estimates,” “may,” “will,” “would” and similar expressions or variations of such words are intended to identify forward-looking statements, but</w:t>
      </w:r>
      <w:r>
        <w:rPr>
          <w:rFonts w:eastAsia="Times New Roman"/>
          <w:color w:val="000000"/>
          <w:sz w:val="20"/>
          <w:szCs w:val="20"/>
        </w:rPr>
        <w:t xml:space="preserve"> are not the exclusive means of identifying forward-looking statements in this Annual Report. Additionally, statements concerning future matters such as our future business, prospects, results of operations or financial condition; research and development </w:t>
      </w:r>
      <w:r>
        <w:rPr>
          <w:rFonts w:eastAsia="Times New Roman"/>
          <w:color w:val="000000"/>
          <w:sz w:val="20"/>
          <w:szCs w:val="20"/>
        </w:rPr>
        <w:t>or technology investments; new or enhanced products, services or technologies; emerging industries or business models; design wins or product launches; industry, market or technology trends, dynamics or transitions; our expectations regarding future demand</w:t>
      </w:r>
      <w:r>
        <w:rPr>
          <w:rFonts w:eastAsia="Times New Roman"/>
          <w:color w:val="000000"/>
          <w:sz w:val="20"/>
          <w:szCs w:val="20"/>
        </w:rPr>
        <w:t xml:space="preserve"> or supply conditions or macroeconomic factors; strategic investments or acquisitions, and the anticipated timing or benefits thereof; cost reduction initiatives, associated restructuring charges and the anticipated timing thereof; legal or regulatory matt</w:t>
      </w:r>
      <w:r>
        <w:rPr>
          <w:rFonts w:eastAsia="Times New Roman"/>
          <w:color w:val="000000"/>
          <w:sz w:val="20"/>
          <w:szCs w:val="20"/>
        </w:rPr>
        <w:t>ers; U.S./China trade or national security tensions; vertical integration by our customers; competition; and other statements regarding matters that are not historical are also forward-looking statements.</w:t>
      </w:r>
    </w:p>
    <w:p w:rsidR="00000000" w:rsidRDefault="008931E1">
      <w:pPr>
        <w:ind w:firstLine="360"/>
        <w:divId w:val="540096988"/>
        <w:rPr>
          <w:rFonts w:eastAsia="Times New Roman"/>
        </w:rPr>
      </w:pPr>
      <w:r>
        <w:rPr>
          <w:rFonts w:eastAsia="Times New Roman"/>
          <w:color w:val="000000"/>
          <w:sz w:val="20"/>
          <w:szCs w:val="20"/>
        </w:rPr>
        <w:t xml:space="preserve">Although forward-looking statements in this Annual </w:t>
      </w:r>
      <w:r>
        <w:rPr>
          <w:rFonts w:eastAsia="Times New Roman"/>
          <w:color w:val="000000"/>
          <w:sz w:val="20"/>
          <w:szCs w:val="20"/>
        </w:rPr>
        <w:t>Report reflect our good faith judgment, such statements can only be based on facts and factors currently known by us. Consequently, forward-looking statements are inherently subject to risks and uncertainties and actual results and outcomes may differ mate</w:t>
      </w:r>
      <w:r>
        <w:rPr>
          <w:rFonts w:eastAsia="Times New Roman"/>
          <w:color w:val="000000"/>
          <w:sz w:val="20"/>
          <w:szCs w:val="20"/>
        </w:rPr>
        <w:t>rially from the results and outcomes discussed in or anticipated by the forward-looking statements. Factors that could cause or contribute to such differences in results and outcomes include without limitation those discussed under “Part I, Item 1A. Risk F</w:t>
      </w:r>
      <w:r>
        <w:rPr>
          <w:rFonts w:eastAsia="Times New Roman"/>
          <w:color w:val="000000"/>
          <w:sz w:val="20"/>
          <w:szCs w:val="20"/>
        </w:rPr>
        <w:t>actors” below, as well as those discussed elsewhere in this Annual Report. Readers are urged not to place undue reliance on these forward-looking statements, which speak only as of the date of this Annual Report. We undertake no obligation to revise or upd</w:t>
      </w:r>
      <w:r>
        <w:rPr>
          <w:rFonts w:eastAsia="Times New Roman"/>
          <w:color w:val="000000"/>
          <w:sz w:val="20"/>
          <w:szCs w:val="20"/>
        </w:rPr>
        <w:t>ate any forward-looking statements in order to reflect any event or circumstance that may arise after the date of this Annual Report. Readers are urged to carefully review and consider the various disclosures made in this Annual Report, which attempt to ad</w:t>
      </w:r>
      <w:r>
        <w:rPr>
          <w:rFonts w:eastAsia="Times New Roman"/>
          <w:color w:val="000000"/>
          <w:sz w:val="20"/>
          <w:szCs w:val="20"/>
        </w:rPr>
        <w:t>vise interested parties of the risks and factors that may affect our business, financial condition, results of operations and prospects.</w:t>
      </w:r>
    </w:p>
    <w:p w:rsidR="00000000" w:rsidRDefault="008931E1">
      <w:pPr>
        <w:jc w:val="center"/>
        <w:divId w:val="1028603485"/>
        <w:rPr>
          <w:rFonts w:eastAsia="Times New Roman"/>
        </w:rPr>
      </w:pPr>
      <w:r>
        <w:rPr>
          <w:rFonts w:eastAsia="Times New Roman"/>
          <w:b/>
          <w:bCs/>
          <w:color w:val="000000"/>
          <w:sz w:val="20"/>
          <w:szCs w:val="20"/>
        </w:rPr>
        <w:t>PART I</w:t>
      </w:r>
    </w:p>
    <w:p w:rsidR="00000000" w:rsidRDefault="008931E1">
      <w:pPr>
        <w:divId w:val="107282729"/>
        <w:rPr>
          <w:rFonts w:eastAsia="Times New Roman"/>
        </w:rPr>
      </w:pPr>
      <w:r>
        <w:rPr>
          <w:rFonts w:eastAsia="Times New Roman"/>
          <w:b/>
          <w:bCs/>
          <w:color w:val="000000"/>
          <w:sz w:val="20"/>
          <w:szCs w:val="20"/>
        </w:rPr>
        <w:t>Item 1. Business</w:t>
      </w:r>
    </w:p>
    <w:p w:rsidR="00000000" w:rsidRDefault="008931E1">
      <w:pPr>
        <w:ind w:firstLine="360"/>
        <w:divId w:val="314916922"/>
        <w:rPr>
          <w:rFonts w:eastAsia="Times New Roman"/>
        </w:rPr>
      </w:pPr>
      <w:r>
        <w:rPr>
          <w:rFonts w:eastAsia="Times New Roman"/>
          <w:color w:val="000000"/>
          <w:sz w:val="20"/>
          <w:szCs w:val="20"/>
        </w:rPr>
        <w:t>We incorporated in California in 1985 and reincorporated in Delaware in 1991. We operate and re</w:t>
      </w:r>
      <w:r>
        <w:rPr>
          <w:rFonts w:eastAsia="Times New Roman"/>
          <w:color w:val="000000"/>
          <w:sz w:val="20"/>
          <w:szCs w:val="20"/>
        </w:rPr>
        <w:t>port using a 52-53 week fiscal year ending on the last Sunday in September. Our 52-week fiscal years consist of four equal fiscal quarters of 13 weeks each, and our 53-week fiscal years consist of three 13-week fiscal quarters and one 14-week fiscal quarte</w:t>
      </w:r>
      <w:r>
        <w:rPr>
          <w:rFonts w:eastAsia="Times New Roman"/>
          <w:color w:val="000000"/>
          <w:sz w:val="20"/>
          <w:szCs w:val="20"/>
        </w:rPr>
        <w:t xml:space="preserve">r. The financial results for our 53-week fiscal years and our 14-week fiscal quarters will not be exactly comparable to our 52-week fiscal years and our 13-week fiscal quarters. Our fiscal years for 2023, 2022 and 2021 included 52 weeks. </w:t>
      </w:r>
    </w:p>
    <w:p w:rsidR="00000000" w:rsidRDefault="008931E1">
      <w:pPr>
        <w:divId w:val="273169040"/>
        <w:rPr>
          <w:rFonts w:eastAsia="Times New Roman"/>
        </w:rPr>
      </w:pPr>
      <w:r>
        <w:rPr>
          <w:rFonts w:eastAsia="Times New Roman"/>
          <w:b/>
          <w:bCs/>
          <w:color w:val="000000"/>
          <w:sz w:val="20"/>
          <w:szCs w:val="20"/>
        </w:rPr>
        <w:t>Overview</w:t>
      </w:r>
    </w:p>
    <w:p w:rsidR="00000000" w:rsidRDefault="008931E1">
      <w:pPr>
        <w:ind w:firstLine="360"/>
        <w:divId w:val="774524088"/>
        <w:rPr>
          <w:rFonts w:eastAsia="Times New Roman"/>
        </w:rPr>
      </w:pPr>
      <w:r>
        <w:rPr>
          <w:rFonts w:eastAsia="Times New Roman"/>
          <w:color w:val="000000"/>
          <w:sz w:val="20"/>
          <w:szCs w:val="20"/>
        </w:rPr>
        <w:t>We are a</w:t>
      </w:r>
      <w:r>
        <w:rPr>
          <w:rFonts w:eastAsia="Times New Roman"/>
          <w:color w:val="000000"/>
          <w:sz w:val="20"/>
          <w:szCs w:val="20"/>
        </w:rPr>
        <w:t xml:space="preserve"> global leader in the development and commercialization of foundational technologies for the wireless industry, including 3G (third generation), 4G (fourth generation) and 5G (fifth generation) wireless connectivity, and high-performance and low-power comp</w:t>
      </w:r>
      <w:r>
        <w:rPr>
          <w:rFonts w:eastAsia="Times New Roman"/>
          <w:color w:val="000000"/>
          <w:sz w:val="20"/>
          <w:szCs w:val="20"/>
        </w:rPr>
        <w:t>uting including on-device artificial intelligence (AI). Our technologies and products deliver intelligent computing and advanced connectivity in mobile devices and other products. Our inventions have helped power the growth in smartphones and other connect</w:t>
      </w:r>
      <w:r>
        <w:rPr>
          <w:rFonts w:eastAsia="Times New Roman"/>
          <w:color w:val="000000"/>
          <w:sz w:val="20"/>
          <w:szCs w:val="20"/>
        </w:rPr>
        <w:t>ed devices. We are scaling our innovations across industries and applications beyond handsets, including automotive and the internet of things (IoT). In automotive, our connectivity, digital cockpit and advanced driver assistance and automated driving (ADA</w:t>
      </w:r>
      <w:r>
        <w:rPr>
          <w:rFonts w:eastAsia="Times New Roman"/>
          <w:color w:val="000000"/>
          <w:sz w:val="20"/>
          <w:szCs w:val="20"/>
        </w:rPr>
        <w:t>S/AD) platforms are helping to connect the car to its environment and the cloud, creating unique in-cabin experiences and enabling a comprehensive assisted and automated driving solution. In IoT, our inventions have helped power growth in industries and ap</w:t>
      </w:r>
      <w:r>
        <w:rPr>
          <w:rFonts w:eastAsia="Times New Roman"/>
          <w:color w:val="000000"/>
          <w:sz w:val="20"/>
          <w:szCs w:val="20"/>
        </w:rPr>
        <w:t>plications such as consumer (including computing, voice and music and extended reality (XR)), edge networking (including mobile broadband and wireless access points) and industrial (including handhelds, retail, tracking and logistics and utilities). We der</w:t>
      </w:r>
      <w:r>
        <w:rPr>
          <w:rFonts w:eastAsia="Times New Roman"/>
          <w:color w:val="000000"/>
          <w:sz w:val="20"/>
          <w:szCs w:val="20"/>
        </w:rPr>
        <w:t>ive revenues principally from sales of integrated circuit products, including our Snapdragon® family of highly-integrated, system-based solutions, and licensing of our intellectual property, including patents and other rights.</w:t>
      </w:r>
    </w:p>
    <w:p w:rsidR="00000000" w:rsidRDefault="008931E1">
      <w:pPr>
        <w:ind w:firstLine="360"/>
        <w:divId w:val="1208687448"/>
        <w:rPr>
          <w:rFonts w:eastAsia="Times New Roman"/>
        </w:rPr>
      </w:pPr>
      <w:r>
        <w:rPr>
          <w:rFonts w:eastAsia="Times New Roman"/>
          <w:color w:val="000000"/>
          <w:sz w:val="20"/>
          <w:szCs w:val="20"/>
        </w:rPr>
        <w:t>The foundational technologies</w:t>
      </w:r>
      <w:r>
        <w:rPr>
          <w:rFonts w:eastAsia="Times New Roman"/>
          <w:color w:val="000000"/>
          <w:sz w:val="20"/>
          <w:szCs w:val="20"/>
        </w:rPr>
        <w:t xml:space="preserve"> we invent help power the modern mobile experience, impacting how the world connects, computes and communicates. We share these inventions broadly through our licensing programs enabling wide ecosystem access to technologies at the core of mobile innovatio</w:t>
      </w:r>
      <w:r>
        <w:rPr>
          <w:rFonts w:eastAsia="Times New Roman"/>
          <w:color w:val="000000"/>
          <w:sz w:val="20"/>
          <w:szCs w:val="20"/>
        </w:rPr>
        <w:t>n, and through the sale of our integrated circuit platforms (also known as integrated circuit products, chips, chipsets or modules) and other products. We innovate with purpose and collaborate across many ecosystems, including with manufacturers, operators</w:t>
      </w:r>
      <w:r>
        <w:rPr>
          <w:rFonts w:eastAsia="Times New Roman"/>
          <w:color w:val="000000"/>
          <w:sz w:val="20"/>
          <w:szCs w:val="20"/>
        </w:rPr>
        <w:t>, developers, system integrators, cloud providers, test tool vendors, service providers, governments and industry standards organizations, to enable a global environment of continued progress and growth.</w:t>
      </w:r>
    </w:p>
    <w:p w:rsidR="00000000" w:rsidRDefault="008931E1">
      <w:pPr>
        <w:ind w:firstLine="360"/>
        <w:divId w:val="96601983"/>
        <w:rPr>
          <w:rFonts w:eastAsia="Times New Roman"/>
        </w:rPr>
      </w:pPr>
      <w:r>
        <w:rPr>
          <w:rFonts w:eastAsia="Times New Roman"/>
          <w:color w:val="000000"/>
          <w:sz w:val="20"/>
          <w:szCs w:val="20"/>
        </w:rPr>
        <w:t>We have a long history of driving innovation and con</w:t>
      </w:r>
      <w:r>
        <w:rPr>
          <w:rFonts w:eastAsia="Times New Roman"/>
          <w:color w:val="000000"/>
          <w:sz w:val="20"/>
          <w:szCs w:val="20"/>
        </w:rPr>
        <w:t>tinue to play a leading role in developing system-level inventions that serve as the foundation for 3G, 4G and 5G wireless technologies. This includes technologies such as CDMA (Code Division Multiple Access) and OFDMA (Orthogonal Frequency Division Multip</w:t>
      </w:r>
      <w:r>
        <w:rPr>
          <w:rFonts w:eastAsia="Times New Roman"/>
          <w:color w:val="000000"/>
          <w:sz w:val="20"/>
          <w:szCs w:val="20"/>
        </w:rPr>
        <w:t>le Access) families of technologies, with the latter encompassing LTE (Long-Term Evolution) and 5G NR (New Radio), which are the primary digital technologies currently used to transmit voice or data over radio waves using a public or private cellular wirel</w:t>
      </w:r>
      <w:r>
        <w:rPr>
          <w:rFonts w:eastAsia="Times New Roman"/>
          <w:color w:val="000000"/>
          <w:sz w:val="20"/>
          <w:szCs w:val="20"/>
        </w:rPr>
        <w:t>ess network.</w:t>
      </w:r>
    </w:p>
    <w:p w:rsidR="00000000" w:rsidRDefault="008931E1">
      <w:pPr>
        <w:ind w:firstLine="360"/>
        <w:divId w:val="579946424"/>
        <w:rPr>
          <w:rFonts w:eastAsia="Times New Roman"/>
        </w:rPr>
      </w:pPr>
      <w:r>
        <w:rPr>
          <w:rFonts w:eastAsia="Times New Roman"/>
          <w:color w:val="000000"/>
          <w:sz w:val="20"/>
          <w:szCs w:val="20"/>
        </w:rPr>
        <w:t xml:space="preserve">We own significant intellectual property, including patents, patent applications and trade secrets, applicable to products that implement any version of CDMA and/or OFDMA technologies. The mobile industry generally recognizes that any </w:t>
      </w:r>
    </w:p>
    <w:p w:rsidR="00000000" w:rsidRDefault="008931E1">
      <w:pPr>
        <w:jc w:val="center"/>
        <w:divId w:val="1944193289"/>
        <w:rPr>
          <w:rFonts w:eastAsia="Times New Roman"/>
        </w:rPr>
      </w:pPr>
      <w:r>
        <w:rPr>
          <w:rFonts w:eastAsia="Times New Roman"/>
          <w:color w:val="000000"/>
          <w:sz w:val="20"/>
          <w:szCs w:val="20"/>
        </w:rPr>
        <w:t>6</w:t>
      </w:r>
    </w:p>
    <w:p w:rsidR="00000000" w:rsidRDefault="008931E1">
      <w:pPr>
        <w:rPr>
          <w:rFonts w:eastAsia="Times New Roman"/>
        </w:rPr>
      </w:pPr>
      <w:r>
        <w:rPr>
          <w:rFonts w:eastAsia="Times New Roman"/>
        </w:rPr>
        <w:pict>
          <v:rect id="_x0000_i1029" style="width:0;height:1.5pt" o:hralign="center" o:hrstd="t" o:hr="t" fillcolor="#a0a0a0" stroked="f"/>
        </w:pict>
      </w:r>
    </w:p>
    <w:p w:rsidR="00000000" w:rsidRDefault="008931E1">
      <w:pPr>
        <w:divId w:val="194276197"/>
        <w:rPr>
          <w:rFonts w:eastAsia="Times New Roman"/>
        </w:rPr>
      </w:pPr>
    </w:p>
    <w:p w:rsidR="00000000" w:rsidRDefault="008931E1">
      <w:pPr>
        <w:divId w:val="1822695377"/>
        <w:rPr>
          <w:rFonts w:eastAsia="Times New Roman"/>
        </w:rPr>
      </w:pPr>
      <w:r>
        <w:rPr>
          <w:rFonts w:eastAsia="Times New Roman"/>
          <w:color w:val="000000"/>
          <w:sz w:val="20"/>
          <w:szCs w:val="20"/>
        </w:rPr>
        <w:t>company seeking to develop, manufacture and/or sell devices or infrastructure equipment that use CDMA-based and/or OFDMA-based technologies requires a license or other rights to use our patents. We also develop and commerc</w:t>
      </w:r>
      <w:r>
        <w:rPr>
          <w:rFonts w:eastAsia="Times New Roman"/>
          <w:color w:val="000000"/>
          <w:sz w:val="20"/>
          <w:szCs w:val="20"/>
        </w:rPr>
        <w:t xml:space="preserve">ialize numerous other key technologies used in mobile and other devices and services, and we own substantial intellectual property related to these technologies. Some of these inventions are contributed to and commercialized as industry standards, such as </w:t>
      </w:r>
      <w:r>
        <w:rPr>
          <w:rFonts w:eastAsia="Times New Roman"/>
          <w:color w:val="000000"/>
          <w:sz w:val="20"/>
          <w:szCs w:val="20"/>
        </w:rPr>
        <w:t>for certain video and audio codecs, Wi-Fi, position location, UWB (ultra-wideband) and Bluetoot</w:t>
      </w:r>
      <w:r>
        <w:rPr>
          <w:rFonts w:eastAsia="Times New Roman"/>
          <w:color w:val="000000"/>
          <w:sz w:val="20"/>
          <w:szCs w:val="20"/>
        </w:rPr>
        <w:t>h</w:t>
      </w:r>
      <w:r>
        <w:rPr>
          <w:rFonts w:eastAsia="Times New Roman"/>
          <w:color w:val="000000"/>
          <w:sz w:val="13"/>
          <w:szCs w:val="13"/>
        </w:rPr>
        <w:t>®</w:t>
      </w:r>
      <w:r>
        <w:rPr>
          <w:rFonts w:eastAsia="Times New Roman"/>
          <w:color w:val="000000"/>
          <w:sz w:val="20"/>
          <w:szCs w:val="20"/>
        </w:rPr>
        <w:t xml:space="preserve">. We have also developed other technologies that are used by wireless and other devices that are not related to industry standards, such as operating systems, </w:t>
      </w:r>
      <w:r>
        <w:rPr>
          <w:rFonts w:eastAsia="Times New Roman"/>
          <w:color w:val="000000"/>
          <w:sz w:val="20"/>
          <w:szCs w:val="20"/>
        </w:rPr>
        <w:t>user interfaces, graphics and camera processing functionality, RF (radio frequency), RFFE (radio frequency front-end) and antenna designs, AI and machine learning techniques and application processor architectures. Our patents cover a wide range of technol</w:t>
      </w:r>
      <w:r>
        <w:rPr>
          <w:rFonts w:eastAsia="Times New Roman"/>
          <w:color w:val="000000"/>
          <w:sz w:val="20"/>
          <w:szCs w:val="20"/>
        </w:rPr>
        <w:t>ogies across the entire wireless system (including wireless devices and network infrastructure equipment), not just the portion of such patented technologies incorporated into chipsets.</w:t>
      </w:r>
    </w:p>
    <w:p w:rsidR="00000000" w:rsidRDefault="008931E1">
      <w:pPr>
        <w:ind w:firstLine="360"/>
        <w:divId w:val="451873352"/>
        <w:rPr>
          <w:rFonts w:eastAsia="Times New Roman"/>
        </w:rPr>
      </w:pPr>
      <w:r>
        <w:rPr>
          <w:rFonts w:eastAsia="Times New Roman"/>
          <w:color w:val="000000"/>
          <w:sz w:val="20"/>
          <w:szCs w:val="20"/>
        </w:rPr>
        <w:t xml:space="preserve">We are organized on the basis of products and services and have three </w:t>
      </w:r>
      <w:r>
        <w:rPr>
          <w:rFonts w:eastAsia="Times New Roman"/>
          <w:color w:val="000000"/>
          <w:sz w:val="20"/>
          <w:szCs w:val="20"/>
        </w:rPr>
        <w:t>reportable segments. We conduct business primarily through our QCT (Qualcomm CDMA Technologies) semiconductor business and our QTL (Qualcomm Technology Licensing) licensing business. QCT develops and supplies integrated circuits and system software based o</w:t>
      </w:r>
      <w:r>
        <w:rPr>
          <w:rFonts w:eastAsia="Times New Roman"/>
          <w:color w:val="000000"/>
          <w:sz w:val="20"/>
          <w:szCs w:val="20"/>
        </w:rPr>
        <w:t>n 3G/4G/5G and other technologies, including RFFE, for use in mobile devices; automotive systems for connectivity, digital cockpit and ADAS/AD; and IoT including consumer electronic devices; industrial devices; and edge networking products. QTL grants lice</w:t>
      </w:r>
      <w:r>
        <w:rPr>
          <w:rFonts w:eastAsia="Times New Roman"/>
          <w:color w:val="000000"/>
          <w:sz w:val="20"/>
          <w:szCs w:val="20"/>
        </w:rPr>
        <w:t>nses or otherwise provides rights to use portions of our intellectual property portfolio, which includes certain patent rights essential to and/or useful in the manufacture and sale of certain wireless products. Our QSI (Qualcomm Strategic Initiatives) rep</w:t>
      </w:r>
      <w:r>
        <w:rPr>
          <w:rFonts w:eastAsia="Times New Roman"/>
          <w:color w:val="000000"/>
          <w:sz w:val="20"/>
          <w:szCs w:val="20"/>
        </w:rPr>
        <w:t>ortable segment makes strategic investments. We also have nonreportable segments, including QGOV (Qualcomm Government Technologies) and our cloud computing processing initiative (formerly referred to as our cloud AI inference processing initiative).</w:t>
      </w:r>
    </w:p>
    <w:p w:rsidR="00000000" w:rsidRDefault="008931E1">
      <w:pPr>
        <w:divId w:val="2140761455"/>
        <w:rPr>
          <w:rFonts w:eastAsia="Times New Roman"/>
        </w:rPr>
      </w:pPr>
      <w:r>
        <w:rPr>
          <w:rFonts w:eastAsia="Times New Roman"/>
          <w:b/>
          <w:bCs/>
          <w:color w:val="000000"/>
          <w:sz w:val="20"/>
          <w:szCs w:val="20"/>
        </w:rPr>
        <w:t>Indust</w:t>
      </w:r>
      <w:r>
        <w:rPr>
          <w:rFonts w:eastAsia="Times New Roman"/>
          <w:b/>
          <w:bCs/>
          <w:color w:val="000000"/>
          <w:sz w:val="20"/>
          <w:szCs w:val="20"/>
        </w:rPr>
        <w:t>ry Trends</w:t>
      </w:r>
    </w:p>
    <w:p w:rsidR="00000000" w:rsidRDefault="008931E1">
      <w:pPr>
        <w:ind w:firstLine="360"/>
        <w:divId w:val="1379162021"/>
        <w:rPr>
          <w:rFonts w:eastAsia="Times New Roman"/>
        </w:rPr>
      </w:pPr>
      <w:r>
        <w:rPr>
          <w:rFonts w:eastAsia="Times New Roman"/>
          <w:color w:val="000000"/>
          <w:sz w:val="20"/>
          <w:szCs w:val="20"/>
        </w:rPr>
        <w:t>As the largest technology platform in the world, mobile has transformed the way we connect, compute and communicate. Advanced connectivity and high-performance, low-power computing technologies from mobile are also impacting many industries beyon</w:t>
      </w:r>
      <w:r>
        <w:rPr>
          <w:rFonts w:eastAsia="Times New Roman"/>
          <w:color w:val="000000"/>
          <w:sz w:val="20"/>
          <w:szCs w:val="20"/>
        </w:rPr>
        <w:t>d wireless, empowering new services, new business models, and new ways to engage and interact with customers. Our breakthrough inventions and licensing programs have been integral to the demand and evolution of the mobile industry.</w:t>
      </w:r>
    </w:p>
    <w:p w:rsidR="00000000" w:rsidRDefault="008931E1">
      <w:pPr>
        <w:ind w:firstLine="360"/>
        <w:divId w:val="1679307567"/>
        <w:rPr>
          <w:rFonts w:eastAsia="Times New Roman"/>
        </w:rPr>
      </w:pPr>
      <w:r>
        <w:rPr>
          <w:rFonts w:eastAsia="Times New Roman"/>
          <w:b/>
          <w:bCs/>
          <w:i/>
          <w:iCs/>
          <w:color w:val="000000"/>
          <w:sz w:val="20"/>
          <w:szCs w:val="20"/>
        </w:rPr>
        <w:t>Intelligent Computing.</w:t>
      </w:r>
      <w:r>
        <w:rPr>
          <w:rFonts w:eastAsia="Times New Roman"/>
          <w:color w:val="000000"/>
          <w:sz w:val="20"/>
          <w:szCs w:val="20"/>
        </w:rPr>
        <w:t xml:space="preserve"> A</w:t>
      </w:r>
      <w:r>
        <w:rPr>
          <w:rFonts w:eastAsia="Times New Roman"/>
          <w:color w:val="000000"/>
          <w:sz w:val="20"/>
          <w:szCs w:val="20"/>
        </w:rPr>
        <w:t>dvancements in processor technologies have enabled distribution of complex workloads across the network, with more computing done in edge devices where data is generated. Given the proximity to raw data, edge computing allows for more intelligent processin</w:t>
      </w:r>
      <w:r>
        <w:rPr>
          <w:rFonts w:eastAsia="Times New Roman"/>
          <w:color w:val="000000"/>
          <w:sz w:val="20"/>
          <w:szCs w:val="20"/>
        </w:rPr>
        <w:t xml:space="preserve">g, reducing response time, improving privacy and security, and enabling greater personalization. With increased processing power, mobile is becoming a pervasive AI platform, with complex large generative AI algorithms running on-device, enabling on-demand </w:t>
      </w:r>
      <w:r>
        <w:rPr>
          <w:rFonts w:eastAsia="Times New Roman"/>
          <w:color w:val="000000"/>
          <w:sz w:val="20"/>
          <w:szCs w:val="20"/>
        </w:rPr>
        <w:t>and contextual AI use cases. As 5G wireless connectivity complements on-device generative AI, edge devices enable enhanced productivity use cases, while intelligently processing and sharing data with cloud-based applications as needed. Building on the smar</w:t>
      </w:r>
      <w:r>
        <w:rPr>
          <w:rFonts w:eastAsia="Times New Roman"/>
          <w:color w:val="000000"/>
          <w:sz w:val="20"/>
          <w:szCs w:val="20"/>
        </w:rPr>
        <w:t>tphone foundation and the scale of mobile, we envision generative AI becoming ubiquitous, expanding beyond smartphones into industries and applications such as compute, IoT, XR and automotive.</w:t>
      </w:r>
    </w:p>
    <w:p w:rsidR="00000000" w:rsidRDefault="008931E1">
      <w:pPr>
        <w:ind w:firstLine="360"/>
        <w:divId w:val="542333507"/>
        <w:rPr>
          <w:rFonts w:eastAsia="Times New Roman"/>
        </w:rPr>
      </w:pPr>
      <w:r>
        <w:rPr>
          <w:rFonts w:eastAsia="Times New Roman"/>
          <w:color w:val="000000"/>
          <w:sz w:val="20"/>
          <w:szCs w:val="20"/>
        </w:rPr>
        <w:t>Complex large language models (LLMs), large vision models (LVMs</w:t>
      </w:r>
      <w:r>
        <w:rPr>
          <w:rFonts w:eastAsia="Times New Roman"/>
          <w:color w:val="000000"/>
          <w:sz w:val="20"/>
          <w:szCs w:val="20"/>
        </w:rPr>
        <w:t>) and other generative AI models that can generate new content, are beginning to change the landscape of the consumer user experience. LLMs (e.g., GPT-4 and Llama2) are useful for text-based natural language processing applications such as answering querie</w:t>
      </w:r>
      <w:r>
        <w:rPr>
          <w:rFonts w:eastAsia="Times New Roman"/>
          <w:color w:val="000000"/>
          <w:sz w:val="20"/>
          <w:szCs w:val="20"/>
        </w:rPr>
        <w:t>s, document summarization and creation, while LVMs (e.g., Stable Diffusion and ControlNet) are useful for image and video processing. They are disrupting traditional methods of search, content creation, recommendation systems and personalized digital assis</w:t>
      </w:r>
      <w:r>
        <w:rPr>
          <w:rFonts w:eastAsia="Times New Roman"/>
          <w:color w:val="000000"/>
          <w:sz w:val="20"/>
          <w:szCs w:val="20"/>
        </w:rPr>
        <w:t>tants, offering significant enhancements in consumer utility and productivity. We believe that a variety of innovative enterprise and consumer use cases will emerge from generative AI, especially as LLMs and LVMs are run on-device ingesting multiple modali</w:t>
      </w:r>
      <w:r>
        <w:rPr>
          <w:rFonts w:eastAsia="Times New Roman"/>
          <w:color w:val="000000"/>
          <w:sz w:val="20"/>
          <w:szCs w:val="20"/>
        </w:rPr>
        <w:t>ties (such as text, voice, camera, infrared, RADAR and LiDAR sensors) and bring in the benefits of immediacy, privacy, security and personalization to consumers.</w:t>
      </w:r>
    </w:p>
    <w:p w:rsidR="00000000" w:rsidRDefault="008931E1">
      <w:pPr>
        <w:ind w:firstLine="360"/>
        <w:divId w:val="1438674125"/>
        <w:rPr>
          <w:rFonts w:eastAsia="Times New Roman"/>
        </w:rPr>
      </w:pPr>
      <w:r>
        <w:rPr>
          <w:rFonts w:eastAsia="Times New Roman"/>
          <w:b/>
          <w:bCs/>
          <w:i/>
          <w:iCs/>
          <w:color w:val="000000"/>
          <w:sz w:val="20"/>
          <w:szCs w:val="20"/>
        </w:rPr>
        <w:t>Advancing Connectivity.</w:t>
      </w:r>
      <w:r>
        <w:rPr>
          <w:rFonts w:eastAsia="Times New Roman"/>
          <w:color w:val="000000"/>
          <w:sz w:val="20"/>
          <w:szCs w:val="20"/>
        </w:rPr>
        <w:t xml:space="preserve"> 3G technology introduced the world to the potential of the mobile inte</w:t>
      </w:r>
      <w:r>
        <w:rPr>
          <w:rFonts w:eastAsia="Times New Roman"/>
          <w:color w:val="000000"/>
          <w:sz w:val="20"/>
          <w:szCs w:val="20"/>
        </w:rPr>
        <w:t xml:space="preserve">rnet, and the ability to access the internet virtually anytime and anywhere. 4G brought mobile broadband speeds that helped fuel the smartphone era, forever changing the way we work, live and connect with others. 4G has served as the technology foundation </w:t>
      </w:r>
      <w:r>
        <w:rPr>
          <w:rFonts w:eastAsia="Times New Roman"/>
          <w:color w:val="000000"/>
          <w:sz w:val="20"/>
          <w:szCs w:val="20"/>
        </w:rPr>
        <w:t xml:space="preserve">for many of the applications and services used today, including e-commerce, video streaming, video calling, social media and gaming. </w:t>
      </w:r>
    </w:p>
    <w:p w:rsidR="00000000" w:rsidRDefault="008931E1">
      <w:pPr>
        <w:ind w:firstLine="360"/>
        <w:divId w:val="724569228"/>
        <w:rPr>
          <w:rFonts w:eastAsia="Times New Roman"/>
        </w:rPr>
      </w:pPr>
      <w:r>
        <w:rPr>
          <w:rFonts w:eastAsia="Times New Roman"/>
          <w:color w:val="000000"/>
          <w:sz w:val="20"/>
          <w:szCs w:val="20"/>
        </w:rPr>
        <w:t>Building on foundational innovations developed for 3G and 4G, the mobile industry continues to transition to 5G technology</w:t>
      </w:r>
      <w:r>
        <w:rPr>
          <w:rFonts w:eastAsia="Times New Roman"/>
          <w:color w:val="000000"/>
          <w:sz w:val="20"/>
          <w:szCs w:val="20"/>
        </w:rPr>
        <w:t xml:space="preserve"> as 5G network deployments and device launches continue, particularly in emerging regions. Beginning with the Release 15 specification issued by 3GPP (3rd Generation Partnership Project), an organization that develops technical specifications, 5G is design</w:t>
      </w:r>
      <w:r>
        <w:rPr>
          <w:rFonts w:eastAsia="Times New Roman"/>
          <w:color w:val="000000"/>
          <w:sz w:val="20"/>
          <w:szCs w:val="20"/>
        </w:rPr>
        <w:t>ed to support multi-gigabit data rates, low latency and greater capacity than previous generations of mobile technology to enable enhanced mobile broadband experiences, including ultra-high definition (4K) video streaming and sharing, near-instantaneous ac</w:t>
      </w:r>
      <w:r>
        <w:rPr>
          <w:rFonts w:eastAsia="Times New Roman"/>
          <w:color w:val="000000"/>
          <w:sz w:val="20"/>
          <w:szCs w:val="20"/>
        </w:rPr>
        <w:t xml:space="preserve">cess to cloud services, immersive cloud gaming and XR, which includes augmented reality (AR), virtual reality (VR) and mixed reality (MR). 5G’s performance and capacity improvements are also enabling operators to offer new consumer and enterprise services </w:t>
      </w:r>
      <w:r>
        <w:rPr>
          <w:rFonts w:eastAsia="Times New Roman"/>
          <w:color w:val="000000"/>
          <w:sz w:val="20"/>
          <w:szCs w:val="20"/>
        </w:rPr>
        <w:t>while also reducing their operating costs.</w:t>
      </w:r>
    </w:p>
    <w:p w:rsidR="00000000" w:rsidRDefault="008931E1">
      <w:pPr>
        <w:ind w:firstLine="360"/>
        <w:divId w:val="1590387078"/>
        <w:rPr>
          <w:rFonts w:eastAsia="Times New Roman"/>
        </w:rPr>
      </w:pPr>
      <w:r>
        <w:rPr>
          <w:rFonts w:eastAsia="Times New Roman"/>
          <w:b/>
          <w:bCs/>
          <w:i/>
          <w:iCs/>
          <w:color w:val="000000"/>
          <w:sz w:val="20"/>
          <w:szCs w:val="20"/>
        </w:rPr>
        <w:t>Consumer Demand for Smartphones.</w:t>
      </w:r>
      <w:r>
        <w:rPr>
          <w:rFonts w:eastAsia="Times New Roman"/>
          <w:color w:val="000000"/>
          <w:sz w:val="20"/>
          <w:szCs w:val="20"/>
        </w:rPr>
        <w:t xml:space="preserve"> For calendar year 2023, we estimate that consumer demand for 3G, 4G, and 5G handset volumes will decrease by a mid to high-single digit percentage relative to calendar year 2022. S</w:t>
      </w:r>
      <w:r>
        <w:rPr>
          <w:rFonts w:eastAsia="Times New Roman"/>
          <w:color w:val="000000"/>
          <w:sz w:val="20"/>
          <w:szCs w:val="20"/>
        </w:rPr>
        <w:t xml:space="preserve">uch expected decline in demand is primarily driven by weakness in the macroeconomic environment (which has negatively impacted consumer demand for smartphones). </w:t>
      </w:r>
    </w:p>
    <w:p w:rsidR="00000000" w:rsidRDefault="008931E1">
      <w:pPr>
        <w:jc w:val="center"/>
        <w:divId w:val="1751268310"/>
        <w:rPr>
          <w:rFonts w:eastAsia="Times New Roman"/>
        </w:rPr>
      </w:pPr>
      <w:r>
        <w:rPr>
          <w:rFonts w:eastAsia="Times New Roman"/>
          <w:color w:val="000000"/>
          <w:sz w:val="20"/>
          <w:szCs w:val="20"/>
        </w:rPr>
        <w:t>7</w:t>
      </w:r>
    </w:p>
    <w:p w:rsidR="00000000" w:rsidRDefault="008931E1">
      <w:pPr>
        <w:rPr>
          <w:rFonts w:eastAsia="Times New Roman"/>
        </w:rPr>
      </w:pPr>
      <w:r>
        <w:rPr>
          <w:rFonts w:eastAsia="Times New Roman"/>
        </w:rPr>
        <w:pict>
          <v:rect id="_x0000_i1030" style="width:0;height:1.5pt" o:hralign="center" o:hrstd="t" o:hr="t" fillcolor="#a0a0a0" stroked="f"/>
        </w:pict>
      </w:r>
    </w:p>
    <w:p w:rsidR="00000000" w:rsidRDefault="008931E1">
      <w:pPr>
        <w:divId w:val="505442067"/>
        <w:rPr>
          <w:rFonts w:eastAsia="Times New Roman"/>
        </w:rPr>
      </w:pPr>
    </w:p>
    <w:p w:rsidR="00000000" w:rsidRDefault="008931E1">
      <w:pPr>
        <w:ind w:firstLine="360"/>
        <w:divId w:val="257491469"/>
        <w:rPr>
          <w:rFonts w:eastAsia="Times New Roman"/>
        </w:rPr>
      </w:pPr>
      <w:r>
        <w:rPr>
          <w:rFonts w:eastAsia="Times New Roman"/>
          <w:color w:val="000000"/>
          <w:sz w:val="20"/>
          <w:szCs w:val="20"/>
        </w:rPr>
        <w:t>Consumer demand for new experiences, combined with the</w:t>
      </w:r>
      <w:r>
        <w:rPr>
          <w:rFonts w:eastAsia="Times New Roman"/>
          <w:color w:val="000000"/>
          <w:sz w:val="20"/>
          <w:szCs w:val="20"/>
        </w:rPr>
        <w:t xml:space="preserve"> needs of mobile operators and device manufacturers to provide differentiated features and services, is driving continued innovation within the smartphone across connectivity, processing, AI, multimedia, imaging, audio and more. As a result, the smartphone</w:t>
      </w:r>
      <w:r>
        <w:rPr>
          <w:rFonts w:eastAsia="Times New Roman"/>
          <w:color w:val="000000"/>
          <w:sz w:val="20"/>
          <w:szCs w:val="20"/>
        </w:rPr>
        <w:t xml:space="preserve"> continues to be the go-to device for social networking, music and video streaming, photography and video capture, e-commerce, gaming, email, web browsing and more. We believe that the combination of 5G and AI will enable these experiences to be more immer</w:t>
      </w:r>
      <w:r>
        <w:rPr>
          <w:rFonts w:eastAsia="Times New Roman"/>
          <w:color w:val="000000"/>
          <w:sz w:val="20"/>
          <w:szCs w:val="20"/>
        </w:rPr>
        <w:t xml:space="preserve">sive, intuitive and interactive. </w:t>
      </w:r>
    </w:p>
    <w:p w:rsidR="00000000" w:rsidRDefault="008931E1">
      <w:pPr>
        <w:ind w:firstLine="360"/>
        <w:divId w:val="691885609"/>
        <w:rPr>
          <w:rFonts w:eastAsia="Times New Roman"/>
        </w:rPr>
      </w:pPr>
      <w:r>
        <w:rPr>
          <w:rFonts w:eastAsia="Times New Roman"/>
          <w:b/>
          <w:bCs/>
          <w:i/>
          <w:iCs/>
          <w:color w:val="000000"/>
          <w:sz w:val="20"/>
          <w:szCs w:val="20"/>
        </w:rPr>
        <w:t>Automotive.</w:t>
      </w:r>
      <w:r>
        <w:rPr>
          <w:rFonts w:eastAsia="Times New Roman"/>
          <w:color w:val="000000"/>
          <w:sz w:val="20"/>
          <w:szCs w:val="20"/>
        </w:rPr>
        <w:t xml:space="preserve"> According to analyst data, 71% of new vehicles produced in 2030 are projected to have embedded cellular connectivity, with 71% of those vehicles featuring 5G connectivity. By comparison, an estimated 63% of veh</w:t>
      </w:r>
      <w:r>
        <w:rPr>
          <w:rFonts w:eastAsia="Times New Roman"/>
          <w:color w:val="000000"/>
          <w:sz w:val="20"/>
          <w:szCs w:val="20"/>
        </w:rPr>
        <w:t>icles produced in 2023 will have embedded cellular connectivity, with 5G connectivity beginning to ramp (TechInsights, October 2023).</w:t>
      </w:r>
    </w:p>
    <w:p w:rsidR="00000000" w:rsidRDefault="008931E1">
      <w:pPr>
        <w:ind w:firstLine="360"/>
        <w:divId w:val="188184283"/>
        <w:rPr>
          <w:rFonts w:eastAsia="Times New Roman"/>
        </w:rPr>
      </w:pPr>
      <w:r>
        <w:rPr>
          <w:rFonts w:eastAsia="Times New Roman"/>
          <w:color w:val="000000"/>
          <w:sz w:val="20"/>
          <w:szCs w:val="20"/>
        </w:rPr>
        <w:t>Digitalization of the automotive cockpit continues to transform the in-vehicle experience, enabling greater personalization of content and settings for both drivers and passengers as automakers respond to growing interest from consumers to bring their digi</w:t>
      </w:r>
      <w:r>
        <w:rPr>
          <w:rFonts w:eastAsia="Times New Roman"/>
          <w:color w:val="000000"/>
          <w:sz w:val="20"/>
          <w:szCs w:val="20"/>
        </w:rPr>
        <w:t>tal lifestyles into the vehicle. Car-to-cloud platforms are helping automakers improve cost efficiencies, create new service opportunities throughout the lifecycle of a vehicle with over-the-air (OTA) update capabilities and valuable vehicle and usage anal</w:t>
      </w:r>
      <w:r>
        <w:rPr>
          <w:rFonts w:eastAsia="Times New Roman"/>
          <w:color w:val="000000"/>
          <w:sz w:val="20"/>
          <w:szCs w:val="20"/>
        </w:rPr>
        <w:t xml:space="preserve">ytics. This is driving the development of a new architecture for the software-defined vehicle. High-performance, low-power computing technologies from mobile are being used to improve vehicles with advanced driver assistance and automated driving features </w:t>
      </w:r>
      <w:r>
        <w:rPr>
          <w:rFonts w:eastAsia="Times New Roman"/>
          <w:color w:val="000000"/>
          <w:sz w:val="20"/>
          <w:szCs w:val="20"/>
        </w:rPr>
        <w:t>that we expect to scale across vehicle tiers and continue the progression toward higher levels of autonomy, safety and convenience. Analysts estimate that 31% of new light duty vehicles sold globally in 2026 will have Level 2 (i.e., partial driving automat</w:t>
      </w:r>
      <w:r>
        <w:rPr>
          <w:rFonts w:eastAsia="Times New Roman"/>
          <w:color w:val="000000"/>
          <w:sz w:val="20"/>
          <w:szCs w:val="20"/>
        </w:rPr>
        <w:t>ion) or higher autonomy, compared to an estimated 15% of new light duty vehicles sold globally in 2023 (TechInsights, September 2023).</w:t>
      </w:r>
    </w:p>
    <w:p w:rsidR="00000000" w:rsidRDefault="008931E1">
      <w:pPr>
        <w:ind w:firstLine="360"/>
        <w:divId w:val="1425418799"/>
        <w:rPr>
          <w:rFonts w:eastAsia="Times New Roman"/>
        </w:rPr>
      </w:pPr>
      <w:r>
        <w:rPr>
          <w:rFonts w:eastAsia="Times New Roman"/>
          <w:b/>
          <w:bCs/>
          <w:i/>
          <w:iCs/>
          <w:color w:val="000000"/>
          <w:sz w:val="20"/>
          <w:szCs w:val="20"/>
        </w:rPr>
        <w:t>IoT.</w:t>
      </w:r>
      <w:r>
        <w:rPr>
          <w:rFonts w:eastAsia="Times New Roman"/>
          <w:color w:val="000000"/>
          <w:sz w:val="20"/>
          <w:szCs w:val="20"/>
        </w:rPr>
        <w:t xml:space="preserve"> </w:t>
      </w:r>
      <w:r>
        <w:rPr>
          <w:rFonts w:eastAsia="Times New Roman"/>
          <w:color w:val="000000"/>
          <w:sz w:val="20"/>
          <w:szCs w:val="20"/>
        </w:rPr>
        <w:t>Industry demand for IoT devices continued to grow across consumer, edge networking and industrial applications in fiscal 2023; however, as a result of the current macroeconomic environment the growth rate slowed compared to prior projections and elevated c</w:t>
      </w:r>
      <w:r>
        <w:rPr>
          <w:rFonts w:eastAsia="Times New Roman"/>
          <w:color w:val="000000"/>
          <w:sz w:val="20"/>
          <w:szCs w:val="20"/>
        </w:rPr>
        <w:t>hannel inventory lowered demand for semiconductors from multiple industries within IoT in fiscal 2023. The installed base of IoT devices, which includes everything from wearables to industrial handhelds to gateways, is projected to increase by 70% from 202</w:t>
      </w:r>
      <w:r>
        <w:rPr>
          <w:rFonts w:eastAsia="Times New Roman"/>
          <w:color w:val="000000"/>
          <w:sz w:val="20"/>
          <w:szCs w:val="20"/>
        </w:rPr>
        <w:t>3 to 2026 (ABI Research, June 2023).</w:t>
      </w:r>
    </w:p>
    <w:p w:rsidR="00000000" w:rsidRDefault="008931E1">
      <w:pPr>
        <w:ind w:firstLine="360"/>
        <w:divId w:val="1532299904"/>
        <w:rPr>
          <w:rFonts w:eastAsia="Times New Roman"/>
        </w:rPr>
      </w:pPr>
      <w:r>
        <w:rPr>
          <w:rFonts w:eastAsia="Times New Roman"/>
          <w:i/>
          <w:iCs/>
          <w:color w:val="000000"/>
          <w:sz w:val="20"/>
          <w:szCs w:val="20"/>
        </w:rPr>
        <w:t xml:space="preserve">Consumer. </w:t>
      </w:r>
      <w:r>
        <w:rPr>
          <w:rFonts w:eastAsia="Times New Roman"/>
          <w:color w:val="000000"/>
          <w:sz w:val="20"/>
          <w:szCs w:val="20"/>
        </w:rPr>
        <w:t>Consumer IoT products continue to adopt the latest mobile connectivity, processing and intelligence technologies, including personal computing (e.g., tablets and personal computers), connected audio (e.g., wir</w:t>
      </w:r>
      <w:r>
        <w:rPr>
          <w:rFonts w:eastAsia="Times New Roman"/>
          <w:color w:val="000000"/>
          <w:sz w:val="20"/>
          <w:szCs w:val="20"/>
        </w:rPr>
        <w:t>eless earbuds, speakers and soundbars), wearables (e.g., smart watches), XR devices (e.g., VR headsets and AR glasses) and others (e.g., camera and video collaboration, exercise equipment and home appliances). This is enabling new services, applications an</w:t>
      </w:r>
      <w:r>
        <w:rPr>
          <w:rFonts w:eastAsia="Times New Roman"/>
          <w:color w:val="000000"/>
          <w:sz w:val="20"/>
          <w:szCs w:val="20"/>
        </w:rPr>
        <w:t xml:space="preserve">d experiences. </w:t>
      </w:r>
    </w:p>
    <w:p w:rsidR="00000000" w:rsidRDefault="008931E1">
      <w:pPr>
        <w:ind w:firstLine="360"/>
        <w:divId w:val="1657761218"/>
        <w:rPr>
          <w:rFonts w:eastAsia="Times New Roman"/>
        </w:rPr>
      </w:pPr>
      <w:r>
        <w:rPr>
          <w:rFonts w:eastAsia="Times New Roman"/>
          <w:i/>
          <w:iCs/>
          <w:color w:val="000000"/>
          <w:sz w:val="20"/>
          <w:szCs w:val="20"/>
        </w:rPr>
        <w:t>Edge Networking.</w:t>
      </w:r>
      <w:r>
        <w:rPr>
          <w:rFonts w:eastAsia="Times New Roman"/>
          <w:color w:val="000000"/>
          <w:sz w:val="20"/>
          <w:szCs w:val="20"/>
        </w:rPr>
        <w:t xml:space="preserve"> Advances in wireless technology are helping to drive demand for edge networking products (including mobile broadband and wireless access points). 5G provides the flexibility to support both mobile and fixed wireless users w</w:t>
      </w:r>
      <w:r>
        <w:rPr>
          <w:rFonts w:eastAsia="Times New Roman"/>
          <w:color w:val="000000"/>
          <w:sz w:val="20"/>
          <w:szCs w:val="20"/>
        </w:rPr>
        <w:t>ith the delivery of high-speed, low-latency connections, enabling operators to replace traditional “last-mile” wired broadband connections. Additionally, advancements in Wi-Fi are driving consumer and enterprise demand for the latest Wi-Fi 6, 6E, and 7 acc</w:t>
      </w:r>
      <w:r>
        <w:rPr>
          <w:rFonts w:eastAsia="Times New Roman"/>
          <w:color w:val="000000"/>
          <w:sz w:val="20"/>
          <w:szCs w:val="20"/>
        </w:rPr>
        <w:t xml:space="preserve">ess point technologies that leverage increased network speed, capacity and efficiency to support the increased number of connected devices at home and at work. </w:t>
      </w:r>
    </w:p>
    <w:p w:rsidR="00000000" w:rsidRDefault="008931E1">
      <w:pPr>
        <w:ind w:firstLine="360"/>
        <w:divId w:val="1149783142"/>
        <w:rPr>
          <w:rFonts w:eastAsia="Times New Roman"/>
        </w:rPr>
      </w:pPr>
      <w:r>
        <w:rPr>
          <w:rFonts w:eastAsia="Times New Roman"/>
          <w:i/>
          <w:iCs/>
          <w:color w:val="000000"/>
          <w:sz w:val="20"/>
          <w:szCs w:val="20"/>
        </w:rPr>
        <w:t>Industrial.</w:t>
      </w:r>
      <w:r>
        <w:rPr>
          <w:rFonts w:eastAsia="Times New Roman"/>
          <w:color w:val="000000"/>
          <w:sz w:val="20"/>
          <w:szCs w:val="20"/>
        </w:rPr>
        <w:t xml:space="preserve"> The combination of IoT devices with connectivity, computing, on-device AI, and powe</w:t>
      </w:r>
      <w:r>
        <w:rPr>
          <w:rFonts w:eastAsia="Times New Roman"/>
          <w:color w:val="000000"/>
          <w:sz w:val="20"/>
          <w:szCs w:val="20"/>
        </w:rPr>
        <w:t>r-optimized and precise location tracking along with the cloud are helping to bring near real-time data and insights in industries such as retail, transportation, logistics, utilities and energy. This allows companies to gain new knowledge and insights abo</w:t>
      </w:r>
      <w:r>
        <w:rPr>
          <w:rFonts w:eastAsia="Times New Roman"/>
          <w:color w:val="000000"/>
          <w:sz w:val="20"/>
          <w:szCs w:val="20"/>
        </w:rPr>
        <w:t>ut their products and services, manufacturing and logistics processes and more, which can help to transform, optimize and innovate their business.</w:t>
      </w:r>
    </w:p>
    <w:p w:rsidR="00000000" w:rsidRDefault="008931E1">
      <w:pPr>
        <w:divId w:val="2126651094"/>
        <w:rPr>
          <w:rFonts w:eastAsia="Times New Roman"/>
        </w:rPr>
      </w:pPr>
      <w:r>
        <w:rPr>
          <w:rFonts w:eastAsia="Times New Roman"/>
          <w:b/>
          <w:bCs/>
          <w:color w:val="000000"/>
          <w:sz w:val="20"/>
          <w:szCs w:val="20"/>
        </w:rPr>
        <w:t>Technology Overview</w:t>
      </w:r>
    </w:p>
    <w:p w:rsidR="00000000" w:rsidRDefault="008931E1">
      <w:pPr>
        <w:ind w:firstLine="360"/>
        <w:divId w:val="1985112705"/>
        <w:rPr>
          <w:rFonts w:eastAsia="Times New Roman"/>
        </w:rPr>
      </w:pPr>
      <w:r>
        <w:rPr>
          <w:rFonts w:eastAsia="Times New Roman"/>
          <w:color w:val="000000"/>
          <w:sz w:val="20"/>
          <w:szCs w:val="20"/>
        </w:rPr>
        <w:t>The worldwide demand for wireless devices, data services and applications requires contin</w:t>
      </w:r>
      <w:r>
        <w:rPr>
          <w:rFonts w:eastAsia="Times New Roman"/>
          <w:color w:val="000000"/>
          <w:sz w:val="20"/>
          <w:szCs w:val="20"/>
        </w:rPr>
        <w:t>uous innovation to improve the user experiences, support new services, expand on-device processing and AI capabilities at low power, and increase wireless connectivity capacity and performance. To meet these requirements, different foundational technologie</w:t>
      </w:r>
      <w:r>
        <w:rPr>
          <w:rFonts w:eastAsia="Times New Roman"/>
          <w:color w:val="000000"/>
          <w:sz w:val="20"/>
          <w:szCs w:val="20"/>
        </w:rPr>
        <w:t>s including wireless communications, multimedia, location and computing, continue to evolve. We have a long history of investing heavily in research and development and have developed many of these foundational technologies that help drive the continued ev</w:t>
      </w:r>
      <w:r>
        <w:rPr>
          <w:rFonts w:eastAsia="Times New Roman"/>
          <w:color w:val="000000"/>
          <w:sz w:val="20"/>
          <w:szCs w:val="20"/>
        </w:rPr>
        <w:t>olution of the wireless industry. As a result, we have developed and commercialized leading edge chipset platforms for mobile, automotive and IoT. We have also developed and acquired (and continue to develop and acquire) significant related intellectual pr</w:t>
      </w:r>
      <w:r>
        <w:rPr>
          <w:rFonts w:eastAsia="Times New Roman"/>
          <w:color w:val="000000"/>
          <w:sz w:val="20"/>
          <w:szCs w:val="20"/>
        </w:rPr>
        <w:t>operty. This intellectual property has been incorporated into the most widely accepted and deployed cellular wireless communications technology standards, and we have licensed it to several hundred licensees, including all of the leading handset manufactur</w:t>
      </w:r>
      <w:r>
        <w:rPr>
          <w:rFonts w:eastAsia="Times New Roman"/>
          <w:color w:val="000000"/>
          <w:sz w:val="20"/>
          <w:szCs w:val="20"/>
        </w:rPr>
        <w:t xml:space="preserve">ers. </w:t>
      </w:r>
    </w:p>
    <w:p w:rsidR="00000000" w:rsidRDefault="008931E1">
      <w:pPr>
        <w:jc w:val="center"/>
        <w:divId w:val="2141609023"/>
        <w:rPr>
          <w:rFonts w:eastAsia="Times New Roman"/>
        </w:rPr>
      </w:pPr>
      <w:r>
        <w:rPr>
          <w:rFonts w:eastAsia="Times New Roman"/>
          <w:color w:val="000000"/>
          <w:sz w:val="20"/>
          <w:szCs w:val="20"/>
        </w:rPr>
        <w:t>8</w:t>
      </w:r>
    </w:p>
    <w:p w:rsidR="00000000" w:rsidRDefault="008931E1">
      <w:pPr>
        <w:rPr>
          <w:rFonts w:eastAsia="Times New Roman"/>
        </w:rPr>
      </w:pPr>
      <w:r>
        <w:rPr>
          <w:rFonts w:eastAsia="Times New Roman"/>
        </w:rPr>
        <w:pict>
          <v:rect id="_x0000_i1031" style="width:0;height:1.5pt" o:hralign="center" o:hrstd="t" o:hr="t" fillcolor="#a0a0a0" stroked="f"/>
        </w:pict>
      </w:r>
    </w:p>
    <w:p w:rsidR="00000000" w:rsidRDefault="008931E1">
      <w:pPr>
        <w:divId w:val="1095518859"/>
        <w:rPr>
          <w:rFonts w:eastAsia="Times New Roman"/>
        </w:rPr>
      </w:pPr>
    </w:p>
    <w:p w:rsidR="00000000" w:rsidRDefault="008931E1">
      <w:pPr>
        <w:ind w:firstLine="360"/>
        <w:divId w:val="1025667785"/>
        <w:rPr>
          <w:rFonts w:eastAsia="Times New Roman"/>
        </w:rPr>
      </w:pPr>
      <w:r>
        <w:rPr>
          <w:rFonts w:eastAsia="Times New Roman"/>
          <w:b/>
          <w:bCs/>
          <w:i/>
          <w:iCs/>
          <w:color w:val="000000"/>
          <w:sz w:val="20"/>
          <w:szCs w:val="20"/>
        </w:rPr>
        <w:t>Cellular Wireless Technologies.</w:t>
      </w:r>
      <w:r>
        <w:rPr>
          <w:rFonts w:eastAsia="Times New Roman"/>
          <w:b/>
          <w:bCs/>
          <w:color w:val="000000"/>
          <w:sz w:val="20"/>
          <w:szCs w:val="20"/>
        </w:rPr>
        <w:t xml:space="preserve"> </w:t>
      </w:r>
      <w:r>
        <w:rPr>
          <w:rFonts w:eastAsia="Times New Roman"/>
          <w:color w:val="000000"/>
          <w:sz w:val="20"/>
          <w:szCs w:val="20"/>
        </w:rPr>
        <w:t>Relevant cellular wireless technologies can be grouped into the following categories.</w:t>
      </w:r>
    </w:p>
    <w:p w:rsidR="00000000" w:rsidRDefault="008931E1">
      <w:pPr>
        <w:ind w:firstLine="360"/>
        <w:divId w:val="1037199241"/>
        <w:rPr>
          <w:rFonts w:eastAsia="Times New Roman"/>
        </w:rPr>
      </w:pPr>
      <w:r>
        <w:rPr>
          <w:rFonts w:eastAsia="Times New Roman"/>
          <w:i/>
          <w:iCs/>
          <w:color w:val="000000"/>
          <w:sz w:val="20"/>
          <w:szCs w:val="20"/>
        </w:rPr>
        <w:t>CDMA-based.</w:t>
      </w:r>
      <w:r>
        <w:rPr>
          <w:rFonts w:eastAsia="Times New Roman"/>
          <w:color w:val="000000"/>
          <w:sz w:val="20"/>
          <w:szCs w:val="20"/>
        </w:rPr>
        <w:t xml:space="preserve"> CDMA-based technologies are characterized by their access method allowing severa</w:t>
      </w:r>
      <w:r>
        <w:rPr>
          <w:rFonts w:eastAsia="Times New Roman"/>
          <w:color w:val="000000"/>
          <w:sz w:val="20"/>
          <w:szCs w:val="20"/>
        </w:rPr>
        <w:t>l users to share the same frequency and time by allocating different orthogonal codes to individual users. Most of the CDMA-based technologies are classified as 3G technology. CDMA-based connections worldwide continue to decline as consumers migrate to OFD</w:t>
      </w:r>
      <w:r>
        <w:rPr>
          <w:rFonts w:eastAsia="Times New Roman"/>
          <w:color w:val="000000"/>
          <w:sz w:val="20"/>
          <w:szCs w:val="20"/>
        </w:rPr>
        <w:t>MA-based technologies, which comprise the majority of total cellular connections today.</w:t>
      </w:r>
    </w:p>
    <w:p w:rsidR="00000000" w:rsidRDefault="008931E1">
      <w:pPr>
        <w:ind w:firstLine="360"/>
        <w:divId w:val="655689059"/>
        <w:rPr>
          <w:rFonts w:eastAsia="Times New Roman"/>
        </w:rPr>
      </w:pPr>
      <w:r>
        <w:rPr>
          <w:rFonts w:eastAsia="Times New Roman"/>
          <w:i/>
          <w:iCs/>
          <w:color w:val="000000"/>
          <w:sz w:val="20"/>
          <w:szCs w:val="20"/>
        </w:rPr>
        <w:t>OFDMA-based.</w:t>
      </w:r>
      <w:r>
        <w:rPr>
          <w:rFonts w:eastAsia="Times New Roman"/>
          <w:color w:val="000000"/>
          <w:sz w:val="20"/>
          <w:szCs w:val="20"/>
        </w:rPr>
        <w:t xml:space="preserve"> OFDMA-based technologies are characterized by their access method allowing several users to share the same frequency band and time by allocating different </w:t>
      </w:r>
      <w:r>
        <w:rPr>
          <w:rFonts w:eastAsia="Times New Roman"/>
          <w:color w:val="000000"/>
          <w:sz w:val="20"/>
          <w:szCs w:val="20"/>
        </w:rPr>
        <w:t>subcarriers to individual users. Most of the OFDMA-based technologies deployed prior to 2020 are classified as 4G technology. 3GPP developed the 4G system through the specification of the radio component (LTE) and the core network component (Enhanced Packe</w:t>
      </w:r>
      <w:r>
        <w:rPr>
          <w:rFonts w:eastAsia="Times New Roman"/>
          <w:color w:val="000000"/>
          <w:sz w:val="20"/>
          <w:szCs w:val="20"/>
        </w:rPr>
        <w:t>t Core or EPC). LTE is designed to seamlessly interwork with 3G technologies through multimode devices, and can use bandwidths of 20 MHz or more through aggregation. LTE Advanced brings many more enhancements, including carrier aggregation, advanced multi-</w:t>
      </w:r>
      <w:r>
        <w:rPr>
          <w:rFonts w:eastAsia="Times New Roman"/>
          <w:color w:val="000000"/>
          <w:sz w:val="20"/>
          <w:szCs w:val="20"/>
        </w:rPr>
        <w:t xml:space="preserve">antenna techniques and optimizations for small cells. 5G heavily leverages OFDMA-based technologies; 3GPP has developed the 5G system through the specification of the radio component (NR) and the core network component (5G Core or 5GC). Unlike 4G that has </w:t>
      </w:r>
      <w:r>
        <w:rPr>
          <w:rFonts w:eastAsia="Times New Roman"/>
          <w:color w:val="000000"/>
          <w:sz w:val="20"/>
          <w:szCs w:val="20"/>
        </w:rPr>
        <w:t xml:space="preserve">fixed Orthogonal Frequency Division Multiplexing (OFDM) parameterization, 5G has multiple OFDM parameterizations to address a wide range of spectrum and use cases. </w:t>
      </w:r>
    </w:p>
    <w:p w:rsidR="00000000" w:rsidRDefault="008931E1">
      <w:pPr>
        <w:ind w:firstLine="360"/>
        <w:divId w:val="669679072"/>
        <w:rPr>
          <w:rFonts w:eastAsia="Times New Roman"/>
        </w:rPr>
      </w:pPr>
      <w:r>
        <w:rPr>
          <w:rFonts w:eastAsia="Times New Roman"/>
          <w:color w:val="000000"/>
          <w:sz w:val="20"/>
          <w:szCs w:val="20"/>
        </w:rPr>
        <w:t>Release 14 of 3GPP specifications began to provide enhancements specifically for C-V2X (cel</w:t>
      </w:r>
      <w:r>
        <w:rPr>
          <w:rFonts w:eastAsia="Times New Roman"/>
          <w:color w:val="000000"/>
          <w:sz w:val="20"/>
          <w:szCs w:val="20"/>
        </w:rPr>
        <w:t>lular vehicle-to-everything), which includes both direct communication (vehicle-to-vehicle, vehicle-to-infrastructure and vehicle-to-pedestrian) in dedicated spectrum that is independent of a cellular network and cellular communications with networks in tr</w:t>
      </w:r>
      <w:r>
        <w:rPr>
          <w:rFonts w:eastAsia="Times New Roman"/>
          <w:color w:val="000000"/>
          <w:sz w:val="20"/>
          <w:szCs w:val="20"/>
        </w:rPr>
        <w:t>aditional mobile broadband licensed spectrum.</w:t>
      </w:r>
    </w:p>
    <w:p w:rsidR="00000000" w:rsidRDefault="008931E1">
      <w:pPr>
        <w:ind w:firstLine="360"/>
        <w:divId w:val="740491506"/>
        <w:rPr>
          <w:rFonts w:eastAsia="Times New Roman"/>
        </w:rPr>
      </w:pPr>
      <w:r>
        <w:rPr>
          <w:rFonts w:eastAsia="Times New Roman"/>
          <w:color w:val="000000"/>
          <w:sz w:val="20"/>
          <w:szCs w:val="20"/>
        </w:rPr>
        <w:t>The wireless industry is actively developing and commercializing 5G technologies. The first 5G specification, 3GPP Release 15, was initially completed in 2018. 5G is designed to transform the role of wireless t</w:t>
      </w:r>
      <w:r>
        <w:rPr>
          <w:rFonts w:eastAsia="Times New Roman"/>
          <w:color w:val="000000"/>
          <w:sz w:val="20"/>
          <w:szCs w:val="20"/>
        </w:rPr>
        <w:t xml:space="preserve">echnologies and incorporates advancements on 3G/4G features, including device-to-device capabilities and the use of all different types of spectrum (including licensed, unlicensed and shared spectrum). Many of our inventions at the core of 3G and 4G serve </w:t>
      </w:r>
      <w:r>
        <w:rPr>
          <w:rFonts w:eastAsia="Times New Roman"/>
          <w:color w:val="000000"/>
          <w:sz w:val="20"/>
          <w:szCs w:val="20"/>
        </w:rPr>
        <w:t xml:space="preserve">as the foundational technologies for 5G, and we continue to play a significant role in driving advancements in 5G, including contributing to 3GPP standardization activities that are defining the continued evolution of 5G NR and 5G Core standards. </w:t>
      </w:r>
    </w:p>
    <w:p w:rsidR="00000000" w:rsidRDefault="008931E1">
      <w:pPr>
        <w:ind w:firstLine="360"/>
        <w:divId w:val="1019500904"/>
        <w:rPr>
          <w:rFonts w:eastAsia="Times New Roman"/>
        </w:rPr>
      </w:pPr>
      <w:r>
        <w:rPr>
          <w:rFonts w:eastAsia="Times New Roman"/>
          <w:color w:val="000000"/>
          <w:sz w:val="20"/>
          <w:szCs w:val="20"/>
        </w:rPr>
        <w:t>5G has t</w:t>
      </w:r>
      <w:r>
        <w:rPr>
          <w:rFonts w:eastAsia="Times New Roman"/>
          <w:color w:val="000000"/>
          <w:sz w:val="20"/>
          <w:szCs w:val="20"/>
        </w:rPr>
        <w:t xml:space="preserve">he ability to target diverse services with very different technical requirements (from enhanced mobile broadband to massive IoT to mission critical services), utilize diverse types of spectrum (from low bands to millimeter wave (mmWave) bands) and support </w:t>
      </w:r>
      <w:r>
        <w:rPr>
          <w:rFonts w:eastAsia="Times New Roman"/>
          <w:color w:val="000000"/>
          <w:sz w:val="20"/>
          <w:szCs w:val="20"/>
        </w:rPr>
        <w:t xml:space="preserve">diverse types of deployment scenarios. Predominant technological components of 5G include ultra-reliable, low-latency communication, very wide channel bandwidth and new channel coding schemes to efficiently support large data blocks, MIMO (multiple input, </w:t>
      </w:r>
      <w:r>
        <w:rPr>
          <w:rFonts w:eastAsia="Times New Roman"/>
          <w:color w:val="000000"/>
          <w:sz w:val="20"/>
          <w:szCs w:val="20"/>
        </w:rPr>
        <w:t>multiple output) to increase coverage and network capacity and mobile mmWave to increase the data rate offered to users. As with previous cellular generations, 5G is designed to support seamless compatibility with 3G/4G technologies through multimode devic</w:t>
      </w:r>
      <w:r>
        <w:rPr>
          <w:rFonts w:eastAsia="Times New Roman"/>
          <w:color w:val="000000"/>
          <w:sz w:val="20"/>
          <w:szCs w:val="20"/>
        </w:rPr>
        <w:t xml:space="preserve">es. </w:t>
      </w:r>
    </w:p>
    <w:p w:rsidR="00000000" w:rsidRDefault="008931E1">
      <w:pPr>
        <w:ind w:firstLine="360"/>
        <w:divId w:val="75441925"/>
        <w:rPr>
          <w:rFonts w:eastAsia="Times New Roman"/>
        </w:rPr>
      </w:pPr>
      <w:r>
        <w:rPr>
          <w:rFonts w:eastAsia="Times New Roman"/>
          <w:color w:val="000000"/>
          <w:sz w:val="20"/>
          <w:szCs w:val="20"/>
        </w:rPr>
        <w:t>Following the initial specification of 5G in 3GPP Release 15, 3GPP completed two additional releases. Release 16 introduced enhancements to 5G mobile broadband experiences (e.g., more capacity, improved coverage, mobility and better device power effic</w:t>
      </w:r>
      <w:r>
        <w:rPr>
          <w:rFonts w:eastAsia="Times New Roman"/>
          <w:color w:val="000000"/>
          <w:sz w:val="20"/>
          <w:szCs w:val="20"/>
        </w:rPr>
        <w:t>iency), expanded 5G technologies into new use cases and industries and began supporting different spectrum types by expanding 5G into unlicensed spectrum with 5G NR Unlicensed (NR-U). Release 17 became the third major release of the global 5G NR standard e</w:t>
      </w:r>
      <w:r>
        <w:rPr>
          <w:rFonts w:eastAsia="Times New Roman"/>
          <w:color w:val="000000"/>
          <w:sz w:val="20"/>
          <w:szCs w:val="20"/>
        </w:rPr>
        <w:t>xpanding the 5G technology foundations for coverage, mobility, power and reliability, which is designed to provide efficient support for lower complexity 5G devices including wearables, industrial sensors, and new deployments, including non-terrestrial net</w:t>
      </w:r>
      <w:r>
        <w:rPr>
          <w:rFonts w:eastAsia="Times New Roman"/>
          <w:color w:val="000000"/>
          <w:sz w:val="20"/>
          <w:szCs w:val="20"/>
        </w:rPr>
        <w:t>works and mmWave private networks on unlicensed 60 GHz spectrum band. Release 18, which remains under development, marks the start of 5G Advanced, with projects designed to strengthen the end-to-end 5G system foundation (such as advanced downlink and uplin</w:t>
      </w:r>
      <w:r>
        <w:rPr>
          <w:rFonts w:eastAsia="Times New Roman"/>
          <w:color w:val="000000"/>
          <w:sz w:val="20"/>
          <w:szCs w:val="20"/>
        </w:rPr>
        <w:t>k MIMO, enhanced mobility, mobile integrated access and backhaul, smart repeater, evolved duplexing, AI and machine learning data-driven designs and green networks) and to proliferate 5G to virtually all devices and use cases (such as boundless extended re</w:t>
      </w:r>
      <w:r>
        <w:rPr>
          <w:rFonts w:eastAsia="Times New Roman"/>
          <w:color w:val="000000"/>
          <w:sz w:val="20"/>
          <w:szCs w:val="20"/>
        </w:rPr>
        <w:t>ality, NR-light evolution, expanded sidelink, expanded positioning, drones and expanded satellite communication and multicast).</w:t>
      </w:r>
    </w:p>
    <w:p w:rsidR="00000000" w:rsidRDefault="008931E1">
      <w:pPr>
        <w:ind w:firstLine="360"/>
        <w:divId w:val="60448305"/>
        <w:rPr>
          <w:rFonts w:eastAsia="Times New Roman"/>
        </w:rPr>
      </w:pPr>
      <w:r>
        <w:rPr>
          <w:rFonts w:eastAsia="Times New Roman"/>
          <w:b/>
          <w:bCs/>
          <w:i/>
          <w:iCs/>
          <w:color w:val="000000"/>
          <w:sz w:val="20"/>
          <w:szCs w:val="20"/>
        </w:rPr>
        <w:t>Other (Non-Cellular) Wireless Technologies.</w:t>
      </w:r>
      <w:r>
        <w:rPr>
          <w:rFonts w:eastAsia="Times New Roman"/>
          <w:color w:val="000000"/>
          <w:sz w:val="20"/>
          <w:szCs w:val="20"/>
        </w:rPr>
        <w:t xml:space="preserve"> There are other, non-cellular wireless technologies that have also been widely adopt</w:t>
      </w:r>
      <w:r>
        <w:rPr>
          <w:rFonts w:eastAsia="Times New Roman"/>
          <w:color w:val="000000"/>
          <w:sz w:val="20"/>
          <w:szCs w:val="20"/>
        </w:rPr>
        <w:t>ed.</w:t>
      </w:r>
    </w:p>
    <w:p w:rsidR="00000000" w:rsidRDefault="008931E1">
      <w:pPr>
        <w:ind w:firstLine="360"/>
        <w:divId w:val="482280222"/>
        <w:rPr>
          <w:rFonts w:eastAsia="Times New Roman"/>
        </w:rPr>
      </w:pPr>
      <w:r>
        <w:rPr>
          <w:rFonts w:eastAsia="Times New Roman"/>
          <w:i/>
          <w:iCs/>
          <w:color w:val="000000"/>
          <w:sz w:val="20"/>
          <w:szCs w:val="20"/>
        </w:rPr>
        <w:t>Wireless Local Area Networks.</w:t>
      </w:r>
      <w:r>
        <w:rPr>
          <w:rFonts w:eastAsia="Times New Roman"/>
          <w:color w:val="000000"/>
          <w:sz w:val="20"/>
          <w:szCs w:val="20"/>
        </w:rPr>
        <w:t xml:space="preserve"> Wireless Local Area Networks (WLAN), such as Wi-Fi, link two or more nearby devices wirelessly and usually provide connectivity through an access point. We are actively involved in innovative programs developed in the cont</w:t>
      </w:r>
      <w:r>
        <w:rPr>
          <w:rFonts w:eastAsia="Times New Roman"/>
          <w:color w:val="000000"/>
          <w:sz w:val="20"/>
          <w:szCs w:val="20"/>
        </w:rPr>
        <w:t xml:space="preserve">ext of the Wi-Fi Alliance, a non-profit organization that drives global Wi-Fi adoption and evolution. Wi-Fi systems are based primarily on standards developed by the Institute of Electrical and Electronics Engineers 802.11 Working Group. Amendments of the </w:t>
      </w:r>
      <w:r>
        <w:rPr>
          <w:rFonts w:eastAsia="Times New Roman"/>
          <w:color w:val="000000"/>
          <w:sz w:val="20"/>
          <w:szCs w:val="20"/>
        </w:rPr>
        <w:t xml:space="preserve">802.11 standard are commonly referred to by the names made popular by the Wi-Fi Alliance (for example, 802.11ax is known as Wi-Fi 6). Wi-Fi 6 adds advanced features such as downlink and uplink OFDMA and uplink multiple-user MIMO. This technology primarily </w:t>
      </w:r>
      <w:r>
        <w:rPr>
          <w:rFonts w:eastAsia="Times New Roman"/>
          <w:color w:val="000000"/>
          <w:sz w:val="20"/>
          <w:szCs w:val="20"/>
        </w:rPr>
        <w:t xml:space="preserve">targets connectivity for mobile devices, tablets, laptops and other consumer electronic devices using the 2.4GHz and 5GHz spectrum bands. We continue to play a leading role in the evolution of the 802.11 family of standards with the development of the new </w:t>
      </w:r>
      <w:r>
        <w:rPr>
          <w:rFonts w:eastAsia="Times New Roman"/>
          <w:color w:val="000000"/>
          <w:sz w:val="20"/>
          <w:szCs w:val="20"/>
        </w:rPr>
        <w:t>802.11be standard, known as Wi-Fi 7. Wi-Fi 7 introduces enhanced speeds, latency and network capacity plus support for advanced features like 320MHz channels, standardizing the advanced modulation scheme 4K QAM (Quadrature Amplitude Modulation), and advanc</w:t>
      </w:r>
      <w:r>
        <w:rPr>
          <w:rFonts w:eastAsia="Times New Roman"/>
          <w:color w:val="000000"/>
          <w:sz w:val="20"/>
          <w:szCs w:val="20"/>
        </w:rPr>
        <w:t>ed multi-link implementations such as High Band Simultaneous Multi-Link to deliver optimal performance. Both Wi-Fi 6 and Wi-Fi 7 generation implementations can achieve significant benefits from the global trend towards increased availability of license exe</w:t>
      </w:r>
      <w:r>
        <w:rPr>
          <w:rFonts w:eastAsia="Times New Roman"/>
          <w:color w:val="000000"/>
          <w:sz w:val="20"/>
          <w:szCs w:val="20"/>
        </w:rPr>
        <w:t>mpt spectrum in the 6GHz frequency band.</w:t>
      </w:r>
    </w:p>
    <w:p w:rsidR="00000000" w:rsidRDefault="008931E1">
      <w:pPr>
        <w:jc w:val="center"/>
        <w:divId w:val="663702794"/>
        <w:rPr>
          <w:rFonts w:eastAsia="Times New Roman"/>
        </w:rPr>
      </w:pPr>
      <w:r>
        <w:rPr>
          <w:rFonts w:eastAsia="Times New Roman"/>
          <w:color w:val="000000"/>
          <w:sz w:val="20"/>
          <w:szCs w:val="20"/>
        </w:rPr>
        <w:t>9</w:t>
      </w:r>
    </w:p>
    <w:p w:rsidR="00000000" w:rsidRDefault="008931E1">
      <w:pPr>
        <w:rPr>
          <w:rFonts w:eastAsia="Times New Roman"/>
        </w:rPr>
      </w:pPr>
      <w:r>
        <w:rPr>
          <w:rFonts w:eastAsia="Times New Roman"/>
        </w:rPr>
        <w:pict>
          <v:rect id="_x0000_i1032" style="width:0;height:1.5pt" o:hralign="center" o:hrstd="t" o:hr="t" fillcolor="#a0a0a0" stroked="f"/>
        </w:pict>
      </w:r>
    </w:p>
    <w:p w:rsidR="00000000" w:rsidRDefault="008931E1">
      <w:pPr>
        <w:divId w:val="1078013305"/>
        <w:rPr>
          <w:rFonts w:eastAsia="Times New Roman"/>
        </w:rPr>
      </w:pPr>
    </w:p>
    <w:p w:rsidR="00000000" w:rsidRDefault="008931E1">
      <w:pPr>
        <w:ind w:firstLine="360"/>
        <w:divId w:val="770321640"/>
        <w:rPr>
          <w:rFonts w:eastAsia="Times New Roman"/>
        </w:rPr>
      </w:pPr>
      <w:r>
        <w:rPr>
          <w:rFonts w:eastAsia="Times New Roman"/>
          <w:i/>
          <w:iCs/>
          <w:color w:val="000000"/>
          <w:sz w:val="20"/>
          <w:szCs w:val="20"/>
        </w:rPr>
        <w:t xml:space="preserve">Bluetooth. </w:t>
      </w:r>
      <w:r>
        <w:rPr>
          <w:rFonts w:eastAsia="Times New Roman"/>
          <w:color w:val="000000"/>
          <w:sz w:val="20"/>
          <w:szCs w:val="20"/>
        </w:rPr>
        <w:t>Bluetooth is a wireless personal area network that provides wireless connectivity between devices over short distances ranging from a few centimeters to approximat</w:t>
      </w:r>
      <w:r>
        <w:rPr>
          <w:rFonts w:eastAsia="Times New Roman"/>
          <w:color w:val="000000"/>
          <w:sz w:val="20"/>
          <w:szCs w:val="20"/>
        </w:rPr>
        <w:t xml:space="preserve">ely one hundred meters using the 2.4GHz industrial, scientific and medical spectrum band. Bluetooth technology provides wireless connectivity to a wide range of fixed or mobile consumer electronic devices. Bluetooth functionalities are standardized by the </w:t>
      </w:r>
      <w:r>
        <w:rPr>
          <w:rFonts w:eastAsia="Times New Roman"/>
          <w:color w:val="000000"/>
          <w:sz w:val="20"/>
          <w:szCs w:val="20"/>
        </w:rPr>
        <w:t>Bluetooth Special Interest Group in various versions of the specification (Bluetooth Core specification versions range from 1.0 to 5.4), which include different functionalities, such as enhanced data rate, low energy, mesh, audio, telephony, automotive, hu</w:t>
      </w:r>
      <w:r>
        <w:rPr>
          <w:rFonts w:eastAsia="Times New Roman"/>
          <w:color w:val="000000"/>
          <w:sz w:val="20"/>
          <w:szCs w:val="20"/>
        </w:rPr>
        <w:t>man interface device and location technologies. We are a leading contributor to Bluetooth technologies in the areas of mobile devices and audio and mesh technologies.</w:t>
      </w:r>
    </w:p>
    <w:p w:rsidR="00000000" w:rsidRDefault="008931E1">
      <w:pPr>
        <w:ind w:firstLine="360"/>
        <w:divId w:val="1524786400"/>
        <w:rPr>
          <w:rFonts w:eastAsia="Times New Roman"/>
        </w:rPr>
      </w:pPr>
      <w:r>
        <w:rPr>
          <w:rFonts w:eastAsia="Times New Roman"/>
          <w:i/>
          <w:iCs/>
          <w:color w:val="000000"/>
          <w:sz w:val="20"/>
          <w:szCs w:val="20"/>
        </w:rPr>
        <w:t xml:space="preserve">Position Location Technologies. </w:t>
      </w:r>
      <w:r>
        <w:rPr>
          <w:rFonts w:eastAsia="Times New Roman"/>
          <w:color w:val="000000"/>
          <w:sz w:val="20"/>
          <w:szCs w:val="20"/>
        </w:rPr>
        <w:t>Position location technologies continue to evolve in orde</w:t>
      </w:r>
      <w:r>
        <w:rPr>
          <w:rFonts w:eastAsia="Times New Roman"/>
          <w:color w:val="000000"/>
          <w:sz w:val="20"/>
          <w:szCs w:val="20"/>
        </w:rPr>
        <w:t>r to deliver an enhanced location experience and comply with new mandates on location for E911 (enhanced 911) calls. We are a key developer of the Assisted-Global Positioning System (A-GPS), Assisted Global Navigation Satellite System (A-GNSS) and WLAN pos</w:t>
      </w:r>
      <w:r>
        <w:rPr>
          <w:rFonts w:eastAsia="Times New Roman"/>
          <w:color w:val="000000"/>
          <w:sz w:val="20"/>
          <w:szCs w:val="20"/>
        </w:rPr>
        <w:t>itioning technologies used in most cellular handsets today. For uses requiring the best reliability and accuracy for E911 services and navigational based services, A-GPS, A-GNSS and WLAN provide leading-edge solutions. We continue to invest in the standard</w:t>
      </w:r>
      <w:r>
        <w:rPr>
          <w:rFonts w:eastAsia="Times New Roman"/>
          <w:color w:val="000000"/>
          <w:sz w:val="20"/>
          <w:szCs w:val="20"/>
        </w:rPr>
        <w:t xml:space="preserve">ization and productization of many 4G- and 5G-based positioning capabilities, including in 3GPP Releases 16, 17 and 18. </w:t>
      </w:r>
    </w:p>
    <w:p w:rsidR="00000000" w:rsidRDefault="008931E1">
      <w:pPr>
        <w:ind w:firstLine="360"/>
        <w:divId w:val="2077583049"/>
        <w:rPr>
          <w:rFonts w:eastAsia="Times New Roman"/>
        </w:rPr>
      </w:pPr>
      <w:r>
        <w:rPr>
          <w:rFonts w:eastAsia="Times New Roman"/>
          <w:color w:val="000000"/>
          <w:sz w:val="20"/>
          <w:szCs w:val="20"/>
        </w:rPr>
        <w:t>The industry continues to evolve to support additional inputs for improving the location experience. Our products and intellectual prop</w:t>
      </w:r>
      <w:r>
        <w:rPr>
          <w:rFonts w:eastAsia="Times New Roman"/>
          <w:color w:val="000000"/>
          <w:sz w:val="20"/>
          <w:szCs w:val="20"/>
        </w:rPr>
        <w:t>erty now support multiple constellations for A-GNSS, including: GPS, GLONASS, Galileo, NavIC, BeiDou, QZSS and SBAS augmentation systems; Wi-Fi-based and Bluetooth-based positioning for WLAN, including Wi-Fi RSSI (received signal strength indication) and W</w:t>
      </w:r>
      <w:r>
        <w:rPr>
          <w:rFonts w:eastAsia="Times New Roman"/>
          <w:color w:val="000000"/>
          <w:sz w:val="20"/>
          <w:szCs w:val="20"/>
        </w:rPr>
        <w:t>i-Fi RTT (round-trip time) signals for indoor location; observed time difference of arrival positioning for LTE access (e.g., in rural and indoor areas); and third-party inertial sensors. The combination of these different location solutions is used to ens</w:t>
      </w:r>
      <w:r>
        <w:rPr>
          <w:rFonts w:eastAsia="Times New Roman"/>
          <w:color w:val="000000"/>
          <w:sz w:val="20"/>
          <w:szCs w:val="20"/>
        </w:rPr>
        <w:t>ure accurate location availability in all areas. We are also a leader in the standardization of high accuracy position techniques for 5G NR access and support techniques to improve resilience of location.</w:t>
      </w:r>
    </w:p>
    <w:p w:rsidR="00000000" w:rsidRDefault="008931E1">
      <w:pPr>
        <w:ind w:firstLine="360"/>
        <w:divId w:val="1394279467"/>
        <w:rPr>
          <w:rFonts w:eastAsia="Times New Roman"/>
        </w:rPr>
      </w:pPr>
      <w:r>
        <w:rPr>
          <w:rFonts w:eastAsia="Times New Roman"/>
          <w:b/>
          <w:bCs/>
          <w:i/>
          <w:iCs/>
          <w:color w:val="000000"/>
          <w:sz w:val="20"/>
          <w:szCs w:val="20"/>
        </w:rPr>
        <w:t>Additional Significant Technologies used in Cellula</w:t>
      </w:r>
      <w:r>
        <w:rPr>
          <w:rFonts w:eastAsia="Times New Roman"/>
          <w:b/>
          <w:bCs/>
          <w:i/>
          <w:iCs/>
          <w:color w:val="000000"/>
          <w:sz w:val="20"/>
          <w:szCs w:val="20"/>
        </w:rPr>
        <w:t>r and Other Industries</w:t>
      </w:r>
      <w:r>
        <w:rPr>
          <w:rFonts w:eastAsia="Times New Roman"/>
          <w:b/>
          <w:bCs/>
          <w:color w:val="000000"/>
          <w:sz w:val="20"/>
          <w:szCs w:val="20"/>
        </w:rPr>
        <w:t>.</w:t>
      </w:r>
    </w:p>
    <w:p w:rsidR="00000000" w:rsidRDefault="008931E1">
      <w:pPr>
        <w:ind w:firstLine="360"/>
        <w:divId w:val="162596"/>
        <w:rPr>
          <w:rFonts w:eastAsia="Times New Roman"/>
        </w:rPr>
      </w:pPr>
      <w:r>
        <w:rPr>
          <w:rFonts w:eastAsia="Times New Roman"/>
          <w:i/>
          <w:iCs/>
          <w:color w:val="000000"/>
          <w:sz w:val="20"/>
          <w:szCs w:val="20"/>
        </w:rPr>
        <w:t>On-device AI.</w:t>
      </w:r>
      <w:r>
        <w:rPr>
          <w:rFonts w:eastAsia="Times New Roman"/>
          <w:color w:val="000000"/>
          <w:sz w:val="20"/>
          <w:szCs w:val="20"/>
        </w:rPr>
        <w:t xml:space="preserve"> Our fundamental research and comprehensive approach to AI helps enable us to be a leader in on-device AI solutions. The Qualcomm® AI Engine, featured in our Snapdragon platforms and many of our other products provides </w:t>
      </w:r>
      <w:r>
        <w:rPr>
          <w:rFonts w:eastAsia="Times New Roman"/>
          <w:color w:val="000000"/>
          <w:sz w:val="20"/>
          <w:szCs w:val="20"/>
        </w:rPr>
        <w:t>high-performance on-device AI solutions at extremely low power to support complex use cases, while enhancing privacy and security. The Qualcomm® AI Stack is a unified AI software portfolio designed to help developers optimize and deploy AI models quickly u</w:t>
      </w:r>
      <w:r>
        <w:rPr>
          <w:rFonts w:eastAsia="Times New Roman"/>
          <w:color w:val="000000"/>
          <w:sz w:val="20"/>
          <w:szCs w:val="20"/>
        </w:rPr>
        <w:t>sing our chipset solutions by supporting AI frameworks and runtimes, developer libraries, system software and popular operating systems.</w:t>
      </w:r>
    </w:p>
    <w:p w:rsidR="00000000" w:rsidRDefault="008931E1">
      <w:pPr>
        <w:ind w:firstLine="360"/>
        <w:divId w:val="1215966091"/>
        <w:rPr>
          <w:rFonts w:eastAsia="Times New Roman"/>
        </w:rPr>
      </w:pPr>
      <w:r>
        <w:rPr>
          <w:rFonts w:eastAsia="Times New Roman"/>
          <w:i/>
          <w:iCs/>
          <w:color w:val="000000"/>
          <w:sz w:val="20"/>
          <w:szCs w:val="20"/>
        </w:rPr>
        <w:t>Multimedia Technologies.</w:t>
      </w:r>
      <w:r>
        <w:rPr>
          <w:rFonts w:eastAsia="Times New Roman"/>
          <w:color w:val="000000"/>
          <w:sz w:val="20"/>
          <w:szCs w:val="20"/>
        </w:rPr>
        <w:t xml:space="preserve"> We are a leading innovator in video, audio and speech compression technologies and system-leve</w:t>
      </w:r>
      <w:r>
        <w:rPr>
          <w:rFonts w:eastAsia="Times New Roman"/>
          <w:color w:val="000000"/>
          <w:sz w:val="20"/>
          <w:szCs w:val="20"/>
        </w:rPr>
        <w:t>l solutions enabling feature-rich, high-quality experiences in imaging, audio and vision intelligence. We are a leading contributor to the advancement of video compression performance, including contributions to the H.265/HEVC standard (deployed to support</w:t>
      </w:r>
      <w:r>
        <w:rPr>
          <w:rFonts w:eastAsia="Times New Roman"/>
          <w:color w:val="000000"/>
          <w:sz w:val="20"/>
          <w:szCs w:val="20"/>
        </w:rPr>
        <w:t xml:space="preserve"> Ultra High Definition 4K and beyond video), and the next generation H.266/VVC standard, which are designed to power the creation and consumption of richer, immersive media experiences. Proprietary video codecs, including VP9 and AV1, have also adopted our</w:t>
      </w:r>
      <w:r>
        <w:rPr>
          <w:rFonts w:eastAsia="Times New Roman"/>
          <w:color w:val="000000"/>
          <w:sz w:val="20"/>
          <w:szCs w:val="20"/>
        </w:rPr>
        <w:t xml:space="preserve"> solutions due to their impact to video compression technology. Video compression technologies are used in a number of products such as cellular handsets, tablets, laptops and desktop computers, cameras, servers, gaming consoles, televisions and streaming </w:t>
      </w:r>
      <w:r>
        <w:rPr>
          <w:rFonts w:eastAsia="Times New Roman"/>
          <w:color w:val="000000"/>
          <w:sz w:val="20"/>
          <w:szCs w:val="20"/>
        </w:rPr>
        <w:t xml:space="preserve">services. </w:t>
      </w:r>
    </w:p>
    <w:p w:rsidR="00000000" w:rsidRDefault="008931E1">
      <w:pPr>
        <w:ind w:firstLine="360"/>
        <w:divId w:val="2060670619"/>
        <w:rPr>
          <w:rFonts w:eastAsia="Times New Roman"/>
        </w:rPr>
      </w:pPr>
      <w:r>
        <w:rPr>
          <w:rFonts w:eastAsia="Times New Roman"/>
          <w:color w:val="000000"/>
          <w:sz w:val="20"/>
          <w:szCs w:val="20"/>
        </w:rPr>
        <w:t>We have developed additional significant multimedia technologies, including: camera and imaging technologies; vision intelligence technologies, which enable advanced use cases such as smart image processing, AR/VR and robotics; visual augmentation and fram</w:t>
      </w:r>
      <w:r>
        <w:rPr>
          <w:rFonts w:eastAsia="Times New Roman"/>
          <w:color w:val="000000"/>
          <w:sz w:val="20"/>
          <w:szCs w:val="20"/>
        </w:rPr>
        <w:t>eworks and audio frameworks, both of which allow for human-machine interfaces; speech compression innovations; and spatial audio processing and coding enabling compression and rendering of immersive audio.</w:t>
      </w:r>
    </w:p>
    <w:p w:rsidR="00000000" w:rsidRDefault="008931E1">
      <w:pPr>
        <w:ind w:firstLine="360"/>
        <w:divId w:val="433093811"/>
        <w:rPr>
          <w:rFonts w:eastAsia="Times New Roman"/>
        </w:rPr>
      </w:pPr>
      <w:r>
        <w:rPr>
          <w:rFonts w:eastAsia="Times New Roman"/>
          <w:i/>
          <w:iCs/>
          <w:color w:val="000000"/>
          <w:sz w:val="20"/>
          <w:szCs w:val="20"/>
        </w:rPr>
        <w:t>Other Technologies.</w:t>
      </w:r>
      <w:r>
        <w:rPr>
          <w:rFonts w:eastAsia="Times New Roman"/>
          <w:color w:val="000000"/>
          <w:sz w:val="20"/>
          <w:szCs w:val="20"/>
        </w:rPr>
        <w:t xml:space="preserve"> In addition to the above, we c</w:t>
      </w:r>
      <w:r>
        <w:rPr>
          <w:rFonts w:eastAsia="Times New Roman"/>
          <w:color w:val="000000"/>
          <w:sz w:val="20"/>
          <w:szCs w:val="20"/>
        </w:rPr>
        <w:t>ontinue to play a leading role in developing and/or have acquired many of the other technologies used across the wireless system, computing and edge networking, including in cellular handsets and certain other consumer electronic devices and networks, incl</w:t>
      </w:r>
      <w:r>
        <w:rPr>
          <w:rFonts w:eastAsia="Times New Roman"/>
          <w:color w:val="000000"/>
          <w:sz w:val="20"/>
          <w:szCs w:val="20"/>
        </w:rPr>
        <w:t>uding:</w:t>
      </w:r>
    </w:p>
    <w:p w:rsidR="00000000" w:rsidRDefault="008931E1">
      <w:pPr>
        <w:ind w:hanging="360"/>
        <w:divId w:val="402606075"/>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operating system and user interface features; </w:t>
      </w:r>
    </w:p>
    <w:p w:rsidR="00000000" w:rsidRDefault="008931E1">
      <w:pPr>
        <w:ind w:hanging="360"/>
        <w:divId w:val="2032492558"/>
        <w:rPr>
          <w:rFonts w:eastAsia="Times New Roman"/>
        </w:rPr>
      </w:pPr>
      <w:r>
        <w:rPr>
          <w:rFonts w:eastAsia="Times New Roman"/>
          <w:color w:val="000000"/>
          <w:sz w:val="20"/>
          <w:szCs w:val="20"/>
        </w:rPr>
        <w:t>•</w:t>
      </w:r>
      <w:r>
        <w:rPr>
          <w:rFonts w:eastAsia="Times New Roman"/>
          <w:color w:val="000000"/>
          <w:sz w:val="20"/>
          <w:szCs w:val="20"/>
        </w:rPr>
        <w:t>XR platform features such as 6DoF (six-degrees of freedom) head tracking and controller capabilities, video pass-through and embedded cellular connectivity for new types of user experiences;</w:t>
      </w:r>
    </w:p>
    <w:p w:rsidR="00000000" w:rsidRDefault="008931E1">
      <w:pPr>
        <w:ind w:hanging="360"/>
        <w:divId w:val="755517066"/>
        <w:rPr>
          <w:rFonts w:eastAsia="Times New Roman"/>
        </w:rPr>
      </w:pPr>
      <w:r>
        <w:rPr>
          <w:rFonts w:ascii="Arial" w:eastAsia="Times New Roman" w:hAnsi="Arial" w:cs="Arial"/>
          <w:color w:val="000000"/>
          <w:sz w:val="20"/>
          <w:szCs w:val="20"/>
        </w:rPr>
        <w:t>•</w:t>
      </w:r>
      <w:r>
        <w:rPr>
          <w:rFonts w:eastAsia="Times New Roman"/>
          <w:color w:val="000000"/>
          <w:sz w:val="20"/>
          <w:szCs w:val="20"/>
        </w:rPr>
        <w:t>security and content protection systems for enhanced device secu</w:t>
      </w:r>
      <w:r>
        <w:rPr>
          <w:rFonts w:eastAsia="Times New Roman"/>
          <w:color w:val="000000"/>
          <w:sz w:val="20"/>
          <w:szCs w:val="20"/>
        </w:rPr>
        <w:t>rity without compromising the user experience;</w:t>
      </w:r>
    </w:p>
    <w:p w:rsidR="00000000" w:rsidRDefault="008931E1">
      <w:pPr>
        <w:ind w:hanging="360"/>
        <w:divId w:val="876744949"/>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volatile (LPDDR4, 5) and non-volatile (eMMC) memory and related controllers; </w:t>
      </w:r>
    </w:p>
    <w:p w:rsidR="00000000" w:rsidRDefault="008931E1">
      <w:pPr>
        <w:ind w:hanging="360"/>
        <w:divId w:val="292641992"/>
        <w:rPr>
          <w:rFonts w:eastAsia="Times New Roman"/>
        </w:rPr>
      </w:pPr>
      <w:r>
        <w:rPr>
          <w:rFonts w:eastAsia="Times New Roman"/>
          <w:color w:val="000000"/>
          <w:sz w:val="20"/>
          <w:szCs w:val="20"/>
        </w:rPr>
        <w:t>•fast charging features, enabling devices to charge quickly, safely and efficiently;</w:t>
      </w:r>
    </w:p>
    <w:p w:rsidR="00000000" w:rsidRDefault="008931E1">
      <w:pPr>
        <w:ind w:hanging="360"/>
        <w:divId w:val="365563058"/>
        <w:rPr>
          <w:rFonts w:eastAsia="Times New Roman"/>
        </w:rPr>
      </w:pPr>
      <w:r>
        <w:rPr>
          <w:rFonts w:eastAsia="Times New Roman"/>
          <w:color w:val="000000"/>
          <w:sz w:val="20"/>
          <w:szCs w:val="20"/>
        </w:rPr>
        <w:t>•Qualcomm® Smart Transmit™ technology, a mode</w:t>
      </w:r>
      <w:r>
        <w:rPr>
          <w:rFonts w:eastAsia="Times New Roman"/>
          <w:color w:val="000000"/>
          <w:sz w:val="20"/>
          <w:szCs w:val="20"/>
        </w:rPr>
        <w:t xml:space="preserve">m-to-antenna technology that optimizes data speeds while complying with RF transmit power limits; </w:t>
      </w:r>
    </w:p>
    <w:p w:rsidR="00000000" w:rsidRDefault="008931E1">
      <w:pPr>
        <w:ind w:hanging="360"/>
        <w:divId w:val="473521284"/>
        <w:rPr>
          <w:rFonts w:eastAsia="Times New Roman"/>
        </w:rPr>
      </w:pPr>
      <w:r>
        <w:rPr>
          <w:rFonts w:eastAsia="Times New Roman"/>
          <w:color w:val="000000"/>
          <w:sz w:val="20"/>
          <w:szCs w:val="20"/>
        </w:rPr>
        <w:t>•power management systems for improved battery life and device charging; and</w:t>
      </w:r>
    </w:p>
    <w:p w:rsidR="00000000" w:rsidRDefault="008931E1">
      <w:pPr>
        <w:ind w:hanging="360"/>
        <w:divId w:val="1381977961"/>
        <w:rPr>
          <w:rFonts w:eastAsia="Times New Roman"/>
        </w:rPr>
      </w:pPr>
      <w:r>
        <w:rPr>
          <w:rFonts w:eastAsia="Times New Roman"/>
          <w:color w:val="000000"/>
          <w:sz w:val="20"/>
          <w:szCs w:val="20"/>
        </w:rPr>
        <w:t xml:space="preserve">•System-on-Chip (SoC) architecture with heterogeneous computing features, which </w:t>
      </w:r>
      <w:r>
        <w:rPr>
          <w:rFonts w:eastAsia="Times New Roman"/>
          <w:color w:val="000000"/>
          <w:sz w:val="20"/>
          <w:szCs w:val="20"/>
        </w:rPr>
        <w:t>uses different types of specialized engines (Graphics Processing Unit (GPU) and Neural Processing Unit (NPU)) to enable high performance and low-power computing and other optimization techniques.</w:t>
      </w:r>
    </w:p>
    <w:p w:rsidR="00000000" w:rsidRDefault="008931E1">
      <w:pPr>
        <w:jc w:val="center"/>
        <w:divId w:val="166020149"/>
        <w:rPr>
          <w:rFonts w:eastAsia="Times New Roman"/>
        </w:rPr>
      </w:pPr>
      <w:r>
        <w:rPr>
          <w:rFonts w:eastAsia="Times New Roman"/>
          <w:color w:val="000000"/>
          <w:sz w:val="20"/>
          <w:szCs w:val="20"/>
        </w:rPr>
        <w:t>10</w:t>
      </w:r>
    </w:p>
    <w:p w:rsidR="00000000" w:rsidRDefault="008931E1">
      <w:pPr>
        <w:rPr>
          <w:rFonts w:eastAsia="Times New Roman"/>
        </w:rPr>
      </w:pPr>
      <w:r>
        <w:rPr>
          <w:rFonts w:eastAsia="Times New Roman"/>
        </w:rPr>
        <w:pict>
          <v:rect id="_x0000_i1033" style="width:0;height:1.5pt" o:hralign="center" o:hrstd="t" o:hr="t" fillcolor="#a0a0a0" stroked="f"/>
        </w:pict>
      </w:r>
    </w:p>
    <w:p w:rsidR="00000000" w:rsidRDefault="008931E1">
      <w:pPr>
        <w:divId w:val="750353896"/>
        <w:rPr>
          <w:rFonts w:eastAsia="Times New Roman"/>
        </w:rPr>
      </w:pPr>
    </w:p>
    <w:p w:rsidR="00000000" w:rsidRDefault="008931E1">
      <w:pPr>
        <w:divId w:val="1601185772"/>
        <w:rPr>
          <w:rFonts w:eastAsia="Times New Roman"/>
        </w:rPr>
      </w:pPr>
      <w:r>
        <w:rPr>
          <w:rFonts w:eastAsia="Times New Roman"/>
          <w:b/>
          <w:bCs/>
          <w:color w:val="000000"/>
          <w:sz w:val="20"/>
          <w:szCs w:val="20"/>
        </w:rPr>
        <w:t>Acquisitions</w:t>
      </w:r>
    </w:p>
    <w:p w:rsidR="00000000" w:rsidRDefault="008931E1">
      <w:pPr>
        <w:ind w:firstLine="360"/>
        <w:divId w:val="307394324"/>
        <w:rPr>
          <w:rFonts w:eastAsia="Times New Roman"/>
        </w:rPr>
      </w:pPr>
      <w:r>
        <w:rPr>
          <w:rFonts w:eastAsia="Times New Roman"/>
          <w:color w:val="000000"/>
          <w:sz w:val="20"/>
          <w:szCs w:val="20"/>
        </w:rPr>
        <w:t>We ma</w:t>
      </w:r>
      <w:r>
        <w:rPr>
          <w:rFonts w:eastAsia="Times New Roman"/>
          <w:color w:val="000000"/>
          <w:sz w:val="20"/>
          <w:szCs w:val="20"/>
        </w:rPr>
        <w:t xml:space="preserve">ke strategic investments and acquisitions in order to open new opportunities for our technologies, support the design and introduction of new products and services (or enhance existing products or services), obtain resources with development and/or market </w:t>
      </w:r>
      <w:r>
        <w:rPr>
          <w:rFonts w:eastAsia="Times New Roman"/>
          <w:color w:val="000000"/>
          <w:sz w:val="20"/>
          <w:szCs w:val="20"/>
        </w:rPr>
        <w:t>expertise, grow our patent portfolio or pursue new businesses as part of our strategic plan. Information regarding our acquisitions is provided in this Annual Report in “Notes to Consolidated Financial Statements, Note 9. Acquisitions and Divestitures.”</w:t>
      </w:r>
    </w:p>
    <w:p w:rsidR="00000000" w:rsidRDefault="008931E1">
      <w:pPr>
        <w:divId w:val="1619410709"/>
        <w:rPr>
          <w:rFonts w:eastAsia="Times New Roman"/>
        </w:rPr>
      </w:pPr>
      <w:r>
        <w:rPr>
          <w:rFonts w:eastAsia="Times New Roman"/>
          <w:b/>
          <w:bCs/>
          <w:color w:val="000000"/>
          <w:sz w:val="20"/>
          <w:szCs w:val="20"/>
        </w:rPr>
        <w:t>Op</w:t>
      </w:r>
      <w:r>
        <w:rPr>
          <w:rFonts w:eastAsia="Times New Roman"/>
          <w:b/>
          <w:bCs/>
          <w:color w:val="000000"/>
          <w:sz w:val="20"/>
          <w:szCs w:val="20"/>
        </w:rPr>
        <w:t>erating Segments</w:t>
      </w:r>
    </w:p>
    <w:p w:rsidR="00000000" w:rsidRDefault="008931E1">
      <w:pPr>
        <w:ind w:firstLine="360"/>
        <w:divId w:val="905459467"/>
        <w:rPr>
          <w:rFonts w:eastAsia="Times New Roman"/>
        </w:rPr>
      </w:pPr>
      <w:r>
        <w:rPr>
          <w:rFonts w:eastAsia="Times New Roman"/>
          <w:color w:val="000000"/>
          <w:sz w:val="20"/>
          <w:szCs w:val="20"/>
        </w:rPr>
        <w:t>We have three reportable segments. We conduct business primarily through QCT and QTL, while QSI makes strategic investments. Additional information regarding our operating segments is provided in this Annual Report in “Notes to Consolidate</w:t>
      </w:r>
      <w:r>
        <w:rPr>
          <w:rFonts w:eastAsia="Times New Roman"/>
          <w:color w:val="000000"/>
          <w:sz w:val="20"/>
          <w:szCs w:val="20"/>
        </w:rPr>
        <w:t xml:space="preserve">d Financial Statements, Note 8. Segment Information.” </w:t>
      </w:r>
    </w:p>
    <w:p w:rsidR="00000000" w:rsidRDefault="008931E1">
      <w:pPr>
        <w:ind w:firstLine="360"/>
        <w:divId w:val="960955951"/>
        <w:rPr>
          <w:rFonts w:eastAsia="Times New Roman"/>
        </w:rPr>
      </w:pPr>
      <w:r>
        <w:rPr>
          <w:rFonts w:eastAsia="Times New Roman"/>
          <w:b/>
          <w:bCs/>
          <w:i/>
          <w:iCs/>
          <w:color w:val="000000"/>
          <w:sz w:val="20"/>
          <w:szCs w:val="20"/>
        </w:rPr>
        <w:t>QCT Segment.</w:t>
      </w:r>
      <w:r>
        <w:rPr>
          <w:rFonts w:eastAsia="Times New Roman"/>
          <w:color w:val="000000"/>
          <w:sz w:val="20"/>
          <w:szCs w:val="20"/>
        </w:rPr>
        <w:t xml:space="preserve"> QCT is a leading developer and supplier of integrated circuits and system software based on 3G/4G/5G and other technologies for use in wireless voice and data communications, networking, c</w:t>
      </w:r>
      <w:r>
        <w:rPr>
          <w:rFonts w:eastAsia="Times New Roman"/>
          <w:color w:val="000000"/>
          <w:sz w:val="20"/>
          <w:szCs w:val="20"/>
        </w:rPr>
        <w:t>omputing, multimedia and position location products. QCT’s integrated circuit products are sold and its system software is licensed to manufacturers that use our products in a broad range of devices, from low-tier, entry-level devices primarily for emergin</w:t>
      </w:r>
      <w:r>
        <w:rPr>
          <w:rFonts w:eastAsia="Times New Roman"/>
          <w:color w:val="000000"/>
          <w:sz w:val="20"/>
          <w:szCs w:val="20"/>
        </w:rPr>
        <w:t>g regions to premium-tier devices, including but not limited to mobile devices, wireless networks, devices used in IoT, broadband gateway equipment, consumer electronic devices and automotive systems for connectivity, digital cockpit and ADAS/AD. Our techn</w:t>
      </w:r>
      <w:r>
        <w:rPr>
          <w:rFonts w:eastAsia="Times New Roman"/>
          <w:color w:val="000000"/>
          <w:sz w:val="20"/>
          <w:szCs w:val="20"/>
        </w:rPr>
        <w:t>ology roadmap delivers the latest network technologies across multiple product tiers, devices and industries. This roadmap is the result of extensive collaboration with manufacturers, operators, developers, systems integrators, cloud providers, tool vendor</w:t>
      </w:r>
      <w:r>
        <w:rPr>
          <w:rFonts w:eastAsia="Times New Roman"/>
          <w:color w:val="000000"/>
          <w:sz w:val="20"/>
          <w:szCs w:val="20"/>
        </w:rPr>
        <w:t>s, service providers, governments and industry standards organizations, as well as our years of research into emerging network standards and the development of integrated circuits. Our roadmap takes advantage of new standards, while maintaining backward co</w:t>
      </w:r>
      <w:r>
        <w:rPr>
          <w:rFonts w:eastAsia="Times New Roman"/>
          <w:color w:val="000000"/>
          <w:sz w:val="20"/>
          <w:szCs w:val="20"/>
        </w:rPr>
        <w:t>mpatibility with existing standards. We have leveraged and expect to continue to leverage the foundational technologies initially developed and commercialized for use in mobile handset devices, such as our core baseband modem and processor technologies and</w:t>
      </w:r>
      <w:r>
        <w:rPr>
          <w:rFonts w:eastAsia="Times New Roman"/>
          <w:color w:val="000000"/>
          <w:sz w:val="20"/>
          <w:szCs w:val="20"/>
        </w:rPr>
        <w:t xml:space="preserve"> our other wireless connectivity products including Wi-Fi, Bluetooth and precise positioning technologies, to extend into product categories, industries and applications beyond mobile handsets, such as automotive and IoT (which includes the industries and </w:t>
      </w:r>
      <w:r>
        <w:rPr>
          <w:rFonts w:eastAsia="Times New Roman"/>
          <w:color w:val="000000"/>
          <w:sz w:val="20"/>
          <w:szCs w:val="20"/>
        </w:rPr>
        <w:t xml:space="preserve">applications of consumer, industrial and edge networking). </w:t>
      </w:r>
    </w:p>
    <w:p w:rsidR="00000000" w:rsidRDefault="008931E1">
      <w:pPr>
        <w:ind w:firstLine="360"/>
        <w:divId w:val="1342775564"/>
        <w:rPr>
          <w:rFonts w:eastAsia="Times New Roman"/>
        </w:rPr>
      </w:pPr>
      <w:r>
        <w:rPr>
          <w:rFonts w:eastAsia="Times New Roman"/>
          <w:color w:val="000000"/>
          <w:sz w:val="20"/>
          <w:szCs w:val="20"/>
        </w:rPr>
        <w:t>The Snapdragon family of highly integrated, system-based solutions include the Snapdragon mobile, compute, sound and automotive platforms. Each platform consists of application processors and wire</w:t>
      </w:r>
      <w:r>
        <w:rPr>
          <w:rFonts w:eastAsia="Times New Roman"/>
          <w:color w:val="000000"/>
          <w:sz w:val="20"/>
          <w:szCs w:val="20"/>
        </w:rPr>
        <w:t>less connectivity capabilities, including our cellular modem that provides core baseband modem functionality for voice and data communications, non-cellular wireless connectivity (such as Wi-Fi and Bluetooth) and global positioning functions. Our Snapdrago</w:t>
      </w:r>
      <w:r>
        <w:rPr>
          <w:rFonts w:eastAsia="Times New Roman"/>
          <w:color w:val="000000"/>
          <w:sz w:val="20"/>
          <w:szCs w:val="20"/>
        </w:rPr>
        <w:t>n application processor functions include AI / NPU, CPU, security, graphics, display, audio, video and camera. Our CPUs are designed to deliver high levels of compute performance with optimized power consumption. Our Qualcom</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Hexagon™ NPUs are designed to</w:t>
      </w:r>
      <w:r>
        <w:rPr>
          <w:rFonts w:eastAsia="Times New Roman"/>
          <w:color w:val="000000"/>
          <w:sz w:val="20"/>
          <w:szCs w:val="20"/>
        </w:rPr>
        <w:t xml:space="preserve"> support a variety of AI processing tasks for superior performance-per-watt. Our Qualcom</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Adreno™ graphics processing units are designed to deliver high quality graphics performance for visually rich 3D gaming and user interfaces. In addition to the highl</w:t>
      </w:r>
      <w:r>
        <w:rPr>
          <w:rFonts w:eastAsia="Times New Roman"/>
          <w:color w:val="000000"/>
          <w:sz w:val="20"/>
          <w:szCs w:val="20"/>
        </w:rPr>
        <w:t>y integrated core SoC, we also design and supply supporting components, including the RF transceiver, PM (power management), audio, codecs, speaker amps and additional wireless connectivity integrated circuits. These supporting components, in addition to o</w:t>
      </w:r>
      <w:r>
        <w:rPr>
          <w:rFonts w:eastAsia="Times New Roman"/>
          <w:color w:val="000000"/>
          <w:sz w:val="20"/>
          <w:szCs w:val="20"/>
        </w:rPr>
        <w:t>ur cellular modems and application processors comprising our core SoC, are also sold as individual components. The combination of the Snapdragon SoC, system software and supporting components provides an overall platform with optimized performance and effi</w:t>
      </w:r>
      <w:r>
        <w:rPr>
          <w:rFonts w:eastAsia="Times New Roman"/>
          <w:color w:val="000000"/>
          <w:sz w:val="20"/>
          <w:szCs w:val="20"/>
        </w:rPr>
        <w:t>ciency, enabling manufacturers to design and deliver powerful, slim and power-efficient devices ready for integration with the complex cellular networks worldwide.</w:t>
      </w:r>
    </w:p>
    <w:p w:rsidR="00000000" w:rsidRDefault="008931E1">
      <w:pPr>
        <w:ind w:firstLine="360"/>
        <w:divId w:val="1403026280"/>
        <w:rPr>
          <w:rFonts w:eastAsia="Times New Roman"/>
        </w:rPr>
      </w:pPr>
      <w:r>
        <w:rPr>
          <w:rFonts w:eastAsia="Times New Roman"/>
          <w:color w:val="000000"/>
          <w:sz w:val="20"/>
          <w:szCs w:val="20"/>
        </w:rPr>
        <w:t>Our portfolio of RF products includes Qualcom</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RFFE components that are designed to simplif</w:t>
      </w:r>
      <w:r>
        <w:rPr>
          <w:rFonts w:eastAsia="Times New Roman"/>
          <w:color w:val="000000"/>
          <w:sz w:val="20"/>
          <w:szCs w:val="20"/>
        </w:rPr>
        <w:t>y the RF front-end design for 5G, including sub-6 GHz and mmWave, as well as, for 4G LTE multimode and mobile devices, to reduce power consumption and to improve radio performance. We provide comprehensive RFFE product offerings with system level performan</w:t>
      </w:r>
      <w:r>
        <w:rPr>
          <w:rFonts w:eastAsia="Times New Roman"/>
          <w:color w:val="000000"/>
          <w:sz w:val="20"/>
          <w:szCs w:val="20"/>
        </w:rPr>
        <w:t>ce from the modem and transceiver to the antenna that include complex 4G/5G transmit and receive modules, power tracking, tuning systems, multimode-multiband power amplification, low noise amplifiers and mmWave antenna solutions, in addition to discrete fi</w:t>
      </w:r>
      <w:r>
        <w:rPr>
          <w:rFonts w:eastAsia="Times New Roman"/>
          <w:color w:val="000000"/>
          <w:sz w:val="20"/>
          <w:szCs w:val="20"/>
        </w:rPr>
        <w:t>ltering products, for devices and applications across the mobile handsets, automotive and IoT industries. We have also integrated our Snapdragon platform with our RFFE components to create our Snapdragon 5G modem-RF products, the world’s first commercial m</w:t>
      </w:r>
      <w:r>
        <w:rPr>
          <w:rFonts w:eastAsia="Times New Roman"/>
          <w:color w:val="000000"/>
          <w:sz w:val="20"/>
          <w:szCs w:val="20"/>
        </w:rPr>
        <w:t>odem-to-antenna 5G solution designed to maximize data speeds and performance, support superior call connectivity and coverage and extend battery life.</w:t>
      </w:r>
    </w:p>
    <w:p w:rsidR="00000000" w:rsidRDefault="008931E1">
      <w:pPr>
        <w:ind w:firstLine="360"/>
        <w:divId w:val="1765344373"/>
        <w:rPr>
          <w:rFonts w:eastAsia="Times New Roman"/>
        </w:rPr>
      </w:pPr>
      <w:r>
        <w:rPr>
          <w:rFonts w:eastAsia="Times New Roman"/>
          <w:color w:val="000000"/>
          <w:sz w:val="20"/>
          <w:szCs w:val="20"/>
        </w:rPr>
        <w:t>Our wireless connectivity products also consist of integrated circuits and system software for Wi-Fi, Blu</w:t>
      </w:r>
      <w:r>
        <w:rPr>
          <w:rFonts w:eastAsia="Times New Roman"/>
          <w:color w:val="000000"/>
          <w:sz w:val="20"/>
          <w:szCs w:val="20"/>
        </w:rPr>
        <w:t>etooth and frequency modulation, as well as technologies that support location data and services. Our wireless connectivity products provide additional connectivity for mobile devices, tablets, laptops, XR headsets, voice and music devices, wearable device</w:t>
      </w:r>
      <w:r>
        <w:rPr>
          <w:rFonts w:eastAsia="Times New Roman"/>
          <w:color w:val="000000"/>
          <w:sz w:val="20"/>
          <w:szCs w:val="20"/>
        </w:rPr>
        <w:t>s, along with other IoT devices and applications, automotive connectivity, digital cockpit and ADAS/AD, utility meters and logistic trackers and industrial sensors. QCT also offers standalone Wi-Fi, Bluetooth, applications processor and Ethernet products u</w:t>
      </w:r>
      <w:r>
        <w:rPr>
          <w:rFonts w:eastAsia="Times New Roman"/>
          <w:color w:val="000000"/>
          <w:sz w:val="20"/>
          <w:szCs w:val="20"/>
        </w:rPr>
        <w:t>tilized within these devices and systems. Our networking products include Wi-Fi, Ethernet and Powerline chips, network processors, wireless access points and routers, broadband gateway equipment and software. These products help enable home and business ne</w:t>
      </w:r>
      <w:r>
        <w:rPr>
          <w:rFonts w:eastAsia="Times New Roman"/>
          <w:color w:val="000000"/>
          <w:sz w:val="20"/>
          <w:szCs w:val="20"/>
        </w:rPr>
        <w:t xml:space="preserve">tworks to support the growing number of connected devices, digital media and data services. </w:t>
      </w:r>
    </w:p>
    <w:p w:rsidR="00000000" w:rsidRDefault="008931E1">
      <w:pPr>
        <w:ind w:firstLine="360"/>
        <w:divId w:val="2124184959"/>
        <w:rPr>
          <w:rFonts w:eastAsia="Times New Roman"/>
        </w:rPr>
      </w:pPr>
      <w:r>
        <w:rPr>
          <w:rFonts w:eastAsia="Times New Roman"/>
          <w:color w:val="000000"/>
          <w:sz w:val="20"/>
          <w:szCs w:val="20"/>
        </w:rPr>
        <w:t>Other than for certain of our RFFE modules and RF filter products, QCT utilizes a fabless production model, which means that we do not own or operate foundries for</w:t>
      </w:r>
      <w:r>
        <w:rPr>
          <w:rFonts w:eastAsia="Times New Roman"/>
          <w:color w:val="000000"/>
          <w:sz w:val="20"/>
          <w:szCs w:val="20"/>
        </w:rPr>
        <w:t xml:space="preserve"> the production of silicon wafers from which our integrated circuits are made. Therefore, we primarily rely on third parties to perform the manufacturing and assembly, and most of the testing, of our integrated circuits based primarily on our proprietary d</w:t>
      </w:r>
      <w:r>
        <w:rPr>
          <w:rFonts w:eastAsia="Times New Roman"/>
          <w:color w:val="000000"/>
          <w:sz w:val="20"/>
          <w:szCs w:val="20"/>
        </w:rPr>
        <w:t xml:space="preserve">esigns and test programs. Our suppliers also are responsible for the </w:t>
      </w:r>
    </w:p>
    <w:p w:rsidR="00000000" w:rsidRDefault="008931E1">
      <w:pPr>
        <w:jc w:val="center"/>
        <w:divId w:val="368409699"/>
        <w:rPr>
          <w:rFonts w:eastAsia="Times New Roman"/>
        </w:rPr>
      </w:pPr>
      <w:r>
        <w:rPr>
          <w:rFonts w:eastAsia="Times New Roman"/>
          <w:color w:val="000000"/>
          <w:sz w:val="20"/>
          <w:szCs w:val="20"/>
        </w:rPr>
        <w:t>11</w:t>
      </w:r>
    </w:p>
    <w:p w:rsidR="00000000" w:rsidRDefault="008931E1">
      <w:pPr>
        <w:rPr>
          <w:rFonts w:eastAsia="Times New Roman"/>
        </w:rPr>
      </w:pPr>
      <w:r>
        <w:rPr>
          <w:rFonts w:eastAsia="Times New Roman"/>
        </w:rPr>
        <w:pict>
          <v:rect id="_x0000_i1034" style="width:0;height:1.5pt" o:hralign="center" o:hrstd="t" o:hr="t" fillcolor="#a0a0a0" stroked="f"/>
        </w:pict>
      </w:r>
    </w:p>
    <w:p w:rsidR="00000000" w:rsidRDefault="008931E1">
      <w:pPr>
        <w:divId w:val="709261834"/>
        <w:rPr>
          <w:rFonts w:eastAsia="Times New Roman"/>
        </w:rPr>
      </w:pPr>
    </w:p>
    <w:p w:rsidR="00000000" w:rsidRDefault="008931E1">
      <w:pPr>
        <w:divId w:val="371224336"/>
        <w:rPr>
          <w:rFonts w:eastAsia="Times New Roman"/>
        </w:rPr>
      </w:pPr>
      <w:r>
        <w:rPr>
          <w:rFonts w:eastAsia="Times New Roman"/>
          <w:color w:val="000000"/>
          <w:sz w:val="20"/>
          <w:szCs w:val="20"/>
        </w:rPr>
        <w:t xml:space="preserve">procurement of most of the raw materials used in the production of our integrated circuits. Integrated circuits are die cut from silicon wafers </w:t>
      </w:r>
      <w:r>
        <w:rPr>
          <w:rFonts w:eastAsia="Times New Roman"/>
          <w:color w:val="000000"/>
          <w:sz w:val="20"/>
          <w:szCs w:val="20"/>
        </w:rPr>
        <w:t>that have completed the package assembly and test manufacturing processes. The semiconductor package supports the electrical contacts that connect the integrated circuit to a circuit board. Die cut from silicon wafers are the essential components of all of</w:t>
      </w:r>
      <w:r>
        <w:rPr>
          <w:rFonts w:eastAsia="Times New Roman"/>
          <w:color w:val="000000"/>
          <w:sz w:val="20"/>
          <w:szCs w:val="20"/>
        </w:rPr>
        <w:t xml:space="preserve"> our integrated circuits and a significant portion of the total integrated circuit cost. We employ both turnkey and two-stage manufacturing models to purchase our integrated circuits. Under the turnkey model, our foundry suppliers are responsible for deliv</w:t>
      </w:r>
      <w:r>
        <w:rPr>
          <w:rFonts w:eastAsia="Times New Roman"/>
          <w:color w:val="000000"/>
          <w:sz w:val="20"/>
          <w:szCs w:val="20"/>
        </w:rPr>
        <w:t xml:space="preserve">ering fully assembled and tested integrated circuits. Under the two-stage manufacturing model, we purchase die in singular or wafer form from semiconductor manufacturing foundries and contract with separate third parties for manufacturing services such as </w:t>
      </w:r>
      <w:r>
        <w:rPr>
          <w:rFonts w:eastAsia="Times New Roman"/>
          <w:color w:val="000000"/>
          <w:sz w:val="20"/>
          <w:szCs w:val="20"/>
        </w:rPr>
        <w:t>wafer bump, probe, assembly and the majority of our final test requirements. The primary foundry suppliers for our various digital, analog/mixed-signal, RF and PM integrated circuits are Global Foundries, Samsung Electronics, Semiconductor Manufacturing In</w:t>
      </w:r>
      <w:r>
        <w:rPr>
          <w:rFonts w:eastAsia="Times New Roman"/>
          <w:color w:val="000000"/>
          <w:sz w:val="20"/>
          <w:szCs w:val="20"/>
        </w:rPr>
        <w:t>ternational Corporation (SMIC) and Taiwan Semiconductor Manufacturing Company (TSMC). Our primary semiconductor assembly and test suppliers are Advanced Semiconductor Engineering, Amkor Technology, Siliconware Precision Industries and STATSChipPAC. The maj</w:t>
      </w:r>
      <w:r>
        <w:rPr>
          <w:rFonts w:eastAsia="Times New Roman"/>
          <w:color w:val="000000"/>
          <w:sz w:val="20"/>
          <w:szCs w:val="20"/>
        </w:rPr>
        <w:t>ority of our foundry and semiconductor assembly and test suppliers are located in the Asia-Pacific region.</w:t>
      </w:r>
    </w:p>
    <w:p w:rsidR="00000000" w:rsidRDefault="008931E1">
      <w:pPr>
        <w:ind w:firstLine="360"/>
        <w:divId w:val="1720663144"/>
        <w:rPr>
          <w:rFonts w:eastAsia="Times New Roman"/>
        </w:rPr>
      </w:pPr>
      <w:r>
        <w:rPr>
          <w:rFonts w:eastAsia="Times New Roman"/>
          <w:color w:val="000000"/>
          <w:sz w:val="20"/>
          <w:szCs w:val="20"/>
        </w:rPr>
        <w:t>QCT primarily uses internal fabrication facilities to manufacture certain RFFE modules and RF filter products, and our manufacturing operations consi</w:t>
      </w:r>
      <w:r>
        <w:rPr>
          <w:rFonts w:eastAsia="Times New Roman"/>
          <w:color w:val="000000"/>
          <w:sz w:val="20"/>
          <w:szCs w:val="20"/>
        </w:rPr>
        <w:t>st of front-end and back-end processes. The front-end processes primarily take place at manufacturing facilities located in Germany and Singapore and involve the imprinting of substrate wafers with the structure and circuitry required for the products to f</w:t>
      </w:r>
      <w:r>
        <w:rPr>
          <w:rFonts w:eastAsia="Times New Roman"/>
          <w:color w:val="000000"/>
          <w:sz w:val="20"/>
          <w:szCs w:val="20"/>
        </w:rPr>
        <w:t>unction (also known as wafer fabrication). The back-end processes include the assembly, packaging and test of RFFE modules and RF filter products and their preparation for distribution. Our back-end manufacturing facilities are located in China and Singapo</w:t>
      </w:r>
      <w:r>
        <w:rPr>
          <w:rFonts w:eastAsia="Times New Roman"/>
          <w:color w:val="000000"/>
          <w:sz w:val="20"/>
          <w:szCs w:val="20"/>
        </w:rPr>
        <w:t>re.</w:t>
      </w:r>
    </w:p>
    <w:p w:rsidR="00000000" w:rsidRDefault="008931E1">
      <w:pPr>
        <w:ind w:firstLine="360"/>
        <w:divId w:val="2137140141"/>
        <w:rPr>
          <w:rFonts w:eastAsia="Times New Roman"/>
        </w:rPr>
      </w:pPr>
      <w:r>
        <w:rPr>
          <w:rFonts w:eastAsia="Times New Roman"/>
          <w:color w:val="000000"/>
          <w:sz w:val="20"/>
          <w:szCs w:val="20"/>
        </w:rPr>
        <w:t>QCT’</w:t>
      </w:r>
      <w:r>
        <w:rPr>
          <w:rFonts w:eastAsia="Times New Roman"/>
          <w:color w:val="000000"/>
          <w:sz w:val="20"/>
          <w:szCs w:val="20"/>
        </w:rPr>
        <w:t xml:space="preserve">s sales are primarily made through supply terms which implement a purchase order and order confirmation process for delivery of products. QCT generally allows customers to reschedule delivery dates within a defined time frame and to cancel orders prior to </w:t>
      </w:r>
      <w:r>
        <w:rPr>
          <w:rFonts w:eastAsia="Times New Roman"/>
          <w:color w:val="000000"/>
          <w:sz w:val="20"/>
          <w:szCs w:val="20"/>
        </w:rPr>
        <w:t>shipment with or without payment of a cancellation fee, depending on when the order is canceled. The industry in which QCT operates is intensely competitive. QCT competes worldwide with a number of U.S. and international designers and manufacturers of semi</w:t>
      </w:r>
      <w:r>
        <w:rPr>
          <w:rFonts w:eastAsia="Times New Roman"/>
          <w:color w:val="000000"/>
          <w:sz w:val="20"/>
          <w:szCs w:val="20"/>
        </w:rPr>
        <w:t>conductors. As a result of global expansion by foreign and domestic competitors, technological changes, device manufacturer concentrations, limited global supply capacity, vertical integration and the potential for further industry consolidation, we antici</w:t>
      </w:r>
      <w:r>
        <w:rPr>
          <w:rFonts w:eastAsia="Times New Roman"/>
          <w:color w:val="000000"/>
          <w:sz w:val="20"/>
          <w:szCs w:val="20"/>
        </w:rPr>
        <w:t>pate the industry to remain very competitive. We believe that the principal competitive factors for our products include performance, level of integration, quality, compliance with industry standards, price, time-to-market, system cost, design and engineer</w:t>
      </w:r>
      <w:r>
        <w:rPr>
          <w:rFonts w:eastAsia="Times New Roman"/>
          <w:color w:val="000000"/>
          <w:sz w:val="20"/>
          <w:szCs w:val="20"/>
        </w:rPr>
        <w:t>ing capabilities, new product innovation, growth and scaling of distribution channels, desire by certain customers to use multiple suppliers and customer support. QCT also competes in both single-mode and multimode environments against alternative communic</w:t>
      </w:r>
      <w:r>
        <w:rPr>
          <w:rFonts w:eastAsia="Times New Roman"/>
          <w:color w:val="000000"/>
          <w:sz w:val="20"/>
          <w:szCs w:val="20"/>
        </w:rPr>
        <w:t xml:space="preserve">ations technologies. Additional competitive factors exist for QCT product offerings that have expanded into industries and applications beyond mobile handsets, including automotive and IoT. The automotive industry is subject to long design-in time frames, </w:t>
      </w:r>
      <w:r>
        <w:rPr>
          <w:rFonts w:eastAsia="Times New Roman"/>
          <w:color w:val="000000"/>
          <w:sz w:val="20"/>
          <w:szCs w:val="20"/>
        </w:rPr>
        <w:t>long product life cycles and a high degree of regulatory and safety requirements, necessitating suppliers to the industry to comply with stringent qualification processes, very low defect rates and high reliability standards, all of which results in a sign</w:t>
      </w:r>
      <w:r>
        <w:rPr>
          <w:rFonts w:eastAsia="Times New Roman"/>
          <w:color w:val="000000"/>
          <w:sz w:val="20"/>
          <w:szCs w:val="20"/>
        </w:rPr>
        <w:t>ificant barrier to entry and may result in increased costs.</w:t>
      </w:r>
    </w:p>
    <w:p w:rsidR="00000000" w:rsidRDefault="008931E1">
      <w:pPr>
        <w:ind w:firstLine="360"/>
        <w:divId w:val="409622658"/>
        <w:rPr>
          <w:rFonts w:eastAsia="Times New Roman"/>
        </w:rPr>
      </w:pPr>
      <w:r>
        <w:rPr>
          <w:rFonts w:eastAsia="Times New Roman"/>
          <w:color w:val="000000"/>
          <w:sz w:val="20"/>
          <w:szCs w:val="20"/>
        </w:rPr>
        <w:t>QCT’s current competitors include, but are not limited to, companies such as Apple, Broadcom, HiSilicon, MediaTek, Mobileye, Nvidia, NXP Semiconductors, Qorvo, Samsung, Skyworks, Texas Instruments</w:t>
      </w:r>
      <w:r>
        <w:rPr>
          <w:rFonts w:eastAsia="Times New Roman"/>
          <w:color w:val="000000"/>
          <w:sz w:val="20"/>
          <w:szCs w:val="20"/>
        </w:rPr>
        <w:t xml:space="preserve"> and UNISOC. QCT currently faces competition, which may intensify in the future, from products internally developed by our customers, including some of our largest customers, to early-stage companies. Our competitors devote significant amounts of their fin</w:t>
      </w:r>
      <w:r>
        <w:rPr>
          <w:rFonts w:eastAsia="Times New Roman"/>
          <w:color w:val="000000"/>
          <w:sz w:val="20"/>
          <w:szCs w:val="20"/>
        </w:rPr>
        <w:t>ancial, technical and other resources to develop and market competitive products and, in some cases, to develop and adopt competitive digital communication or signal processing technologies, and those efforts may materially and adversely affect us. Althoug</w:t>
      </w:r>
      <w:r>
        <w:rPr>
          <w:rFonts w:eastAsia="Times New Roman"/>
          <w:color w:val="000000"/>
          <w:sz w:val="20"/>
          <w:szCs w:val="20"/>
        </w:rPr>
        <w:t xml:space="preserve">h we have attained a significant position in the wireless industry, many of our current and potential competitors may have advantages over us. </w:t>
      </w:r>
      <w:r>
        <w:rPr>
          <w:rFonts w:eastAsia="Times New Roman"/>
          <w:color w:val="000000"/>
          <w:sz w:val="20"/>
          <w:szCs w:val="20"/>
          <w:shd w:val="clear" w:color="auto" w:fill="FFFFFF"/>
        </w:rPr>
        <w:t>These and other risks related to competition are more fully described in the Risk Factors entitled “</w:t>
      </w:r>
      <w:r>
        <w:rPr>
          <w:rFonts w:eastAsia="Times New Roman"/>
          <w:i/>
          <w:iCs/>
          <w:color w:val="000000"/>
          <w:sz w:val="20"/>
          <w:szCs w:val="20"/>
        </w:rPr>
        <w:t>Our industry is subject to intense competition in an environment of rapid technological change. Our success depends in part on our ability to adapt to such change and compete effectively; and such change and competition could result in decreased demand for</w:t>
      </w:r>
      <w:r>
        <w:rPr>
          <w:rFonts w:eastAsia="Times New Roman"/>
          <w:i/>
          <w:iCs/>
          <w:color w:val="000000"/>
          <w:sz w:val="20"/>
          <w:szCs w:val="20"/>
        </w:rPr>
        <w:t xml:space="preserve"> our products and technologies or declining average selling prices for our products or those of our customers or licensees” </w:t>
      </w:r>
      <w:r>
        <w:rPr>
          <w:rFonts w:eastAsia="Times New Roman"/>
          <w:color w:val="000000"/>
          <w:sz w:val="20"/>
          <w:szCs w:val="20"/>
          <w:shd w:val="clear" w:color="auto" w:fill="FFFFFF"/>
        </w:rPr>
        <w:t>and</w:t>
      </w:r>
      <w:r>
        <w:rPr>
          <w:rFonts w:eastAsia="Times New Roman"/>
          <w:i/>
          <w:iCs/>
          <w:color w:val="000000"/>
          <w:sz w:val="20"/>
          <w:szCs w:val="20"/>
        </w:rPr>
        <w:t xml:space="preserve"> “Our business, particularly our semiconductor business, may suffer as a result of our customers vertically integrating (i.e., de</w:t>
      </w:r>
      <w:r>
        <w:rPr>
          <w:rFonts w:eastAsia="Times New Roman"/>
          <w:i/>
          <w:iCs/>
          <w:color w:val="000000"/>
          <w:sz w:val="20"/>
          <w:szCs w:val="20"/>
        </w:rPr>
        <w:t>veloping their own integrated circuit products).”</w:t>
      </w:r>
      <w:r>
        <w:rPr>
          <w:rFonts w:eastAsia="Times New Roman"/>
          <w:color w:val="000000"/>
          <w:sz w:val="20"/>
          <w:szCs w:val="20"/>
        </w:rPr>
        <w:t xml:space="preserve"> </w:t>
      </w:r>
    </w:p>
    <w:p w:rsidR="00000000" w:rsidRDefault="008931E1">
      <w:pPr>
        <w:ind w:firstLine="360"/>
        <w:divId w:val="581329522"/>
        <w:rPr>
          <w:rFonts w:eastAsia="Times New Roman"/>
        </w:rPr>
      </w:pPr>
      <w:r>
        <w:rPr>
          <w:rFonts w:eastAsia="Times New Roman"/>
          <w:b/>
          <w:bCs/>
          <w:i/>
          <w:iCs/>
          <w:color w:val="000000"/>
          <w:sz w:val="20"/>
          <w:szCs w:val="20"/>
        </w:rPr>
        <w:t>QTL Segment</w:t>
      </w:r>
      <w:r>
        <w:rPr>
          <w:rFonts w:eastAsia="Times New Roman"/>
          <w:b/>
          <w:bCs/>
          <w:color w:val="000000"/>
          <w:sz w:val="20"/>
          <w:szCs w:val="20"/>
        </w:rPr>
        <w:t>.</w:t>
      </w:r>
      <w:r>
        <w:rPr>
          <w:rFonts w:eastAsia="Times New Roman"/>
          <w:color w:val="000000"/>
          <w:sz w:val="20"/>
          <w:szCs w:val="20"/>
        </w:rPr>
        <w:t xml:space="preserve"> QTL grants licenses or otherwise provides rights to use portions of our intellectual property portfolio, which, among other rights, includes certain patent rights essential to and/or useful in</w:t>
      </w:r>
      <w:r>
        <w:rPr>
          <w:rFonts w:eastAsia="Times New Roman"/>
          <w:color w:val="000000"/>
          <w:sz w:val="20"/>
          <w:szCs w:val="20"/>
        </w:rPr>
        <w:t xml:space="preserve"> the manufacture, sale and/or use of certain wireless products, including, without limitation, products implementing WCDMA (Wideband CDMA), LTE and/or OFDMA-based 5G standards and their derivatives. We grant licenses or otherwise provide rights to use our </w:t>
      </w:r>
      <w:r>
        <w:rPr>
          <w:rFonts w:eastAsia="Times New Roman"/>
          <w:color w:val="000000"/>
          <w:sz w:val="20"/>
          <w:szCs w:val="20"/>
        </w:rPr>
        <w:t>cellular standard-essential patents (including 3G, 4G and 5G) for both single-mode and multimode devices on a worldwide basis. We also offer licenses to our cellular standard-essential patents together with other Qualcomm patents that may be useful to such</w:t>
      </w:r>
      <w:r>
        <w:rPr>
          <w:rFonts w:eastAsia="Times New Roman"/>
          <w:color w:val="000000"/>
          <w:sz w:val="20"/>
          <w:szCs w:val="20"/>
        </w:rPr>
        <w:t xml:space="preserve"> licensed products for licensees that desire to obtain the commercial benefits of receiving such broad patent rights from us. While we offer license rights to patents that we do not have a duty or obligation to grant, those rights may be negotiated at our </w:t>
      </w:r>
      <w:r>
        <w:rPr>
          <w:rFonts w:eastAsia="Times New Roman"/>
          <w:color w:val="000000"/>
          <w:sz w:val="20"/>
          <w:szCs w:val="20"/>
        </w:rPr>
        <w:t>discretion. A significant portion of QTL’s licensing revenues is derived from licensees that have entered into license agreements that grant licenses under Qualcomm’s cellular standard-essential patents. Our licensees manufacture wireless cellular products</w:t>
      </w:r>
      <w:r>
        <w:rPr>
          <w:rFonts w:eastAsia="Times New Roman"/>
          <w:color w:val="000000"/>
          <w:sz w:val="20"/>
          <w:szCs w:val="20"/>
        </w:rPr>
        <w:t xml:space="preserve"> such as mobile devices (including handsets), other consumer devices (e.g., tablets and laptops), plug-in end user data modem cards and embedded modules for incorporation into machine-to-machine devices and certain other devices, connected vehicle units an</w:t>
      </w:r>
      <w:r>
        <w:rPr>
          <w:rFonts w:eastAsia="Times New Roman"/>
          <w:color w:val="000000"/>
          <w:sz w:val="20"/>
          <w:szCs w:val="20"/>
        </w:rPr>
        <w:t xml:space="preserve">d connected vehicle modules used in automobiles, wireless access points and small cell wireless products. </w:t>
      </w:r>
    </w:p>
    <w:p w:rsidR="00000000" w:rsidRDefault="008931E1">
      <w:pPr>
        <w:jc w:val="center"/>
        <w:divId w:val="1383365056"/>
        <w:rPr>
          <w:rFonts w:eastAsia="Times New Roman"/>
        </w:rPr>
      </w:pPr>
      <w:r>
        <w:rPr>
          <w:rFonts w:eastAsia="Times New Roman"/>
          <w:color w:val="000000"/>
          <w:sz w:val="20"/>
          <w:szCs w:val="20"/>
        </w:rPr>
        <w:t>12</w:t>
      </w:r>
    </w:p>
    <w:p w:rsidR="00000000" w:rsidRDefault="008931E1">
      <w:pPr>
        <w:rPr>
          <w:rFonts w:eastAsia="Times New Roman"/>
        </w:rPr>
      </w:pPr>
      <w:r>
        <w:rPr>
          <w:rFonts w:eastAsia="Times New Roman"/>
        </w:rPr>
        <w:pict>
          <v:rect id="_x0000_i1035" style="width:0;height:1.5pt" o:hralign="center" o:hrstd="t" o:hr="t" fillcolor="#a0a0a0" stroked="f"/>
        </w:pict>
      </w:r>
    </w:p>
    <w:p w:rsidR="00000000" w:rsidRDefault="008931E1">
      <w:pPr>
        <w:divId w:val="333189125"/>
        <w:rPr>
          <w:rFonts w:eastAsia="Times New Roman"/>
        </w:rPr>
      </w:pPr>
    </w:p>
    <w:p w:rsidR="00000000" w:rsidRDefault="008931E1">
      <w:pPr>
        <w:ind w:firstLine="360"/>
        <w:divId w:val="47846909"/>
        <w:rPr>
          <w:rFonts w:eastAsia="Times New Roman"/>
        </w:rPr>
      </w:pPr>
      <w:r>
        <w:rPr>
          <w:rFonts w:eastAsia="Times New Roman"/>
          <w:color w:val="000000"/>
          <w:sz w:val="20"/>
          <w:szCs w:val="20"/>
        </w:rPr>
        <w:t xml:space="preserve">Since our founding in 1985, we have focused heavily on technology development and innovation. These efforts </w:t>
      </w:r>
      <w:r>
        <w:rPr>
          <w:rFonts w:eastAsia="Times New Roman"/>
          <w:color w:val="000000"/>
          <w:sz w:val="20"/>
          <w:szCs w:val="20"/>
        </w:rPr>
        <w:t>have resulted in a leading intellectual property portfolio related to foundational, system level technologies for the wireless industry. We have an extensive portfolio of United States and foreign patents, and we continue to pursue patent applications arou</w:t>
      </w:r>
      <w:r>
        <w:rPr>
          <w:rFonts w:eastAsia="Times New Roman"/>
          <w:color w:val="000000"/>
          <w:sz w:val="20"/>
          <w:szCs w:val="20"/>
        </w:rPr>
        <w:t>nd the world. Our patents have broad coverage in many countries, including Brazil, China, India, Japan, South Korea, Taiwan, the United States and countries in Europe (including European patents with unitary effect). A substantial portion of our patents an</w:t>
      </w:r>
      <w:r>
        <w:rPr>
          <w:rFonts w:eastAsia="Times New Roman"/>
          <w:color w:val="000000"/>
          <w:sz w:val="20"/>
          <w:szCs w:val="20"/>
        </w:rPr>
        <w:t>d patent applications relate to digital wireless communications technologies, including patents that are essential or may be important to the commercial implementation of CDMA2000, WCDMA (UMTS), LTE and/or OFDMA-based 5G products. Our patent portfolio is t</w:t>
      </w:r>
      <w:r>
        <w:rPr>
          <w:rFonts w:eastAsia="Times New Roman"/>
          <w:color w:val="000000"/>
          <w:sz w:val="20"/>
          <w:szCs w:val="20"/>
        </w:rPr>
        <w:t>he most widely and extensively licensed in the industry, including more than 200 5G license agreements to date. Additionally, we have a substantial patent portfolio related to key technologies used in communications and other devices and/or related service</w:t>
      </w:r>
      <w:r>
        <w:rPr>
          <w:rFonts w:eastAsia="Times New Roman"/>
          <w:color w:val="000000"/>
          <w:sz w:val="20"/>
          <w:szCs w:val="20"/>
        </w:rPr>
        <w:t>s, some of which are covered by industry standards. These include certain video codecs, audio codecs, Wi-Fi, memory interfaces, wireline interfaces, wireless power, position location, broadcast and streaming protocols, and short-range communication functio</w:t>
      </w:r>
      <w:r>
        <w:rPr>
          <w:rFonts w:eastAsia="Times New Roman"/>
          <w:color w:val="000000"/>
          <w:sz w:val="20"/>
          <w:szCs w:val="20"/>
        </w:rPr>
        <w:t>nalities, including Near Field Communication (NFC) and Bluetooth. Our patents cover a wide range of technologies across the entire wireless system (including wireless devices and network infrastructure equipment), not just the portion of such patented tech</w:t>
      </w:r>
      <w:r>
        <w:rPr>
          <w:rFonts w:eastAsia="Times New Roman"/>
          <w:color w:val="000000"/>
          <w:sz w:val="20"/>
          <w:szCs w:val="20"/>
        </w:rPr>
        <w:t>nologies incorporated into chipsets. Over the years, a number of companies have challenged our patent position, but the mobile communications industry generally recognizes that any company seeking to develop, manufacture and/or sell certain wireless produc</w:t>
      </w:r>
      <w:r>
        <w:rPr>
          <w:rFonts w:eastAsia="Times New Roman"/>
          <w:color w:val="000000"/>
          <w:sz w:val="20"/>
          <w:szCs w:val="20"/>
        </w:rPr>
        <w:t xml:space="preserve">ts that use CDMA-based and/or OFDMA-based technologies requires a license or other rights to use our patents. </w:t>
      </w:r>
    </w:p>
    <w:p w:rsidR="00000000" w:rsidRDefault="008931E1">
      <w:pPr>
        <w:ind w:firstLine="360"/>
        <w:divId w:val="678696916"/>
        <w:rPr>
          <w:rFonts w:eastAsia="Times New Roman"/>
        </w:rPr>
      </w:pPr>
      <w:r>
        <w:rPr>
          <w:rFonts w:eastAsia="Times New Roman"/>
          <w:color w:val="000000"/>
          <w:sz w:val="20"/>
          <w:szCs w:val="20"/>
        </w:rPr>
        <w:t>We have licensed or otherwise provided rights to use our patents to hundreds of companies on industry-accepted terms. Our strategy to make our pa</w:t>
      </w:r>
      <w:r>
        <w:rPr>
          <w:rFonts w:eastAsia="Times New Roman"/>
          <w:color w:val="000000"/>
          <w:sz w:val="20"/>
          <w:szCs w:val="20"/>
        </w:rPr>
        <w:t>tented technologies broadly available has been a catalyst for industry growth, helping to enable a wide range of companies offering a broad array of wireless products and features while increasing the capabilities of and/or driving down average and low-end</w:t>
      </w:r>
      <w:r>
        <w:rPr>
          <w:rFonts w:eastAsia="Times New Roman"/>
          <w:color w:val="000000"/>
          <w:sz w:val="20"/>
          <w:szCs w:val="20"/>
        </w:rPr>
        <w:t xml:space="preserve"> selling prices for handsets and other wireless devices. By licensing or otherwise providing rights to use our patents to a wide range of equipment manufacturers, encouraging innovative applications, supporting equipment manufacturers with integrated chips</w:t>
      </w:r>
      <w:r>
        <w:rPr>
          <w:rFonts w:eastAsia="Times New Roman"/>
          <w:color w:val="000000"/>
          <w:sz w:val="20"/>
          <w:szCs w:val="20"/>
        </w:rPr>
        <w:t>et and software products and focusing on improving the efficiency of the airlink for wireless operators, we have helped multimode device capabilities evolve, grow demand and reduce device pricing. 5G network deployments and commercial 3G/4G/5G multimode de</w:t>
      </w:r>
      <w:r>
        <w:rPr>
          <w:rFonts w:eastAsia="Times New Roman"/>
          <w:color w:val="000000"/>
          <w:sz w:val="20"/>
          <w:szCs w:val="20"/>
        </w:rPr>
        <w:t xml:space="preserve">vice sales began in 2019 and have continued. By licensing or otherwise providing rights to use our patents to a wide range of equipment manufacturers, we are supporting the global rollout and availability of 5G technology. We believe that 5G will continue </w:t>
      </w:r>
      <w:r>
        <w:rPr>
          <w:rFonts w:eastAsia="Times New Roman"/>
          <w:color w:val="000000"/>
          <w:sz w:val="20"/>
          <w:szCs w:val="20"/>
        </w:rPr>
        <w:t xml:space="preserve">to encourage innovative applications through enhanced mobile broadband services with lower latency and multi-gigabit user data speeds and bring more capacity and efficiency to wireless networks. </w:t>
      </w:r>
    </w:p>
    <w:p w:rsidR="00000000" w:rsidRDefault="008931E1">
      <w:pPr>
        <w:ind w:firstLine="360"/>
        <w:divId w:val="784540791"/>
        <w:rPr>
          <w:rFonts w:eastAsia="Times New Roman"/>
        </w:rPr>
      </w:pPr>
      <w:r>
        <w:rPr>
          <w:rFonts w:eastAsia="Times New Roman"/>
          <w:color w:val="000000"/>
          <w:sz w:val="20"/>
          <w:szCs w:val="20"/>
        </w:rPr>
        <w:t>Upon the initial deployment of OFDMA-based networks, the pro</w:t>
      </w:r>
      <w:r>
        <w:rPr>
          <w:rFonts w:eastAsia="Times New Roman"/>
          <w:color w:val="000000"/>
          <w:sz w:val="20"/>
          <w:szCs w:val="20"/>
        </w:rPr>
        <w:t xml:space="preserve">ducts implementing such technologies generally have been multimode and implement OFDMA-based and CDMA-based technologies. The licenses granted under our existing license agreements generally cover multimode CDMA/OFDMA (3G/4G/5G) devices, and our licensees </w:t>
      </w:r>
      <w:r>
        <w:rPr>
          <w:rFonts w:eastAsia="Times New Roman"/>
          <w:color w:val="000000"/>
          <w:sz w:val="20"/>
          <w:szCs w:val="20"/>
        </w:rPr>
        <w:t xml:space="preserve">are obligated to pay royalties under their license agreements for their sales of such devices. </w:t>
      </w:r>
    </w:p>
    <w:p w:rsidR="00000000" w:rsidRDefault="008931E1">
      <w:pPr>
        <w:ind w:firstLine="360"/>
        <w:divId w:val="186063420"/>
        <w:rPr>
          <w:rFonts w:eastAsia="Times New Roman"/>
        </w:rPr>
      </w:pPr>
      <w:r>
        <w:rPr>
          <w:rFonts w:eastAsia="Times New Roman"/>
          <w:color w:val="000000"/>
          <w:sz w:val="20"/>
          <w:szCs w:val="20"/>
        </w:rPr>
        <w:t>Standards bodies have been informed that we hold patents that might be essential for all 3G standards that are based on CDMA, patents that are potentially essen</w:t>
      </w:r>
      <w:r>
        <w:rPr>
          <w:rFonts w:eastAsia="Times New Roman"/>
          <w:color w:val="000000"/>
          <w:sz w:val="20"/>
          <w:szCs w:val="20"/>
        </w:rPr>
        <w:t>tial for LTE standards, including FDD and TDD versions, and patents and pending patent applications that are potentially essential for 5G technologies. We have committed to such standards bodies that we will offer to license our essential patents for these</w:t>
      </w:r>
      <w:r>
        <w:rPr>
          <w:rFonts w:eastAsia="Times New Roman"/>
          <w:color w:val="000000"/>
          <w:sz w:val="20"/>
          <w:szCs w:val="20"/>
        </w:rPr>
        <w:t xml:space="preserve"> standards consistent with our commitments to those bodies. We have made similar commitments with respect to certain other technologies implemented in industry standards. </w:t>
      </w:r>
    </w:p>
    <w:p w:rsidR="00000000" w:rsidRDefault="008931E1">
      <w:pPr>
        <w:ind w:firstLine="360"/>
        <w:divId w:val="1818380351"/>
        <w:rPr>
          <w:rFonts w:eastAsia="Times New Roman"/>
        </w:rPr>
      </w:pPr>
      <w:r>
        <w:rPr>
          <w:rFonts w:eastAsia="Times New Roman"/>
          <w:color w:val="000000"/>
          <w:sz w:val="20"/>
          <w:szCs w:val="20"/>
        </w:rPr>
        <w:t xml:space="preserve">QTL licensing revenues include per-unit royalties and, to a lesser extent, lump sum </w:t>
      </w:r>
      <w:r>
        <w:rPr>
          <w:rFonts w:eastAsia="Times New Roman"/>
          <w:color w:val="000000"/>
          <w:sz w:val="20"/>
          <w:szCs w:val="20"/>
        </w:rPr>
        <w:t>payments (license fees). Licensees pay quarterly royalties based on their sales of products incorporating or using our licensed intellectual property. Per-unit royalties are generally based upon a percentage of the wholesale (i.e., licensee’s) selling pric</w:t>
      </w:r>
      <w:r>
        <w:rPr>
          <w:rFonts w:eastAsia="Times New Roman"/>
          <w:color w:val="000000"/>
          <w:sz w:val="20"/>
          <w:szCs w:val="20"/>
        </w:rPr>
        <w:t>e of complete licensed products, net of certain permissible deductions (including transportation, insurance, packing costs and other items), with certain products subject to per unit minimums and/or per unit caps. Certain products may also have a fixed roy</w:t>
      </w:r>
      <w:r>
        <w:rPr>
          <w:rFonts w:eastAsia="Times New Roman"/>
          <w:color w:val="000000"/>
          <w:sz w:val="20"/>
          <w:szCs w:val="20"/>
        </w:rPr>
        <w:t>alty amount per unit. Revenues generated from royalties are subject to quarterly and annual fluctuations.</w:t>
      </w:r>
    </w:p>
    <w:p w:rsidR="00000000" w:rsidRDefault="008931E1">
      <w:pPr>
        <w:ind w:firstLine="360"/>
        <w:divId w:val="919100114"/>
        <w:rPr>
          <w:rFonts w:eastAsia="Times New Roman"/>
        </w:rPr>
      </w:pPr>
      <w:r>
        <w:rPr>
          <w:rFonts w:eastAsia="Times New Roman"/>
          <w:color w:val="000000"/>
          <w:sz w:val="20"/>
          <w:szCs w:val="20"/>
        </w:rPr>
        <w:t>The vast majority of QTL revenues have been generated through our licensees’ sales of OFDMA-based products (including 3G/4G and 3G/4G/5G multimode dev</w:t>
      </w:r>
      <w:r>
        <w:rPr>
          <w:rFonts w:eastAsia="Times New Roman"/>
          <w:color w:val="000000"/>
          <w:sz w:val="20"/>
          <w:szCs w:val="20"/>
        </w:rPr>
        <w:t>ices), such as smartphones and other devices. We have invested in both the acquisition and development of, and continue to invest in the development of, OFDMA technology and intellectual property and have generated the industry leading patent portfolio app</w:t>
      </w:r>
      <w:r>
        <w:rPr>
          <w:rFonts w:eastAsia="Times New Roman"/>
          <w:color w:val="000000"/>
          <w:sz w:val="20"/>
          <w:szCs w:val="20"/>
        </w:rPr>
        <w:t>licable to LTE, LTE Advanced, LTE Advanced Pro and 5G NR. Some of our inventions that serve as foundational technologies for 3G and 4G also serve as foundational technologies for 5G. We have invested and continue to invest in the development of 5G and cont</w:t>
      </w:r>
      <w:r>
        <w:rPr>
          <w:rFonts w:eastAsia="Times New Roman"/>
          <w:color w:val="000000"/>
          <w:sz w:val="20"/>
          <w:szCs w:val="20"/>
        </w:rPr>
        <w:t xml:space="preserve">inue to play a significant role in driving advancements of 5G. Nevertheless, we face competition in the development of intellectual property for future generations of digital wireless communications technologies and services. </w:t>
      </w:r>
    </w:p>
    <w:p w:rsidR="00000000" w:rsidRDefault="008931E1">
      <w:pPr>
        <w:ind w:firstLine="360"/>
        <w:divId w:val="1316833355"/>
        <w:rPr>
          <w:rFonts w:eastAsia="Times New Roman"/>
        </w:rPr>
      </w:pPr>
      <w:r>
        <w:rPr>
          <w:rFonts w:eastAsia="Times New Roman"/>
          <w:color w:val="000000"/>
          <w:sz w:val="20"/>
          <w:szCs w:val="20"/>
        </w:rPr>
        <w:t>Our license agreements also m</w:t>
      </w:r>
      <w:r>
        <w:rPr>
          <w:rFonts w:eastAsia="Times New Roman"/>
          <w:color w:val="000000"/>
          <w:sz w:val="20"/>
          <w:szCs w:val="20"/>
        </w:rPr>
        <w:t>ay provide us with rights to use certain of our licensees’ technology and intellectual property to manufacture, sell and/or use certain components (e.g., application-specific integrated circuits) and related software, cellular devices and/or infrastructure</w:t>
      </w:r>
      <w:r>
        <w:rPr>
          <w:rFonts w:eastAsia="Times New Roman"/>
          <w:color w:val="000000"/>
          <w:sz w:val="20"/>
          <w:szCs w:val="20"/>
        </w:rPr>
        <w:t xml:space="preserve"> equipment. </w:t>
      </w:r>
    </w:p>
    <w:p w:rsidR="00000000" w:rsidRDefault="008931E1">
      <w:pPr>
        <w:ind w:firstLine="360"/>
        <w:divId w:val="2042781330"/>
        <w:rPr>
          <w:rFonts w:eastAsia="Times New Roman"/>
        </w:rPr>
      </w:pPr>
      <w:r>
        <w:rPr>
          <w:rFonts w:eastAsia="Times New Roman"/>
          <w:color w:val="000000"/>
          <w:sz w:val="20"/>
          <w:szCs w:val="20"/>
        </w:rPr>
        <w:t>We have been in the past, currently are, and may in the future be subject to certain legal proceedings and/or governmental investigations challenging our patent licensing practices, including those described in this Annual Report under the hea</w:t>
      </w:r>
      <w:r>
        <w:rPr>
          <w:rFonts w:eastAsia="Times New Roman"/>
          <w:color w:val="000000"/>
          <w:sz w:val="20"/>
          <w:szCs w:val="20"/>
        </w:rPr>
        <w:t>ding “Notes to Consolidated Financial Statements, Note 7. Commitments and Contingencies,” which may require us to change our patent licensing practices as described herein in “Part I, Item 1A. Risk Factors” under the heading “</w:t>
      </w:r>
      <w:r>
        <w:rPr>
          <w:rFonts w:eastAsia="Times New Roman"/>
          <w:i/>
          <w:iCs/>
          <w:color w:val="000000"/>
          <w:sz w:val="20"/>
          <w:szCs w:val="20"/>
        </w:rPr>
        <w:t>Changes in our patent licensin</w:t>
      </w:r>
      <w:r>
        <w:rPr>
          <w:rFonts w:eastAsia="Times New Roman"/>
          <w:i/>
          <w:iCs/>
          <w:color w:val="000000"/>
          <w:sz w:val="20"/>
          <w:szCs w:val="20"/>
        </w:rPr>
        <w:t>g practices, whether due to governmental investigations, legal challenges or otherwise, could adversely impact our business and results of operations.</w:t>
      </w:r>
      <w:r>
        <w:rPr>
          <w:rFonts w:eastAsia="Times New Roman"/>
          <w:color w:val="000000"/>
          <w:sz w:val="20"/>
          <w:szCs w:val="20"/>
        </w:rPr>
        <w:t>”</w:t>
      </w:r>
    </w:p>
    <w:p w:rsidR="00000000" w:rsidRDefault="008931E1">
      <w:pPr>
        <w:jc w:val="center"/>
        <w:divId w:val="1040132367"/>
        <w:rPr>
          <w:rFonts w:eastAsia="Times New Roman"/>
        </w:rPr>
      </w:pPr>
      <w:r>
        <w:rPr>
          <w:rFonts w:eastAsia="Times New Roman"/>
          <w:color w:val="000000"/>
          <w:sz w:val="20"/>
          <w:szCs w:val="20"/>
        </w:rPr>
        <w:t>13</w:t>
      </w:r>
    </w:p>
    <w:p w:rsidR="00000000" w:rsidRDefault="008931E1">
      <w:pPr>
        <w:rPr>
          <w:rFonts w:eastAsia="Times New Roman"/>
        </w:rPr>
      </w:pPr>
      <w:r>
        <w:rPr>
          <w:rFonts w:eastAsia="Times New Roman"/>
        </w:rPr>
        <w:pict>
          <v:rect id="_x0000_i1036" style="width:0;height:1.5pt" o:hralign="center" o:hrstd="t" o:hr="t" fillcolor="#a0a0a0" stroked="f"/>
        </w:pict>
      </w:r>
    </w:p>
    <w:p w:rsidR="00000000" w:rsidRDefault="008931E1">
      <w:pPr>
        <w:divId w:val="1009337013"/>
        <w:rPr>
          <w:rFonts w:eastAsia="Times New Roman"/>
        </w:rPr>
      </w:pPr>
    </w:p>
    <w:p w:rsidR="00000000" w:rsidRDefault="008931E1">
      <w:pPr>
        <w:ind w:firstLine="360"/>
        <w:divId w:val="1048652075"/>
        <w:rPr>
          <w:rFonts w:eastAsia="Times New Roman"/>
        </w:rPr>
      </w:pPr>
      <w:r>
        <w:rPr>
          <w:rFonts w:eastAsia="Times New Roman"/>
          <w:b/>
          <w:bCs/>
          <w:i/>
          <w:iCs/>
          <w:color w:val="000000"/>
          <w:sz w:val="20"/>
          <w:szCs w:val="20"/>
        </w:rPr>
        <w:t>QSI Segment.</w:t>
      </w:r>
      <w:r>
        <w:rPr>
          <w:rFonts w:eastAsia="Times New Roman"/>
          <w:color w:val="000000"/>
          <w:sz w:val="20"/>
          <w:szCs w:val="20"/>
        </w:rPr>
        <w:t xml:space="preserve"> QSI makes strategic investments primarily through</w:t>
      </w:r>
      <w:r>
        <w:rPr>
          <w:rFonts w:eastAsia="Times New Roman"/>
          <w:color w:val="000000"/>
          <w:sz w:val="20"/>
          <w:szCs w:val="20"/>
        </w:rPr>
        <w:t xml:space="preserve"> our Qualcomm Ventures arm that are focused on expanding or opening new opportunities for our technologies as well as supporting the design and introduction of new products and services (or enhancing existing products or services). Many of these strategic </w:t>
      </w:r>
      <w:r>
        <w:rPr>
          <w:rFonts w:eastAsia="Times New Roman"/>
          <w:color w:val="000000"/>
          <w:sz w:val="20"/>
          <w:szCs w:val="20"/>
        </w:rPr>
        <w:t>investments are in early-stage companies in a variety of industries and applications, including, but not limited to, 5G, AI, automotive, consumer, enterprise, cloud, IoT and XR. Investments primarily include non-marketable equity securities and, to a lesse</w:t>
      </w:r>
      <w:r>
        <w:rPr>
          <w:rFonts w:eastAsia="Times New Roman"/>
          <w:color w:val="000000"/>
          <w:sz w:val="20"/>
          <w:szCs w:val="20"/>
        </w:rPr>
        <w:t>r extent, marketable equity securities and convertible debt instruments. In addition, QSI segment results include revenues and related costs associated with certain development contracts with one of our investees. As part of our strategic investment activi</w:t>
      </w:r>
      <w:r>
        <w:rPr>
          <w:rFonts w:eastAsia="Times New Roman"/>
          <w:color w:val="000000"/>
          <w:sz w:val="20"/>
          <w:szCs w:val="20"/>
        </w:rPr>
        <w:t>ties, we generally intend to pursue various exit strategies for each of our QSI investments in the foreseeable future.</w:t>
      </w:r>
    </w:p>
    <w:p w:rsidR="00000000" w:rsidRDefault="008931E1">
      <w:pPr>
        <w:ind w:firstLine="360"/>
        <w:divId w:val="2063862560"/>
        <w:rPr>
          <w:rFonts w:eastAsia="Times New Roman"/>
        </w:rPr>
      </w:pPr>
      <w:r>
        <w:rPr>
          <w:rFonts w:eastAsia="Times New Roman"/>
          <w:b/>
          <w:bCs/>
          <w:i/>
          <w:iCs/>
          <w:color w:val="000000"/>
          <w:sz w:val="20"/>
          <w:szCs w:val="20"/>
        </w:rPr>
        <w:t xml:space="preserve">Other Businesses. </w:t>
      </w:r>
      <w:r>
        <w:rPr>
          <w:rFonts w:eastAsia="Times New Roman"/>
          <w:color w:val="000000"/>
          <w:sz w:val="20"/>
          <w:szCs w:val="20"/>
        </w:rPr>
        <w:t xml:space="preserve">Nonreportable segments include our QGOV business and </w:t>
      </w:r>
      <w:r>
        <w:rPr>
          <w:rFonts w:eastAsia="Times New Roman"/>
          <w:color w:val="222222"/>
          <w:sz w:val="20"/>
          <w:szCs w:val="20"/>
        </w:rPr>
        <w:t>our cloud computing processing initiative</w:t>
      </w:r>
      <w:r>
        <w:rPr>
          <w:rFonts w:eastAsia="Times New Roman"/>
          <w:color w:val="000000"/>
          <w:sz w:val="20"/>
          <w:szCs w:val="20"/>
        </w:rPr>
        <w:t>. QGOV provides developme</w:t>
      </w:r>
      <w:r>
        <w:rPr>
          <w:rFonts w:eastAsia="Times New Roman"/>
          <w:color w:val="000000"/>
          <w:sz w:val="20"/>
          <w:szCs w:val="20"/>
        </w:rPr>
        <w:t xml:space="preserve">nt and other services and sells related products to U.S. government agencies and their contractors. </w:t>
      </w:r>
    </w:p>
    <w:p w:rsidR="00000000" w:rsidRDefault="008931E1">
      <w:pPr>
        <w:ind w:firstLine="360"/>
        <w:divId w:val="1705443701"/>
        <w:rPr>
          <w:rFonts w:eastAsia="Times New Roman"/>
        </w:rPr>
      </w:pPr>
      <w:r>
        <w:rPr>
          <w:rFonts w:eastAsia="Times New Roman"/>
          <w:b/>
          <w:bCs/>
          <w:i/>
          <w:iCs/>
          <w:color w:val="000000"/>
          <w:sz w:val="20"/>
          <w:szCs w:val="20"/>
        </w:rPr>
        <w:t xml:space="preserve">Seasonality. </w:t>
      </w:r>
      <w:r>
        <w:rPr>
          <w:rFonts w:eastAsia="Times New Roman"/>
          <w:color w:val="000000"/>
          <w:sz w:val="20"/>
          <w:szCs w:val="20"/>
        </w:rPr>
        <w:t>Information regarding seasonality is provided in this Annual Report in “Part II, Item 7. Management’s Discussion and Analysis of Financial Con</w:t>
      </w:r>
      <w:r>
        <w:rPr>
          <w:rFonts w:eastAsia="Times New Roman"/>
          <w:color w:val="000000"/>
          <w:sz w:val="20"/>
          <w:szCs w:val="20"/>
        </w:rPr>
        <w:t>dition and Results of Operations” in the “Our Business and Operating Segments” section under the heading “Seasonality.”</w:t>
      </w:r>
    </w:p>
    <w:p w:rsidR="00000000" w:rsidRDefault="008931E1">
      <w:pPr>
        <w:divId w:val="1748767396"/>
        <w:rPr>
          <w:rFonts w:eastAsia="Times New Roman"/>
        </w:rPr>
      </w:pPr>
      <w:r>
        <w:rPr>
          <w:rFonts w:eastAsia="Times New Roman"/>
          <w:b/>
          <w:bCs/>
          <w:color w:val="000000"/>
          <w:sz w:val="20"/>
          <w:szCs w:val="20"/>
        </w:rPr>
        <w:t>Corporate Structure</w:t>
      </w:r>
    </w:p>
    <w:p w:rsidR="00000000" w:rsidRDefault="008931E1">
      <w:pPr>
        <w:ind w:firstLine="360"/>
        <w:divId w:val="737363093"/>
        <w:rPr>
          <w:rFonts w:eastAsia="Times New Roman"/>
        </w:rPr>
      </w:pPr>
      <w:r>
        <w:rPr>
          <w:rFonts w:eastAsia="Times New Roman"/>
          <w:color w:val="000000"/>
          <w:sz w:val="20"/>
          <w:szCs w:val="20"/>
        </w:rPr>
        <w:t>We operate our businesses through our parent company, QUALCOMM Incorporated, and multiple direct and indirect subsid</w:t>
      </w:r>
      <w:r>
        <w:rPr>
          <w:rFonts w:eastAsia="Times New Roman"/>
          <w:color w:val="000000"/>
          <w:sz w:val="20"/>
          <w:szCs w:val="20"/>
        </w:rPr>
        <w:t xml:space="preserve">iaries. We have developed our corporate structure in order to address various legal, regulatory, tax, contractual compliance, operational and other matters. Substantially all of our products and services businesses, including QCT, and substantially all of </w:t>
      </w:r>
      <w:r>
        <w:rPr>
          <w:rFonts w:eastAsia="Times New Roman"/>
          <w:color w:val="000000"/>
          <w:sz w:val="20"/>
          <w:szCs w:val="20"/>
        </w:rPr>
        <w:t>our engineering and research and development functions, are operated by Qualcomm Technologies, Inc. (QTI), a subsidiary of QUALCOMM Incorporated, and QTI’s subsidiaries. QTL is operated by QUALCOMM Incorporated, which owns the vast majority of our patent p</w:t>
      </w:r>
      <w:r>
        <w:rPr>
          <w:rFonts w:eastAsia="Times New Roman"/>
          <w:color w:val="000000"/>
          <w:sz w:val="20"/>
          <w:szCs w:val="20"/>
        </w:rPr>
        <w:t>ortfolio. Neither QTI nor any of its subsidiaries has any right, power or authority to grant any licenses or other rights under or to any patents owned by QUALCOMM Incorporated.</w:t>
      </w:r>
    </w:p>
    <w:p w:rsidR="00000000" w:rsidRDefault="008931E1">
      <w:pPr>
        <w:divId w:val="344094275"/>
        <w:rPr>
          <w:rFonts w:eastAsia="Times New Roman"/>
        </w:rPr>
      </w:pPr>
      <w:r>
        <w:rPr>
          <w:rFonts w:eastAsia="Times New Roman"/>
          <w:b/>
          <w:bCs/>
          <w:color w:val="000000"/>
          <w:sz w:val="20"/>
          <w:szCs w:val="20"/>
        </w:rPr>
        <w:t>Revenue Concentrations and Significant Customers</w:t>
      </w:r>
    </w:p>
    <w:p w:rsidR="00000000" w:rsidRDefault="008931E1">
      <w:pPr>
        <w:ind w:firstLine="360"/>
        <w:divId w:val="582763705"/>
        <w:rPr>
          <w:rFonts w:eastAsia="Times New Roman"/>
        </w:rPr>
      </w:pPr>
      <w:r>
        <w:rPr>
          <w:rFonts w:eastAsia="Times New Roman"/>
          <w:color w:val="000000"/>
          <w:sz w:val="20"/>
          <w:szCs w:val="20"/>
        </w:rPr>
        <w:t>A small number of customers/l</w:t>
      </w:r>
      <w:r>
        <w:rPr>
          <w:rFonts w:eastAsia="Times New Roman"/>
          <w:color w:val="000000"/>
          <w:sz w:val="20"/>
          <w:szCs w:val="20"/>
        </w:rPr>
        <w:t>icensees historically have accounted for a significant portion of our consolidated revenues. In fiscal 2023, revenues from Apple and Samsung each comprised 10% or more of our consolidated revenues. Additional information regarding revenue concentrations is</w:t>
      </w:r>
      <w:r>
        <w:rPr>
          <w:rFonts w:eastAsia="Times New Roman"/>
          <w:color w:val="000000"/>
          <w:sz w:val="20"/>
          <w:szCs w:val="20"/>
        </w:rPr>
        <w:t xml:space="preserve"> provided in this Annual Report in “Notes to Consolidated Financial Statements, Note 2. Composition of Certain Financial Statement Items” and “Notes to Consolidated Financial Statements, Note 8. Segment Information.”</w:t>
      </w:r>
    </w:p>
    <w:p w:rsidR="00000000" w:rsidRDefault="008931E1">
      <w:pPr>
        <w:divId w:val="144900804"/>
        <w:rPr>
          <w:rFonts w:eastAsia="Times New Roman"/>
        </w:rPr>
      </w:pPr>
      <w:r>
        <w:rPr>
          <w:rFonts w:eastAsia="Times New Roman"/>
          <w:b/>
          <w:bCs/>
          <w:color w:val="000000"/>
          <w:sz w:val="20"/>
          <w:szCs w:val="20"/>
        </w:rPr>
        <w:t>Research and Development</w:t>
      </w:r>
    </w:p>
    <w:p w:rsidR="00000000" w:rsidRDefault="008931E1">
      <w:pPr>
        <w:ind w:firstLine="360"/>
        <w:divId w:val="544635591"/>
        <w:rPr>
          <w:rFonts w:eastAsia="Times New Roman"/>
        </w:rPr>
      </w:pPr>
      <w:r>
        <w:rPr>
          <w:rFonts w:eastAsia="Times New Roman"/>
          <w:color w:val="000000"/>
          <w:sz w:val="20"/>
          <w:szCs w:val="20"/>
        </w:rPr>
        <w:t>The wireless c</w:t>
      </w:r>
      <w:r>
        <w:rPr>
          <w:rFonts w:eastAsia="Times New Roman"/>
          <w:color w:val="000000"/>
          <w:sz w:val="20"/>
          <w:szCs w:val="20"/>
        </w:rPr>
        <w:t>ommunications industry is characterized by rapid technological change, evolving industry standards, frequent new product introductions and, with the use of 5G, the expansion into industries and applications beyond mobile handsets such as automotive and IoT</w:t>
      </w:r>
      <w:r>
        <w:rPr>
          <w:rFonts w:eastAsia="Times New Roman"/>
          <w:color w:val="000000"/>
          <w:sz w:val="20"/>
          <w:szCs w:val="20"/>
        </w:rPr>
        <w:t>, requiring a continuous effort to enhance existing products and technologies and to develop new products and technologies. We have significant engineering resources, including engineers with substantial expertise in modem, radio-frequency integrated circu</w:t>
      </w:r>
      <w:r>
        <w:rPr>
          <w:rFonts w:eastAsia="Times New Roman"/>
          <w:color w:val="000000"/>
          <w:sz w:val="20"/>
          <w:szCs w:val="20"/>
        </w:rPr>
        <w:t>it, RFFE, multimedia (camera, video, display and computer vision), sensor perception and drive policy, advanced SoC, which includes specialized engines such as CPU and GPU to enable high performance and low-power computing and other optimization techniques</w:t>
      </w:r>
      <w:r>
        <w:rPr>
          <w:rFonts w:eastAsia="Times New Roman"/>
          <w:color w:val="000000"/>
          <w:sz w:val="20"/>
          <w:szCs w:val="20"/>
        </w:rPr>
        <w:t>, AI, packaging and a broad range of other technologies. We expect to continue to invest in research and development in a variety of ways in an effort to extend the demand for our products and technologies and to utilize that research and development in in</w:t>
      </w:r>
      <w:r>
        <w:rPr>
          <w:rFonts w:eastAsia="Times New Roman"/>
          <w:color w:val="000000"/>
          <w:sz w:val="20"/>
          <w:szCs w:val="20"/>
        </w:rPr>
        <w:t>dustries and applications beyond mobile handsets (such as automotive and IoT), including continuing the development of new modem and multimedia technologies and other technologies (such as ADAS/AD and XR), developing alternative technologies for certain sp</w:t>
      </w:r>
      <w:r>
        <w:rPr>
          <w:rFonts w:eastAsia="Times New Roman"/>
          <w:color w:val="000000"/>
          <w:sz w:val="20"/>
          <w:szCs w:val="20"/>
        </w:rPr>
        <w:t>ecialized applications, participating in the formulation of new voice and data communication standards and technologies and assisting in deploying digital voice and data communications networks around the world.</w:t>
      </w:r>
    </w:p>
    <w:p w:rsidR="00000000" w:rsidRDefault="008931E1">
      <w:pPr>
        <w:ind w:firstLine="360"/>
        <w:divId w:val="1286422278"/>
        <w:rPr>
          <w:rFonts w:eastAsia="Times New Roman"/>
        </w:rPr>
      </w:pPr>
      <w:r>
        <w:rPr>
          <w:rFonts w:eastAsia="Times New Roman"/>
          <w:color w:val="000000"/>
          <w:sz w:val="20"/>
          <w:szCs w:val="20"/>
        </w:rPr>
        <w:t xml:space="preserve">We continue to invest significant resources </w:t>
      </w:r>
      <w:r>
        <w:rPr>
          <w:rFonts w:eastAsia="Times New Roman"/>
          <w:color w:val="000000"/>
          <w:sz w:val="20"/>
          <w:szCs w:val="20"/>
        </w:rPr>
        <w:t>towards advancements in OFDMA-based technologies and products (including LTE, 5G and 6G). We also engage in acquisitions and other transactions to meet certain technology needs, to obtain development resources or open or expand opportunities for our techno</w:t>
      </w:r>
      <w:r>
        <w:rPr>
          <w:rFonts w:eastAsia="Times New Roman"/>
          <w:color w:val="000000"/>
          <w:sz w:val="20"/>
          <w:szCs w:val="20"/>
        </w:rPr>
        <w:t>logies and to support the design and introduction of new products and services (or enhance existing products and services) for voice and data communications and industries and applications beyond mobile handsets, such as ADAS/AD. We make investments to pro</w:t>
      </w:r>
      <w:r>
        <w:rPr>
          <w:rFonts w:eastAsia="Times New Roman"/>
          <w:color w:val="000000"/>
          <w:sz w:val="20"/>
          <w:szCs w:val="20"/>
        </w:rPr>
        <w:t>vide our integrated circuit customers with chipsets designed on leading-edge technology nodes that combine multiple technologies for use in consumer electronic devices (e.g., smartphones, tablets, laptops, voice and music devices, wearable devices and XR d</w:t>
      </w:r>
      <w:r>
        <w:rPr>
          <w:rFonts w:eastAsia="Times New Roman"/>
          <w:color w:val="000000"/>
          <w:sz w:val="20"/>
          <w:szCs w:val="20"/>
        </w:rPr>
        <w:t>evices) and other products (e.g., access points and routers, data cards and infrastructure equipment). In addition to 3G, 4G and 5G technologies, our chipsets support other wireless and wired connectivity technologies, including Wi-Fi, Bluetooth, Ethernet,</w:t>
      </w:r>
      <w:r>
        <w:rPr>
          <w:rFonts w:eastAsia="Times New Roman"/>
          <w:color w:val="000000"/>
          <w:sz w:val="20"/>
          <w:szCs w:val="20"/>
        </w:rPr>
        <w:t xml:space="preserve"> position location and Powerline communication. Our integrated chipsets often include multiple technologies, including advanced multimode modems, application processors and graphics engines, as well as the tools to connect these diverse technologies.</w:t>
      </w:r>
      <w:r>
        <w:rPr>
          <w:rFonts w:eastAsia="Times New Roman"/>
          <w:color w:val="000000"/>
          <w:sz w:val="20"/>
          <w:szCs w:val="20"/>
        </w:rPr>
        <w:t xml:space="preserve"> </w:t>
      </w:r>
      <w:r>
        <w:rPr>
          <w:rFonts w:eastAsia="Times New Roman"/>
          <w:color w:val="000000"/>
          <w:sz w:val="20"/>
          <w:szCs w:val="20"/>
        </w:rPr>
        <w:t>We co</w:t>
      </w:r>
      <w:r>
        <w:rPr>
          <w:rFonts w:eastAsia="Times New Roman"/>
          <w:color w:val="000000"/>
          <w:sz w:val="20"/>
          <w:szCs w:val="20"/>
        </w:rPr>
        <w:t>ntinue to support Android, Windows and other client software environments in our chipsets.</w:t>
      </w:r>
    </w:p>
    <w:p w:rsidR="00000000" w:rsidRDefault="008931E1">
      <w:pPr>
        <w:ind w:firstLine="360"/>
        <w:divId w:val="1566184690"/>
        <w:rPr>
          <w:rFonts w:eastAsia="Times New Roman"/>
        </w:rPr>
      </w:pPr>
      <w:r>
        <w:rPr>
          <w:rFonts w:eastAsia="Times New Roman"/>
          <w:color w:val="000000"/>
          <w:sz w:val="20"/>
          <w:szCs w:val="20"/>
        </w:rPr>
        <w:t>We conduct broad, leading research and development across AI, including generative AI, from fundamental research to platform and applied research, with the goal of advancing its core capabilities (i.e., perception, reasoning and action), and scaling them a</w:t>
      </w:r>
      <w:r>
        <w:rPr>
          <w:rFonts w:eastAsia="Times New Roman"/>
          <w:color w:val="000000"/>
          <w:sz w:val="20"/>
          <w:szCs w:val="20"/>
        </w:rPr>
        <w:t xml:space="preserve">cross industries and use cases. With investments made in AI for over a decade, our research is diverse, and we are focused on power efficiency and personalization to make AI seamless across our everyday experiences. </w:t>
      </w:r>
    </w:p>
    <w:p w:rsidR="00000000" w:rsidRDefault="008931E1">
      <w:pPr>
        <w:jc w:val="center"/>
        <w:divId w:val="662003521"/>
        <w:rPr>
          <w:rFonts w:eastAsia="Times New Roman"/>
        </w:rPr>
      </w:pPr>
      <w:r>
        <w:rPr>
          <w:rFonts w:eastAsia="Times New Roman"/>
          <w:color w:val="000000"/>
          <w:sz w:val="20"/>
          <w:szCs w:val="20"/>
        </w:rPr>
        <w:t>14</w:t>
      </w:r>
    </w:p>
    <w:p w:rsidR="00000000" w:rsidRDefault="008931E1">
      <w:pPr>
        <w:rPr>
          <w:rFonts w:eastAsia="Times New Roman"/>
        </w:rPr>
      </w:pPr>
      <w:r>
        <w:rPr>
          <w:rFonts w:eastAsia="Times New Roman"/>
        </w:rPr>
        <w:pict>
          <v:rect id="_x0000_i1037" style="width:0;height:1.5pt" o:hralign="center" o:hrstd="t" o:hr="t" fillcolor="#a0a0a0" stroked="f"/>
        </w:pict>
      </w:r>
    </w:p>
    <w:p w:rsidR="00000000" w:rsidRDefault="008931E1">
      <w:pPr>
        <w:divId w:val="2111661252"/>
        <w:rPr>
          <w:rFonts w:eastAsia="Times New Roman"/>
        </w:rPr>
      </w:pPr>
    </w:p>
    <w:p w:rsidR="00000000" w:rsidRDefault="008931E1">
      <w:pPr>
        <w:ind w:firstLine="360"/>
        <w:divId w:val="724836172"/>
        <w:rPr>
          <w:rFonts w:eastAsia="Times New Roman"/>
        </w:rPr>
      </w:pPr>
      <w:r>
        <w:rPr>
          <w:rFonts w:eastAsia="Times New Roman"/>
          <w:color w:val="000000"/>
          <w:sz w:val="20"/>
          <w:szCs w:val="20"/>
        </w:rPr>
        <w:t>We develop innovations that are integrated into our product portfolio to expand the opportunity for wireless communications and enhance the value of our products and services. These innovations are expected to enable o</w:t>
      </w:r>
      <w:r>
        <w:rPr>
          <w:rFonts w:eastAsia="Times New Roman"/>
          <w:color w:val="000000"/>
          <w:sz w:val="20"/>
          <w:szCs w:val="20"/>
        </w:rPr>
        <w:t>ur customers to improve the performance or value of their existing services, offer these services more affordably and introduce revenue-generating broadband data services ahead of their competition. We are focused on making it easier for developers to desi</w:t>
      </w:r>
      <w:r>
        <w:rPr>
          <w:rFonts w:eastAsia="Times New Roman"/>
          <w:color w:val="000000"/>
          <w:sz w:val="20"/>
          <w:szCs w:val="20"/>
        </w:rPr>
        <w:t>gn and deploy their applications on our platforms across multiple device categories and industries as a part of our diversification strategy.</w:t>
      </w:r>
    </w:p>
    <w:p w:rsidR="00000000" w:rsidRDefault="008931E1">
      <w:pPr>
        <w:ind w:firstLine="360"/>
        <w:divId w:val="853812255"/>
        <w:rPr>
          <w:rFonts w:eastAsia="Times New Roman"/>
        </w:rPr>
      </w:pPr>
      <w:r>
        <w:rPr>
          <w:rFonts w:eastAsia="Times New Roman"/>
          <w:color w:val="000000"/>
          <w:sz w:val="20"/>
          <w:szCs w:val="20"/>
        </w:rPr>
        <w:t>We have research and development centers in various locations throughout the world that support our global develop</w:t>
      </w:r>
      <w:r>
        <w:rPr>
          <w:rFonts w:eastAsia="Times New Roman"/>
          <w:color w:val="000000"/>
          <w:sz w:val="20"/>
          <w:szCs w:val="20"/>
        </w:rPr>
        <w:t>ment activities and ongoing efforts to develop and/or advance 4G, 5G, 6G, and a broad range of other technologies, including RFFE. We continue to use our substantial engineering resources and expertise to develop new technologies, applications and services</w:t>
      </w:r>
      <w:r>
        <w:rPr>
          <w:rFonts w:eastAsia="Times New Roman"/>
          <w:color w:val="000000"/>
          <w:sz w:val="20"/>
          <w:szCs w:val="20"/>
        </w:rPr>
        <w:t xml:space="preserve"> and make them available to licensees to help grow the wireless communications industry and generate new or expanded licensing opportunities.</w:t>
      </w:r>
    </w:p>
    <w:p w:rsidR="00000000" w:rsidRDefault="008931E1">
      <w:pPr>
        <w:divId w:val="1254120937"/>
        <w:rPr>
          <w:rFonts w:eastAsia="Times New Roman"/>
        </w:rPr>
      </w:pPr>
      <w:r>
        <w:rPr>
          <w:rFonts w:eastAsia="Times New Roman"/>
          <w:b/>
          <w:bCs/>
          <w:color w:val="000000"/>
          <w:sz w:val="20"/>
          <w:szCs w:val="20"/>
        </w:rPr>
        <w:t>Environmental, Social and Governance (ESG) and Human Capital</w:t>
      </w:r>
    </w:p>
    <w:p w:rsidR="00000000" w:rsidRDefault="008931E1">
      <w:pPr>
        <w:ind w:firstLine="360"/>
        <w:divId w:val="1242836410"/>
        <w:rPr>
          <w:rFonts w:eastAsia="Times New Roman"/>
        </w:rPr>
      </w:pPr>
      <w:r>
        <w:rPr>
          <w:rFonts w:eastAsia="Times New Roman"/>
          <w:color w:val="000000"/>
          <w:sz w:val="20"/>
          <w:szCs w:val="20"/>
        </w:rPr>
        <w:t>We believe that our innovations help transform indust</w:t>
      </w:r>
      <w:r>
        <w:rPr>
          <w:rFonts w:eastAsia="Times New Roman"/>
          <w:color w:val="000000"/>
          <w:sz w:val="20"/>
          <w:szCs w:val="20"/>
        </w:rPr>
        <w:t>ries, enhance people’s lives and address some of society’s biggest challenges. With the world becoming increasingly connected, we have an opportunity to shape a better future. We believe in the power of technology. As such, our corporate responsibility vis</w:t>
      </w:r>
      <w:r>
        <w:rPr>
          <w:rFonts w:eastAsia="Times New Roman"/>
          <w:color w:val="000000"/>
          <w:sz w:val="20"/>
          <w:szCs w:val="20"/>
        </w:rPr>
        <w:t>ion is to be a facilitator of innovation for a sustainable world, connected wirelessly.</w:t>
      </w:r>
    </w:p>
    <w:p w:rsidR="00000000" w:rsidRDefault="008931E1">
      <w:pPr>
        <w:ind w:firstLine="360"/>
        <w:divId w:val="1091660024"/>
        <w:rPr>
          <w:rFonts w:eastAsia="Times New Roman"/>
        </w:rPr>
      </w:pPr>
      <w:r>
        <w:rPr>
          <w:rFonts w:eastAsia="Times New Roman"/>
          <w:color w:val="000000"/>
          <w:sz w:val="20"/>
          <w:szCs w:val="20"/>
        </w:rPr>
        <w:t>We have integrated corporate responsibility throughout our business, from our daily operations to our executive leadership and our Board of Directors (Board). The Gover</w:t>
      </w:r>
      <w:r>
        <w:rPr>
          <w:rFonts w:eastAsia="Times New Roman"/>
          <w:color w:val="000000"/>
          <w:sz w:val="20"/>
          <w:szCs w:val="20"/>
        </w:rPr>
        <w:t>nance Committee of our Board provides oversight on ESG matters not delegated to other Board committees, including ESG policies, programs and initiatives. The HR and Compensation Committee of our Board provides oversight on our human capital initiatives and</w:t>
      </w:r>
      <w:r>
        <w:rPr>
          <w:rFonts w:eastAsia="Times New Roman"/>
          <w:color w:val="000000"/>
          <w:sz w:val="20"/>
          <w:szCs w:val="20"/>
        </w:rPr>
        <w:t xml:space="preserve"> our workforce diversity, equity and inclusion policies, programs and initiatives, while the Audit Committee of our Board provides oversight of our ESG disclosure controls and procedures. Our ESG Leadership Committee, composed of certain executives, provid</w:t>
      </w:r>
      <w:r>
        <w:rPr>
          <w:rFonts w:eastAsia="Times New Roman"/>
          <w:color w:val="000000"/>
          <w:sz w:val="20"/>
          <w:szCs w:val="20"/>
        </w:rPr>
        <w:t>es guidance on global corporate responsibility issues. Our ESG Working Group implements directives from the ESG Leadership Committee, measures progress on achieving our goals and reports to management on accomplishments and challenges.</w:t>
      </w:r>
    </w:p>
    <w:p w:rsidR="00000000" w:rsidRDefault="008931E1">
      <w:pPr>
        <w:ind w:firstLine="360"/>
        <w:divId w:val="341206739"/>
        <w:rPr>
          <w:rFonts w:eastAsia="Times New Roman"/>
        </w:rPr>
      </w:pPr>
      <w:r>
        <w:rPr>
          <w:rFonts w:eastAsia="Times New Roman"/>
          <w:b/>
          <w:bCs/>
          <w:color w:val="000000"/>
          <w:sz w:val="20"/>
          <w:szCs w:val="20"/>
        </w:rPr>
        <w:t>ESG</w:t>
      </w:r>
    </w:p>
    <w:p w:rsidR="00000000" w:rsidRDefault="008931E1">
      <w:pPr>
        <w:ind w:firstLine="360"/>
        <w:divId w:val="1146244568"/>
        <w:rPr>
          <w:rFonts w:eastAsia="Times New Roman"/>
        </w:rPr>
      </w:pPr>
      <w:r>
        <w:rPr>
          <w:rFonts w:eastAsia="Times New Roman"/>
          <w:color w:val="000000"/>
          <w:sz w:val="20"/>
          <w:szCs w:val="20"/>
        </w:rPr>
        <w:t>We center our ES</w:t>
      </w:r>
      <w:r>
        <w:rPr>
          <w:rFonts w:eastAsia="Times New Roman"/>
          <w:color w:val="000000"/>
          <w:sz w:val="20"/>
          <w:szCs w:val="20"/>
        </w:rPr>
        <w:t>G efforts around purposeful innovation, focusing on three strategic areas where we believe we can have the biggest impact:</w:t>
      </w:r>
    </w:p>
    <w:p w:rsidR="00000000" w:rsidRDefault="008931E1">
      <w:pPr>
        <w:ind w:hanging="360"/>
        <w:divId w:val="2043625619"/>
        <w:rPr>
          <w:rFonts w:eastAsia="Times New Roman"/>
        </w:rPr>
      </w:pPr>
      <w:r>
        <w:rPr>
          <w:rFonts w:ascii="Arial" w:eastAsia="Times New Roman" w:hAnsi="Arial" w:cs="Arial"/>
          <w:color w:val="000000"/>
          <w:sz w:val="22"/>
          <w:szCs w:val="22"/>
        </w:rPr>
        <w:t>•</w:t>
      </w:r>
      <w:r>
        <w:rPr>
          <w:rFonts w:eastAsia="Times New Roman"/>
          <w:b/>
          <w:bCs/>
          <w:i/>
          <w:iCs/>
          <w:color w:val="000000"/>
          <w:sz w:val="20"/>
          <w:szCs w:val="20"/>
        </w:rPr>
        <w:t>Empowering Digital Transformation.</w:t>
      </w:r>
      <w:r>
        <w:rPr>
          <w:rFonts w:eastAsia="Times New Roman"/>
          <w:i/>
          <w:iCs/>
          <w:color w:val="000000"/>
          <w:sz w:val="20"/>
          <w:szCs w:val="20"/>
        </w:rPr>
        <w:t xml:space="preserve"> </w:t>
      </w:r>
      <w:r>
        <w:rPr>
          <w:rFonts w:eastAsia="Times New Roman"/>
          <w:color w:val="000000"/>
          <w:sz w:val="20"/>
          <w:szCs w:val="20"/>
        </w:rPr>
        <w:t xml:space="preserve">We believe technology can transform industries, businesses, communities and individual lives. We </w:t>
      </w:r>
      <w:r>
        <w:rPr>
          <w:rFonts w:eastAsia="Times New Roman"/>
          <w:color w:val="000000"/>
          <w:sz w:val="20"/>
          <w:szCs w:val="20"/>
        </w:rPr>
        <w:t xml:space="preserve">invent solutions that are foundational to the advancement of the global wireless ecosystem, improving how we work, live and, ultimately, thrive. </w:t>
      </w:r>
    </w:p>
    <w:p w:rsidR="00000000" w:rsidRDefault="008931E1">
      <w:pPr>
        <w:ind w:hanging="360"/>
        <w:divId w:val="1623686963"/>
        <w:rPr>
          <w:rFonts w:eastAsia="Times New Roman"/>
        </w:rPr>
      </w:pPr>
      <w:r>
        <w:rPr>
          <w:rFonts w:eastAsia="Times New Roman"/>
          <w:color w:val="000000"/>
          <w:sz w:val="20"/>
          <w:szCs w:val="20"/>
        </w:rPr>
        <w:t>•</w:t>
      </w:r>
      <w:r>
        <w:rPr>
          <w:rFonts w:eastAsia="Times New Roman"/>
          <w:b/>
          <w:bCs/>
          <w:i/>
          <w:iCs/>
          <w:color w:val="222222"/>
          <w:sz w:val="20"/>
          <w:szCs w:val="20"/>
        </w:rPr>
        <w:t>Acting Responsibly.</w:t>
      </w:r>
      <w:r>
        <w:rPr>
          <w:rFonts w:eastAsia="Times New Roman"/>
          <w:color w:val="222222"/>
          <w:sz w:val="20"/>
          <w:szCs w:val="20"/>
        </w:rPr>
        <w:t xml:space="preserve"> We invest in our people, strive to always behave with integrity and implement governance </w:t>
      </w:r>
      <w:r>
        <w:rPr>
          <w:rFonts w:eastAsia="Times New Roman"/>
          <w:color w:val="222222"/>
          <w:sz w:val="20"/>
          <w:szCs w:val="20"/>
        </w:rPr>
        <w:t>standards that uphold Qualcomm’s values. We are committed to responsible business practices, from upholding diversity, equity and inclusion, to protecting privacy, to providing leading development programs and fostering an ethical culture.</w:t>
      </w:r>
    </w:p>
    <w:p w:rsidR="00000000" w:rsidRDefault="008931E1">
      <w:pPr>
        <w:ind w:hanging="360"/>
        <w:divId w:val="1860926069"/>
        <w:rPr>
          <w:rFonts w:eastAsia="Times New Roman"/>
        </w:rPr>
      </w:pPr>
      <w:r>
        <w:rPr>
          <w:rFonts w:eastAsia="Times New Roman"/>
          <w:color w:val="000000"/>
          <w:sz w:val="20"/>
          <w:szCs w:val="20"/>
        </w:rPr>
        <w:t>•</w:t>
      </w:r>
      <w:r>
        <w:rPr>
          <w:rFonts w:eastAsia="Times New Roman"/>
          <w:b/>
          <w:bCs/>
          <w:i/>
          <w:iCs/>
          <w:color w:val="222222"/>
          <w:sz w:val="20"/>
          <w:szCs w:val="20"/>
        </w:rPr>
        <w:t>Operating Susta</w:t>
      </w:r>
      <w:r>
        <w:rPr>
          <w:rFonts w:eastAsia="Times New Roman"/>
          <w:b/>
          <w:bCs/>
          <w:i/>
          <w:iCs/>
          <w:color w:val="222222"/>
          <w:sz w:val="20"/>
          <w:szCs w:val="20"/>
        </w:rPr>
        <w:t>inably.</w:t>
      </w:r>
      <w:r>
        <w:rPr>
          <w:rFonts w:eastAsia="Times New Roman"/>
          <w:b/>
          <w:bCs/>
          <w:color w:val="222222"/>
          <w:sz w:val="20"/>
          <w:szCs w:val="20"/>
        </w:rPr>
        <w:t xml:space="preserve"> </w:t>
      </w:r>
      <w:r>
        <w:rPr>
          <w:rFonts w:eastAsia="Times New Roman"/>
          <w:color w:val="222222"/>
          <w:sz w:val="20"/>
          <w:szCs w:val="20"/>
        </w:rPr>
        <w:t>We aim to maintain safe, healthy and productive working conditions and conserve natural resources. Our environmental efforts center on reducing greenhouse gas (GHG) emissions, optimizing energy consumption, managing water usage and minimizing waste</w:t>
      </w:r>
      <w:r>
        <w:rPr>
          <w:rFonts w:eastAsia="Times New Roman"/>
          <w:color w:val="222222"/>
          <w:sz w:val="20"/>
          <w:szCs w:val="20"/>
        </w:rPr>
        <w:t xml:space="preserve"> throughout our operations and the communities in which we work. </w:t>
      </w:r>
    </w:p>
    <w:p w:rsidR="00000000" w:rsidRDefault="008931E1">
      <w:pPr>
        <w:ind w:firstLine="360"/>
        <w:divId w:val="2096246360"/>
        <w:rPr>
          <w:rFonts w:eastAsia="Times New Roman"/>
        </w:rPr>
      </w:pPr>
      <w:r>
        <w:rPr>
          <w:rFonts w:eastAsia="Times New Roman"/>
          <w:b/>
          <w:bCs/>
          <w:i/>
          <w:iCs/>
          <w:color w:val="000000"/>
          <w:sz w:val="20"/>
          <w:szCs w:val="20"/>
        </w:rPr>
        <w:t xml:space="preserve">2025 Goals. </w:t>
      </w:r>
      <w:r>
        <w:rPr>
          <w:rFonts w:eastAsia="Times New Roman"/>
          <w:color w:val="000000"/>
          <w:sz w:val="20"/>
          <w:szCs w:val="20"/>
        </w:rPr>
        <w:t xml:space="preserve">Our </w:t>
      </w:r>
      <w:r>
        <w:rPr>
          <w:rFonts w:eastAsia="Times New Roman"/>
          <w:i/>
          <w:iCs/>
          <w:color w:val="000000"/>
          <w:sz w:val="20"/>
          <w:szCs w:val="20"/>
        </w:rPr>
        <w:t>2025 Goals</w:t>
      </w:r>
      <w:r>
        <w:rPr>
          <w:rFonts w:eastAsia="Times New Roman"/>
          <w:color w:val="000000"/>
          <w:sz w:val="20"/>
          <w:szCs w:val="20"/>
        </w:rPr>
        <w:t xml:space="preserve"> related to corporate responsibility include, among others:</w:t>
      </w:r>
    </w:p>
    <w:p w:rsidR="00000000" w:rsidRDefault="008931E1">
      <w:pPr>
        <w:ind w:hanging="360"/>
        <w:divId w:val="177081826"/>
        <w:rPr>
          <w:rFonts w:eastAsia="Times New Roman"/>
        </w:rPr>
      </w:pPr>
      <w:r>
        <w:rPr>
          <w:rFonts w:eastAsia="Times New Roman"/>
          <w:color w:val="000000"/>
          <w:sz w:val="20"/>
          <w:szCs w:val="20"/>
        </w:rPr>
        <w:t>•Reducing our absolute Scope 1 and Scope 2 GHG emissions by 30% from global operations, from a 2014 base</w:t>
      </w:r>
      <w:r>
        <w:rPr>
          <w:rFonts w:eastAsia="Times New Roman"/>
          <w:color w:val="000000"/>
          <w:sz w:val="20"/>
          <w:szCs w:val="20"/>
        </w:rPr>
        <w:t xml:space="preserve"> year.</w:t>
      </w:r>
    </w:p>
    <w:p w:rsidR="00000000" w:rsidRDefault="008931E1">
      <w:pPr>
        <w:ind w:hanging="360"/>
        <w:divId w:val="386026867"/>
        <w:rPr>
          <w:rFonts w:eastAsia="Times New Roman"/>
        </w:rPr>
      </w:pPr>
      <w:r>
        <w:rPr>
          <w:rFonts w:eastAsia="Times New Roman"/>
          <w:color w:val="000000"/>
          <w:sz w:val="20"/>
          <w:szCs w:val="20"/>
        </w:rPr>
        <w:t>•Reducing power consumption by 10% every year in our flagship Snapdragon Mobile Platform products (given equivalent features).</w:t>
      </w:r>
    </w:p>
    <w:p w:rsidR="00000000" w:rsidRDefault="008931E1">
      <w:pPr>
        <w:ind w:hanging="360"/>
        <w:divId w:val="1387021832"/>
        <w:rPr>
          <w:rFonts w:eastAsia="Times New Roman"/>
        </w:rPr>
      </w:pPr>
      <w:r>
        <w:rPr>
          <w:rFonts w:eastAsia="Times New Roman"/>
          <w:color w:val="000000"/>
          <w:sz w:val="20"/>
          <w:szCs w:val="20"/>
        </w:rPr>
        <w:t>•Ensuring 100% of our primary semiconductor manufacturing suppliers are audited every 2-years for conformance to our Suppl</w:t>
      </w:r>
      <w:r>
        <w:rPr>
          <w:rFonts w:eastAsia="Times New Roman"/>
          <w:color w:val="000000"/>
          <w:sz w:val="20"/>
          <w:szCs w:val="20"/>
        </w:rPr>
        <w:t>ier Code of Conduct, from a 2020 base year.</w:t>
      </w:r>
    </w:p>
    <w:p w:rsidR="00000000" w:rsidRDefault="008931E1">
      <w:pPr>
        <w:ind w:firstLine="360"/>
        <w:divId w:val="778186143"/>
        <w:rPr>
          <w:rFonts w:eastAsia="Times New Roman"/>
        </w:rPr>
      </w:pPr>
      <w:r>
        <w:rPr>
          <w:rFonts w:eastAsia="Times New Roman"/>
          <w:b/>
          <w:bCs/>
          <w:i/>
          <w:iCs/>
          <w:color w:val="000000"/>
          <w:sz w:val="20"/>
          <w:szCs w:val="20"/>
        </w:rPr>
        <w:t>Net-Zero Global GHG Emissions Commitment.</w:t>
      </w:r>
      <w:r>
        <w:rPr>
          <w:rFonts w:eastAsia="Times New Roman"/>
          <w:i/>
          <w:iCs/>
          <w:color w:val="000000"/>
          <w:sz w:val="20"/>
          <w:szCs w:val="20"/>
        </w:rPr>
        <w:t xml:space="preserve"> </w:t>
      </w:r>
      <w:r>
        <w:rPr>
          <w:rFonts w:eastAsia="Times New Roman"/>
          <w:color w:val="000000"/>
          <w:sz w:val="20"/>
          <w:szCs w:val="20"/>
        </w:rPr>
        <w:t xml:space="preserve">Qualcomm has approved near and long-term science-based emissions reduction targets with the Science Based Targets Initiative (SBTi), including: (1) reduce absolute Scope </w:t>
      </w:r>
      <w:r>
        <w:rPr>
          <w:rFonts w:eastAsia="Times New Roman"/>
          <w:color w:val="000000"/>
          <w:sz w:val="20"/>
          <w:szCs w:val="20"/>
        </w:rPr>
        <w:t>1 and 2 GHG emissions by 50% by 2030 from a 2020 base year; (2) reduce absolute Scope 3 GHG emissions by 25% by 2030 from a 2020 base year; and (3) reach net-zero GHG emissions across the value chain by 2040.</w:t>
      </w:r>
    </w:p>
    <w:p w:rsidR="00000000" w:rsidRDefault="008931E1">
      <w:pPr>
        <w:ind w:firstLine="360"/>
        <w:divId w:val="1155491982"/>
        <w:rPr>
          <w:rFonts w:eastAsia="Times New Roman"/>
        </w:rPr>
      </w:pPr>
      <w:r>
        <w:rPr>
          <w:rFonts w:eastAsia="Times New Roman"/>
          <w:color w:val="000000"/>
          <w:sz w:val="20"/>
          <w:szCs w:val="20"/>
        </w:rPr>
        <w:t>The foregoing discussion includes information r</w:t>
      </w:r>
      <w:r>
        <w:rPr>
          <w:rFonts w:eastAsia="Times New Roman"/>
          <w:color w:val="000000"/>
          <w:sz w:val="20"/>
          <w:szCs w:val="20"/>
        </w:rPr>
        <w:t>egarding ESG matters that we believe may be of interest to our stockholders generally. We recognize that certain other stakeholders (such as customers, employees and non-governmental organizations), as well as certain of our stockholders, may be interested</w:t>
      </w:r>
      <w:r>
        <w:rPr>
          <w:rFonts w:eastAsia="Times New Roman"/>
          <w:color w:val="000000"/>
          <w:sz w:val="20"/>
          <w:szCs w:val="20"/>
        </w:rPr>
        <w:t xml:space="preserve"> in more detailed information on these topics. We encourage you to review our most recent Qualcomm Corporate Responsibility Report (located on our website) for more detailed information regarding our Corporate Responsibility and ESG governance, goals, prio</w:t>
      </w:r>
      <w:r>
        <w:rPr>
          <w:rFonts w:eastAsia="Times New Roman"/>
          <w:color w:val="000000"/>
          <w:sz w:val="20"/>
          <w:szCs w:val="20"/>
        </w:rPr>
        <w:t>rities, accomplishments and initiatives, as well as the Corporate Governance section of our most recent Proxy Statement, and our Corporate Governance Principles and Practices (located on our website), for additional information regarding governance matters</w:t>
      </w:r>
      <w:r>
        <w:rPr>
          <w:rFonts w:eastAsia="Times New Roman"/>
          <w:color w:val="000000"/>
          <w:sz w:val="20"/>
          <w:szCs w:val="20"/>
        </w:rPr>
        <w:t xml:space="preserve">, including Board </w:t>
      </w:r>
    </w:p>
    <w:p w:rsidR="00000000" w:rsidRDefault="008931E1">
      <w:pPr>
        <w:jc w:val="center"/>
        <w:divId w:val="1002048772"/>
        <w:rPr>
          <w:rFonts w:eastAsia="Times New Roman"/>
        </w:rPr>
      </w:pPr>
      <w:r>
        <w:rPr>
          <w:rFonts w:eastAsia="Times New Roman"/>
          <w:color w:val="000000"/>
          <w:sz w:val="20"/>
          <w:szCs w:val="20"/>
        </w:rPr>
        <w:t>15</w:t>
      </w:r>
    </w:p>
    <w:p w:rsidR="00000000" w:rsidRDefault="008931E1">
      <w:pPr>
        <w:rPr>
          <w:rFonts w:eastAsia="Times New Roman"/>
        </w:rPr>
      </w:pPr>
      <w:r>
        <w:rPr>
          <w:rFonts w:eastAsia="Times New Roman"/>
        </w:rPr>
        <w:pict>
          <v:rect id="_x0000_i1038" style="width:0;height:1.5pt" o:hralign="center" o:hrstd="t" o:hr="t" fillcolor="#a0a0a0" stroked="f"/>
        </w:pict>
      </w:r>
    </w:p>
    <w:p w:rsidR="00000000" w:rsidRDefault="008931E1">
      <w:pPr>
        <w:divId w:val="742725372"/>
        <w:rPr>
          <w:rFonts w:eastAsia="Times New Roman"/>
        </w:rPr>
      </w:pPr>
    </w:p>
    <w:p w:rsidR="00000000" w:rsidRDefault="008931E1">
      <w:pPr>
        <w:divId w:val="925650041"/>
        <w:rPr>
          <w:rFonts w:eastAsia="Times New Roman"/>
        </w:rPr>
      </w:pPr>
      <w:r>
        <w:rPr>
          <w:rFonts w:eastAsia="Times New Roman"/>
          <w:color w:val="000000"/>
          <w:sz w:val="20"/>
          <w:szCs w:val="20"/>
        </w:rPr>
        <w:t>and Committee leadership, oversight, roles and responsibilities, and Director independence, tenure, refreshment and diversity. Nothing on our website, including the aforementioned reports and documents, or sections the</w:t>
      </w:r>
      <w:r>
        <w:rPr>
          <w:rFonts w:eastAsia="Times New Roman"/>
          <w:color w:val="000000"/>
          <w:sz w:val="20"/>
          <w:szCs w:val="20"/>
        </w:rPr>
        <w:t>reof, shall be deemed incorporated by reference into this Annual Report.</w:t>
      </w:r>
    </w:p>
    <w:p w:rsidR="00000000" w:rsidRDefault="008931E1">
      <w:pPr>
        <w:ind w:firstLine="360"/>
        <w:divId w:val="1776708917"/>
        <w:rPr>
          <w:rFonts w:eastAsia="Times New Roman"/>
        </w:rPr>
      </w:pPr>
      <w:r>
        <w:rPr>
          <w:rFonts w:eastAsia="Times New Roman"/>
          <w:b/>
          <w:bCs/>
          <w:color w:val="000000"/>
          <w:sz w:val="20"/>
          <w:szCs w:val="20"/>
        </w:rPr>
        <w:t>Human Capital</w:t>
      </w:r>
    </w:p>
    <w:p w:rsidR="00000000" w:rsidRDefault="008931E1">
      <w:pPr>
        <w:ind w:firstLine="360"/>
        <w:divId w:val="704714821"/>
        <w:rPr>
          <w:rFonts w:eastAsia="Times New Roman"/>
        </w:rPr>
      </w:pPr>
      <w:r>
        <w:rPr>
          <w:rFonts w:eastAsia="Times New Roman"/>
          <w:color w:val="000000"/>
          <w:sz w:val="20"/>
          <w:szCs w:val="20"/>
        </w:rPr>
        <w:t>In order to continue to produce innovative, breakthrough technologies, it is crucial that we continue to attract and retain top talent. To facilitate talent attraction a</w:t>
      </w:r>
      <w:r>
        <w:rPr>
          <w:rFonts w:eastAsia="Times New Roman"/>
          <w:color w:val="000000"/>
          <w:sz w:val="20"/>
          <w:szCs w:val="20"/>
        </w:rPr>
        <w:t xml:space="preserve">nd retention, we strive to make Qualcomm a diverse, inclusive, and safe workplace, with opportunities for our employees to grow and develop in their careers, supported by strong compensation, benefits, and health and wellness programs and by programs that </w:t>
      </w:r>
      <w:r>
        <w:rPr>
          <w:rFonts w:eastAsia="Times New Roman"/>
          <w:color w:val="000000"/>
          <w:sz w:val="20"/>
          <w:szCs w:val="20"/>
        </w:rPr>
        <w:t>build connections between our employees and their communities.</w:t>
      </w:r>
    </w:p>
    <w:p w:rsidR="00000000" w:rsidRDefault="008931E1">
      <w:pPr>
        <w:ind w:firstLine="360"/>
        <w:divId w:val="820585581"/>
        <w:rPr>
          <w:rFonts w:eastAsia="Times New Roman"/>
        </w:rPr>
      </w:pPr>
      <w:r>
        <w:rPr>
          <w:rFonts w:eastAsia="Times New Roman"/>
          <w:color w:val="000000"/>
          <w:sz w:val="20"/>
          <w:szCs w:val="20"/>
        </w:rPr>
        <w:t>At September 24, 2023, we had approximately 50,000 full-time, part-time and temporary workers, the overwhelming majority of which were full-time employees. Our employees are represented by more</w:t>
      </w:r>
      <w:r>
        <w:rPr>
          <w:rFonts w:eastAsia="Times New Roman"/>
          <w:color w:val="000000"/>
          <w:sz w:val="20"/>
          <w:szCs w:val="20"/>
        </w:rPr>
        <w:t xml:space="preserve"> than 100 (self-identified) nationalities working in over 150 locations in 36 different countries around the world. Collectively, we speak more than 90 different languages. Our global workforce is highly educated, with the substantial majority of our emplo</w:t>
      </w:r>
      <w:r>
        <w:rPr>
          <w:rFonts w:eastAsia="Times New Roman"/>
          <w:color w:val="000000"/>
          <w:sz w:val="20"/>
          <w:szCs w:val="20"/>
        </w:rPr>
        <w:t>yees working in engineering or technical roles. During fiscal 2023, our voluntary turnover rate was less than 5%. During the second half of fiscal 2023, in order to promote and facilitate the type of collaboration and innovation that is foundational to Qua</w:t>
      </w:r>
      <w:r>
        <w:rPr>
          <w:rFonts w:eastAsia="Times New Roman"/>
          <w:color w:val="000000"/>
          <w:sz w:val="20"/>
          <w:szCs w:val="20"/>
        </w:rPr>
        <w:t>lcomm, we adjusted our onsite work policy to require most of our employees to be in the office the majority of their working time.</w:t>
      </w:r>
    </w:p>
    <w:p w:rsidR="00000000" w:rsidRDefault="008931E1">
      <w:pPr>
        <w:ind w:firstLine="360"/>
        <w:divId w:val="1987011849"/>
        <w:rPr>
          <w:rFonts w:eastAsia="Times New Roman"/>
        </w:rPr>
      </w:pPr>
      <w:r>
        <w:rPr>
          <w:rFonts w:eastAsia="Times New Roman"/>
          <w:b/>
          <w:bCs/>
          <w:i/>
          <w:iCs/>
          <w:color w:val="000000"/>
          <w:sz w:val="20"/>
          <w:szCs w:val="20"/>
        </w:rPr>
        <w:t xml:space="preserve">Diversity, Equity and Inclusion. </w:t>
      </w:r>
      <w:r>
        <w:rPr>
          <w:rFonts w:eastAsia="Times New Roman"/>
          <w:color w:val="000000"/>
          <w:sz w:val="20"/>
          <w:szCs w:val="20"/>
        </w:rPr>
        <w:t>We believe that a diverse workforce is important to our success, and we continue to focus on</w:t>
      </w:r>
      <w:r>
        <w:rPr>
          <w:rFonts w:eastAsia="Times New Roman"/>
          <w:color w:val="000000"/>
          <w:sz w:val="20"/>
          <w:szCs w:val="20"/>
        </w:rPr>
        <w:t xml:space="preserve"> making Qualcomm a great place to work for women and underrepresented populations. Our recent efforts have been focused in three areas: inspiring innovation through an inclusive and diverse culture; expanding our efforts to recruit world-class diverse tale</w:t>
      </w:r>
      <w:r>
        <w:rPr>
          <w:rFonts w:eastAsia="Times New Roman"/>
          <w:color w:val="000000"/>
          <w:sz w:val="20"/>
          <w:szCs w:val="20"/>
        </w:rPr>
        <w:t xml:space="preserve">nt; and identifying strategic partners to accelerate our inclusion, equity and diversity programs. </w:t>
      </w:r>
    </w:p>
    <w:p w:rsidR="00000000" w:rsidRDefault="008931E1">
      <w:pPr>
        <w:ind w:firstLine="360"/>
        <w:divId w:val="993413466"/>
        <w:rPr>
          <w:rFonts w:eastAsia="Times New Roman"/>
        </w:rPr>
      </w:pPr>
      <w:r>
        <w:rPr>
          <w:rFonts w:eastAsia="Times New Roman"/>
          <w:color w:val="000000"/>
          <w:sz w:val="20"/>
          <w:szCs w:val="20"/>
        </w:rPr>
        <w:t>We have employee networks that enhance our inclusive and diverse culture, including global network groups focused on supporting women, LGBTQ+ employees and employees with disabilities, in addition to U.S.-based employee networks that focus on Black and Afr</w:t>
      </w:r>
      <w:r>
        <w:rPr>
          <w:rFonts w:eastAsia="Times New Roman"/>
          <w:color w:val="000000"/>
          <w:sz w:val="20"/>
          <w:szCs w:val="20"/>
        </w:rPr>
        <w:t>ican American employees, Hispanic and Latinx employees and U.S. military members and veterans. In 2023, we also added a new employee network to support Asian American and Pacific Islander employees.</w:t>
      </w:r>
    </w:p>
    <w:p w:rsidR="00000000" w:rsidRDefault="008931E1">
      <w:pPr>
        <w:ind w:firstLine="360"/>
        <w:divId w:val="707267445"/>
        <w:rPr>
          <w:rFonts w:eastAsia="Times New Roman"/>
        </w:rPr>
      </w:pPr>
      <w:r>
        <w:rPr>
          <w:rFonts w:eastAsia="Times New Roman"/>
          <w:color w:val="000000"/>
          <w:sz w:val="20"/>
          <w:szCs w:val="20"/>
        </w:rPr>
        <w:t>We continue to recruit technical talent in diverse commun</w:t>
      </w:r>
      <w:r>
        <w:rPr>
          <w:rFonts w:eastAsia="Times New Roman"/>
          <w:color w:val="000000"/>
          <w:sz w:val="20"/>
          <w:szCs w:val="20"/>
        </w:rPr>
        <w:t>ities, engaging as a high-level sponsor of professional conferences, such as the Society of Hispanic Professional Engineers National Convention and the National Society of Black Engineers National Convention. We also continue to recruit from a variety of c</w:t>
      </w:r>
      <w:r>
        <w:rPr>
          <w:rFonts w:eastAsia="Times New Roman"/>
          <w:color w:val="000000"/>
          <w:sz w:val="20"/>
          <w:szCs w:val="20"/>
        </w:rPr>
        <w:t xml:space="preserve">olleges with diverse student populations, including Hispanic-Serving Institutions and Historically Black Colleges and Universities. </w:t>
      </w:r>
    </w:p>
    <w:p w:rsidR="00000000" w:rsidRDefault="008931E1">
      <w:pPr>
        <w:ind w:firstLine="360"/>
        <w:divId w:val="494147138"/>
        <w:rPr>
          <w:rFonts w:eastAsia="Times New Roman"/>
        </w:rPr>
      </w:pPr>
      <w:r>
        <w:rPr>
          <w:rFonts w:eastAsia="Times New Roman"/>
          <w:color w:val="000000"/>
          <w:sz w:val="20"/>
          <w:szCs w:val="20"/>
        </w:rPr>
        <w:t>Our continued engagement with organizations that work with diverse communities has been vital to our efforts. We joined the</w:t>
      </w:r>
      <w:r>
        <w:rPr>
          <w:rFonts w:eastAsia="Times New Roman"/>
          <w:color w:val="000000"/>
          <w:sz w:val="20"/>
          <w:szCs w:val="20"/>
        </w:rPr>
        <w:t xml:space="preserve"> Global Catalyst Community that helps organizations build workplaces that work for women with thought leadership and actionable solutions to advance women into leadership. We are also endorsed as a great employer for women by Work180 and have been recogniz</w:t>
      </w:r>
      <w:r>
        <w:rPr>
          <w:rFonts w:eastAsia="Times New Roman"/>
          <w:color w:val="000000"/>
          <w:sz w:val="20"/>
          <w:szCs w:val="20"/>
        </w:rPr>
        <w:t>ed by Avtar and Seramount as a Best Company for Women in India. We, alongside other top technology companies, helped form the Reboot Representation Tech Coalition, which aims to double the number of Black, Latinx and Native American women receiving computi</w:t>
      </w:r>
      <w:r>
        <w:rPr>
          <w:rFonts w:eastAsia="Times New Roman"/>
          <w:color w:val="000000"/>
          <w:sz w:val="20"/>
          <w:szCs w:val="20"/>
        </w:rPr>
        <w:t xml:space="preserve">ng degrees by 2025. Through our collaboration with Disability:IN’s Inclusion Works program, we have increased our ability to address the needs of individuals with disabilities. </w:t>
      </w:r>
    </w:p>
    <w:p w:rsidR="00000000" w:rsidRDefault="008931E1">
      <w:pPr>
        <w:ind w:firstLine="360"/>
        <w:divId w:val="1801459449"/>
        <w:rPr>
          <w:rFonts w:eastAsia="Times New Roman"/>
        </w:rPr>
      </w:pPr>
      <w:r>
        <w:rPr>
          <w:rFonts w:eastAsia="Times New Roman"/>
          <w:color w:val="000000"/>
          <w:sz w:val="20"/>
          <w:szCs w:val="20"/>
        </w:rPr>
        <w:t>We publish our most recent Consolidated EEO-1 reports on our website to provid</w:t>
      </w:r>
      <w:r>
        <w:rPr>
          <w:rFonts w:eastAsia="Times New Roman"/>
          <w:color w:val="000000"/>
          <w:sz w:val="20"/>
          <w:szCs w:val="20"/>
        </w:rPr>
        <w:t xml:space="preserve">e additional transparency into our workforce. </w:t>
      </w:r>
    </w:p>
    <w:p w:rsidR="00000000" w:rsidRDefault="008931E1">
      <w:pPr>
        <w:ind w:firstLine="360"/>
        <w:divId w:val="1785611610"/>
        <w:rPr>
          <w:rFonts w:eastAsia="Times New Roman"/>
        </w:rPr>
      </w:pPr>
      <w:r>
        <w:rPr>
          <w:rFonts w:eastAsia="Times New Roman"/>
          <w:b/>
          <w:bCs/>
          <w:i/>
          <w:iCs/>
          <w:color w:val="000000"/>
          <w:sz w:val="20"/>
          <w:szCs w:val="20"/>
        </w:rPr>
        <w:t xml:space="preserve">Health, Safety and Wellness. </w:t>
      </w:r>
      <w:r>
        <w:rPr>
          <w:rFonts w:eastAsia="Times New Roman"/>
          <w:color w:val="000000"/>
          <w:sz w:val="20"/>
          <w:szCs w:val="20"/>
        </w:rPr>
        <w:t>The success of our business is fundamentally connected to the well-being of our people. Accordingly, we are committed to the health, safety and wellness of our employees. Through o</w:t>
      </w:r>
      <w:r>
        <w:rPr>
          <w:rFonts w:eastAsia="Times New Roman"/>
          <w:color w:val="000000"/>
          <w:sz w:val="20"/>
          <w:szCs w:val="20"/>
        </w:rPr>
        <w:t>ur Live+Well, Work+Well program, we provide our employees and their families with access to a variety of innovative, flexible and convenient health and wellness programs, including benefits that provide protection and security related to events that may re</w:t>
      </w:r>
      <w:r>
        <w:rPr>
          <w:rFonts w:eastAsia="Times New Roman"/>
          <w:color w:val="000000"/>
          <w:sz w:val="20"/>
          <w:szCs w:val="20"/>
        </w:rPr>
        <w:t>quire time away from work or that impact their financial well-being; that support their physical and mental health by providing tools and resources to help them improve or maintain their health status and encourage engagement in healthy behaviors; and that</w:t>
      </w:r>
      <w:r>
        <w:rPr>
          <w:rFonts w:eastAsia="Times New Roman"/>
          <w:color w:val="000000"/>
          <w:sz w:val="20"/>
          <w:szCs w:val="20"/>
        </w:rPr>
        <w:t xml:space="preserve"> offer choice where possible so they can customize their benefits to meet their needs and the needs of their families. </w:t>
      </w:r>
    </w:p>
    <w:p w:rsidR="00000000" w:rsidRDefault="008931E1">
      <w:pPr>
        <w:ind w:firstLine="360"/>
        <w:divId w:val="865753973"/>
        <w:rPr>
          <w:rFonts w:eastAsia="Times New Roman"/>
        </w:rPr>
      </w:pPr>
      <w:r>
        <w:rPr>
          <w:rFonts w:eastAsia="Times New Roman"/>
          <w:b/>
          <w:bCs/>
          <w:i/>
          <w:iCs/>
          <w:color w:val="000000"/>
          <w:sz w:val="20"/>
          <w:szCs w:val="20"/>
        </w:rPr>
        <w:t xml:space="preserve">Compensation and Benefits. </w:t>
      </w:r>
      <w:r>
        <w:rPr>
          <w:rFonts w:eastAsia="Times New Roman"/>
          <w:color w:val="000000"/>
          <w:sz w:val="20"/>
          <w:szCs w:val="20"/>
        </w:rPr>
        <w:t xml:space="preserve">We provide robust compensation and benefits programs to help meet the needs of our employees. In addition to </w:t>
      </w:r>
      <w:r>
        <w:rPr>
          <w:rFonts w:eastAsia="Times New Roman"/>
          <w:color w:val="000000"/>
          <w:sz w:val="20"/>
          <w:szCs w:val="20"/>
        </w:rPr>
        <w:t>salaries, these programs (which vary by country/region) include annual bonuses, stock awards, an employee stock purchase plan, a 401(k) plan, healthcare and insurance benefits, health savings and flexible spending accounts, paid time off, family leave, fam</w:t>
      </w:r>
      <w:r>
        <w:rPr>
          <w:rFonts w:eastAsia="Times New Roman"/>
          <w:color w:val="000000"/>
          <w:sz w:val="20"/>
          <w:szCs w:val="20"/>
        </w:rPr>
        <w:t>ily care resources, flexible work schedules, adoption and surrogacy assistance, employee assistance programs, tuition assistance, and on-site services such as health centers and fitness centers, among others. In addition to our broad-based equity award pro</w:t>
      </w:r>
      <w:r>
        <w:rPr>
          <w:rFonts w:eastAsia="Times New Roman"/>
          <w:color w:val="000000"/>
          <w:sz w:val="20"/>
          <w:szCs w:val="20"/>
        </w:rPr>
        <w:t>grams, we have used targeted equity awards with vesting conditions to facilitate retention of personnel, particularly those with critical engineering skills and experience.</w:t>
      </w:r>
    </w:p>
    <w:p w:rsidR="00000000" w:rsidRDefault="008931E1">
      <w:pPr>
        <w:ind w:firstLine="360"/>
        <w:divId w:val="936013049"/>
        <w:rPr>
          <w:rFonts w:eastAsia="Times New Roman"/>
        </w:rPr>
      </w:pPr>
      <w:r>
        <w:rPr>
          <w:rFonts w:eastAsia="Times New Roman"/>
          <w:b/>
          <w:bCs/>
          <w:i/>
          <w:iCs/>
          <w:color w:val="000000"/>
          <w:sz w:val="20"/>
          <w:szCs w:val="20"/>
        </w:rPr>
        <w:t xml:space="preserve">Talent Development. </w:t>
      </w:r>
      <w:r>
        <w:rPr>
          <w:rFonts w:eastAsia="Times New Roman"/>
          <w:color w:val="000000"/>
          <w:sz w:val="20"/>
          <w:szCs w:val="20"/>
        </w:rPr>
        <w:t>We invest significant resources to develop the talent needed to</w:t>
      </w:r>
      <w:r>
        <w:rPr>
          <w:rFonts w:eastAsia="Times New Roman"/>
          <w:color w:val="000000"/>
          <w:sz w:val="20"/>
          <w:szCs w:val="20"/>
        </w:rPr>
        <w:t xml:space="preserve"> remain a world-leading innovator in wireless technologies and high performance and low power computing, including AI. We deliver numerous training opportunities, provide rotational assignment opportunities, focus on continuous learning and development and</w:t>
      </w:r>
      <w:r>
        <w:rPr>
          <w:rFonts w:eastAsia="Times New Roman"/>
          <w:color w:val="000000"/>
          <w:sz w:val="20"/>
          <w:szCs w:val="20"/>
        </w:rPr>
        <w:t xml:space="preserve"> have implemented what we believe are industry-leading methodologies to manage performance, provide feedback and develop talent.</w:t>
      </w:r>
    </w:p>
    <w:p w:rsidR="00000000" w:rsidRDefault="008931E1">
      <w:pPr>
        <w:ind w:firstLine="360"/>
        <w:divId w:val="978150408"/>
        <w:rPr>
          <w:rFonts w:eastAsia="Times New Roman"/>
        </w:rPr>
      </w:pPr>
      <w:r>
        <w:rPr>
          <w:rFonts w:eastAsia="Times New Roman"/>
          <w:color w:val="000000"/>
          <w:sz w:val="20"/>
          <w:szCs w:val="20"/>
        </w:rPr>
        <w:t>Our talent development programs are designed to provide employees with the resources they need to help achieve their career goa</w:t>
      </w:r>
      <w:r>
        <w:rPr>
          <w:rFonts w:eastAsia="Times New Roman"/>
          <w:color w:val="000000"/>
          <w:sz w:val="20"/>
          <w:szCs w:val="20"/>
        </w:rPr>
        <w:t xml:space="preserve">ls, build management skills and lead their organizations. We provide a series of employee workshops around the globe that support professional growth and development. Additionally, our manager and employee forum programs provide </w:t>
      </w:r>
    </w:p>
    <w:p w:rsidR="00000000" w:rsidRDefault="008931E1">
      <w:pPr>
        <w:jc w:val="center"/>
        <w:divId w:val="617830865"/>
        <w:rPr>
          <w:rFonts w:eastAsia="Times New Roman"/>
        </w:rPr>
      </w:pPr>
      <w:r>
        <w:rPr>
          <w:rFonts w:eastAsia="Times New Roman"/>
          <w:color w:val="000000"/>
          <w:sz w:val="20"/>
          <w:szCs w:val="20"/>
        </w:rPr>
        <w:t>16</w:t>
      </w:r>
    </w:p>
    <w:p w:rsidR="00000000" w:rsidRDefault="008931E1">
      <w:pPr>
        <w:rPr>
          <w:rFonts w:eastAsia="Times New Roman"/>
        </w:rPr>
      </w:pPr>
      <w:r>
        <w:rPr>
          <w:rFonts w:eastAsia="Times New Roman"/>
        </w:rPr>
        <w:pict>
          <v:rect id="_x0000_i1039" style="width:0;height:1.5pt" o:hralign="center" o:hrstd="t" o:hr="t" fillcolor="#a0a0a0" stroked="f"/>
        </w:pict>
      </w:r>
    </w:p>
    <w:p w:rsidR="00000000" w:rsidRDefault="008931E1">
      <w:pPr>
        <w:divId w:val="903414349"/>
        <w:rPr>
          <w:rFonts w:eastAsia="Times New Roman"/>
        </w:rPr>
      </w:pPr>
    </w:p>
    <w:p w:rsidR="00000000" w:rsidRDefault="008931E1">
      <w:pPr>
        <w:divId w:val="1786000000"/>
        <w:rPr>
          <w:rFonts w:eastAsia="Times New Roman"/>
        </w:rPr>
      </w:pPr>
      <w:r>
        <w:rPr>
          <w:rFonts w:eastAsia="Times New Roman"/>
          <w:color w:val="000000"/>
          <w:sz w:val="20"/>
          <w:szCs w:val="20"/>
        </w:rPr>
        <w:t>an ongoing opportunity for employees to practice and apply learning around conversations aligned with our annual review process. We also have an employee development website that provides quick access to learning resources that are personal</w:t>
      </w:r>
      <w:r>
        <w:rPr>
          <w:rFonts w:eastAsia="Times New Roman"/>
          <w:color w:val="000000"/>
          <w:sz w:val="20"/>
          <w:szCs w:val="20"/>
        </w:rPr>
        <w:t>ized to the individual’s development needs.</w:t>
      </w:r>
    </w:p>
    <w:p w:rsidR="00000000" w:rsidRDefault="008931E1">
      <w:pPr>
        <w:ind w:firstLine="360"/>
        <w:divId w:val="1629625162"/>
        <w:rPr>
          <w:rFonts w:eastAsia="Times New Roman"/>
        </w:rPr>
      </w:pPr>
      <w:r>
        <w:rPr>
          <w:rFonts w:eastAsia="Times New Roman"/>
          <w:b/>
          <w:bCs/>
          <w:i/>
          <w:iCs/>
          <w:color w:val="000000"/>
          <w:sz w:val="20"/>
          <w:szCs w:val="20"/>
        </w:rPr>
        <w:t xml:space="preserve">Building Connections - With Each Other and our Communities. </w:t>
      </w:r>
      <w:r>
        <w:rPr>
          <w:rFonts w:eastAsia="Times New Roman"/>
          <w:color w:val="000000"/>
          <w:sz w:val="20"/>
          <w:szCs w:val="20"/>
        </w:rPr>
        <w:t>We believe that building connections between our employees, their families and our communities creates a more meaningful, fulfilling and enjoyable workp</w:t>
      </w:r>
      <w:r>
        <w:rPr>
          <w:rFonts w:eastAsia="Times New Roman"/>
          <w:color w:val="000000"/>
          <w:sz w:val="20"/>
          <w:szCs w:val="20"/>
        </w:rPr>
        <w:t>lace. Through our engagement programs, our employees can pursue their interests and hobbies, connect to volunteering and giving opportunities and enjoy unique recreational experiences with family members. Leveraging our partnerships with various local arts</w:t>
      </w:r>
      <w:r>
        <w:rPr>
          <w:rFonts w:eastAsia="Times New Roman"/>
          <w:color w:val="000000"/>
          <w:sz w:val="20"/>
          <w:szCs w:val="20"/>
        </w:rPr>
        <w:t xml:space="preserve"> and culture organizations, we have created numerous unique experiences for employees and their families around the world. </w:t>
      </w:r>
    </w:p>
    <w:p w:rsidR="00000000" w:rsidRDefault="008931E1">
      <w:pPr>
        <w:ind w:firstLine="360"/>
        <w:divId w:val="1842157692"/>
        <w:rPr>
          <w:rFonts w:eastAsia="Times New Roman"/>
        </w:rPr>
      </w:pPr>
      <w:r>
        <w:rPr>
          <w:rFonts w:eastAsia="Times New Roman"/>
          <w:color w:val="000000"/>
          <w:sz w:val="20"/>
          <w:szCs w:val="20"/>
        </w:rPr>
        <w:t>Since our employees are passionate about many causes, our corporate giving and volunteering programs support and encourage employees</w:t>
      </w:r>
      <w:r>
        <w:rPr>
          <w:rFonts w:eastAsia="Times New Roman"/>
          <w:color w:val="000000"/>
          <w:sz w:val="20"/>
          <w:szCs w:val="20"/>
        </w:rPr>
        <w:t xml:space="preserve"> by engaging with those causes. In our offices around the world, our employee-led Giving Committees select local organizations to support, often in the form of grants that are primarily funded by the Qualcomm Foundation (which was established in 2011 to su</w:t>
      </w:r>
      <w:r>
        <w:rPr>
          <w:rFonts w:eastAsia="Times New Roman"/>
          <w:color w:val="000000"/>
          <w:sz w:val="20"/>
          <w:szCs w:val="20"/>
        </w:rPr>
        <w:t>pport charitable giving and volunteerism). We also frequently collaborate with these organizations on volunteer activities for our employees. Additionally, during fiscal 2023, thousands of our employees around the world utilized our charitable match progra</w:t>
      </w:r>
      <w:r>
        <w:rPr>
          <w:rFonts w:eastAsia="Times New Roman"/>
          <w:color w:val="000000"/>
          <w:sz w:val="20"/>
          <w:szCs w:val="20"/>
        </w:rPr>
        <w:t>m, benefiting more than 1,500 charitable organizations.</w:t>
      </w:r>
    </w:p>
    <w:p w:rsidR="00000000" w:rsidRDefault="008931E1">
      <w:pPr>
        <w:ind w:firstLine="360"/>
        <w:divId w:val="1785075544"/>
        <w:rPr>
          <w:rFonts w:eastAsia="Times New Roman"/>
        </w:rPr>
      </w:pPr>
      <w:r>
        <w:rPr>
          <w:rFonts w:eastAsia="Times New Roman"/>
          <w:b/>
          <w:bCs/>
          <w:i/>
          <w:iCs/>
          <w:color w:val="000000"/>
          <w:sz w:val="20"/>
          <w:szCs w:val="20"/>
        </w:rPr>
        <w:t xml:space="preserve">Human Capital Advancements Linked to our Executive Compensation. </w:t>
      </w:r>
      <w:r>
        <w:rPr>
          <w:rFonts w:eastAsia="Times New Roman"/>
          <w:color w:val="000000"/>
          <w:sz w:val="20"/>
          <w:szCs w:val="20"/>
        </w:rPr>
        <w:t>The HR and Compensation Committee of our Board will consider human capital advancements in determining our executives’ fiscal 2023 bonu</w:t>
      </w:r>
      <w:r>
        <w:rPr>
          <w:rFonts w:eastAsia="Times New Roman"/>
          <w:color w:val="000000"/>
          <w:sz w:val="20"/>
          <w:szCs w:val="20"/>
        </w:rPr>
        <w:t xml:space="preserve">s. For fiscal 2023, progress towards human capital advancements serves as a non-financial performance modifier that can adjust the executives’ bonus payout by a multiple of 0.9 to 1.1. </w:t>
      </w:r>
    </w:p>
    <w:p w:rsidR="00000000" w:rsidRDefault="008931E1">
      <w:pPr>
        <w:ind w:firstLine="360"/>
        <w:divId w:val="500388714"/>
        <w:rPr>
          <w:rFonts w:eastAsia="Times New Roman"/>
        </w:rPr>
      </w:pPr>
      <w:r>
        <w:rPr>
          <w:rFonts w:eastAsia="Times New Roman"/>
          <w:color w:val="000000"/>
          <w:sz w:val="20"/>
          <w:szCs w:val="20"/>
        </w:rPr>
        <w:t xml:space="preserve">The foregoing discussion includes information regarding Human Capital </w:t>
      </w:r>
      <w:r>
        <w:rPr>
          <w:rFonts w:eastAsia="Times New Roman"/>
          <w:color w:val="000000"/>
          <w:sz w:val="20"/>
          <w:szCs w:val="20"/>
        </w:rPr>
        <w:t>matters that we believe may be of interest to stockholders generally. We recognize that certain other stakeholders (such as customers, employees and non-governmental organizations), as well as certain of our stockholders, may be interested in more detailed</w:t>
      </w:r>
      <w:r>
        <w:rPr>
          <w:rFonts w:eastAsia="Times New Roman"/>
          <w:color w:val="000000"/>
          <w:sz w:val="20"/>
          <w:szCs w:val="20"/>
        </w:rPr>
        <w:t xml:space="preserve"> information on these topics. We encourage you to review the “Workforce” section of our most recent Qualcomm Corporate Responsibility Report</w:t>
      </w:r>
      <w:r>
        <w:rPr>
          <w:rFonts w:eastAsia="Times New Roman"/>
          <w:i/>
          <w:iCs/>
          <w:color w:val="000000"/>
          <w:sz w:val="20"/>
          <w:szCs w:val="20"/>
        </w:rPr>
        <w:t xml:space="preserve"> </w:t>
      </w:r>
      <w:r>
        <w:rPr>
          <w:rFonts w:eastAsia="Times New Roman"/>
          <w:color w:val="000000"/>
          <w:sz w:val="20"/>
          <w:szCs w:val="20"/>
        </w:rPr>
        <w:t>(located on our website) for more detailed information regarding our Human Capital programs and initiatives. Nothin</w:t>
      </w:r>
      <w:r>
        <w:rPr>
          <w:rFonts w:eastAsia="Times New Roman"/>
          <w:color w:val="000000"/>
          <w:sz w:val="20"/>
          <w:szCs w:val="20"/>
        </w:rPr>
        <w:t>g on our website, including our Consolidated EEO-1 reports and our Qualcomm Corporate Responsibility Report or sections thereof, shall be deemed incorporated by reference into this Annual Report.</w:t>
      </w:r>
    </w:p>
    <w:p w:rsidR="00000000" w:rsidRDefault="008931E1">
      <w:pPr>
        <w:divId w:val="451943358"/>
        <w:rPr>
          <w:rFonts w:eastAsia="Times New Roman"/>
        </w:rPr>
      </w:pPr>
      <w:r>
        <w:rPr>
          <w:rFonts w:eastAsia="Times New Roman"/>
          <w:b/>
          <w:bCs/>
          <w:color w:val="000000"/>
          <w:sz w:val="20"/>
          <w:szCs w:val="20"/>
        </w:rPr>
        <w:t>Available Information</w:t>
      </w:r>
    </w:p>
    <w:p w:rsidR="00000000" w:rsidRDefault="008931E1">
      <w:pPr>
        <w:ind w:firstLine="360"/>
        <w:divId w:val="1779176448"/>
        <w:rPr>
          <w:rFonts w:eastAsia="Times New Roman"/>
        </w:rPr>
      </w:pPr>
      <w:r>
        <w:rPr>
          <w:rFonts w:eastAsia="Times New Roman"/>
          <w:color w:val="000000"/>
          <w:sz w:val="20"/>
          <w:szCs w:val="20"/>
        </w:rPr>
        <w:t>Our Internet address is www.qualcomm.c</w:t>
      </w:r>
      <w:r>
        <w:rPr>
          <w:rFonts w:eastAsia="Times New Roman"/>
          <w:color w:val="000000"/>
          <w:sz w:val="20"/>
          <w:szCs w:val="20"/>
        </w:rPr>
        <w:t>om. There we make available, free of charge, our annual reports on Form 10-K, quarterly reports on Form 10-Q, current reports on Form 8-K, proxy statements and any amendments to those reports (among others), as soon as reasonably practicable after we elect</w:t>
      </w:r>
      <w:r>
        <w:rPr>
          <w:rFonts w:eastAsia="Times New Roman"/>
          <w:color w:val="000000"/>
          <w:sz w:val="20"/>
          <w:szCs w:val="20"/>
        </w:rPr>
        <w:t>ronically file such material with, or furnish it to, the Securities and Exchange Commission (SEC). We also make available on our website public financial information for which a report is not required to be filed with or furnished to the SEC. Our SEC repor</w:t>
      </w:r>
      <w:r>
        <w:rPr>
          <w:rFonts w:eastAsia="Times New Roman"/>
          <w:color w:val="000000"/>
          <w:sz w:val="20"/>
          <w:szCs w:val="20"/>
        </w:rPr>
        <w:t>ts and such other information can be accessed through the investor relations section of our website (https://investor.qualcomm.com/). The information found on our website is not part of this or any other report we file with or furnish to the SEC.</w:t>
      </w:r>
    </w:p>
    <w:p w:rsidR="00000000" w:rsidRDefault="008931E1">
      <w:pPr>
        <w:divId w:val="1623682873"/>
        <w:rPr>
          <w:rFonts w:eastAsia="Times New Roman"/>
        </w:rPr>
      </w:pPr>
      <w:r>
        <w:rPr>
          <w:rFonts w:eastAsia="Times New Roman"/>
          <w:b/>
          <w:bCs/>
          <w:color w:val="000000"/>
          <w:sz w:val="20"/>
          <w:szCs w:val="20"/>
        </w:rPr>
        <w:t>Informati</w:t>
      </w:r>
      <w:r>
        <w:rPr>
          <w:rFonts w:eastAsia="Times New Roman"/>
          <w:b/>
          <w:bCs/>
          <w:color w:val="000000"/>
          <w:sz w:val="20"/>
          <w:szCs w:val="20"/>
        </w:rPr>
        <w:t>on about our Executive Officers</w:t>
      </w:r>
    </w:p>
    <w:p w:rsidR="00000000" w:rsidRDefault="008931E1">
      <w:pPr>
        <w:ind w:firstLine="360"/>
        <w:divId w:val="6369597"/>
        <w:rPr>
          <w:rFonts w:eastAsia="Times New Roman"/>
        </w:rPr>
      </w:pPr>
      <w:r>
        <w:rPr>
          <w:rFonts w:eastAsia="Times New Roman"/>
          <w:color w:val="000000"/>
          <w:sz w:val="20"/>
          <w:szCs w:val="20"/>
        </w:rPr>
        <w:t>Information about our executive officers (and their ages as of November 1, 2023) are as follows:</w:t>
      </w:r>
    </w:p>
    <w:p w:rsidR="00000000" w:rsidRDefault="008931E1">
      <w:pPr>
        <w:ind w:firstLine="360"/>
        <w:divId w:val="438912885"/>
        <w:rPr>
          <w:rFonts w:eastAsia="Times New Roman"/>
        </w:rPr>
      </w:pPr>
      <w:r>
        <w:rPr>
          <w:rFonts w:eastAsia="Times New Roman"/>
          <w:color w:val="000000"/>
          <w:sz w:val="20"/>
          <w:szCs w:val="20"/>
        </w:rPr>
        <w:t xml:space="preserve">Cristiano R. Amon, age 53, has served as President and Chief Executive Officer and as a member of the Board of Directors since </w:t>
      </w:r>
      <w:r>
        <w:rPr>
          <w:rFonts w:eastAsia="Times New Roman"/>
          <w:color w:val="000000"/>
          <w:sz w:val="20"/>
          <w:szCs w:val="20"/>
        </w:rPr>
        <w:t>June 2021. Mr. Amon served as President and Chief Executive Officer-elect from January 2021 to June 2021 and President from January 2018 to January 2021. He served as Executive Vice President, Qualcomm Technologies, Inc. (QTI), a subsidiary of Qualcomm Inc</w:t>
      </w:r>
      <w:r>
        <w:rPr>
          <w:rFonts w:eastAsia="Times New Roman"/>
          <w:color w:val="000000"/>
          <w:sz w:val="20"/>
          <w:szCs w:val="20"/>
        </w:rPr>
        <w:t>orporated, and President, QCT, from November 2015 to January 2018. He served as Executive Vice President, QTI and Co-President, QCT from October 2012 to November 2015, Senior Vice President and Co-President, QCT from June 2012 to October 2012 and as Senior</w:t>
      </w:r>
      <w:r>
        <w:rPr>
          <w:rFonts w:eastAsia="Times New Roman"/>
          <w:color w:val="000000"/>
          <w:sz w:val="20"/>
          <w:szCs w:val="20"/>
        </w:rPr>
        <w:t xml:space="preserve"> Vice President, QCT Product Management from October 2007 to June 2012, with responsibility for our product roadmap, including the Snapdragon platforms. Mr. Amon joined Qualcomm in 1995 as an engineer and throughout his tenure at Qualcomm has held several </w:t>
      </w:r>
      <w:r>
        <w:rPr>
          <w:rFonts w:eastAsia="Times New Roman"/>
          <w:color w:val="000000"/>
          <w:sz w:val="20"/>
          <w:szCs w:val="20"/>
        </w:rPr>
        <w:t>other technical and leadership positions. Mr. Amon has been a member of the board of directors of Adobe Inc. since October 2023. Mr. Amon holds a B.S. in Electrical Engineering and an honorary doctorate from UNICAMP, the State University of Campinas, Brazi</w:t>
      </w:r>
      <w:r>
        <w:rPr>
          <w:rFonts w:eastAsia="Times New Roman"/>
          <w:color w:val="000000"/>
          <w:sz w:val="20"/>
          <w:szCs w:val="20"/>
        </w:rPr>
        <w:t>l.</w:t>
      </w:r>
    </w:p>
    <w:p w:rsidR="00000000" w:rsidRDefault="008931E1">
      <w:pPr>
        <w:ind w:firstLine="360"/>
        <w:divId w:val="1884946523"/>
        <w:rPr>
          <w:rFonts w:eastAsia="Times New Roman"/>
        </w:rPr>
      </w:pPr>
      <w:r>
        <w:rPr>
          <w:rFonts w:eastAsia="Times New Roman"/>
          <w:color w:val="000000"/>
          <w:sz w:val="20"/>
          <w:szCs w:val="20"/>
        </w:rPr>
        <w:t xml:space="preserve">Heather Ace, age 53, has served as Chief Human Resources Officer since March 2020. Prior to joining Qualcomm, Ms. Ace was Senior Vice President, Human Resources at DexCom, Inc., a provider of continuous glucose monitoring, from July 2016 to March 2020. </w:t>
      </w:r>
      <w:r>
        <w:rPr>
          <w:rFonts w:eastAsia="Times New Roman"/>
          <w:color w:val="000000"/>
          <w:sz w:val="20"/>
          <w:szCs w:val="20"/>
        </w:rPr>
        <w:t>Prior to DexCom, she was Executive Vice President, Human Resources at Orexigen Therapeutics, Inc., a developer of treatments for obesity, from January 2016 to July 2016. Ms. Ace was Integration Leader for Royal Philips, leading the cross-functional integra</w:t>
      </w:r>
      <w:r>
        <w:rPr>
          <w:rFonts w:eastAsia="Times New Roman"/>
          <w:color w:val="000000"/>
          <w:sz w:val="20"/>
          <w:szCs w:val="20"/>
        </w:rPr>
        <w:t xml:space="preserve">tion of Philips Healthcare’s acquisition of Volcano Corporation, from January 2015 to January 2016. She was Executive Vice President, Human Resources at Volcano Corporation from May 2012 to January 2015. Prior to May 2012, Ms. Ace served in various senior </w:t>
      </w:r>
      <w:r>
        <w:rPr>
          <w:rFonts w:eastAsia="Times New Roman"/>
          <w:color w:val="000000"/>
          <w:sz w:val="20"/>
          <w:szCs w:val="20"/>
        </w:rPr>
        <w:t>executive roles in human resources, post-acquisition/merger integration and employment law at Life Technologies Corporation. She began her career at Gray, Cary, Ware &amp; Freidenrich (now DLA Piper) as a litigation and transactional employment attorney, speci</w:t>
      </w:r>
      <w:r>
        <w:rPr>
          <w:rFonts w:eastAsia="Times New Roman"/>
          <w:color w:val="000000"/>
          <w:sz w:val="20"/>
          <w:szCs w:val="20"/>
        </w:rPr>
        <w:t>alizing in mergers and acquisitions. Ms. Ace holds a B.A. in Law &amp; Society from the University of California, Santa Barbara and a J.D. from Santa Clara School of Law.</w:t>
      </w:r>
    </w:p>
    <w:p w:rsidR="00000000" w:rsidRDefault="008931E1">
      <w:pPr>
        <w:ind w:firstLine="360"/>
        <w:divId w:val="870262759"/>
        <w:rPr>
          <w:rFonts w:eastAsia="Times New Roman"/>
        </w:rPr>
      </w:pPr>
      <w:r>
        <w:rPr>
          <w:rFonts w:eastAsia="Times New Roman"/>
          <w:color w:val="000000"/>
          <w:sz w:val="20"/>
          <w:szCs w:val="20"/>
        </w:rPr>
        <w:t>James J. Cathey, age 59, has served as Chief Commercial Officer, QTI since April 2022. Mr</w:t>
      </w:r>
      <w:r>
        <w:rPr>
          <w:rFonts w:eastAsia="Times New Roman"/>
          <w:color w:val="000000"/>
          <w:sz w:val="20"/>
          <w:szCs w:val="20"/>
        </w:rPr>
        <w:t xml:space="preserve">. Cathey served as Senior Vice President, Global Business Operations, QTI from December 2018 to April 2022, Senior Vice President, QTI and </w:t>
      </w:r>
    </w:p>
    <w:p w:rsidR="00000000" w:rsidRDefault="008931E1">
      <w:pPr>
        <w:jc w:val="center"/>
        <w:divId w:val="1348365275"/>
        <w:rPr>
          <w:rFonts w:eastAsia="Times New Roman"/>
        </w:rPr>
      </w:pPr>
      <w:r>
        <w:rPr>
          <w:rFonts w:eastAsia="Times New Roman"/>
          <w:color w:val="000000"/>
          <w:sz w:val="20"/>
          <w:szCs w:val="20"/>
        </w:rPr>
        <w:t>17</w:t>
      </w:r>
    </w:p>
    <w:p w:rsidR="00000000" w:rsidRDefault="008931E1">
      <w:pPr>
        <w:rPr>
          <w:rFonts w:eastAsia="Times New Roman"/>
        </w:rPr>
      </w:pPr>
      <w:r>
        <w:rPr>
          <w:rFonts w:eastAsia="Times New Roman"/>
        </w:rPr>
        <w:pict>
          <v:rect id="_x0000_i1040" style="width:0;height:1.5pt" o:hralign="center" o:hrstd="t" o:hr="t" fillcolor="#a0a0a0" stroked="f"/>
        </w:pict>
      </w:r>
    </w:p>
    <w:p w:rsidR="00000000" w:rsidRDefault="008931E1">
      <w:pPr>
        <w:divId w:val="1365784918"/>
        <w:rPr>
          <w:rFonts w:eastAsia="Times New Roman"/>
        </w:rPr>
      </w:pPr>
    </w:p>
    <w:p w:rsidR="00000000" w:rsidRDefault="008931E1">
      <w:pPr>
        <w:divId w:val="677267000"/>
        <w:rPr>
          <w:rFonts w:eastAsia="Times New Roman"/>
        </w:rPr>
      </w:pPr>
      <w:r>
        <w:rPr>
          <w:rFonts w:eastAsia="Times New Roman"/>
          <w:color w:val="000000"/>
          <w:sz w:val="20"/>
          <w:szCs w:val="20"/>
        </w:rPr>
        <w:t>President, APAC and India from May 2016 to December 2018, Vice President, QTI and President, APAC and India from December 2015 to May 2016 and Vice President, QTI and President, Qualcomm Japan from December 2014 to December 2015. He served in various other</w:t>
      </w:r>
      <w:r>
        <w:rPr>
          <w:rFonts w:eastAsia="Times New Roman"/>
          <w:color w:val="000000"/>
          <w:sz w:val="20"/>
          <w:szCs w:val="20"/>
        </w:rPr>
        <w:t xml:space="preserve"> operational and leadership roles since joining Qualcomm in September 2006. Prior to joining Qualcomm, he was an executive at Micron Technology, Inc., MicroDisplay Corp. and PixTech Inc. Mr. Cathey holds a B.B.A. from Boise State University.</w:t>
      </w:r>
    </w:p>
    <w:p w:rsidR="00000000" w:rsidRDefault="008931E1">
      <w:pPr>
        <w:ind w:firstLine="360"/>
        <w:divId w:val="1855919940"/>
        <w:rPr>
          <w:rFonts w:eastAsia="Times New Roman"/>
        </w:rPr>
      </w:pPr>
      <w:r>
        <w:rPr>
          <w:rFonts w:eastAsia="Times New Roman"/>
          <w:color w:val="000000"/>
          <w:sz w:val="20"/>
          <w:szCs w:val="20"/>
        </w:rPr>
        <w:t>Ann Chaplin, a</w:t>
      </w:r>
      <w:r>
        <w:rPr>
          <w:rFonts w:eastAsia="Times New Roman"/>
          <w:color w:val="000000"/>
          <w:sz w:val="20"/>
          <w:szCs w:val="20"/>
        </w:rPr>
        <w:t>ge 50, has served as General Counsel and Corporate Secretary since November 2021. Prior to joining Qualcomm, Ms. Chaplin served at General Motors Company as Corporate Secretary and Deputy General Counsel, U.S., Transformation Initiatives and Corporate Secu</w:t>
      </w:r>
      <w:r>
        <w:rPr>
          <w:rFonts w:eastAsia="Times New Roman"/>
          <w:color w:val="000000"/>
          <w:sz w:val="20"/>
          <w:szCs w:val="20"/>
        </w:rPr>
        <w:t>rities from February 2021 to November 2021, Deputy General Counsel and Chief Compliance Officer, North America, Transformation Projects and Compliance from April 2019 to February 2021, Deputy General Counsel, Commercial, Transportation as a Service, Litiga</w:t>
      </w:r>
      <w:r>
        <w:rPr>
          <w:rFonts w:eastAsia="Times New Roman"/>
          <w:color w:val="000000"/>
          <w:sz w:val="20"/>
          <w:szCs w:val="20"/>
        </w:rPr>
        <w:t>tion and Regulation from January 2018 to April 2019, Deputy General Counsel, Intellectual Property, Regulation and Litigation from June 2017 to January 2018 and Deputy General Counsel, Litigation from December 2015 to June 2017. Prior to General Motors, Ms</w:t>
      </w:r>
      <w:r>
        <w:rPr>
          <w:rFonts w:eastAsia="Times New Roman"/>
          <w:color w:val="000000"/>
          <w:sz w:val="20"/>
          <w:szCs w:val="20"/>
        </w:rPr>
        <w:t xml:space="preserve">. Chaplin was an attorney at Fish &amp; Richardson P.C. from February 2001 to December 2015, last holding the position of Litigation Practice Group Leader/Litigation Equity Principal. She began her career as an intellectual property litigation attorney at the </w:t>
      </w:r>
      <w:r>
        <w:rPr>
          <w:rFonts w:eastAsia="Times New Roman"/>
          <w:color w:val="000000"/>
          <w:sz w:val="20"/>
          <w:szCs w:val="20"/>
        </w:rPr>
        <w:t xml:space="preserve">law firm of Robins, Kaplan, Miller &amp; Ciresi LLP. Ms. Chaplin holds a B.A in Sociology of Law from the University of Minnesota and a J.D. from Harvard Law School. </w:t>
      </w:r>
    </w:p>
    <w:p w:rsidR="00000000" w:rsidRDefault="008931E1">
      <w:pPr>
        <w:ind w:firstLine="360"/>
        <w:divId w:val="331880425"/>
        <w:rPr>
          <w:rFonts w:eastAsia="Times New Roman"/>
        </w:rPr>
      </w:pPr>
      <w:r>
        <w:rPr>
          <w:rFonts w:eastAsia="Times New Roman"/>
          <w:color w:val="000000"/>
          <w:sz w:val="20"/>
          <w:szCs w:val="20"/>
        </w:rPr>
        <w:t xml:space="preserve">Akash Palkhiwala, age 48, has served as Chief Financial Officer since November 2019. Mr. Palkhiwala served as Senior Vice President and Interim Chief Financial Officer from August 2019 to November 2019. He served as Senior Vice President, QCT Finance, QTI </w:t>
      </w:r>
      <w:r>
        <w:rPr>
          <w:rFonts w:eastAsia="Times New Roman"/>
          <w:color w:val="000000"/>
          <w:sz w:val="20"/>
          <w:szCs w:val="20"/>
        </w:rPr>
        <w:t>from December 2015 to August 2019 and Senior Vice President and Treasurer from October 2014 to December 2015. Mr. Palkhiwala served in various other finance and leadership roles since joining Qualcomm in March 2001. Prior to joining Qualcomm, he was an Ana</w:t>
      </w:r>
      <w:r>
        <w:rPr>
          <w:rFonts w:eastAsia="Times New Roman"/>
          <w:color w:val="000000"/>
          <w:sz w:val="20"/>
          <w:szCs w:val="20"/>
        </w:rPr>
        <w:t>lyst at KeyBank. Mr. Palkhiwala holds an undergraduate degree in Mechanical Engineering from L.D. College of Engineering in India and an M.B.A from the University of Maryland.</w:t>
      </w:r>
    </w:p>
    <w:p w:rsidR="00000000" w:rsidRDefault="008931E1">
      <w:pPr>
        <w:ind w:firstLine="360"/>
        <w:divId w:val="1112745063"/>
        <w:rPr>
          <w:rFonts w:eastAsia="Times New Roman"/>
        </w:rPr>
      </w:pPr>
      <w:r>
        <w:rPr>
          <w:rFonts w:eastAsia="Times New Roman"/>
          <w:color w:val="000000"/>
          <w:sz w:val="20"/>
          <w:szCs w:val="20"/>
        </w:rPr>
        <w:t>Alexander H. Rogers, age 66, has served as President, QTL and Global Affairs sin</w:t>
      </w:r>
      <w:r>
        <w:rPr>
          <w:rFonts w:eastAsia="Times New Roman"/>
          <w:color w:val="000000"/>
          <w:sz w:val="20"/>
          <w:szCs w:val="20"/>
        </w:rPr>
        <w:t>ce June 2021. Mr. Rogers served as President, QTL from October 2016 to June 2021, Senior Vice President and President, QTL from September 2016 to October 2016, Senior Vice President, Deputy General Counsel and General Manager, QTL from March 2016 to Septem</w:t>
      </w:r>
      <w:r>
        <w:rPr>
          <w:rFonts w:eastAsia="Times New Roman"/>
          <w:color w:val="000000"/>
          <w:sz w:val="20"/>
          <w:szCs w:val="20"/>
        </w:rPr>
        <w:t xml:space="preserve">ber 2016, Senior Vice President and Deputy General Counsel from October 2015 to March 2016 and Senior Vice President and Legal Counsel from April 2007 to October 2015. Prior to QTL, he led Qualcomm’s litigation group. Mr. Rogers joined Qualcomm in January </w:t>
      </w:r>
      <w:r>
        <w:rPr>
          <w:rFonts w:eastAsia="Times New Roman"/>
          <w:color w:val="000000"/>
          <w:sz w:val="20"/>
          <w:szCs w:val="20"/>
        </w:rPr>
        <w:t>2001 as an attorney. Prior to joining Qualcomm, he was a partner at the law firm of Gray, Cary, Ware &amp; Freidenrich (now DLA Piper), specializing in intellectual property and commercial litigation. Mr. Rogers holds a B.A. and an M.A. in English Literature f</w:t>
      </w:r>
      <w:r>
        <w:rPr>
          <w:rFonts w:eastAsia="Times New Roman"/>
          <w:color w:val="000000"/>
          <w:sz w:val="20"/>
          <w:szCs w:val="20"/>
        </w:rPr>
        <w:t>rom Georgetown University and a J.D. from Georgetown University Law Center.</w:t>
      </w:r>
    </w:p>
    <w:p w:rsidR="00000000" w:rsidRDefault="008931E1">
      <w:pPr>
        <w:ind w:firstLine="360"/>
        <w:divId w:val="75399034"/>
        <w:rPr>
          <w:rFonts w:eastAsia="Times New Roman"/>
        </w:rPr>
      </w:pPr>
      <w:r>
        <w:rPr>
          <w:rFonts w:eastAsia="Times New Roman"/>
          <w:color w:val="000000"/>
          <w:sz w:val="20"/>
          <w:szCs w:val="20"/>
        </w:rPr>
        <w:t>James H. Thompson, age 59, has served as Chief Technology Officer, QTI since March 2017. Dr. Thompson served as Executive Vice President, Engineering, QTI from October 2012 to Marc</w:t>
      </w:r>
      <w:r>
        <w:rPr>
          <w:rFonts w:eastAsia="Times New Roman"/>
          <w:color w:val="000000"/>
          <w:sz w:val="20"/>
          <w:szCs w:val="20"/>
        </w:rPr>
        <w:t>h 2017 and Senior Vice President, Engineering from July 1998 to October 2012. He joined Qualcomm in 1992 as a senior engineer and throughout his tenure at Qualcomm has held several other technical and leadership positions. Dr. Thompson holds a B.S., an M.S</w:t>
      </w:r>
      <w:r>
        <w:rPr>
          <w:rFonts w:eastAsia="Times New Roman"/>
          <w:color w:val="000000"/>
          <w:sz w:val="20"/>
          <w:szCs w:val="20"/>
        </w:rPr>
        <w:t>. and a Ph.D. in Electrical Engineering from the University of Wisconsin.</w:t>
      </w:r>
    </w:p>
    <w:p w:rsidR="00000000" w:rsidRDefault="008931E1">
      <w:pPr>
        <w:divId w:val="153566755"/>
        <w:rPr>
          <w:rFonts w:eastAsia="Times New Roman"/>
        </w:rPr>
      </w:pPr>
      <w:r>
        <w:rPr>
          <w:rFonts w:eastAsia="Times New Roman"/>
          <w:b/>
          <w:bCs/>
          <w:color w:val="000000"/>
          <w:sz w:val="20"/>
          <w:szCs w:val="20"/>
        </w:rPr>
        <w:t>Item 1A. Risk Factors</w:t>
      </w:r>
    </w:p>
    <w:p w:rsidR="00000000" w:rsidRDefault="008931E1">
      <w:pPr>
        <w:ind w:firstLine="360"/>
        <w:divId w:val="1888642208"/>
        <w:rPr>
          <w:rFonts w:eastAsia="Times New Roman"/>
        </w:rPr>
      </w:pPr>
      <w:r>
        <w:rPr>
          <w:rFonts w:eastAsia="Times New Roman"/>
          <w:color w:val="000000"/>
          <w:sz w:val="20"/>
          <w:szCs w:val="20"/>
        </w:rPr>
        <w:t>You should consider each of the following factors in evaluating our business and our prospects, any of which could negatively impact our business, results of op</w:t>
      </w:r>
      <w:r>
        <w:rPr>
          <w:rFonts w:eastAsia="Times New Roman"/>
          <w:color w:val="000000"/>
          <w:sz w:val="20"/>
          <w:szCs w:val="20"/>
        </w:rPr>
        <w:t>erations, cash flows and financial condition, and require significant management time and attention. Further, the risks and uncertainties described below are not the only ones we face. Additional risks and uncertainties not presently known to us or that we</w:t>
      </w:r>
      <w:r>
        <w:rPr>
          <w:rFonts w:eastAsia="Times New Roman"/>
          <w:color w:val="000000"/>
          <w:sz w:val="20"/>
          <w:szCs w:val="20"/>
        </w:rPr>
        <w:t xml:space="preserve"> currently consider immaterial may also negatively impact our business, results of operations, cash flows and financial condition, and require significant management time and attention. In such cases, the trading price of our common stock could decline. Yo</w:t>
      </w:r>
      <w:r>
        <w:rPr>
          <w:rFonts w:eastAsia="Times New Roman"/>
          <w:color w:val="000000"/>
          <w:sz w:val="20"/>
          <w:szCs w:val="20"/>
        </w:rPr>
        <w:t>u should also consider the other information set forth in this Annual Report in evaluating our business and our prospects, including but not limited to our financial statements and the related notes, and “Part II, Item 7. Management’s Discussion and Analys</w:t>
      </w:r>
      <w:r>
        <w:rPr>
          <w:rFonts w:eastAsia="Times New Roman"/>
          <w:color w:val="000000"/>
          <w:sz w:val="20"/>
          <w:szCs w:val="20"/>
        </w:rPr>
        <w:t xml:space="preserve">is of Financial Condition and Results of Operations.” References to “and,” “or” and “and/or” should be read to include the others, as appropriate. </w:t>
      </w:r>
    </w:p>
    <w:p w:rsidR="00000000" w:rsidRDefault="008931E1">
      <w:pPr>
        <w:divId w:val="1740327239"/>
        <w:rPr>
          <w:rFonts w:eastAsia="Times New Roman"/>
        </w:rPr>
      </w:pPr>
      <w:r>
        <w:rPr>
          <w:rFonts w:eastAsia="Times New Roman"/>
          <w:b/>
          <w:bCs/>
          <w:color w:val="000000"/>
          <w:sz w:val="20"/>
          <w:szCs w:val="20"/>
        </w:rPr>
        <w:t>RISKS RELATED TO OUR OPERATING BUSINESSES</w:t>
      </w:r>
    </w:p>
    <w:p w:rsidR="00000000" w:rsidRDefault="008931E1">
      <w:pPr>
        <w:divId w:val="1282031691"/>
        <w:rPr>
          <w:rFonts w:eastAsia="Times New Roman"/>
        </w:rPr>
      </w:pPr>
      <w:r>
        <w:rPr>
          <w:rFonts w:eastAsia="Times New Roman"/>
          <w:b/>
          <w:bCs/>
          <w:i/>
          <w:iCs/>
          <w:color w:val="000000"/>
          <w:sz w:val="20"/>
          <w:szCs w:val="20"/>
        </w:rPr>
        <w:t>We derive a significant portion of our revenues from a small numbe</w:t>
      </w:r>
      <w:r>
        <w:rPr>
          <w:rFonts w:eastAsia="Times New Roman"/>
          <w:b/>
          <w:bCs/>
          <w:i/>
          <w:iCs/>
          <w:color w:val="000000"/>
          <w:sz w:val="20"/>
          <w:szCs w:val="20"/>
        </w:rPr>
        <w:t>r of customers and licensees, and particularly from their sale of premium tier handset devices. If revenues derived from these customers or licensees decrease or the timing of such revenues fluctuates, our business and results of operations could be negati</w:t>
      </w:r>
      <w:r>
        <w:rPr>
          <w:rFonts w:eastAsia="Times New Roman"/>
          <w:b/>
          <w:bCs/>
          <w:i/>
          <w:iCs/>
          <w:color w:val="000000"/>
          <w:sz w:val="20"/>
          <w:szCs w:val="20"/>
        </w:rPr>
        <w:t>vely affected.</w:t>
      </w:r>
    </w:p>
    <w:p w:rsidR="00000000" w:rsidRDefault="008931E1">
      <w:pPr>
        <w:ind w:firstLine="360"/>
        <w:divId w:val="109323982"/>
        <w:rPr>
          <w:rFonts w:eastAsia="Times New Roman"/>
        </w:rPr>
      </w:pPr>
      <w:r>
        <w:rPr>
          <w:rFonts w:eastAsia="Times New Roman"/>
          <w:color w:val="000000"/>
          <w:sz w:val="20"/>
          <w:szCs w:val="20"/>
        </w:rPr>
        <w:t>We derive a significant portion of our revenues from a small number of customers and licensees, and particularly from their sale of premium tier handset devices, and we expect this trend to continue in the foreseeable future. The mobile indu</w:t>
      </w:r>
      <w:r>
        <w:rPr>
          <w:rFonts w:eastAsia="Times New Roman"/>
          <w:color w:val="000000"/>
          <w:sz w:val="20"/>
          <w:szCs w:val="20"/>
        </w:rPr>
        <w:t>stry is experiencing and may continue to experience concentration of device share among a few companies, particularly at the premium tier, contributing to this trend. Certain Chinese OEMs have increased and may continue to increase their device share in Ch</w:t>
      </w:r>
      <w:r>
        <w:rPr>
          <w:rFonts w:eastAsia="Times New Roman"/>
          <w:color w:val="000000"/>
          <w:sz w:val="20"/>
          <w:szCs w:val="20"/>
        </w:rPr>
        <w:t>ina and in certain regions outside of China, and we derive a significant portion of our revenues from a small number of these OEMs as well. See also “Notes to Consolidated Financial Statements, Note 2. Composition of Certain Financial Statement Items - Con</w:t>
      </w:r>
      <w:r>
        <w:rPr>
          <w:rFonts w:eastAsia="Times New Roman"/>
          <w:color w:val="000000"/>
          <w:sz w:val="20"/>
          <w:szCs w:val="20"/>
        </w:rPr>
        <w:t xml:space="preserve">centrations.” </w:t>
      </w:r>
    </w:p>
    <w:p w:rsidR="00000000" w:rsidRDefault="008931E1">
      <w:pPr>
        <w:ind w:firstLine="360"/>
        <w:divId w:val="956764517"/>
        <w:rPr>
          <w:rFonts w:eastAsia="Times New Roman"/>
        </w:rPr>
      </w:pPr>
      <w:r>
        <w:rPr>
          <w:rFonts w:eastAsia="Times New Roman"/>
          <w:color w:val="000000"/>
          <w:sz w:val="20"/>
          <w:szCs w:val="20"/>
        </w:rPr>
        <w:t xml:space="preserve">In addition, a number of our largest customers have developed, are developing or may develop their own integrated circuit products, or may choose our competitors’ integrated circuit products, which they have in the past utilized, currently </w:t>
      </w:r>
    </w:p>
    <w:p w:rsidR="00000000" w:rsidRDefault="008931E1">
      <w:pPr>
        <w:jc w:val="center"/>
        <w:divId w:val="1741557440"/>
        <w:rPr>
          <w:rFonts w:eastAsia="Times New Roman"/>
        </w:rPr>
      </w:pPr>
      <w:r>
        <w:rPr>
          <w:rFonts w:eastAsia="Times New Roman"/>
          <w:color w:val="000000"/>
          <w:sz w:val="20"/>
          <w:szCs w:val="20"/>
        </w:rPr>
        <w:t>18</w:t>
      </w:r>
    </w:p>
    <w:p w:rsidR="00000000" w:rsidRDefault="008931E1">
      <w:pPr>
        <w:rPr>
          <w:rFonts w:eastAsia="Times New Roman"/>
        </w:rPr>
      </w:pPr>
      <w:r>
        <w:rPr>
          <w:rFonts w:eastAsia="Times New Roman"/>
        </w:rPr>
        <w:pict>
          <v:rect id="_x0000_i1041" style="width:0;height:1.5pt" o:hralign="center" o:hrstd="t" o:hr="t" fillcolor="#a0a0a0" stroked="f"/>
        </w:pict>
      </w:r>
    </w:p>
    <w:p w:rsidR="00000000" w:rsidRDefault="008931E1">
      <w:pPr>
        <w:divId w:val="1932008712"/>
        <w:rPr>
          <w:rFonts w:eastAsia="Times New Roman"/>
        </w:rPr>
      </w:pPr>
    </w:p>
    <w:p w:rsidR="00000000" w:rsidRDefault="008931E1">
      <w:pPr>
        <w:divId w:val="2087219427"/>
        <w:rPr>
          <w:rFonts w:eastAsia="Times New Roman"/>
        </w:rPr>
      </w:pPr>
      <w:r>
        <w:rPr>
          <w:rFonts w:eastAsia="Times New Roman"/>
          <w:color w:val="000000"/>
          <w:sz w:val="20"/>
          <w:szCs w:val="20"/>
        </w:rPr>
        <w:t>utilize and may in the future utilize in some or all of their devices, rather than our products, which could significantly reduce the revenues we derive from these customers. See also the Risk Factor titled “</w:t>
      </w:r>
      <w:r>
        <w:rPr>
          <w:rFonts w:eastAsia="Times New Roman"/>
          <w:i/>
          <w:iCs/>
          <w:color w:val="000000"/>
          <w:sz w:val="20"/>
          <w:szCs w:val="20"/>
        </w:rPr>
        <w:t>Our bu</w:t>
      </w:r>
      <w:r>
        <w:rPr>
          <w:rFonts w:eastAsia="Times New Roman"/>
          <w:i/>
          <w:iCs/>
          <w:color w:val="000000"/>
          <w:sz w:val="20"/>
          <w:szCs w:val="20"/>
        </w:rPr>
        <w:t>siness, particularly our semiconductor business, may suffer as a result of our customers vertically integrating (i.e., developing their own integrated circuit products)</w:t>
      </w:r>
      <w:r>
        <w:rPr>
          <w:rFonts w:eastAsia="Times New Roman"/>
          <w:color w:val="000000"/>
          <w:sz w:val="20"/>
          <w:szCs w:val="20"/>
        </w:rPr>
        <w:t>.”</w:t>
      </w:r>
    </w:p>
    <w:p w:rsidR="00000000" w:rsidRDefault="008931E1">
      <w:pPr>
        <w:ind w:firstLine="360"/>
        <w:divId w:val="1879462964"/>
        <w:rPr>
          <w:rFonts w:eastAsia="Times New Roman"/>
        </w:rPr>
      </w:pPr>
      <w:r>
        <w:rPr>
          <w:rFonts w:eastAsia="Times New Roman"/>
          <w:color w:val="000000"/>
          <w:sz w:val="20"/>
          <w:szCs w:val="20"/>
        </w:rPr>
        <w:t>Further, political actions, including trade and/or national security protection polic</w:t>
      </w:r>
      <w:r>
        <w:rPr>
          <w:rFonts w:eastAsia="Times New Roman"/>
          <w:color w:val="000000"/>
          <w:sz w:val="20"/>
          <w:szCs w:val="20"/>
        </w:rPr>
        <w:t>ies, or other actions by governments, particularly the U.S. and Chinese governments, have in the past, currently are and could in the future limit or prevent us from transacting business with certain of our customers, limit, prevent or discourage those cus</w:t>
      </w:r>
      <w:r>
        <w:rPr>
          <w:rFonts w:eastAsia="Times New Roman"/>
          <w:color w:val="000000"/>
          <w:sz w:val="20"/>
          <w:szCs w:val="20"/>
        </w:rPr>
        <w:t>tomers from transacting business with us, or make it more expensive to do so, any of which could also significantly reduce the revenues we derive from these customers. See also the Risk Factor titled “</w:t>
      </w:r>
      <w:r>
        <w:rPr>
          <w:rFonts w:eastAsia="Times New Roman"/>
          <w:i/>
          <w:iCs/>
          <w:color w:val="000000"/>
          <w:sz w:val="20"/>
          <w:szCs w:val="20"/>
        </w:rPr>
        <w:t>A significant portion of our business is concentrated i</w:t>
      </w:r>
      <w:r>
        <w:rPr>
          <w:rFonts w:eastAsia="Times New Roman"/>
          <w:i/>
          <w:iCs/>
          <w:color w:val="000000"/>
          <w:sz w:val="20"/>
          <w:szCs w:val="20"/>
        </w:rPr>
        <w:t>n China, and the risks of such concentration are exacerbated by U.S./China trade and national security tensions</w:t>
      </w:r>
      <w:r>
        <w:rPr>
          <w:rFonts w:eastAsia="Times New Roman"/>
          <w:color w:val="000000"/>
          <w:sz w:val="20"/>
          <w:szCs w:val="20"/>
        </w:rPr>
        <w:t>.”</w:t>
      </w:r>
    </w:p>
    <w:p w:rsidR="00000000" w:rsidRDefault="008931E1">
      <w:pPr>
        <w:ind w:firstLine="360"/>
        <w:divId w:val="1652978774"/>
        <w:rPr>
          <w:rFonts w:eastAsia="Times New Roman"/>
        </w:rPr>
      </w:pPr>
      <w:r>
        <w:rPr>
          <w:rFonts w:eastAsia="Times New Roman"/>
          <w:color w:val="000000"/>
          <w:sz w:val="20"/>
          <w:szCs w:val="20"/>
        </w:rPr>
        <w:t>In addition, we spend a significant amount of engineering and development time, funds and resources in understanding our key customers’ feedba</w:t>
      </w:r>
      <w:r>
        <w:rPr>
          <w:rFonts w:eastAsia="Times New Roman"/>
          <w:color w:val="000000"/>
          <w:sz w:val="20"/>
          <w:szCs w:val="20"/>
        </w:rPr>
        <w:t>ck and/or specifications and attempt to incorporate such input into our product launches and technologies. These efforts may not require or result in purchase commitments from such customers or we may have lower purchases from such customers than expected,</w:t>
      </w:r>
      <w:r>
        <w:rPr>
          <w:rFonts w:eastAsia="Times New Roman"/>
          <w:color w:val="000000"/>
          <w:sz w:val="20"/>
          <w:szCs w:val="20"/>
        </w:rPr>
        <w:t xml:space="preserve"> and consequently, we may not achieve the anticipated revenues from these efforts, or these efforts may result in non-recoverable costs.</w:t>
      </w:r>
    </w:p>
    <w:p w:rsidR="00000000" w:rsidRDefault="008931E1">
      <w:pPr>
        <w:ind w:firstLine="360"/>
        <w:divId w:val="1129470805"/>
        <w:rPr>
          <w:rFonts w:eastAsia="Times New Roman"/>
        </w:rPr>
      </w:pPr>
      <w:r>
        <w:rPr>
          <w:rFonts w:eastAsia="Times New Roman"/>
          <w:color w:val="000000"/>
          <w:sz w:val="20"/>
          <w:szCs w:val="20"/>
        </w:rPr>
        <w:t>The loss of any one of our significant customers, a reduction in the purchases of our products by any of these customer</w:t>
      </w:r>
      <w:r>
        <w:rPr>
          <w:rFonts w:eastAsia="Times New Roman"/>
          <w:color w:val="000000"/>
          <w:sz w:val="20"/>
          <w:szCs w:val="20"/>
        </w:rPr>
        <w:t>s or the cancellation of significant purchases by any of these customers, whether due to the use of their own integrated circuit products or our competitors’ integrated circuit products, government restrictions, a decline in global, regional or local econo</w:t>
      </w:r>
      <w:r>
        <w:rPr>
          <w:rFonts w:eastAsia="Times New Roman"/>
          <w:color w:val="000000"/>
          <w:sz w:val="20"/>
          <w:szCs w:val="20"/>
        </w:rPr>
        <w:t xml:space="preserve">mic conditions, a decline in consumer demand (or a shift in consumer demand away from new devices in favor of refurbished or secondhand devices), elevated inventory levels at our customers or otherwise, would reduce our revenues and could harm our ability </w:t>
      </w:r>
      <w:r>
        <w:rPr>
          <w:rFonts w:eastAsia="Times New Roman"/>
          <w:color w:val="000000"/>
          <w:sz w:val="20"/>
          <w:szCs w:val="20"/>
        </w:rPr>
        <w:t>to achieve or sustain expected results of operations. A delay of significant purchases, even if only temporary, would reduce our revenues in the period of the delay. Any such reduction in revenues would also impact our cash resources available for other pu</w:t>
      </w:r>
      <w:r>
        <w:rPr>
          <w:rFonts w:eastAsia="Times New Roman"/>
          <w:color w:val="000000"/>
          <w:sz w:val="20"/>
          <w:szCs w:val="20"/>
        </w:rPr>
        <w:t xml:space="preserve">rposes, such as research and development. </w:t>
      </w:r>
    </w:p>
    <w:p w:rsidR="00000000" w:rsidRDefault="008931E1">
      <w:pPr>
        <w:ind w:firstLine="360"/>
        <w:divId w:val="1827161672"/>
        <w:rPr>
          <w:rFonts w:eastAsia="Times New Roman"/>
        </w:rPr>
      </w:pPr>
      <w:r>
        <w:rPr>
          <w:rFonts w:eastAsia="Times New Roman"/>
          <w:color w:val="000000"/>
          <w:sz w:val="20"/>
          <w:szCs w:val="20"/>
        </w:rPr>
        <w:t>Further, the concentration of device share among a few companies, and the corresponding purchasing power of these companies, may result in lower prices for our products, which could have an adverse effect on our r</w:t>
      </w:r>
      <w:r>
        <w:rPr>
          <w:rFonts w:eastAsia="Times New Roman"/>
          <w:color w:val="000000"/>
          <w:sz w:val="20"/>
          <w:szCs w:val="20"/>
        </w:rPr>
        <w:t>evenues and margins. In addition, the timing and size of purchases by our significant customers may be impacted by the timing of such customers’ new or next generation product introductions, over which we have no control, and the timing and success of such</w:t>
      </w:r>
      <w:r>
        <w:rPr>
          <w:rFonts w:eastAsia="Times New Roman"/>
          <w:color w:val="000000"/>
          <w:sz w:val="20"/>
          <w:szCs w:val="20"/>
        </w:rPr>
        <w:t xml:space="preserve"> introductions may cause our revenues and results of operations to fluctuate. </w:t>
      </w:r>
    </w:p>
    <w:p w:rsidR="00000000" w:rsidRDefault="008931E1">
      <w:pPr>
        <w:ind w:firstLine="360"/>
        <w:divId w:val="1577861003"/>
        <w:rPr>
          <w:rFonts w:eastAsia="Times New Roman"/>
        </w:rPr>
      </w:pPr>
      <w:r>
        <w:rPr>
          <w:rFonts w:eastAsia="Times New Roman"/>
          <w:color w:val="000000"/>
          <w:sz w:val="20"/>
          <w:szCs w:val="20"/>
        </w:rPr>
        <w:t>Apple purchases our MDM (or thin modem) products, which do not include our integrated application processor technology, and which have lower revenue and margin contributions tha</w:t>
      </w:r>
      <w:r>
        <w:rPr>
          <w:rFonts w:eastAsia="Times New Roman"/>
          <w:color w:val="000000"/>
          <w:sz w:val="20"/>
          <w:szCs w:val="20"/>
        </w:rPr>
        <w:t>n our combined modem and application processor products. Consequently, to the extent Apple takes device share from our customers who purchase our integrated modem and application processor products, our revenues and margins may be negatively impacted.</w:t>
      </w:r>
    </w:p>
    <w:p w:rsidR="00000000" w:rsidRDefault="008931E1">
      <w:pPr>
        <w:ind w:firstLine="360"/>
        <w:divId w:val="1204906423"/>
        <w:rPr>
          <w:rFonts w:eastAsia="Times New Roman"/>
        </w:rPr>
      </w:pPr>
      <w:r>
        <w:rPr>
          <w:rFonts w:eastAsia="Times New Roman"/>
          <w:color w:val="000000"/>
          <w:sz w:val="20"/>
          <w:szCs w:val="20"/>
        </w:rPr>
        <w:t xml:space="preserve">The </w:t>
      </w:r>
      <w:r>
        <w:rPr>
          <w:rFonts w:eastAsia="Times New Roman"/>
          <w:color w:val="000000"/>
          <w:sz w:val="20"/>
          <w:szCs w:val="20"/>
        </w:rPr>
        <w:t>mobile industry has also experienced slowing growth in the premium-tier device segment due to, among other factors, a maturing premium-tier smartphone industry in which demand is increasingly driven by new product launches and innovation cycles. A reductio</w:t>
      </w:r>
      <w:r>
        <w:rPr>
          <w:rFonts w:eastAsia="Times New Roman"/>
          <w:color w:val="000000"/>
          <w:sz w:val="20"/>
          <w:szCs w:val="20"/>
        </w:rPr>
        <w:t>n in sales of premium-tier devices, a reduction in sales of our premium-tier integrated circuit products (which have a higher revenue and margin contribution than our lower-tier integrated circuit products), a shift in share away from OEMs that utilize our</w:t>
      </w:r>
      <w:r>
        <w:rPr>
          <w:rFonts w:eastAsia="Times New Roman"/>
          <w:color w:val="000000"/>
          <w:sz w:val="20"/>
          <w:szCs w:val="20"/>
        </w:rPr>
        <w:t xml:space="preserve"> premium-tier products, or a shift in consumer demand in favor of refurbished or secondhand devices, would reduce our revenues and margins and may harm our ability to achieve or sustain expected financial results. Any such reduction in revenues would also </w:t>
      </w:r>
      <w:r>
        <w:rPr>
          <w:rFonts w:eastAsia="Times New Roman"/>
          <w:color w:val="000000"/>
          <w:sz w:val="20"/>
          <w:szCs w:val="20"/>
        </w:rPr>
        <w:t xml:space="preserve">impact our cash resources available for other purposes, such as research and development. </w:t>
      </w:r>
    </w:p>
    <w:p w:rsidR="00000000" w:rsidRDefault="008931E1">
      <w:pPr>
        <w:ind w:firstLine="360"/>
        <w:divId w:val="1026521821"/>
        <w:rPr>
          <w:rFonts w:eastAsia="Times New Roman"/>
        </w:rPr>
      </w:pPr>
      <w:r>
        <w:rPr>
          <w:rFonts w:eastAsia="Times New Roman"/>
          <w:color w:val="000000"/>
          <w:sz w:val="20"/>
          <w:szCs w:val="20"/>
        </w:rPr>
        <w:t>Further, while our product and revenue diversification strategies have resulted in an increasing portion of our revenues coming from outside of mobile handsets, e.g.</w:t>
      </w:r>
      <w:r>
        <w:rPr>
          <w:rFonts w:eastAsia="Times New Roman"/>
          <w:color w:val="000000"/>
          <w:sz w:val="20"/>
          <w:szCs w:val="20"/>
        </w:rPr>
        <w:t xml:space="preserve">, from industries such as automotive and IoT, certain product categories within those industries may in themselves be subject to high levels of customer concentration. </w:t>
      </w:r>
    </w:p>
    <w:p w:rsidR="00000000" w:rsidRDefault="008931E1">
      <w:pPr>
        <w:ind w:firstLine="360"/>
        <w:divId w:val="336270206"/>
        <w:rPr>
          <w:rFonts w:eastAsia="Times New Roman"/>
        </w:rPr>
      </w:pPr>
      <w:r>
        <w:rPr>
          <w:rFonts w:eastAsia="Times New Roman"/>
          <w:color w:val="000000"/>
          <w:sz w:val="20"/>
          <w:szCs w:val="20"/>
        </w:rPr>
        <w:t>Although we have more than 300 licensees, we derive a significant portion of our licens</w:t>
      </w:r>
      <w:r>
        <w:rPr>
          <w:rFonts w:eastAsia="Times New Roman"/>
          <w:color w:val="000000"/>
          <w:sz w:val="20"/>
          <w:szCs w:val="20"/>
        </w:rPr>
        <w:t>ing revenues from a limited number of licensees, which includes a number of Chinese OEMs. In the event that one or more of our significant licensees fail to meet their reporting and payment obligations, or we are unable to renew or modify one or more of th</w:t>
      </w:r>
      <w:r>
        <w:rPr>
          <w:rFonts w:eastAsia="Times New Roman"/>
          <w:color w:val="000000"/>
          <w:sz w:val="20"/>
          <w:szCs w:val="20"/>
        </w:rPr>
        <w:t>eir license agreements under similar terms as their existing agreements, our revenues, results of operations and cash flows would be adversely impacted. Moreover, the success of our core licensing business depends in part on the ability of our licensees to</w:t>
      </w:r>
      <w:r>
        <w:rPr>
          <w:rFonts w:eastAsia="Times New Roman"/>
          <w:color w:val="000000"/>
          <w:sz w:val="20"/>
          <w:szCs w:val="20"/>
        </w:rPr>
        <w:t xml:space="preserve"> continue to develop, introduce and deliver high-volume products that achieve and sustain customer acceptance. We do not have control over the product development, sales efforts or pricing of products by our licensees, and our licensees might not be succes</w:t>
      </w:r>
      <w:r>
        <w:rPr>
          <w:rFonts w:eastAsia="Times New Roman"/>
          <w:color w:val="000000"/>
          <w:sz w:val="20"/>
          <w:szCs w:val="20"/>
        </w:rPr>
        <w:t xml:space="preserve">sful in these efforts. Reductions in sales of our licensees’ products, or reductions in the average selling prices of such products without a sufficient increase in the volumes sold, would generally have an adverse effect on our licensing revenues. </w:t>
      </w:r>
    </w:p>
    <w:p w:rsidR="00000000" w:rsidRDefault="008931E1">
      <w:pPr>
        <w:divId w:val="1655186100"/>
        <w:rPr>
          <w:rFonts w:eastAsia="Times New Roman"/>
        </w:rPr>
      </w:pPr>
      <w:r>
        <w:rPr>
          <w:rFonts w:eastAsia="Times New Roman"/>
          <w:b/>
          <w:bCs/>
          <w:i/>
          <w:iCs/>
          <w:color w:val="000000"/>
          <w:sz w:val="20"/>
          <w:szCs w:val="20"/>
        </w:rPr>
        <w:t>Our bu</w:t>
      </w:r>
      <w:r>
        <w:rPr>
          <w:rFonts w:eastAsia="Times New Roman"/>
          <w:b/>
          <w:bCs/>
          <w:i/>
          <w:iCs/>
          <w:color w:val="000000"/>
          <w:sz w:val="20"/>
          <w:szCs w:val="20"/>
        </w:rPr>
        <w:t>siness, particularly our semiconductor business, may suffer as a result of our customers vertically integrating (i.e., developing their own integrated circuit products).</w:t>
      </w:r>
    </w:p>
    <w:p w:rsidR="00000000" w:rsidRDefault="008931E1">
      <w:pPr>
        <w:ind w:firstLine="360"/>
        <w:divId w:val="1951356743"/>
        <w:rPr>
          <w:rFonts w:eastAsia="Times New Roman"/>
        </w:rPr>
      </w:pPr>
      <w:r>
        <w:rPr>
          <w:rFonts w:eastAsia="Times New Roman"/>
          <w:color w:val="000000"/>
          <w:sz w:val="20"/>
          <w:szCs w:val="20"/>
        </w:rPr>
        <w:t>Certain of our largest customers (for example, Samsung) develop their own integrated c</w:t>
      </w:r>
      <w:r>
        <w:rPr>
          <w:rFonts w:eastAsia="Times New Roman"/>
          <w:color w:val="000000"/>
          <w:sz w:val="20"/>
          <w:szCs w:val="20"/>
        </w:rPr>
        <w:t>ircuit products, which they have in the past utilized, and currently utilize, in certain of their devices and we expect will in the future utilize in some or all of their devices, rather than our products (and they have and may continue to sell their integ</w:t>
      </w:r>
      <w:r>
        <w:rPr>
          <w:rFonts w:eastAsia="Times New Roman"/>
          <w:color w:val="000000"/>
          <w:sz w:val="20"/>
          <w:szCs w:val="20"/>
        </w:rPr>
        <w:t>rated circuit products to third parties, discretely or together with certain of their other products, in competition with us).</w:t>
      </w:r>
    </w:p>
    <w:p w:rsidR="00000000" w:rsidRDefault="008931E1">
      <w:pPr>
        <w:jc w:val="center"/>
        <w:divId w:val="1729113333"/>
        <w:rPr>
          <w:rFonts w:eastAsia="Times New Roman"/>
        </w:rPr>
      </w:pPr>
      <w:r>
        <w:rPr>
          <w:rFonts w:eastAsia="Times New Roman"/>
          <w:color w:val="000000"/>
          <w:sz w:val="20"/>
          <w:szCs w:val="20"/>
        </w:rPr>
        <w:t>19</w:t>
      </w:r>
    </w:p>
    <w:p w:rsidR="00000000" w:rsidRDefault="008931E1">
      <w:pPr>
        <w:rPr>
          <w:rFonts w:eastAsia="Times New Roman"/>
        </w:rPr>
      </w:pPr>
      <w:r>
        <w:rPr>
          <w:rFonts w:eastAsia="Times New Roman"/>
        </w:rPr>
        <w:pict>
          <v:rect id="_x0000_i1042" style="width:0;height:1.5pt" o:hralign="center" o:hrstd="t" o:hr="t" fillcolor="#a0a0a0" stroked="f"/>
        </w:pict>
      </w:r>
    </w:p>
    <w:p w:rsidR="00000000" w:rsidRDefault="008931E1">
      <w:pPr>
        <w:divId w:val="1873374452"/>
        <w:rPr>
          <w:rFonts w:eastAsia="Times New Roman"/>
        </w:rPr>
      </w:pPr>
    </w:p>
    <w:p w:rsidR="00000000" w:rsidRDefault="008931E1">
      <w:pPr>
        <w:ind w:firstLine="360"/>
        <w:divId w:val="1435514939"/>
        <w:rPr>
          <w:rFonts w:eastAsia="Times New Roman"/>
        </w:rPr>
      </w:pPr>
      <w:r>
        <w:rPr>
          <w:rFonts w:eastAsia="Times New Roman"/>
          <w:color w:val="000000"/>
          <w:sz w:val="20"/>
          <w:szCs w:val="20"/>
        </w:rPr>
        <w:t>Apple has utilized modem products of one of our competitors in some of its devices rathe</w:t>
      </w:r>
      <w:r>
        <w:rPr>
          <w:rFonts w:eastAsia="Times New Roman"/>
          <w:color w:val="000000"/>
          <w:sz w:val="20"/>
          <w:szCs w:val="20"/>
        </w:rPr>
        <w:t>r than our products, and solely utilized one of our competitors’ products in several of its prior device launches. In December 2019, Apple acquired Intel’s modem assets and is developing its own modem products using those assets. Accordingly, we expect App</w:t>
      </w:r>
      <w:r>
        <w:rPr>
          <w:rFonts w:eastAsia="Times New Roman"/>
          <w:color w:val="000000"/>
          <w:sz w:val="20"/>
          <w:szCs w:val="20"/>
        </w:rPr>
        <w:t xml:space="preserve">le to use its own modem products, rather than our products, in some or all of its future devices. </w:t>
      </w:r>
    </w:p>
    <w:p w:rsidR="00000000" w:rsidRDefault="008931E1">
      <w:pPr>
        <w:ind w:firstLine="360"/>
        <w:divId w:val="1168515663"/>
        <w:rPr>
          <w:rFonts w:eastAsia="Times New Roman"/>
        </w:rPr>
      </w:pPr>
      <w:r>
        <w:rPr>
          <w:rFonts w:eastAsia="Times New Roman"/>
          <w:color w:val="000000"/>
          <w:sz w:val="20"/>
          <w:szCs w:val="20"/>
        </w:rPr>
        <w:t xml:space="preserve">Similarly, we derive a significant portion of our revenues from Chinese OEMs. Certain of our customers in China have developed, and others may in the future </w:t>
      </w:r>
      <w:r>
        <w:rPr>
          <w:rFonts w:eastAsia="Times New Roman"/>
          <w:color w:val="000000"/>
          <w:sz w:val="20"/>
          <w:szCs w:val="20"/>
        </w:rPr>
        <w:t xml:space="preserve">develop, their own integrated circuit products and use such integrated circuit products in their devices rather than our integrated circuit products, including due to pressure from or policies of the Chinese government (whose </w:t>
      </w:r>
      <w:r>
        <w:rPr>
          <w:rFonts w:eastAsia="Times New Roman"/>
          <w:i/>
          <w:iCs/>
          <w:color w:val="000000"/>
          <w:sz w:val="20"/>
          <w:szCs w:val="20"/>
        </w:rPr>
        <w:t>Made in China 2025</w:t>
      </w:r>
      <w:r>
        <w:rPr>
          <w:rFonts w:eastAsia="Times New Roman"/>
          <w:color w:val="000000"/>
          <w:sz w:val="20"/>
          <w:szCs w:val="20"/>
        </w:rPr>
        <w:t xml:space="preserve"> campaign ta</w:t>
      </w:r>
      <w:r>
        <w:rPr>
          <w:rFonts w:eastAsia="Times New Roman"/>
          <w:color w:val="000000"/>
          <w:sz w:val="20"/>
          <w:szCs w:val="20"/>
        </w:rPr>
        <w:t>rgets 70% semiconductor self-sufficiency by 2025), concerns over losing access to our integrated circuit products as a result of actual, threatened or potential U.S. or Chinese government actions or policies, including trade protection or national security</w:t>
      </w:r>
      <w:r>
        <w:rPr>
          <w:rFonts w:eastAsia="Times New Roman"/>
          <w:color w:val="000000"/>
          <w:sz w:val="20"/>
          <w:szCs w:val="20"/>
        </w:rPr>
        <w:t xml:space="preserve"> policies, or other reasons. See also the Risk Factor titled “</w:t>
      </w:r>
      <w:r>
        <w:rPr>
          <w:rFonts w:eastAsia="Times New Roman"/>
          <w:i/>
          <w:iCs/>
          <w:color w:val="000000"/>
          <w:sz w:val="20"/>
          <w:szCs w:val="20"/>
        </w:rPr>
        <w:t>A significant portion of our business is concentrated in China, and the risks of such concentration are exacerbated by U.S./China trade and national security tensions</w:t>
      </w:r>
      <w:r>
        <w:rPr>
          <w:rFonts w:eastAsia="Times New Roman"/>
          <w:color w:val="000000"/>
          <w:sz w:val="20"/>
          <w:szCs w:val="20"/>
        </w:rPr>
        <w:t>.”</w:t>
      </w:r>
    </w:p>
    <w:p w:rsidR="00000000" w:rsidRDefault="008931E1">
      <w:pPr>
        <w:ind w:firstLine="360"/>
        <w:divId w:val="809054930"/>
        <w:rPr>
          <w:rFonts w:eastAsia="Times New Roman"/>
        </w:rPr>
      </w:pPr>
      <w:r>
        <w:rPr>
          <w:rFonts w:eastAsia="Times New Roman"/>
          <w:color w:val="000000"/>
          <w:sz w:val="20"/>
          <w:szCs w:val="20"/>
        </w:rPr>
        <w:t>In addition, periodic supply/capacity constraints within the semiconductor industry may further incentivize our customers to vertically integrate in an effort to secure additional control over their supply chains.</w:t>
      </w:r>
    </w:p>
    <w:p w:rsidR="00000000" w:rsidRDefault="008931E1">
      <w:pPr>
        <w:ind w:firstLine="360"/>
        <w:divId w:val="1041515463"/>
        <w:rPr>
          <w:rFonts w:eastAsia="Times New Roman"/>
        </w:rPr>
      </w:pPr>
      <w:r>
        <w:rPr>
          <w:rFonts w:eastAsia="Times New Roman"/>
          <w:color w:val="000000"/>
          <w:sz w:val="20"/>
          <w:szCs w:val="20"/>
        </w:rPr>
        <w:t>If our customers begin using their own int</w:t>
      </w:r>
      <w:r>
        <w:rPr>
          <w:rFonts w:eastAsia="Times New Roman"/>
          <w:color w:val="000000"/>
          <w:sz w:val="20"/>
          <w:szCs w:val="20"/>
        </w:rPr>
        <w:t>egrated circuit products rather than our products in some or all of their devices, or increase their use of their own integrated circuit products from current levels, our business, revenues, results of operations, cash flows and financial position could be</w:t>
      </w:r>
      <w:r>
        <w:rPr>
          <w:rFonts w:eastAsia="Times New Roman"/>
          <w:color w:val="000000"/>
          <w:sz w:val="20"/>
          <w:szCs w:val="20"/>
        </w:rPr>
        <w:t xml:space="preserve"> materially adversely impacted. See also the Risk Factor titled “</w:t>
      </w:r>
      <w:r>
        <w:rPr>
          <w:rFonts w:eastAsia="Times New Roman"/>
          <w:i/>
          <w:iCs/>
          <w:color w:val="000000"/>
          <w:sz w:val="20"/>
          <w:szCs w:val="20"/>
        </w:rPr>
        <w:t>We derive a significant portion of our revenues from a small number of customers and licensees, and particularly from their sale of premium tier handset devices. If revenues derived from thes</w:t>
      </w:r>
      <w:r>
        <w:rPr>
          <w:rFonts w:eastAsia="Times New Roman"/>
          <w:i/>
          <w:iCs/>
          <w:color w:val="000000"/>
          <w:sz w:val="20"/>
          <w:szCs w:val="20"/>
        </w:rPr>
        <w:t>e customers or licensees decrease or the timing of such revenues fluctuates, our business and results of operations could be negatively affected</w:t>
      </w:r>
      <w:r>
        <w:rPr>
          <w:rFonts w:eastAsia="Times New Roman"/>
          <w:color w:val="000000"/>
          <w:sz w:val="20"/>
          <w:szCs w:val="20"/>
        </w:rPr>
        <w:t>.”</w:t>
      </w:r>
    </w:p>
    <w:p w:rsidR="00000000" w:rsidRDefault="008931E1">
      <w:pPr>
        <w:divId w:val="1261989150"/>
        <w:rPr>
          <w:rFonts w:eastAsia="Times New Roman"/>
        </w:rPr>
      </w:pPr>
      <w:r>
        <w:rPr>
          <w:rFonts w:eastAsia="Times New Roman"/>
          <w:b/>
          <w:bCs/>
          <w:i/>
          <w:iCs/>
          <w:color w:val="000000"/>
          <w:sz w:val="20"/>
          <w:szCs w:val="20"/>
        </w:rPr>
        <w:t>A significant portion of our business is concentrated in China, and the risks of such concentration are exacerbated by U.S./China trade and national security tensions.</w:t>
      </w:r>
    </w:p>
    <w:p w:rsidR="00000000" w:rsidRDefault="008931E1">
      <w:pPr>
        <w:ind w:firstLine="360"/>
        <w:divId w:val="780144682"/>
        <w:rPr>
          <w:rFonts w:eastAsia="Times New Roman"/>
        </w:rPr>
      </w:pPr>
      <w:r>
        <w:rPr>
          <w:rFonts w:eastAsia="Times New Roman"/>
          <w:color w:val="000000"/>
          <w:sz w:val="20"/>
          <w:szCs w:val="20"/>
        </w:rPr>
        <w:t xml:space="preserve">We derive a significant portion of our revenues from Chinese OEMs, and from non-Chinese </w:t>
      </w:r>
      <w:r>
        <w:rPr>
          <w:rFonts w:eastAsia="Times New Roman"/>
          <w:color w:val="000000"/>
          <w:sz w:val="20"/>
          <w:szCs w:val="20"/>
        </w:rPr>
        <w:t>OEMs that utilize our integrated circuit products in devices they sell into China, which has the largest number of smartphone users in the world. We also source certain critical integrated circuit products from suppliers in China.</w:t>
      </w:r>
    </w:p>
    <w:p w:rsidR="00000000" w:rsidRDefault="008931E1">
      <w:pPr>
        <w:ind w:firstLine="360"/>
        <w:divId w:val="685325665"/>
        <w:rPr>
          <w:rFonts w:eastAsia="Times New Roman"/>
        </w:rPr>
      </w:pPr>
      <w:r>
        <w:rPr>
          <w:rFonts w:eastAsia="Times New Roman"/>
          <w:color w:val="000000"/>
          <w:sz w:val="20"/>
          <w:szCs w:val="20"/>
        </w:rPr>
        <w:t>Due to various factors, i</w:t>
      </w:r>
      <w:r>
        <w:rPr>
          <w:rFonts w:eastAsia="Times New Roman"/>
          <w:color w:val="000000"/>
          <w:sz w:val="20"/>
          <w:szCs w:val="20"/>
        </w:rPr>
        <w:t xml:space="preserve">ncluding pressure, encouragement or incentives from, or policies of, the Chinese government (including its </w:t>
      </w:r>
      <w:r>
        <w:rPr>
          <w:rFonts w:eastAsia="Times New Roman"/>
          <w:i/>
          <w:iCs/>
          <w:color w:val="000000"/>
          <w:sz w:val="20"/>
          <w:szCs w:val="20"/>
        </w:rPr>
        <w:t>Made in China 2025</w:t>
      </w:r>
      <w:r>
        <w:rPr>
          <w:rFonts w:eastAsia="Times New Roman"/>
          <w:color w:val="000000"/>
          <w:sz w:val="20"/>
          <w:szCs w:val="20"/>
        </w:rPr>
        <w:t xml:space="preserve"> campaign), concerns over losing access to our integrated circuit products as a result of actual, threatened or potential U.S. or C</w:t>
      </w:r>
      <w:r>
        <w:rPr>
          <w:rFonts w:eastAsia="Times New Roman"/>
          <w:color w:val="000000"/>
          <w:sz w:val="20"/>
          <w:szCs w:val="20"/>
        </w:rPr>
        <w:t>hinese government actions or policies, including trade protection or national security policies, or other reasons, some of our customers in China have developed, and others may in the future develop, their own integrated circuit products and use such integ</w:t>
      </w:r>
      <w:r>
        <w:rPr>
          <w:rFonts w:eastAsia="Times New Roman"/>
          <w:color w:val="000000"/>
          <w:sz w:val="20"/>
          <w:szCs w:val="20"/>
        </w:rPr>
        <w:t xml:space="preserve">rated circuit products in their devices, or use our competitors’ integrated circuit products in their devices, rather than our products, which could materially harm our business, revenues, results of operations, cash flows and financial position. See also </w:t>
      </w:r>
      <w:r>
        <w:rPr>
          <w:rFonts w:eastAsia="Times New Roman"/>
          <w:color w:val="000000"/>
          <w:sz w:val="20"/>
          <w:szCs w:val="20"/>
        </w:rPr>
        <w:t>the Risk Factor titled “</w:t>
      </w:r>
      <w:r>
        <w:rPr>
          <w:rFonts w:eastAsia="Times New Roman"/>
          <w:i/>
          <w:iCs/>
          <w:color w:val="000000"/>
          <w:sz w:val="20"/>
          <w:szCs w:val="20"/>
        </w:rPr>
        <w:t>Our business, particularly our semiconductor business, may suffer as a result of our customers vertically integrating (i.e., developing their own integrated circuit products).”</w:t>
      </w:r>
    </w:p>
    <w:p w:rsidR="00000000" w:rsidRDefault="008931E1">
      <w:pPr>
        <w:ind w:firstLine="360"/>
        <w:divId w:val="1329211959"/>
        <w:rPr>
          <w:rFonts w:eastAsia="Times New Roman"/>
        </w:rPr>
      </w:pPr>
      <w:r>
        <w:rPr>
          <w:rFonts w:eastAsia="Times New Roman"/>
          <w:color w:val="000000"/>
          <w:sz w:val="20"/>
          <w:szCs w:val="20"/>
        </w:rPr>
        <w:t>Political actions, including trade protection and natio</w:t>
      </w:r>
      <w:r>
        <w:rPr>
          <w:rFonts w:eastAsia="Times New Roman"/>
          <w:color w:val="000000"/>
          <w:sz w:val="20"/>
          <w:szCs w:val="20"/>
        </w:rPr>
        <w:t>nal security policies of the U.S. and Chinese governments, such as tariffs, bans or placing companies on restricted entity lists, have in the past, currently are and could in the future limit or prevent us from transacting business with certain of our Chin</w:t>
      </w:r>
      <w:r>
        <w:rPr>
          <w:rFonts w:eastAsia="Times New Roman"/>
          <w:color w:val="000000"/>
          <w:sz w:val="20"/>
          <w:szCs w:val="20"/>
        </w:rPr>
        <w:t>ese customers or suppliers, limit, prevent or discourage certain of our Chinese customers or suppliers from transacting business with us, or make it more expensive to do so. Given our revenue concentration in China, if, due to actual, threatened or potenti</w:t>
      </w:r>
      <w:r>
        <w:rPr>
          <w:rFonts w:eastAsia="Times New Roman"/>
          <w:color w:val="000000"/>
          <w:sz w:val="20"/>
          <w:szCs w:val="20"/>
        </w:rPr>
        <w:t>al U.S. or Chinese government actions or policies: we were further limited in, or prohibited from, selling our integrated circuit products to Chinese customers; our non-Chinese OEM customers were limited in, or prohibited from, selling devices that incorpo</w:t>
      </w:r>
      <w:r>
        <w:rPr>
          <w:rFonts w:eastAsia="Times New Roman"/>
          <w:color w:val="000000"/>
          <w:sz w:val="20"/>
          <w:szCs w:val="20"/>
        </w:rPr>
        <w:t>rate our integrated circuit products into China; Chinese OEMs develop and use their own integrated circuit products or use our competitors’ integrated circuit products in some or all of their devices rather than our integrated circuit products; Chinese tar</w:t>
      </w:r>
      <w:r>
        <w:rPr>
          <w:rFonts w:eastAsia="Times New Roman"/>
          <w:color w:val="000000"/>
          <w:sz w:val="20"/>
          <w:szCs w:val="20"/>
        </w:rPr>
        <w:t>iffs on our integrated circuit products or on devices which incorporate our integrated circuit products made purchasing such products or devices more expensive to our Chinese customers or Chinese consumers; or our Chinese licensees delay or cease making pa</w:t>
      </w:r>
      <w:r>
        <w:rPr>
          <w:rFonts w:eastAsia="Times New Roman"/>
          <w:color w:val="000000"/>
          <w:sz w:val="20"/>
          <w:szCs w:val="20"/>
        </w:rPr>
        <w:t>yments of license fees they owe us, our business, revenues, results of operations, cash flows and financial position could be materially harmed. Similarly, if, due to U.S. or Chinese government actions or policies, we were limited in or prohibited from obt</w:t>
      </w:r>
      <w:r>
        <w:rPr>
          <w:rFonts w:eastAsia="Times New Roman"/>
          <w:color w:val="000000"/>
          <w:sz w:val="20"/>
          <w:szCs w:val="20"/>
        </w:rPr>
        <w:t>aining critical integrated circuit products from our suppliers in China, our business, revenues, results of operations, cash flows and financial position could be materially harmed. See also the Risk Factors titled “</w:t>
      </w:r>
      <w:r>
        <w:rPr>
          <w:rFonts w:eastAsia="Times New Roman"/>
          <w:i/>
          <w:iCs/>
          <w:color w:val="000000"/>
          <w:sz w:val="20"/>
          <w:szCs w:val="20"/>
        </w:rPr>
        <w:t>We derive a significant portion of our r</w:t>
      </w:r>
      <w:r>
        <w:rPr>
          <w:rFonts w:eastAsia="Times New Roman"/>
          <w:i/>
          <w:iCs/>
          <w:color w:val="000000"/>
          <w:sz w:val="20"/>
          <w:szCs w:val="20"/>
        </w:rPr>
        <w:t xml:space="preserve">evenues from a small number of customers and licensees, and particularly from their sale of premium tier handset devices. If revenues derived from these customers or licensees decrease or the timing of such revenues fluctuates, our business and results of </w:t>
      </w:r>
      <w:r>
        <w:rPr>
          <w:rFonts w:eastAsia="Times New Roman"/>
          <w:i/>
          <w:iCs/>
          <w:color w:val="000000"/>
          <w:sz w:val="20"/>
          <w:szCs w:val="20"/>
        </w:rPr>
        <w:t>operations could be negatively affected</w:t>
      </w:r>
      <w:r>
        <w:rPr>
          <w:rFonts w:eastAsia="Times New Roman"/>
          <w:color w:val="000000"/>
          <w:sz w:val="20"/>
          <w:szCs w:val="20"/>
        </w:rPr>
        <w:t>” and “</w:t>
      </w:r>
      <w:r>
        <w:rPr>
          <w:rFonts w:eastAsia="Times New Roman"/>
          <w:i/>
          <w:iCs/>
          <w:color w:val="000000"/>
          <w:sz w:val="20"/>
          <w:szCs w:val="20"/>
        </w:rPr>
        <w:t>Our business, particularly our semiconductor business, may suffer as a result of our customers vertically integrating (i.e., developing their own integrated circuit products).”</w:t>
      </w:r>
    </w:p>
    <w:p w:rsidR="00000000" w:rsidRDefault="008931E1">
      <w:pPr>
        <w:ind w:firstLine="360"/>
        <w:divId w:val="424770100"/>
        <w:rPr>
          <w:rFonts w:eastAsia="Times New Roman"/>
        </w:rPr>
      </w:pPr>
      <w:r>
        <w:rPr>
          <w:rFonts w:eastAsia="Times New Roman"/>
          <w:color w:val="000000"/>
          <w:sz w:val="20"/>
          <w:szCs w:val="20"/>
        </w:rPr>
        <w:t>For example, we currently have ex</w:t>
      </w:r>
      <w:r>
        <w:rPr>
          <w:rFonts w:eastAsia="Times New Roman"/>
          <w:color w:val="000000"/>
          <w:sz w:val="20"/>
          <w:szCs w:val="20"/>
        </w:rPr>
        <w:t>port licenses from the U.S. Department of Commerce that allow us to sell 4G and other integrated circuit products, including Wi-Fi products, but excluding 5G products, to Huawei. Recent news reports have indicated that the Department of Commerce is conside</w:t>
      </w:r>
      <w:r>
        <w:rPr>
          <w:rFonts w:eastAsia="Times New Roman"/>
          <w:color w:val="000000"/>
          <w:sz w:val="20"/>
          <w:szCs w:val="20"/>
        </w:rPr>
        <w:t>ring not granting any new licenses for sales to Huawei and potentially revoking existing licenses. Further, we do not have a license to sell 5G products to Huawei, and Huawei has recently announced the launch of new 5G-capable devices using its own integra</w:t>
      </w:r>
      <w:r>
        <w:rPr>
          <w:rFonts w:eastAsia="Times New Roman"/>
          <w:color w:val="000000"/>
          <w:sz w:val="20"/>
          <w:szCs w:val="20"/>
        </w:rPr>
        <w:t>ted circuit products. As a result, we do not expect to receive material product revenues from Huawei going forward. Additionally, to the extent that Huawei’s 5G devices take share from Chinese OEMs that utilize our 5G products or from non-Chinese OEMs that</w:t>
      </w:r>
      <w:r>
        <w:rPr>
          <w:rFonts w:eastAsia="Times New Roman"/>
          <w:color w:val="000000"/>
          <w:sz w:val="20"/>
          <w:szCs w:val="20"/>
        </w:rPr>
        <w:t xml:space="preserve"> utilize our 5G products in devices they sell into China, our revenues, results of operations and cash flows could be further impacted. </w:t>
      </w:r>
    </w:p>
    <w:p w:rsidR="00000000" w:rsidRDefault="008931E1">
      <w:pPr>
        <w:jc w:val="center"/>
        <w:divId w:val="1393772055"/>
        <w:rPr>
          <w:rFonts w:eastAsia="Times New Roman"/>
        </w:rPr>
      </w:pPr>
      <w:r>
        <w:rPr>
          <w:rFonts w:eastAsia="Times New Roman"/>
          <w:color w:val="000000"/>
          <w:sz w:val="20"/>
          <w:szCs w:val="20"/>
        </w:rPr>
        <w:t>20</w:t>
      </w:r>
    </w:p>
    <w:p w:rsidR="00000000" w:rsidRDefault="008931E1">
      <w:pPr>
        <w:rPr>
          <w:rFonts w:eastAsia="Times New Roman"/>
        </w:rPr>
      </w:pPr>
      <w:r>
        <w:rPr>
          <w:rFonts w:eastAsia="Times New Roman"/>
        </w:rPr>
        <w:pict>
          <v:rect id="_x0000_i1043" style="width:0;height:1.5pt" o:hralign="center" o:hrstd="t" o:hr="t" fillcolor="#a0a0a0" stroked="f"/>
        </w:pict>
      </w:r>
    </w:p>
    <w:p w:rsidR="00000000" w:rsidRDefault="008931E1">
      <w:pPr>
        <w:divId w:val="1722947091"/>
        <w:rPr>
          <w:rFonts w:eastAsia="Times New Roman"/>
        </w:rPr>
      </w:pPr>
    </w:p>
    <w:p w:rsidR="00000000" w:rsidRDefault="008931E1">
      <w:pPr>
        <w:ind w:firstLine="360"/>
        <w:divId w:val="1982228634"/>
        <w:rPr>
          <w:rFonts w:eastAsia="Times New Roman"/>
        </w:rPr>
      </w:pPr>
      <w:r>
        <w:rPr>
          <w:rFonts w:eastAsia="Times New Roman"/>
          <w:color w:val="000000"/>
          <w:sz w:val="20"/>
          <w:szCs w:val="20"/>
        </w:rPr>
        <w:t>Finally, government policies in China that regulate the amount and timing of f</w:t>
      </w:r>
      <w:r>
        <w:rPr>
          <w:rFonts w:eastAsia="Times New Roman"/>
          <w:color w:val="000000"/>
          <w:sz w:val="20"/>
          <w:szCs w:val="20"/>
        </w:rPr>
        <w:t>unds that may flow out of the country have impacted and may continue to impact the timing of our receipt of, and/or ability to receive, payments from our customers and licensees in China, which may negatively impact our cash flows.</w:t>
      </w:r>
    </w:p>
    <w:p w:rsidR="00000000" w:rsidRDefault="008931E1">
      <w:pPr>
        <w:divId w:val="78211520"/>
        <w:rPr>
          <w:rFonts w:eastAsia="Times New Roman"/>
        </w:rPr>
      </w:pPr>
      <w:r>
        <w:rPr>
          <w:rFonts w:eastAsia="Times New Roman"/>
          <w:b/>
          <w:bCs/>
          <w:color w:val="000000"/>
          <w:sz w:val="20"/>
          <w:szCs w:val="20"/>
        </w:rPr>
        <w:t>RISKS RELATED TO NEW INI</w:t>
      </w:r>
      <w:r>
        <w:rPr>
          <w:rFonts w:eastAsia="Times New Roman"/>
          <w:b/>
          <w:bCs/>
          <w:color w:val="000000"/>
          <w:sz w:val="20"/>
          <w:szCs w:val="20"/>
        </w:rPr>
        <w:t>TIATIVES</w:t>
      </w:r>
    </w:p>
    <w:p w:rsidR="00000000" w:rsidRDefault="008931E1">
      <w:pPr>
        <w:divId w:val="259875829"/>
        <w:rPr>
          <w:rFonts w:eastAsia="Times New Roman"/>
        </w:rPr>
      </w:pPr>
      <w:r>
        <w:rPr>
          <w:rFonts w:eastAsia="Times New Roman"/>
          <w:b/>
          <w:bCs/>
          <w:i/>
          <w:iCs/>
          <w:color w:val="000000"/>
          <w:sz w:val="20"/>
          <w:szCs w:val="20"/>
        </w:rPr>
        <w:t>Our growth depends in part on our ability to extend our technologies and products into new and expanded product areas, and industries and applications beyond mobile handsets. Our research, development and other investments in these new and expande</w:t>
      </w:r>
      <w:r>
        <w:rPr>
          <w:rFonts w:eastAsia="Times New Roman"/>
          <w:b/>
          <w:bCs/>
          <w:i/>
          <w:iCs/>
          <w:color w:val="000000"/>
          <w:sz w:val="20"/>
          <w:szCs w:val="20"/>
        </w:rPr>
        <w:t>d product areas, industries and applications, and related technologies and products, as well as in our existing technologies and products, and new technologies, may not generate operating income or contribute to future results of operations that meet our e</w:t>
      </w:r>
      <w:r>
        <w:rPr>
          <w:rFonts w:eastAsia="Times New Roman"/>
          <w:b/>
          <w:bCs/>
          <w:i/>
          <w:iCs/>
          <w:color w:val="000000"/>
          <w:sz w:val="20"/>
          <w:szCs w:val="20"/>
        </w:rPr>
        <w:t>xpectations.</w:t>
      </w:r>
    </w:p>
    <w:p w:rsidR="00000000" w:rsidRDefault="008931E1">
      <w:pPr>
        <w:ind w:firstLine="360"/>
        <w:divId w:val="1355880526"/>
        <w:rPr>
          <w:rFonts w:eastAsia="Times New Roman"/>
        </w:rPr>
      </w:pPr>
      <w:r>
        <w:rPr>
          <w:rFonts w:eastAsia="Times New Roman"/>
          <w:color w:val="000000"/>
          <w:sz w:val="20"/>
          <w:szCs w:val="20"/>
        </w:rPr>
        <w:t>While we continue to invest significant resources toward advancements primarily in support of 5G-based technologies, we also invest in new and expanded product areas, and industries and applications beyond mobile handsets, by utilizing our exi</w:t>
      </w:r>
      <w:r>
        <w:rPr>
          <w:rFonts w:eastAsia="Times New Roman"/>
          <w:color w:val="000000"/>
          <w:sz w:val="20"/>
          <w:szCs w:val="20"/>
        </w:rPr>
        <w:t>sting technical and business expertise and through acquisitions or other strategic transactions.</w:t>
      </w:r>
    </w:p>
    <w:p w:rsidR="00000000" w:rsidRDefault="008931E1">
      <w:pPr>
        <w:ind w:firstLine="360"/>
        <w:divId w:val="2095277002"/>
        <w:rPr>
          <w:rFonts w:eastAsia="Times New Roman"/>
        </w:rPr>
      </w:pPr>
      <w:r>
        <w:rPr>
          <w:rFonts w:eastAsia="Times New Roman"/>
          <w:color w:val="000000"/>
          <w:sz w:val="20"/>
          <w:szCs w:val="20"/>
        </w:rPr>
        <w:t xml:space="preserve">In particular, our future growth depends in part on new and expanded product areas, and industries and applications beyond mobile handsets, such as automotive </w:t>
      </w:r>
      <w:r>
        <w:rPr>
          <w:rFonts w:eastAsia="Times New Roman"/>
          <w:color w:val="000000"/>
          <w:sz w:val="20"/>
          <w:szCs w:val="20"/>
        </w:rPr>
        <w:t>and IoT; our ability to develop leading and cost-effective technologies and products for these new and expanded product areas, industries and applications; and third parties incorporating our technologies and products into devices used in these product are</w:t>
      </w:r>
      <w:r>
        <w:rPr>
          <w:rFonts w:eastAsia="Times New Roman"/>
          <w:color w:val="000000"/>
          <w:sz w:val="20"/>
          <w:szCs w:val="20"/>
        </w:rPr>
        <w:t>as, industries and applications. Accordingly, we intend to continue to make substantial investments in these new and expanded product areas, industries and applications, and in developing related products and technologies. Our growth also depends significa</w:t>
      </w:r>
      <w:r>
        <w:rPr>
          <w:rFonts w:eastAsia="Times New Roman"/>
          <w:color w:val="000000"/>
          <w:sz w:val="20"/>
          <w:szCs w:val="20"/>
        </w:rPr>
        <w:t>ntly on our ability to develop and patent 5G and next-generation wireless technologies, and to develop and commercialize products using these technologies.</w:t>
      </w:r>
    </w:p>
    <w:p w:rsidR="00000000" w:rsidRDefault="008931E1">
      <w:pPr>
        <w:ind w:firstLine="360"/>
        <w:divId w:val="1394280235"/>
        <w:rPr>
          <w:rFonts w:eastAsia="Times New Roman"/>
        </w:rPr>
      </w:pPr>
      <w:r>
        <w:rPr>
          <w:rFonts w:eastAsia="Times New Roman"/>
          <w:color w:val="000000"/>
          <w:sz w:val="20"/>
          <w:szCs w:val="20"/>
        </w:rPr>
        <w:t>However, our research, development and other investments in these new and expanded product areas, in</w:t>
      </w:r>
      <w:r>
        <w:rPr>
          <w:rFonts w:eastAsia="Times New Roman"/>
          <w:color w:val="000000"/>
          <w:sz w:val="20"/>
          <w:szCs w:val="20"/>
        </w:rPr>
        <w:t>dustries and applications, and corresponding technologies and products, as well as in our existing technologies and products and new technologies in mobile handsets, may not succeed because, among other reasons: we may not be issued patents on the technolo</w:t>
      </w:r>
      <w:r>
        <w:rPr>
          <w:rFonts w:eastAsia="Times New Roman"/>
          <w:color w:val="000000"/>
          <w:sz w:val="20"/>
          <w:szCs w:val="20"/>
        </w:rPr>
        <w:t>gies we develop; the technologies we develop may not be incorporated into relevant standards; new and expanded product areas, industries and applications beyond mobile handsets, and consumer demand therein, may not develop or grow as anticipated; we may be</w:t>
      </w:r>
      <w:r>
        <w:rPr>
          <w:rFonts w:eastAsia="Times New Roman"/>
          <w:color w:val="000000"/>
          <w:sz w:val="20"/>
          <w:szCs w:val="20"/>
        </w:rPr>
        <w:t xml:space="preserve"> unable to attract or retain employees with the necessary skills in such new and expanded product areas, industries and applications; our strategies or the strategies of our customers, licensees or partners may not be successful; alternate technologies or </w:t>
      </w:r>
      <w:r>
        <w:rPr>
          <w:rFonts w:eastAsia="Times New Roman"/>
          <w:color w:val="000000"/>
          <w:sz w:val="20"/>
          <w:szCs w:val="20"/>
        </w:rPr>
        <w:t>products may be better or may reduce the advantages we anticipate from our investments; competitors’ technologies or products may be more cost effective, have more capabilities or fewer limitations or be brought to market faster than our new technologies o</w:t>
      </w:r>
      <w:r>
        <w:rPr>
          <w:rFonts w:eastAsia="Times New Roman"/>
          <w:color w:val="000000"/>
          <w:sz w:val="20"/>
          <w:szCs w:val="20"/>
        </w:rPr>
        <w:t>r products; we may not be able to develop, or our competitors may have more established and/or stronger, customer, vendor, distributor or other channel relationships; and competitors may have longer operating histories in industries and applications that a</w:t>
      </w:r>
      <w:r>
        <w:rPr>
          <w:rFonts w:eastAsia="Times New Roman"/>
          <w:color w:val="000000"/>
          <w:sz w:val="20"/>
          <w:szCs w:val="20"/>
        </w:rPr>
        <w:t xml:space="preserve">re new to us. We may also underestimate the costs of, or overestimate the future revenues or margins that could result from, these investments, and these investments may not, or may take many years to, generate material returns. </w:t>
      </w:r>
    </w:p>
    <w:p w:rsidR="00000000" w:rsidRDefault="008931E1">
      <w:pPr>
        <w:ind w:firstLine="360"/>
        <w:divId w:val="356780607"/>
        <w:rPr>
          <w:rFonts w:eastAsia="Times New Roman"/>
        </w:rPr>
      </w:pPr>
      <w:r>
        <w:rPr>
          <w:rFonts w:eastAsia="Times New Roman"/>
          <w:color w:val="000000"/>
          <w:sz w:val="20"/>
          <w:szCs w:val="20"/>
        </w:rPr>
        <w:t>For example, the automotiv</w:t>
      </w:r>
      <w:r>
        <w:rPr>
          <w:rFonts w:eastAsia="Times New Roman"/>
          <w:color w:val="000000"/>
          <w:sz w:val="20"/>
          <w:szCs w:val="20"/>
        </w:rPr>
        <w:t xml:space="preserve">e industry is subject to long design-in time frames, long product life cycles and a high degree of regulatory and safety requirements, necessitating suppliers to the industry to comply with stringent qualification processes, very low defect rates and high </w:t>
      </w:r>
      <w:r>
        <w:rPr>
          <w:rFonts w:eastAsia="Times New Roman"/>
          <w:color w:val="000000"/>
          <w:sz w:val="20"/>
          <w:szCs w:val="20"/>
        </w:rPr>
        <w:t>reliability standards, all of which results in significant barriers to entry and increased costs. Additionally, certain customers have adopted, and other customers may adopt, policies that require us to achieve certain sustainability, climate or other envi</w:t>
      </w:r>
      <w:r>
        <w:rPr>
          <w:rFonts w:eastAsia="Times New Roman"/>
          <w:color w:val="000000"/>
          <w:sz w:val="20"/>
          <w:szCs w:val="20"/>
        </w:rPr>
        <w:t>ronmental, social and governance (ESG)-related targets, such as our 2040 net-zero global GHG emissions commitment and our interim GHG emissions reduction goals. If we fail to achieve ESG-related targets that meet our customers’ requirements or expectations</w:t>
      </w:r>
      <w:r>
        <w:rPr>
          <w:rFonts w:eastAsia="Times New Roman"/>
          <w:color w:val="000000"/>
          <w:sz w:val="20"/>
          <w:szCs w:val="20"/>
        </w:rPr>
        <w:t xml:space="preserve">, these customers may not purchase products or services from us. </w:t>
      </w:r>
    </w:p>
    <w:p w:rsidR="00000000" w:rsidRDefault="008931E1">
      <w:pPr>
        <w:ind w:firstLine="360"/>
        <w:divId w:val="609240393"/>
        <w:rPr>
          <w:rFonts w:eastAsia="Times New Roman"/>
        </w:rPr>
      </w:pPr>
      <w:r>
        <w:rPr>
          <w:rFonts w:eastAsia="Times New Roman"/>
          <w:color w:val="000000"/>
          <w:sz w:val="20"/>
          <w:szCs w:val="20"/>
        </w:rPr>
        <w:t>If our products fail to perform to specifications, compete with the product quality of our competitors or meet quality or regulatory standards (including product safety and information secur</w:t>
      </w:r>
      <w:r>
        <w:rPr>
          <w:rFonts w:eastAsia="Times New Roman"/>
          <w:color w:val="000000"/>
          <w:sz w:val="20"/>
          <w:szCs w:val="20"/>
        </w:rPr>
        <w:t>ity standards, which may differ by region, geography and industry, and which are particularly stringent in the automotive industry) or other standards (including sustainability or other ESG-related standards) of a particular industry or application, we may</w:t>
      </w:r>
      <w:r>
        <w:rPr>
          <w:rFonts w:eastAsia="Times New Roman"/>
          <w:color w:val="000000"/>
          <w:sz w:val="20"/>
          <w:szCs w:val="20"/>
        </w:rPr>
        <w:t xml:space="preserve"> be unable to successfully expand our business in that industry or application, and our growth could be limited.</w:t>
      </w:r>
    </w:p>
    <w:p w:rsidR="00000000" w:rsidRDefault="008931E1">
      <w:pPr>
        <w:ind w:firstLine="360"/>
        <w:divId w:val="693530805"/>
        <w:rPr>
          <w:rFonts w:eastAsia="Times New Roman"/>
        </w:rPr>
      </w:pPr>
      <w:r>
        <w:rPr>
          <w:rFonts w:eastAsia="Times New Roman"/>
          <w:color w:val="000000"/>
          <w:sz w:val="20"/>
          <w:szCs w:val="20"/>
        </w:rPr>
        <w:t>In addition, in order to successfully extend our technologies and products into new and expanded product areas, and industries and applications</w:t>
      </w:r>
      <w:r>
        <w:rPr>
          <w:rFonts w:eastAsia="Times New Roman"/>
          <w:color w:val="000000"/>
          <w:sz w:val="20"/>
          <w:szCs w:val="20"/>
        </w:rPr>
        <w:t xml:space="preserve"> beyond mobile handsets, we may need to transition to new business models or transform aspects of our organization, and we may not be successful in doing so.</w:t>
      </w:r>
    </w:p>
    <w:p w:rsidR="00000000" w:rsidRDefault="008931E1">
      <w:pPr>
        <w:ind w:firstLine="360"/>
        <w:divId w:val="1924800664"/>
        <w:rPr>
          <w:rFonts w:eastAsia="Times New Roman"/>
        </w:rPr>
      </w:pPr>
      <w:r>
        <w:rPr>
          <w:rFonts w:eastAsia="Times New Roman"/>
          <w:color w:val="000000"/>
          <w:sz w:val="20"/>
          <w:szCs w:val="20"/>
        </w:rPr>
        <w:t xml:space="preserve">If we are not successful in extending our technologies and products into new and expanded product </w:t>
      </w:r>
      <w:r>
        <w:rPr>
          <w:rFonts w:eastAsia="Times New Roman"/>
          <w:color w:val="000000"/>
          <w:sz w:val="20"/>
          <w:szCs w:val="20"/>
        </w:rPr>
        <w:t>areas, and industries and applications beyond mobile handsets, if our new technologies and products are not successful, or if we are not successful in the time frames we anticipate, we may incur significant costs and asset impairments, our business and rev</w:t>
      </w:r>
      <w:r>
        <w:rPr>
          <w:rFonts w:eastAsia="Times New Roman"/>
          <w:color w:val="000000"/>
          <w:sz w:val="20"/>
          <w:szCs w:val="20"/>
        </w:rPr>
        <w:t>enues may not grow or grow as anticipated, our revenues and margins may be negatively impacted, our stock price may decline and our reputation may be harmed.</w:t>
      </w:r>
    </w:p>
    <w:p w:rsidR="00000000" w:rsidRDefault="008931E1">
      <w:pPr>
        <w:divId w:val="100147040"/>
        <w:rPr>
          <w:rFonts w:eastAsia="Times New Roman"/>
        </w:rPr>
      </w:pPr>
      <w:r>
        <w:rPr>
          <w:rFonts w:eastAsia="Times New Roman"/>
          <w:b/>
          <w:bCs/>
          <w:i/>
          <w:iCs/>
          <w:color w:val="000000"/>
          <w:sz w:val="20"/>
          <w:szCs w:val="20"/>
        </w:rPr>
        <w:t>We may engage in acquisitions and other strategic transactions or make investments, or be unable t</w:t>
      </w:r>
      <w:r>
        <w:rPr>
          <w:rFonts w:eastAsia="Times New Roman"/>
          <w:b/>
          <w:bCs/>
          <w:i/>
          <w:iCs/>
          <w:color w:val="000000"/>
          <w:sz w:val="20"/>
          <w:szCs w:val="20"/>
        </w:rPr>
        <w:t>o consummate planned strategic acquisitions, which could adversely affect our results of operations or fail to enhance stockholder value.</w:t>
      </w:r>
    </w:p>
    <w:p w:rsidR="00000000" w:rsidRDefault="008931E1">
      <w:pPr>
        <w:ind w:firstLine="360"/>
        <w:divId w:val="1205095834"/>
        <w:rPr>
          <w:rFonts w:eastAsia="Times New Roman"/>
        </w:rPr>
      </w:pPr>
      <w:r>
        <w:rPr>
          <w:rFonts w:eastAsia="Times New Roman"/>
          <w:color w:val="000000"/>
          <w:sz w:val="20"/>
          <w:szCs w:val="20"/>
        </w:rPr>
        <w:t>We engage in acquisitions and other strategic transactions, including joint ventures, and make investments, which we b</w:t>
      </w:r>
      <w:r>
        <w:rPr>
          <w:rFonts w:eastAsia="Times New Roman"/>
          <w:color w:val="000000"/>
          <w:sz w:val="20"/>
          <w:szCs w:val="20"/>
        </w:rPr>
        <w:t xml:space="preserve">elieve are important to the future of our business. We routinely acquire businesses and other assets, including patents, technology and other intangible assets, enter into joint ventures or other strategic transactions, and purchase minority equity </w:t>
      </w:r>
    </w:p>
    <w:p w:rsidR="00000000" w:rsidRDefault="008931E1">
      <w:pPr>
        <w:jc w:val="center"/>
        <w:divId w:val="976882168"/>
        <w:rPr>
          <w:rFonts w:eastAsia="Times New Roman"/>
        </w:rPr>
      </w:pPr>
      <w:r>
        <w:rPr>
          <w:rFonts w:eastAsia="Times New Roman"/>
          <w:color w:val="000000"/>
          <w:sz w:val="20"/>
          <w:szCs w:val="20"/>
        </w:rPr>
        <w:t>21</w:t>
      </w:r>
    </w:p>
    <w:p w:rsidR="00000000" w:rsidRDefault="008931E1">
      <w:pPr>
        <w:rPr>
          <w:rFonts w:eastAsia="Times New Roman"/>
        </w:rPr>
      </w:pPr>
      <w:r>
        <w:rPr>
          <w:rFonts w:eastAsia="Times New Roman"/>
        </w:rPr>
        <w:pict>
          <v:rect id="_x0000_i1044" style="width:0;height:1.5pt" o:hralign="center" o:hrstd="t" o:hr="t" fillcolor="#a0a0a0" stroked="f"/>
        </w:pict>
      </w:r>
    </w:p>
    <w:p w:rsidR="00000000" w:rsidRDefault="008931E1">
      <w:pPr>
        <w:divId w:val="1499732079"/>
        <w:rPr>
          <w:rFonts w:eastAsia="Times New Roman"/>
        </w:rPr>
      </w:pPr>
    </w:p>
    <w:p w:rsidR="00000000" w:rsidRDefault="008931E1">
      <w:pPr>
        <w:divId w:val="1737431763"/>
        <w:rPr>
          <w:rFonts w:eastAsia="Times New Roman"/>
        </w:rPr>
      </w:pPr>
      <w:r>
        <w:rPr>
          <w:rFonts w:eastAsia="Times New Roman"/>
          <w:color w:val="000000"/>
          <w:sz w:val="20"/>
          <w:szCs w:val="20"/>
        </w:rPr>
        <w:t>interests in or make loans to companies, including those that may be private and early-stage. Our strategic activities are generally focused on opening or expanding opportunities for our products and technologies, suppor</w:t>
      </w:r>
      <w:r>
        <w:rPr>
          <w:rFonts w:eastAsia="Times New Roman"/>
          <w:color w:val="000000"/>
          <w:sz w:val="20"/>
          <w:szCs w:val="20"/>
        </w:rPr>
        <w:t>ting the design and introduction of new products (or enhancing existing products) for mobile handsets, and furthering our growth and diversification strategy in industries and applications beyond mobile handsets. Many of our strategic activities entail a h</w:t>
      </w:r>
      <w:r>
        <w:rPr>
          <w:rFonts w:eastAsia="Times New Roman"/>
          <w:color w:val="000000"/>
          <w:sz w:val="20"/>
          <w:szCs w:val="20"/>
        </w:rPr>
        <w:t>igh degree of risk and require the use of significant amounts of capital, and investments may not become liquid for several years after the date of the investment, if at all. Our strategic activities may not be successful, generate financial returns or res</w:t>
      </w:r>
      <w:r>
        <w:rPr>
          <w:rFonts w:eastAsia="Times New Roman"/>
          <w:color w:val="000000"/>
          <w:sz w:val="20"/>
          <w:szCs w:val="20"/>
        </w:rPr>
        <w:t>ult in increased adoption or continued use of our technologies or products. We may underestimate the costs or overestimate the benefits, including product, revenue, cost and other synergies and growth opportunities that we expect to realize, and we may not</w:t>
      </w:r>
      <w:r>
        <w:rPr>
          <w:rFonts w:eastAsia="Times New Roman"/>
          <w:color w:val="000000"/>
          <w:sz w:val="20"/>
          <w:szCs w:val="20"/>
        </w:rPr>
        <w:t xml:space="preserve"> achieve those benefits. In some cases, we may be required to consolidate or record our share of the earnings or losses of companies in which we have acquired ownership or variable interests. In addition, we have in the past recorded, and may in the future</w:t>
      </w:r>
      <w:r>
        <w:rPr>
          <w:rFonts w:eastAsia="Times New Roman"/>
          <w:color w:val="000000"/>
          <w:sz w:val="20"/>
          <w:szCs w:val="20"/>
        </w:rPr>
        <w:t xml:space="preserve"> record, impairment or other charges related to our strategic activities. Any losses or impairment charges that we incur related to strategic activities will have a negative impact on our results of operations and financial condition, and we may continue t</w:t>
      </w:r>
      <w:r>
        <w:rPr>
          <w:rFonts w:eastAsia="Times New Roman"/>
          <w:color w:val="000000"/>
          <w:sz w:val="20"/>
          <w:szCs w:val="20"/>
        </w:rPr>
        <w:t>o incur new or additional losses related to strategic assets or investments that we have not fully impaired or exited.</w:t>
      </w:r>
    </w:p>
    <w:p w:rsidR="00000000" w:rsidRDefault="008931E1">
      <w:pPr>
        <w:ind w:firstLine="360"/>
        <w:divId w:val="540022334"/>
        <w:rPr>
          <w:rFonts w:eastAsia="Times New Roman"/>
        </w:rPr>
      </w:pPr>
      <w:r>
        <w:rPr>
          <w:rFonts w:eastAsia="Times New Roman"/>
          <w:color w:val="000000"/>
          <w:sz w:val="20"/>
          <w:szCs w:val="20"/>
        </w:rPr>
        <w:t xml:space="preserve">Achieving the anticipated benefits of business acquisitions depends in part upon our ability to integrate the businesses in an efficient </w:t>
      </w:r>
      <w:r>
        <w:rPr>
          <w:rFonts w:eastAsia="Times New Roman"/>
          <w:color w:val="000000"/>
          <w:sz w:val="20"/>
          <w:szCs w:val="20"/>
        </w:rPr>
        <w:t>and effective manner and achieve anticipated synergies, and we may not be successful in these efforts. Such integration is complex and time consuming and involves significant challenges, including, among others: retaining key employees; successfully integr</w:t>
      </w:r>
      <w:r>
        <w:rPr>
          <w:rFonts w:eastAsia="Times New Roman"/>
          <w:color w:val="000000"/>
          <w:sz w:val="20"/>
          <w:szCs w:val="20"/>
        </w:rPr>
        <w:t>ating new employees, facilities, technology, products, processes, operations (including supply and manufacturing operations), sales and distribution channels, business models and business systems; retaining customers and suppliers of the businesses; consol</w:t>
      </w:r>
      <w:r>
        <w:rPr>
          <w:rFonts w:eastAsia="Times New Roman"/>
          <w:color w:val="000000"/>
          <w:sz w:val="20"/>
          <w:szCs w:val="20"/>
        </w:rPr>
        <w:t>idating research and development operations; minimizing the diversion of management’s attention from ongoing business matters; consolidating corporate and administrative infrastructures; and managing the increased scale, complexity and globalization of our</w:t>
      </w:r>
      <w:r>
        <w:rPr>
          <w:rFonts w:eastAsia="Times New Roman"/>
          <w:color w:val="000000"/>
          <w:sz w:val="20"/>
          <w:szCs w:val="20"/>
        </w:rPr>
        <w:t xml:space="preserve"> business, operations and employee base. We may not derive any commercial value from acquired technologies or products or from future technologies or products based on these technologies, and we may become subject to liabilities, including liabilities aris</w:t>
      </w:r>
      <w:r>
        <w:rPr>
          <w:rFonts w:eastAsia="Times New Roman"/>
          <w:color w:val="000000"/>
          <w:sz w:val="20"/>
          <w:szCs w:val="20"/>
        </w:rPr>
        <w:t>ing as a result of litigation, that are not covered by any indemnification protection that we may obtain. Additionally, we may not be successful in entering or expanding into new sales or distribution channels, business or operational models, geographic re</w:t>
      </w:r>
      <w:r>
        <w:rPr>
          <w:rFonts w:eastAsia="Times New Roman"/>
          <w:color w:val="000000"/>
          <w:sz w:val="20"/>
          <w:szCs w:val="20"/>
        </w:rPr>
        <w:t>gions, industries and applications served by or adjacent to the associated businesses or in addressing potential new opportunities that may arise out of our strategic acquisitions.</w:t>
      </w:r>
    </w:p>
    <w:p w:rsidR="00000000" w:rsidRDefault="008931E1">
      <w:pPr>
        <w:ind w:firstLine="360"/>
        <w:divId w:val="1489400121"/>
        <w:rPr>
          <w:rFonts w:eastAsia="Times New Roman"/>
        </w:rPr>
      </w:pPr>
      <w:r>
        <w:rPr>
          <w:rFonts w:eastAsia="Times New Roman"/>
          <w:color w:val="000000"/>
          <w:sz w:val="20"/>
          <w:szCs w:val="20"/>
        </w:rPr>
        <w:t>Many of our acquisitions and other strategic investments require approval b</w:t>
      </w:r>
      <w:r>
        <w:rPr>
          <w:rFonts w:eastAsia="Times New Roman"/>
          <w:color w:val="000000"/>
          <w:sz w:val="20"/>
          <w:szCs w:val="20"/>
        </w:rPr>
        <w:t>y the United States and/or foreign government agencies. Certain agencies in the past have, and may in the future, deny the transaction or fail to approve in a timely manner, resulting in us not realizing the anticipated benefits of the proposed transaction</w:t>
      </w:r>
      <w:r>
        <w:rPr>
          <w:rFonts w:eastAsia="Times New Roman"/>
          <w:color w:val="000000"/>
          <w:sz w:val="20"/>
          <w:szCs w:val="20"/>
        </w:rPr>
        <w:t>. Future acquisitions or other strategic investments may be more difficult, complex or expensive to the extent that our reputation for our ability to consummate acquisitions has been or is in the future harmed. Further, if U.S./China relations remain strai</w:t>
      </w:r>
      <w:r>
        <w:rPr>
          <w:rFonts w:eastAsia="Times New Roman"/>
          <w:color w:val="000000"/>
          <w:sz w:val="20"/>
          <w:szCs w:val="20"/>
        </w:rPr>
        <w:t>ned, our ability to consummate any transaction that would require approval from the relevant regulatory agency(ies) in China may be severely impacted. In addition, acquisitions that we have completed could subsequently be reviewed and/or challenged by gove</w:t>
      </w:r>
      <w:r>
        <w:rPr>
          <w:rFonts w:eastAsia="Times New Roman"/>
          <w:color w:val="000000"/>
          <w:sz w:val="20"/>
          <w:szCs w:val="20"/>
        </w:rPr>
        <w:t>rnment agencies, which could result in fines, penalties or other liability, or requirements to divest all or a portion of an acquired business.</w:t>
      </w:r>
    </w:p>
    <w:p w:rsidR="00000000" w:rsidRDefault="008931E1">
      <w:pPr>
        <w:ind w:firstLine="360"/>
        <w:divId w:val="999231140"/>
        <w:rPr>
          <w:rFonts w:eastAsia="Times New Roman"/>
        </w:rPr>
      </w:pPr>
      <w:r>
        <w:rPr>
          <w:rFonts w:eastAsia="Times New Roman"/>
          <w:color w:val="000000"/>
          <w:sz w:val="20"/>
          <w:szCs w:val="20"/>
        </w:rPr>
        <w:t>If we do not achieve the anticipated benefits of business acquisitions or other strategic activities, or if we are unable to consummate acquisitions or strategic investments that we consider important to the future of our business, our business and results</w:t>
      </w:r>
      <w:r>
        <w:rPr>
          <w:rFonts w:eastAsia="Times New Roman"/>
          <w:color w:val="000000"/>
          <w:sz w:val="20"/>
          <w:szCs w:val="20"/>
        </w:rPr>
        <w:t xml:space="preserve"> of operations may be adversely affected, our growth and diversification strategy may not be successful, our stock price may decline and our reputation may be harmed.</w:t>
      </w:r>
    </w:p>
    <w:p w:rsidR="00000000" w:rsidRDefault="008931E1">
      <w:pPr>
        <w:divId w:val="621810927"/>
        <w:rPr>
          <w:rFonts w:eastAsia="Times New Roman"/>
        </w:rPr>
      </w:pPr>
      <w:r>
        <w:rPr>
          <w:rFonts w:eastAsia="Times New Roman"/>
          <w:b/>
          <w:bCs/>
          <w:color w:val="000000"/>
          <w:sz w:val="20"/>
          <w:szCs w:val="20"/>
        </w:rPr>
        <w:t xml:space="preserve">RISKS RELATED TO SUPPLY AND MANUFACTURING </w:t>
      </w:r>
    </w:p>
    <w:p w:rsidR="00000000" w:rsidRDefault="008931E1">
      <w:pPr>
        <w:divId w:val="274365608"/>
        <w:rPr>
          <w:rFonts w:eastAsia="Times New Roman"/>
        </w:rPr>
      </w:pPr>
      <w:r>
        <w:rPr>
          <w:rFonts w:eastAsia="Times New Roman"/>
          <w:b/>
          <w:bCs/>
          <w:i/>
          <w:iCs/>
          <w:color w:val="000000"/>
          <w:sz w:val="20"/>
          <w:szCs w:val="20"/>
        </w:rPr>
        <w:t>We depend on a limited number of third-party s</w:t>
      </w:r>
      <w:r>
        <w:rPr>
          <w:rFonts w:eastAsia="Times New Roman"/>
          <w:b/>
          <w:bCs/>
          <w:i/>
          <w:iCs/>
          <w:color w:val="000000"/>
          <w:sz w:val="20"/>
          <w:szCs w:val="20"/>
        </w:rPr>
        <w:t>uppliers for the procurement, manufacture, assembly and testing of our products manufactured in a fabless production model. If we fail to execute supply strategies that provide supply assurance, technology leadership and reasonable margins, our business an</w:t>
      </w:r>
      <w:r>
        <w:rPr>
          <w:rFonts w:eastAsia="Times New Roman"/>
          <w:b/>
          <w:bCs/>
          <w:i/>
          <w:iCs/>
          <w:color w:val="000000"/>
          <w:sz w:val="20"/>
          <w:szCs w:val="20"/>
        </w:rPr>
        <w:t>d results of operations may be harmed. We are also subject to order and shipment uncertainties that could negatively impact our results of operations.</w:t>
      </w:r>
    </w:p>
    <w:p w:rsidR="00000000" w:rsidRDefault="008931E1">
      <w:pPr>
        <w:ind w:firstLine="360"/>
        <w:divId w:val="1783381615"/>
        <w:rPr>
          <w:rFonts w:eastAsia="Times New Roman"/>
        </w:rPr>
      </w:pPr>
      <w:r>
        <w:rPr>
          <w:rFonts w:eastAsia="Times New Roman"/>
          <w:color w:val="000000"/>
          <w:sz w:val="20"/>
          <w:szCs w:val="20"/>
        </w:rPr>
        <w:t xml:space="preserve">We primarily utilize a fabless production model, which means that we do not own or operate foundries for </w:t>
      </w:r>
      <w:r>
        <w:rPr>
          <w:rFonts w:eastAsia="Times New Roman"/>
          <w:color w:val="000000"/>
          <w:sz w:val="20"/>
          <w:szCs w:val="20"/>
        </w:rPr>
        <w:t>the production of silicon wafers from which our integrated circuits are made. Other than the facilities we own that manufacture certain of our RFFE modules and RF (radio frequency) filter products, we rely on third-party suppliers to perform the manufactur</w:t>
      </w:r>
      <w:r>
        <w:rPr>
          <w:rFonts w:eastAsia="Times New Roman"/>
          <w:color w:val="000000"/>
          <w:sz w:val="20"/>
          <w:szCs w:val="20"/>
        </w:rPr>
        <w:t>ing and assembly, and most of the testing, of our integrated circuits. Our suppliers are also responsible for the procurement of most of the raw materials used in the production of our integrated circuits. There are a limited number of such third-party sup</w:t>
      </w:r>
      <w:r>
        <w:rPr>
          <w:rFonts w:eastAsia="Times New Roman"/>
          <w:color w:val="000000"/>
          <w:sz w:val="20"/>
          <w:szCs w:val="20"/>
        </w:rPr>
        <w:t>pliers, and even fewer who are capable of manufacturing at the leading process technology nodes, or who are willing to operate at older process technology nodes necessary for certain of our integrated circuit products. The semiconductor manufacturing found</w:t>
      </w:r>
      <w:r>
        <w:rPr>
          <w:rFonts w:eastAsia="Times New Roman"/>
          <w:color w:val="000000"/>
          <w:sz w:val="20"/>
          <w:szCs w:val="20"/>
        </w:rPr>
        <w:t>ries that supply our products are primarily located in Asia, as are the primary warehouses where we store finished goods for fulfillment of customer orders.</w:t>
      </w:r>
    </w:p>
    <w:p w:rsidR="00000000" w:rsidRDefault="008931E1">
      <w:pPr>
        <w:ind w:firstLine="360"/>
        <w:divId w:val="1113131235"/>
        <w:rPr>
          <w:rFonts w:eastAsia="Times New Roman"/>
        </w:rPr>
      </w:pPr>
      <w:r>
        <w:rPr>
          <w:rFonts w:eastAsia="Times New Roman"/>
          <w:color w:val="000000"/>
          <w:sz w:val="20"/>
          <w:szCs w:val="20"/>
        </w:rPr>
        <w:t>The following issues related to our third-party suppliers could have an adverse effect on our abili</w:t>
      </w:r>
      <w:r>
        <w:rPr>
          <w:rFonts w:eastAsia="Times New Roman"/>
          <w:color w:val="000000"/>
          <w:sz w:val="20"/>
          <w:szCs w:val="20"/>
        </w:rPr>
        <w:t>ty to meet customer demand and negatively impact our revenues, business operations, profitability and cash flows:</w:t>
      </w:r>
    </w:p>
    <w:p w:rsidR="00000000" w:rsidRDefault="008931E1">
      <w:pPr>
        <w:ind w:hanging="360"/>
        <w:divId w:val="27798563"/>
        <w:rPr>
          <w:rFonts w:eastAsia="Times New Roman"/>
        </w:rPr>
      </w:pPr>
      <w:r>
        <w:rPr>
          <w:rFonts w:eastAsia="Times New Roman"/>
          <w:color w:val="000000"/>
          <w:sz w:val="20"/>
          <w:szCs w:val="20"/>
        </w:rPr>
        <w:t>•our suppliers’ failure or inability to react to shifts in product demand, including situations where demand for integrated circuits exceeds s</w:t>
      </w:r>
      <w:r>
        <w:rPr>
          <w:rFonts w:eastAsia="Times New Roman"/>
          <w:color w:val="000000"/>
          <w:sz w:val="20"/>
          <w:szCs w:val="20"/>
        </w:rPr>
        <w:t>uppliers’ capacity to meet that demand;</w:t>
      </w:r>
    </w:p>
    <w:p w:rsidR="00000000" w:rsidRDefault="008931E1">
      <w:pPr>
        <w:jc w:val="center"/>
        <w:divId w:val="1222257039"/>
        <w:rPr>
          <w:rFonts w:eastAsia="Times New Roman"/>
        </w:rPr>
      </w:pPr>
      <w:r>
        <w:rPr>
          <w:rFonts w:eastAsia="Times New Roman"/>
          <w:color w:val="000000"/>
          <w:sz w:val="20"/>
          <w:szCs w:val="20"/>
        </w:rPr>
        <w:t>22</w:t>
      </w:r>
    </w:p>
    <w:p w:rsidR="00000000" w:rsidRDefault="008931E1">
      <w:pPr>
        <w:rPr>
          <w:rFonts w:eastAsia="Times New Roman"/>
        </w:rPr>
      </w:pPr>
      <w:r>
        <w:rPr>
          <w:rFonts w:eastAsia="Times New Roman"/>
        </w:rPr>
        <w:pict>
          <v:rect id="_x0000_i1045" style="width:0;height:1.5pt" o:hralign="center" o:hrstd="t" o:hr="t" fillcolor="#a0a0a0" stroked="f"/>
        </w:pict>
      </w:r>
    </w:p>
    <w:p w:rsidR="00000000" w:rsidRDefault="008931E1">
      <w:pPr>
        <w:divId w:val="615792780"/>
        <w:rPr>
          <w:rFonts w:eastAsia="Times New Roman"/>
        </w:rPr>
      </w:pPr>
    </w:p>
    <w:p w:rsidR="00000000" w:rsidRDefault="008931E1">
      <w:pPr>
        <w:ind w:hanging="360"/>
        <w:divId w:val="1725367919"/>
        <w:rPr>
          <w:rFonts w:eastAsia="Times New Roman"/>
        </w:rPr>
      </w:pPr>
      <w:r>
        <w:rPr>
          <w:rFonts w:eastAsia="Times New Roman"/>
          <w:color w:val="000000"/>
          <w:sz w:val="20"/>
          <w:szCs w:val="20"/>
        </w:rPr>
        <w:t>•</w:t>
      </w:r>
      <w:r>
        <w:rPr>
          <w:rFonts w:eastAsia="Times New Roman"/>
          <w:color w:val="000000"/>
          <w:sz w:val="20"/>
          <w:szCs w:val="20"/>
        </w:rPr>
        <w:t>a failure or inability by our suppliers to procure raw materials or allocate adequate raw materials for our products, or an increase in prices for raw materials or components;</w:t>
      </w:r>
    </w:p>
    <w:p w:rsidR="00000000" w:rsidRDefault="008931E1">
      <w:pPr>
        <w:ind w:hanging="360"/>
        <w:divId w:val="1350907651"/>
        <w:rPr>
          <w:rFonts w:eastAsia="Times New Roman"/>
        </w:rPr>
      </w:pPr>
      <w:r>
        <w:rPr>
          <w:rFonts w:eastAsia="Times New Roman"/>
          <w:color w:val="000000"/>
          <w:sz w:val="20"/>
          <w:szCs w:val="20"/>
        </w:rPr>
        <w:t>•an inability to procure or utilize raw materials, components or products from o</w:t>
      </w:r>
      <w:r>
        <w:rPr>
          <w:rFonts w:eastAsia="Times New Roman"/>
          <w:color w:val="000000"/>
          <w:sz w:val="20"/>
          <w:szCs w:val="20"/>
        </w:rPr>
        <w:t>ur suppliers due to government prohibitions or restrictions on transactions with certain countries and/or companies, and alternative suppliers, raw material sources or raw materials are not available or not available in acceptable time frames or upon accep</w:t>
      </w:r>
      <w:r>
        <w:rPr>
          <w:rFonts w:eastAsia="Times New Roman"/>
          <w:color w:val="000000"/>
          <w:sz w:val="20"/>
          <w:szCs w:val="20"/>
        </w:rPr>
        <w:t>table terms;</w:t>
      </w:r>
    </w:p>
    <w:p w:rsidR="00000000" w:rsidRDefault="008931E1">
      <w:pPr>
        <w:ind w:hanging="360"/>
        <w:divId w:val="2137943463"/>
        <w:rPr>
          <w:rFonts w:eastAsia="Times New Roman"/>
        </w:rPr>
      </w:pPr>
      <w:r>
        <w:rPr>
          <w:rFonts w:eastAsia="Times New Roman"/>
          <w:color w:val="000000"/>
          <w:sz w:val="20"/>
          <w:szCs w:val="20"/>
        </w:rPr>
        <w:t>•a failure by our suppliers to allocate adequate manufacturing, assembly or test capacity for our products;</w:t>
      </w:r>
    </w:p>
    <w:p w:rsidR="00000000" w:rsidRDefault="008931E1">
      <w:pPr>
        <w:ind w:hanging="360"/>
        <w:divId w:val="1058363589"/>
        <w:rPr>
          <w:rFonts w:eastAsia="Times New Roman"/>
        </w:rPr>
      </w:pPr>
      <w:r>
        <w:rPr>
          <w:rFonts w:eastAsia="Times New Roman"/>
          <w:color w:val="000000"/>
          <w:sz w:val="20"/>
          <w:szCs w:val="20"/>
        </w:rPr>
        <w:t>•our suppliers’ failure or inability to develop or maintain, or a delay in developing or building out, manufacturing capacity for leadi</w:t>
      </w:r>
      <w:r>
        <w:rPr>
          <w:rFonts w:eastAsia="Times New Roman"/>
          <w:color w:val="000000"/>
          <w:sz w:val="20"/>
          <w:szCs w:val="20"/>
        </w:rPr>
        <w:t>ng process technologies, including transitions to smaller geometry process technologies;</w:t>
      </w:r>
    </w:p>
    <w:p w:rsidR="00000000" w:rsidRDefault="008931E1">
      <w:pPr>
        <w:ind w:hanging="360"/>
        <w:divId w:val="276453590"/>
        <w:rPr>
          <w:rFonts w:eastAsia="Times New Roman"/>
        </w:rPr>
      </w:pPr>
      <w:r>
        <w:rPr>
          <w:rFonts w:eastAsia="Times New Roman"/>
          <w:color w:val="000000"/>
          <w:sz w:val="20"/>
          <w:szCs w:val="20"/>
        </w:rPr>
        <w:t xml:space="preserve">•the loss of a supplier or the failure or inability of a supplier to meet performance, quality or yield specifications or delivery schedules; </w:t>
      </w:r>
    </w:p>
    <w:p w:rsidR="00000000" w:rsidRDefault="008931E1">
      <w:pPr>
        <w:ind w:hanging="360"/>
        <w:divId w:val="956067219"/>
        <w:rPr>
          <w:rFonts w:eastAsia="Times New Roman"/>
        </w:rPr>
      </w:pPr>
      <w:r>
        <w:rPr>
          <w:rFonts w:eastAsia="Times New Roman"/>
          <w:color w:val="000000"/>
          <w:sz w:val="20"/>
          <w:szCs w:val="20"/>
        </w:rPr>
        <w:t>•additional expense or p</w:t>
      </w:r>
      <w:r>
        <w:rPr>
          <w:rFonts w:eastAsia="Times New Roman"/>
          <w:color w:val="000000"/>
          <w:sz w:val="20"/>
          <w:szCs w:val="20"/>
        </w:rPr>
        <w:t>roduction delays as a result of qualifying a new supplier and commencing volume production or testing in the event of a loss of, or a decision to add or change, a supplier;</w:t>
      </w:r>
    </w:p>
    <w:p w:rsidR="00000000" w:rsidRDefault="008931E1">
      <w:pPr>
        <w:ind w:hanging="360"/>
        <w:divId w:val="1540969763"/>
        <w:rPr>
          <w:rFonts w:eastAsia="Times New Roman"/>
        </w:rPr>
      </w:pPr>
      <w:r>
        <w:rPr>
          <w:rFonts w:eastAsia="Times New Roman"/>
          <w:color w:val="000000"/>
          <w:sz w:val="20"/>
          <w:szCs w:val="20"/>
        </w:rPr>
        <w:t>•natural disasters, the effects of climate change, acts of war or other geopolitica</w:t>
      </w:r>
      <w:r>
        <w:rPr>
          <w:rFonts w:eastAsia="Times New Roman"/>
          <w:color w:val="000000"/>
          <w:sz w:val="20"/>
          <w:szCs w:val="20"/>
        </w:rPr>
        <w:t xml:space="preserve">l conflicts impacting the regions in which our suppliers and their manufacturing foundries or assembly, test or other facilities are located; </w:t>
      </w:r>
    </w:p>
    <w:p w:rsidR="00000000" w:rsidRDefault="008931E1">
      <w:pPr>
        <w:ind w:hanging="360"/>
        <w:divId w:val="1203521129"/>
        <w:rPr>
          <w:rFonts w:eastAsia="Times New Roman"/>
        </w:rPr>
      </w:pPr>
      <w:r>
        <w:rPr>
          <w:rFonts w:eastAsia="Times New Roman"/>
          <w:color w:val="000000"/>
          <w:sz w:val="20"/>
          <w:szCs w:val="20"/>
        </w:rPr>
        <w:t>•health crises, including epidemics or pandemics, such as the COVID-19 pandemic, and government and business resp</w:t>
      </w:r>
      <w:r>
        <w:rPr>
          <w:rFonts w:eastAsia="Times New Roman"/>
          <w:color w:val="000000"/>
          <w:sz w:val="20"/>
          <w:szCs w:val="20"/>
        </w:rPr>
        <w:t xml:space="preserve">onses thereto, which impact our suppliers, including as a result of quarantines or closures; </w:t>
      </w:r>
    </w:p>
    <w:p w:rsidR="00000000" w:rsidRDefault="008931E1">
      <w:pPr>
        <w:ind w:hanging="360"/>
        <w:divId w:val="897744320"/>
        <w:rPr>
          <w:rFonts w:eastAsia="Times New Roman"/>
        </w:rPr>
      </w:pPr>
      <w:r>
        <w:rPr>
          <w:rFonts w:eastAsia="Times New Roman"/>
          <w:color w:val="000000"/>
          <w:sz w:val="20"/>
          <w:szCs w:val="20"/>
        </w:rPr>
        <w:t>•cyber-attacks on our suppliers’ information technology (IT) systems, including those related to their manufacturing foundries or assembly, test or other faciliti</w:t>
      </w:r>
      <w:r>
        <w:rPr>
          <w:rFonts w:eastAsia="Times New Roman"/>
          <w:color w:val="000000"/>
          <w:sz w:val="20"/>
          <w:szCs w:val="20"/>
        </w:rPr>
        <w:t>es;</w:t>
      </w:r>
    </w:p>
    <w:p w:rsidR="00000000" w:rsidRDefault="008931E1">
      <w:pPr>
        <w:ind w:hanging="360"/>
        <w:divId w:val="1787772235"/>
        <w:rPr>
          <w:rFonts w:eastAsia="Times New Roman"/>
        </w:rPr>
      </w:pPr>
      <w:r>
        <w:rPr>
          <w:rFonts w:eastAsia="Times New Roman"/>
          <w:color w:val="000000"/>
          <w:sz w:val="20"/>
          <w:szCs w:val="20"/>
        </w:rPr>
        <w:t>•trade or national security protection policies, particularly U.S. or Chinese government policies, that limit or prevent us from transacting business with suppliers of critical integrated circuit products, or that limit or prevent such suppliers from t</w:t>
      </w:r>
      <w:r>
        <w:rPr>
          <w:rFonts w:eastAsia="Times New Roman"/>
          <w:color w:val="000000"/>
          <w:sz w:val="20"/>
          <w:szCs w:val="20"/>
        </w:rPr>
        <w:t>ransacting business with us or from procuring materials, machinery or technology necessary to manufacture goods for us; and</w:t>
      </w:r>
    </w:p>
    <w:p w:rsidR="00000000" w:rsidRDefault="008931E1">
      <w:pPr>
        <w:ind w:hanging="360"/>
        <w:divId w:val="201290960"/>
        <w:rPr>
          <w:rFonts w:eastAsia="Times New Roman"/>
        </w:rPr>
      </w:pPr>
      <w:r>
        <w:rPr>
          <w:rFonts w:eastAsia="Times New Roman"/>
          <w:color w:val="000000"/>
          <w:sz w:val="20"/>
          <w:szCs w:val="20"/>
        </w:rPr>
        <w:t>•any other reduction, interruption, delay or limitation in our product supply sources.</w:t>
      </w:r>
    </w:p>
    <w:p w:rsidR="00000000" w:rsidRDefault="008931E1">
      <w:pPr>
        <w:ind w:firstLine="360"/>
        <w:divId w:val="1860312034"/>
        <w:rPr>
          <w:rFonts w:eastAsia="Times New Roman"/>
        </w:rPr>
      </w:pPr>
      <w:r>
        <w:rPr>
          <w:rFonts w:eastAsia="Times New Roman"/>
          <w:color w:val="000000"/>
          <w:sz w:val="20"/>
          <w:szCs w:val="20"/>
        </w:rPr>
        <w:t xml:space="preserve">We rely on sole- or limited-source suppliers </w:t>
      </w:r>
      <w:r>
        <w:rPr>
          <w:rFonts w:eastAsia="Times New Roman"/>
          <w:color w:val="000000"/>
          <w:sz w:val="20"/>
          <w:szCs w:val="20"/>
        </w:rPr>
        <w:t>for certain products, which may exacerbate the risks identified above, and subject us to other significant risks, including poor product performance and reduced control over delivery schedules, manufacturing capability and yields, quality assurance, quanti</w:t>
      </w:r>
      <w:r>
        <w:rPr>
          <w:rFonts w:eastAsia="Times New Roman"/>
          <w:color w:val="000000"/>
          <w:sz w:val="20"/>
          <w:szCs w:val="20"/>
        </w:rPr>
        <w:t>ty and costs. While we have established and may in the future establish alternate suppliers for certain products, these suppliers may require significant amounts of time and levels of support to bring such products to production, both of which may increase</w:t>
      </w:r>
      <w:r>
        <w:rPr>
          <w:rFonts w:eastAsia="Times New Roman"/>
          <w:color w:val="000000"/>
          <w:sz w:val="20"/>
          <w:szCs w:val="20"/>
        </w:rPr>
        <w:t xml:space="preserve"> for complex or leading process technologies. As a result, we may invest a significant amount of effort and resources and incur higher costs to support and maintain such alternate suppliers. Further, the elimination or limitation of a foundry supplier’s ab</w:t>
      </w:r>
      <w:r>
        <w:rPr>
          <w:rFonts w:eastAsia="Times New Roman"/>
          <w:color w:val="000000"/>
          <w:sz w:val="20"/>
          <w:szCs w:val="20"/>
        </w:rPr>
        <w:t>ility to manufacture components or products for us due to trade or national security protection policies could increase our vulnerability to sole- or limited-source arrangements and limit or prevent us from procuring critical components or products from th</w:t>
      </w:r>
      <w:r>
        <w:rPr>
          <w:rFonts w:eastAsia="Times New Roman"/>
          <w:color w:val="000000"/>
          <w:sz w:val="20"/>
          <w:szCs w:val="20"/>
        </w:rPr>
        <w:t>ose suppliers. Future consolidation of foundry suppliers could also increase our vulnerability to sole- or limited-source arrangements and reduce our suppliers’ willingness to negotiate pricing, which could negatively impact our ability to achieve cost red</w:t>
      </w:r>
      <w:r>
        <w:rPr>
          <w:rFonts w:eastAsia="Times New Roman"/>
          <w:color w:val="000000"/>
          <w:sz w:val="20"/>
          <w:szCs w:val="20"/>
        </w:rPr>
        <w:t>uctions, increase our manufacturing costs and limit the amount of capacity available to us. Our arrangements with our suppliers may obligate us to incur costs to manufacture, assemble and test our products that do not decrease at the same rate as decreases</w:t>
      </w:r>
      <w:r>
        <w:rPr>
          <w:rFonts w:eastAsia="Times New Roman"/>
          <w:color w:val="000000"/>
          <w:sz w:val="20"/>
          <w:szCs w:val="20"/>
        </w:rPr>
        <w:t xml:space="preserve"> in pricing to our customers. Our ability, and that of our suppliers, to develop or maintain leading process technologies, including transitions to smaller geometry process technologies (which adds risk to manufacturing yields and reliability), and to effe</w:t>
      </w:r>
      <w:r>
        <w:rPr>
          <w:rFonts w:eastAsia="Times New Roman"/>
          <w:color w:val="000000"/>
          <w:sz w:val="20"/>
          <w:szCs w:val="20"/>
        </w:rPr>
        <w:t>ctively compete with the manufacturing processes and performance of our competitors, could impact our ability to introduce new products and meet customer demand, could increase our costs (possibly decreasing our margins) and could subject us to the risk of</w:t>
      </w:r>
      <w:r>
        <w:rPr>
          <w:rFonts w:eastAsia="Times New Roman"/>
          <w:color w:val="000000"/>
          <w:sz w:val="20"/>
          <w:szCs w:val="20"/>
        </w:rPr>
        <w:t xml:space="preserve"> excess inventories. Any of the above could negatively impact our business, results of operations and cash flows.</w:t>
      </w:r>
    </w:p>
    <w:p w:rsidR="00000000" w:rsidRDefault="008931E1">
      <w:pPr>
        <w:ind w:firstLine="360"/>
        <w:divId w:val="864633717"/>
        <w:rPr>
          <w:rFonts w:eastAsia="Times New Roman"/>
        </w:rPr>
      </w:pPr>
      <w:r>
        <w:rPr>
          <w:rFonts w:eastAsia="Times New Roman"/>
          <w:color w:val="000000"/>
          <w:sz w:val="20"/>
          <w:szCs w:val="20"/>
        </w:rPr>
        <w:t>Although we have long-term contracts with our suppliers, some of these contracts do not provide for long-term capacity commitments. To the ext</w:t>
      </w:r>
      <w:r>
        <w:rPr>
          <w:rFonts w:eastAsia="Times New Roman"/>
          <w:color w:val="000000"/>
          <w:sz w:val="20"/>
          <w:szCs w:val="20"/>
        </w:rPr>
        <w:t>ent we do not have firm commitments from our suppliers over a specific time period or for any specific quantity, our suppliers may allocate, and in the past have allocated, capacity to the manufacture, assembly and testing of products for their other custo</w:t>
      </w:r>
      <w:r>
        <w:rPr>
          <w:rFonts w:eastAsia="Times New Roman"/>
          <w:color w:val="000000"/>
          <w:sz w:val="20"/>
          <w:szCs w:val="20"/>
        </w:rPr>
        <w:t>mers (including our competitors) while reducing or limiting capacity to manufacture, assemble or test our products, and such capacity may be limited based on our suppliers’ ability and willingness to invest in the capital required to manufacture in the lea</w:t>
      </w:r>
      <w:r>
        <w:rPr>
          <w:rFonts w:eastAsia="Times New Roman"/>
          <w:color w:val="000000"/>
          <w:sz w:val="20"/>
          <w:szCs w:val="20"/>
        </w:rPr>
        <w:t>ding process technologies. Our suppliers or potential alternate suppliers may also manufacture their own integrated circuits that compete with our products. Such suppliers have in the past allocated and may again allocate raw materials and manufacturing ca</w:t>
      </w:r>
      <w:r>
        <w:rPr>
          <w:rFonts w:eastAsia="Times New Roman"/>
          <w:color w:val="000000"/>
          <w:sz w:val="20"/>
          <w:szCs w:val="20"/>
        </w:rPr>
        <w:t xml:space="preserve">pacity to their own products and reduce or limit the production of our products. To the extent we do obtain long-term capacity commitments, we may incur additional costs related to those commitments or make non-refundable payments for capacity commitments </w:t>
      </w:r>
      <w:r>
        <w:rPr>
          <w:rFonts w:eastAsia="Times New Roman"/>
          <w:color w:val="000000"/>
          <w:sz w:val="20"/>
          <w:szCs w:val="20"/>
        </w:rPr>
        <w:t>that are not used. Further, certain of our suppliers have in the past attempted, and may in the future attempt, to unilaterally reduce their capacity commitments to us. Accordingly, capacity for our products may not be available when we need it. Finally, w</w:t>
      </w:r>
      <w:r>
        <w:rPr>
          <w:rFonts w:eastAsia="Times New Roman"/>
          <w:color w:val="000000"/>
          <w:sz w:val="20"/>
          <w:szCs w:val="20"/>
        </w:rPr>
        <w:t>e may not receive reasonable pricing, manufacturing or delivery terms from our suppliers, and our ability to obtain favorable terms may be diminished during times of high demand and/or limited manufacturing capacity for integrated circuit products.</w:t>
      </w:r>
    </w:p>
    <w:p w:rsidR="00000000" w:rsidRDefault="008931E1">
      <w:pPr>
        <w:jc w:val="center"/>
        <w:divId w:val="77748445"/>
        <w:rPr>
          <w:rFonts w:eastAsia="Times New Roman"/>
        </w:rPr>
      </w:pPr>
      <w:r>
        <w:rPr>
          <w:rFonts w:eastAsia="Times New Roman"/>
          <w:color w:val="000000"/>
          <w:sz w:val="20"/>
          <w:szCs w:val="20"/>
        </w:rPr>
        <w:t>23</w:t>
      </w:r>
    </w:p>
    <w:p w:rsidR="00000000" w:rsidRDefault="008931E1">
      <w:pPr>
        <w:rPr>
          <w:rFonts w:eastAsia="Times New Roman"/>
        </w:rPr>
      </w:pPr>
      <w:r>
        <w:rPr>
          <w:rFonts w:eastAsia="Times New Roman"/>
        </w:rPr>
        <w:pict>
          <v:rect id="_x0000_i1046" style="width:0;height:1.5pt" o:hralign="center" o:hrstd="t" o:hr="t" fillcolor="#a0a0a0" stroked="f"/>
        </w:pict>
      </w:r>
    </w:p>
    <w:p w:rsidR="00000000" w:rsidRDefault="008931E1">
      <w:pPr>
        <w:divId w:val="1557819433"/>
        <w:rPr>
          <w:rFonts w:eastAsia="Times New Roman"/>
        </w:rPr>
      </w:pPr>
    </w:p>
    <w:p w:rsidR="00000000" w:rsidRDefault="008931E1">
      <w:pPr>
        <w:ind w:firstLine="360"/>
        <w:divId w:val="1344286878"/>
        <w:rPr>
          <w:rFonts w:eastAsia="Times New Roman"/>
        </w:rPr>
      </w:pPr>
      <w:r>
        <w:rPr>
          <w:rFonts w:eastAsia="Times New Roman"/>
          <w:color w:val="000000"/>
          <w:sz w:val="20"/>
          <w:szCs w:val="20"/>
        </w:rPr>
        <w:t xml:space="preserve">We cannot guarantee that the actions of our suppliers will not cause disruptions in our operations that could harm our ability to meet our delivery obligations to our customers or increase our cost of sales. To the extent </w:t>
      </w:r>
      <w:r>
        <w:rPr>
          <w:rFonts w:eastAsia="Times New Roman"/>
          <w:color w:val="000000"/>
          <w:sz w:val="20"/>
          <w:szCs w:val="20"/>
        </w:rPr>
        <w:t>we are unable to obtain adequate supply to meet our delivery obligations, we may be obligated to make payments to our customers for such shortfalls. From time to time, the global semiconductor industry experiences demand for integrated circuits that exceed</w:t>
      </w:r>
      <w:r>
        <w:rPr>
          <w:rFonts w:eastAsia="Times New Roman"/>
          <w:color w:val="000000"/>
          <w:sz w:val="20"/>
          <w:szCs w:val="20"/>
        </w:rPr>
        <w:t xml:space="preserve">s the industry’s capacity to meet that demand. Our ability to meet increased demand for our products has been in the past and may in the future be limited due to the inability to obtain the additional manufacturing, assembly and test capacity necessary to </w:t>
      </w:r>
      <w:r>
        <w:rPr>
          <w:rFonts w:eastAsia="Times New Roman"/>
          <w:color w:val="000000"/>
          <w:sz w:val="20"/>
          <w:szCs w:val="20"/>
        </w:rPr>
        <w:t>fully meet such demand. If we are unable to fully meet customer demand, this could result in lost sales opportunities, reduced revenue growth and harm to our customer relationships. These issues may be exacerbated if customers overstate their expected dema</w:t>
      </w:r>
      <w:r>
        <w:rPr>
          <w:rFonts w:eastAsia="Times New Roman"/>
          <w:color w:val="000000"/>
          <w:sz w:val="20"/>
          <w:szCs w:val="20"/>
        </w:rPr>
        <w:t>nd requirements in order to procure additional supply, which could negatively impact our ability to forecast and to allocate supply appropriately among our customers. The above issues may also be exacerbated with respect to our platform solutions, which al</w:t>
      </w:r>
      <w:r>
        <w:rPr>
          <w:rFonts w:eastAsia="Times New Roman"/>
          <w:color w:val="000000"/>
          <w:sz w:val="20"/>
          <w:szCs w:val="20"/>
        </w:rPr>
        <w:t xml:space="preserve">ready entail a great deal of complexity due to differing lead-times, technologies and suppliers for each integrated circuit product included in such solutions. Additionally, our suppliers have in the past and may in the future increase their prices during </w:t>
      </w:r>
      <w:r>
        <w:rPr>
          <w:rFonts w:eastAsia="Times New Roman"/>
          <w:color w:val="000000"/>
          <w:sz w:val="20"/>
          <w:szCs w:val="20"/>
        </w:rPr>
        <w:t>periods of capacity constraints, or for other reasons, thus increasing our costs.</w:t>
      </w:r>
    </w:p>
    <w:p w:rsidR="00000000" w:rsidRDefault="008931E1">
      <w:pPr>
        <w:ind w:firstLine="360"/>
        <w:divId w:val="750470727"/>
        <w:rPr>
          <w:rFonts w:eastAsia="Times New Roman"/>
        </w:rPr>
      </w:pPr>
      <w:r>
        <w:rPr>
          <w:rFonts w:eastAsia="Times New Roman"/>
          <w:color w:val="000000"/>
          <w:sz w:val="20"/>
          <w:szCs w:val="20"/>
        </w:rPr>
        <w:t>While capacity constraints have largely abated, we expect to continue to see product cost increases from certain of our key semiconductor wafer suppliers, which, without corr</w:t>
      </w:r>
      <w:r>
        <w:rPr>
          <w:rFonts w:eastAsia="Times New Roman"/>
          <w:color w:val="000000"/>
          <w:sz w:val="20"/>
          <w:szCs w:val="20"/>
        </w:rPr>
        <w:t>esponding increases in the prices of our products, could negatively impact our margins.</w:t>
      </w:r>
    </w:p>
    <w:p w:rsidR="00000000" w:rsidRDefault="008931E1">
      <w:pPr>
        <w:ind w:firstLine="360"/>
        <w:divId w:val="1068303259"/>
        <w:rPr>
          <w:rFonts w:eastAsia="Times New Roman"/>
        </w:rPr>
      </w:pPr>
      <w:r>
        <w:rPr>
          <w:rFonts w:eastAsia="Times New Roman"/>
          <w:color w:val="000000"/>
          <w:sz w:val="20"/>
          <w:szCs w:val="20"/>
        </w:rPr>
        <w:t xml:space="preserve">We place orders with our suppliers using our and our customers’ </w:t>
      </w:r>
      <w:r>
        <w:rPr>
          <w:rFonts w:eastAsia="Times New Roman"/>
          <w:color w:val="000000"/>
          <w:sz w:val="20"/>
          <w:szCs w:val="20"/>
        </w:rPr>
        <w:t>forecasts of demand for our products, which are based on a number of assumptions and estimates. As we move to smaller geometry process technologies, the manufacturing lead-time increases. As a result, the orders we place with our suppliers are generally on</w:t>
      </w:r>
      <w:r>
        <w:rPr>
          <w:rFonts w:eastAsia="Times New Roman"/>
          <w:color w:val="000000"/>
          <w:sz w:val="20"/>
          <w:szCs w:val="20"/>
        </w:rPr>
        <w:t>ly partially covered by commitments from our customers. If we, or our customers, overestimate demand, or if demand is impacted by factors outside of our or our customers’ control, and such demand is not covered by a binding commitment from our customers, w</w:t>
      </w:r>
      <w:r>
        <w:rPr>
          <w:rFonts w:eastAsia="Times New Roman"/>
          <w:color w:val="000000"/>
          <w:sz w:val="20"/>
          <w:szCs w:val="20"/>
        </w:rPr>
        <w:t>e may experience increased excess or obsolete inventory or reserve charges, which would negatively impact our results of operations. Further, to the extent our customers procure supply of our integrated circuit products beyond their current needs (i.e., bu</w:t>
      </w:r>
      <w:r>
        <w:rPr>
          <w:rFonts w:eastAsia="Times New Roman"/>
          <w:color w:val="000000"/>
          <w:sz w:val="20"/>
          <w:szCs w:val="20"/>
        </w:rPr>
        <w:t>ild up inventory of our integrated circuit products), whether due to concerns over supply, overestimating demand and/or a decline in macroeconomic conditions, or otherwise, they may not purchase expected quantities of our products in subsequent quarters, w</w:t>
      </w:r>
      <w:r>
        <w:rPr>
          <w:rFonts w:eastAsia="Times New Roman"/>
          <w:color w:val="000000"/>
          <w:sz w:val="20"/>
          <w:szCs w:val="20"/>
        </w:rPr>
        <w:t>hich may negatively impact our revenues, results of operations and cash flows in such quarters.</w:t>
      </w:r>
    </w:p>
    <w:p w:rsidR="00000000" w:rsidRDefault="008931E1">
      <w:pPr>
        <w:ind w:firstLine="360"/>
        <w:divId w:val="1803687451"/>
        <w:rPr>
          <w:rFonts w:eastAsia="Times New Roman"/>
        </w:rPr>
      </w:pPr>
      <w:r>
        <w:rPr>
          <w:rFonts w:eastAsia="Times New Roman"/>
          <w:color w:val="000000"/>
          <w:sz w:val="20"/>
          <w:szCs w:val="20"/>
        </w:rPr>
        <w:t xml:space="preserve">See also the Risk Factor below titled </w:t>
      </w:r>
      <w:r>
        <w:rPr>
          <w:rFonts w:eastAsia="Times New Roman"/>
          <w:i/>
          <w:iCs/>
          <w:color w:val="000000"/>
          <w:sz w:val="20"/>
          <w:szCs w:val="20"/>
        </w:rPr>
        <w:t>“There are numerous risks associated with the operation and control of our manufacturing facilities, including a higher po</w:t>
      </w:r>
      <w:r>
        <w:rPr>
          <w:rFonts w:eastAsia="Times New Roman"/>
          <w:i/>
          <w:iCs/>
          <w:color w:val="000000"/>
          <w:sz w:val="20"/>
          <w:szCs w:val="20"/>
        </w:rPr>
        <w:t>rtion of fixed costs relative to a fabless model; environmental compliance and liability; impacts related to climate change; exposure to natural disasters, health crises, geopolitical conflicts and cyber-attacks; timely supply of equipment and materials; a</w:t>
      </w:r>
      <w:r>
        <w:rPr>
          <w:rFonts w:eastAsia="Times New Roman"/>
          <w:i/>
          <w:iCs/>
          <w:color w:val="000000"/>
          <w:sz w:val="20"/>
          <w:szCs w:val="20"/>
        </w:rPr>
        <w:t xml:space="preserve">nd various manufacturing issues” </w:t>
      </w:r>
      <w:r>
        <w:rPr>
          <w:rFonts w:eastAsia="Times New Roman"/>
          <w:color w:val="000000"/>
          <w:sz w:val="20"/>
          <w:szCs w:val="20"/>
        </w:rPr>
        <w:t>as similar risks, as well as additional risks, may be applicable to our third-party suppliers’ manufacturing facilities, which could result in disruptions to our business or additional costs to us, and negatively impact our</w:t>
      </w:r>
      <w:r>
        <w:rPr>
          <w:rFonts w:eastAsia="Times New Roman"/>
          <w:color w:val="000000"/>
          <w:sz w:val="20"/>
          <w:szCs w:val="20"/>
        </w:rPr>
        <w:t xml:space="preserve"> results of operations.</w:t>
      </w:r>
    </w:p>
    <w:p w:rsidR="00000000" w:rsidRDefault="008931E1">
      <w:pPr>
        <w:divId w:val="395012631"/>
        <w:rPr>
          <w:rFonts w:eastAsia="Times New Roman"/>
        </w:rPr>
      </w:pPr>
      <w:r>
        <w:rPr>
          <w:rFonts w:eastAsia="Times New Roman"/>
          <w:b/>
          <w:bCs/>
          <w:i/>
          <w:iCs/>
          <w:color w:val="000000"/>
          <w:sz w:val="20"/>
          <w:szCs w:val="20"/>
        </w:rPr>
        <w:t>There are numerous risks associated with the operation and control of our manufacturing facilities, including a higher portion of fixed costs relative to a fabless model; environmental compliance and liability; impacts related to cl</w:t>
      </w:r>
      <w:r>
        <w:rPr>
          <w:rFonts w:eastAsia="Times New Roman"/>
          <w:b/>
          <w:bCs/>
          <w:i/>
          <w:iCs/>
          <w:color w:val="000000"/>
          <w:sz w:val="20"/>
          <w:szCs w:val="20"/>
        </w:rPr>
        <w:t>imate change; exposure to natural disasters, health crises, geopolitical conflicts and cyber-attacks; timely supply of equipment and materials; and various manufacturing issues.</w:t>
      </w:r>
    </w:p>
    <w:p w:rsidR="00000000" w:rsidRDefault="008931E1">
      <w:pPr>
        <w:ind w:firstLine="360"/>
        <w:divId w:val="330375329"/>
        <w:rPr>
          <w:rFonts w:eastAsia="Times New Roman"/>
        </w:rPr>
      </w:pPr>
      <w:r>
        <w:rPr>
          <w:rFonts w:eastAsia="Times New Roman"/>
          <w:color w:val="000000"/>
          <w:sz w:val="20"/>
          <w:szCs w:val="20"/>
        </w:rPr>
        <w:t>We operate various facilities that manufacture certain of our RFFE modules and</w:t>
      </w:r>
      <w:r>
        <w:rPr>
          <w:rFonts w:eastAsia="Times New Roman"/>
          <w:color w:val="000000"/>
          <w:sz w:val="20"/>
          <w:szCs w:val="20"/>
        </w:rPr>
        <w:t xml:space="preserve"> RF filter products. Our manufacturing facilities are characterized by a higher portion of fixed costs relative to a fabless model. We may be faced with a decline in the utilization rates of our manufacturing facilities due to decreases in demand for our p</w:t>
      </w:r>
      <w:r>
        <w:rPr>
          <w:rFonts w:eastAsia="Times New Roman"/>
          <w:color w:val="000000"/>
          <w:sz w:val="20"/>
          <w:szCs w:val="20"/>
        </w:rPr>
        <w:t>roducts, including in less favorable industry or macroeconomic environments, or due to our failure to win and/or retain designs with OEMs. As a result, from time to time our manufacturing facilities operate at lower capacity levels, while the fixed costs a</w:t>
      </w:r>
      <w:r>
        <w:rPr>
          <w:rFonts w:eastAsia="Times New Roman"/>
          <w:color w:val="000000"/>
          <w:sz w:val="20"/>
          <w:szCs w:val="20"/>
        </w:rPr>
        <w:t xml:space="preserve">ssociated with such facilities continue to be incurred, resulting in lower gross profit. Due to the factors above, we are currently experiencing, and expect to continue to experience in the near term, such underutilization of capacity at our manufacturing </w:t>
      </w:r>
      <w:r>
        <w:rPr>
          <w:rFonts w:eastAsia="Times New Roman"/>
          <w:color w:val="000000"/>
          <w:sz w:val="20"/>
          <w:szCs w:val="20"/>
        </w:rPr>
        <w:t xml:space="preserve">facilities. </w:t>
      </w:r>
    </w:p>
    <w:p w:rsidR="00000000" w:rsidRDefault="008931E1">
      <w:pPr>
        <w:ind w:firstLine="360"/>
        <w:divId w:val="1441607012"/>
        <w:rPr>
          <w:rFonts w:eastAsia="Times New Roman"/>
        </w:rPr>
      </w:pPr>
      <w:r>
        <w:rPr>
          <w:rFonts w:eastAsia="Times New Roman"/>
          <w:color w:val="000000"/>
          <w:sz w:val="20"/>
          <w:szCs w:val="20"/>
        </w:rPr>
        <w:t>We are subject to many complex environmental, health and safety laws, regulations and rules in each jurisdiction in which we operate our manufacturing (and research and development) facilities. The regulatory landscape in these areas continues</w:t>
      </w:r>
      <w:r>
        <w:rPr>
          <w:rFonts w:eastAsia="Times New Roman"/>
          <w:color w:val="000000"/>
          <w:sz w:val="20"/>
          <w:szCs w:val="20"/>
        </w:rPr>
        <w:t xml:space="preserve"> to evolve, and we anticipate additional laws, regulations and rules in the future. In particular, new, or changes in, environmental and climate change laws, regulations or rules, including relating to greenhouse gas emissions, could lead to new or additio</w:t>
      </w:r>
      <w:r>
        <w:rPr>
          <w:rFonts w:eastAsia="Times New Roman"/>
          <w:color w:val="000000"/>
          <w:sz w:val="20"/>
          <w:szCs w:val="20"/>
        </w:rPr>
        <w:t>nal investments in production processes and could increase environmental compliance expenditures. In addition, certain environmental laws impose strict, and in certain circumstances joint and several, liability on current or previous owners or operators of</w:t>
      </w:r>
      <w:r>
        <w:rPr>
          <w:rFonts w:eastAsia="Times New Roman"/>
          <w:color w:val="000000"/>
          <w:sz w:val="20"/>
          <w:szCs w:val="20"/>
        </w:rPr>
        <w:t xml:space="preserve"> real property, or parties who arranged for hazardous substances to be sent to disposal or treatment facilities, for the cost of investigation, removal or remediation of hazardous substances. As a result, we may incur clean-up costs in connection with any </w:t>
      </w:r>
      <w:r>
        <w:rPr>
          <w:rFonts w:eastAsia="Times New Roman"/>
          <w:color w:val="000000"/>
          <w:sz w:val="20"/>
          <w:szCs w:val="20"/>
        </w:rPr>
        <w:t>such removal or remediation efforts, as well as other third-party claims in connection with contaminated sites. In addition, we could be held liable for consequences arising out of human exposure to hazardous substances or other environmental damage. If we</w:t>
      </w:r>
      <w:r>
        <w:rPr>
          <w:rFonts w:eastAsia="Times New Roman"/>
          <w:color w:val="000000"/>
          <w:sz w:val="20"/>
          <w:szCs w:val="20"/>
        </w:rPr>
        <w:t>, or companies or facilities we acquire or have acquired, in the past failed or in the future fail to comply with any such laws and regulations, then we could incur regulatory penalties, fines and legal liabilities; suspension of production; significant co</w:t>
      </w:r>
      <w:r>
        <w:rPr>
          <w:rFonts w:eastAsia="Times New Roman"/>
          <w:color w:val="000000"/>
          <w:sz w:val="20"/>
          <w:szCs w:val="20"/>
        </w:rPr>
        <w:t>mpliance requirements; alteration of our manufacturing, assembly or test processes; restriction on our ability to modify or expand our facilities; damage to our reputation; and restrictions on our operations or sales. We are also required to obtain and mai</w:t>
      </w:r>
      <w:r>
        <w:rPr>
          <w:rFonts w:eastAsia="Times New Roman"/>
          <w:color w:val="000000"/>
          <w:sz w:val="20"/>
          <w:szCs w:val="20"/>
        </w:rPr>
        <w:t xml:space="preserve">ntain environmental permits from governmental authorities for certain of our operations. We cannot make assurances that we will at all times be in compliance with such laws, regulations, rules and permits. See also the risk factor titled </w:t>
      </w:r>
      <w:r>
        <w:rPr>
          <w:rFonts w:eastAsia="Times New Roman"/>
          <w:i/>
          <w:iCs/>
          <w:color w:val="000000"/>
          <w:sz w:val="20"/>
          <w:szCs w:val="20"/>
        </w:rPr>
        <w:t xml:space="preserve">“Our business may </w:t>
      </w:r>
      <w:r>
        <w:rPr>
          <w:rFonts w:eastAsia="Times New Roman"/>
          <w:i/>
          <w:iCs/>
          <w:color w:val="000000"/>
          <w:sz w:val="20"/>
          <w:szCs w:val="20"/>
        </w:rPr>
        <w:t>suffer due to the impact of, or our failure to comply with, the various existing, new or amended laws, regulations, policies or standards to which we are subject.”</w:t>
      </w:r>
    </w:p>
    <w:p w:rsidR="00000000" w:rsidRDefault="008931E1">
      <w:pPr>
        <w:jc w:val="center"/>
        <w:divId w:val="2099404053"/>
        <w:rPr>
          <w:rFonts w:eastAsia="Times New Roman"/>
        </w:rPr>
      </w:pPr>
      <w:r>
        <w:rPr>
          <w:rFonts w:eastAsia="Times New Roman"/>
          <w:color w:val="000000"/>
          <w:sz w:val="20"/>
          <w:szCs w:val="20"/>
        </w:rPr>
        <w:t>24</w:t>
      </w:r>
    </w:p>
    <w:p w:rsidR="00000000" w:rsidRDefault="008931E1">
      <w:pPr>
        <w:rPr>
          <w:rFonts w:eastAsia="Times New Roman"/>
        </w:rPr>
      </w:pPr>
      <w:r>
        <w:rPr>
          <w:rFonts w:eastAsia="Times New Roman"/>
        </w:rPr>
        <w:pict>
          <v:rect id="_x0000_i1047" style="width:0;height:1.5pt" o:hralign="center" o:hrstd="t" o:hr="t" fillcolor="#a0a0a0" stroked="f"/>
        </w:pict>
      </w:r>
    </w:p>
    <w:p w:rsidR="00000000" w:rsidRDefault="008931E1">
      <w:pPr>
        <w:divId w:val="264654132"/>
        <w:rPr>
          <w:rFonts w:eastAsia="Times New Roman"/>
        </w:rPr>
      </w:pPr>
    </w:p>
    <w:p w:rsidR="00000000" w:rsidRDefault="008931E1">
      <w:pPr>
        <w:ind w:firstLine="360"/>
        <w:divId w:val="1506045533"/>
        <w:rPr>
          <w:rFonts w:eastAsia="Times New Roman"/>
        </w:rPr>
      </w:pPr>
      <w:r>
        <w:rPr>
          <w:rFonts w:eastAsia="Times New Roman"/>
          <w:color w:val="000000"/>
          <w:sz w:val="20"/>
          <w:szCs w:val="20"/>
        </w:rPr>
        <w:t>Climate change concerns and the potential resultin</w:t>
      </w:r>
      <w:r>
        <w:rPr>
          <w:rFonts w:eastAsia="Times New Roman"/>
          <w:color w:val="000000"/>
          <w:sz w:val="20"/>
          <w:szCs w:val="20"/>
        </w:rPr>
        <w:t>g environmental impact may result in new environmental, health and safety laws and regulations that may affect us, our suppliers and our customers. Such laws or regulations could cause us to incur additional direct costs for compliance, including costs ass</w:t>
      </w:r>
      <w:r>
        <w:rPr>
          <w:rFonts w:eastAsia="Times New Roman"/>
          <w:color w:val="000000"/>
          <w:sz w:val="20"/>
          <w:szCs w:val="20"/>
        </w:rPr>
        <w:t>ociated with changes to manufacturing processes or the procurement of raw materials used in manufacturing processes, as well as increased indirect costs resulting from our customers, suppliers or both incurring additional compliance costs that are passed o</w:t>
      </w:r>
      <w:r>
        <w:rPr>
          <w:rFonts w:eastAsia="Times New Roman"/>
          <w:color w:val="000000"/>
          <w:sz w:val="20"/>
          <w:szCs w:val="20"/>
        </w:rPr>
        <w:t>n to us. These costs may adversely impact our results of operations and financial condition. In addition, climate change could cause certain natural disasters, such as drought, wildfires, storms, flooding or rising sea levels, to occur more frequently or w</w:t>
      </w:r>
      <w:r>
        <w:rPr>
          <w:rFonts w:eastAsia="Times New Roman"/>
          <w:color w:val="000000"/>
          <w:sz w:val="20"/>
          <w:szCs w:val="20"/>
        </w:rPr>
        <w:t>ith greater intensity, which could pose physical risks to our manufacturing facilities or our suppliers’ facilities, could disrupt the availability of water necessary for the operation of such facilities, and could increase or decrease temperatures resulti</w:t>
      </w:r>
      <w:r>
        <w:rPr>
          <w:rFonts w:eastAsia="Times New Roman"/>
          <w:color w:val="000000"/>
          <w:sz w:val="20"/>
          <w:szCs w:val="20"/>
        </w:rPr>
        <w:t>ng in increased operating costs and/or business disruption.</w:t>
      </w:r>
    </w:p>
    <w:p w:rsidR="00000000" w:rsidRDefault="008931E1">
      <w:pPr>
        <w:ind w:firstLine="360"/>
        <w:divId w:val="119737146"/>
        <w:rPr>
          <w:rFonts w:eastAsia="Times New Roman"/>
        </w:rPr>
      </w:pPr>
      <w:r>
        <w:rPr>
          <w:rFonts w:eastAsia="Times New Roman"/>
          <w:color w:val="000000"/>
          <w:sz w:val="20"/>
          <w:szCs w:val="20"/>
        </w:rPr>
        <w:t>We have manufacturing facilities in Asia and Europe, and the primary warehouses where we store finished goods are located in Asia. If tsunamis, flooding, earthquakes, volcanic eruptions, drought o</w:t>
      </w:r>
      <w:r>
        <w:rPr>
          <w:rFonts w:eastAsia="Times New Roman"/>
          <w:color w:val="000000"/>
          <w:sz w:val="20"/>
          <w:szCs w:val="20"/>
        </w:rPr>
        <w:t>r other natural disasters, effects of climate change, acts of war or other geopolitical conflicts were to damage, destroy or disrupt any of these facilities, it could disrupt our operations, cease or delay production and shipments of inventory and result i</w:t>
      </w:r>
      <w:r>
        <w:rPr>
          <w:rFonts w:eastAsia="Times New Roman"/>
          <w:color w:val="000000"/>
          <w:sz w:val="20"/>
          <w:szCs w:val="20"/>
        </w:rPr>
        <w:t>n costly repairs, replacements or other costs and lost business. In addition, natural disasters, effects of climate change, acts of war or other geopolitical conflicts may result in disruptions in transportation, distribution channels and supply chains and</w:t>
      </w:r>
      <w:r>
        <w:rPr>
          <w:rFonts w:eastAsia="Times New Roman"/>
          <w:color w:val="000000"/>
          <w:sz w:val="20"/>
          <w:szCs w:val="20"/>
        </w:rPr>
        <w:t xml:space="preserve"> significant increases in the prices of raw materials. Further, health crises, including epidemics or pandemics, such as the COVID-19 pandemic, and government and business responses thereto, could affect our manufacturing facilities, including by resulting</w:t>
      </w:r>
      <w:r>
        <w:rPr>
          <w:rFonts w:eastAsia="Times New Roman"/>
          <w:color w:val="000000"/>
          <w:sz w:val="20"/>
          <w:szCs w:val="20"/>
        </w:rPr>
        <w:t xml:space="preserve"> in quarantines and/or closures, which could result in disruptions to and potential closures of our manufacturing operations. Our manufacturing operations could also be disrupted by cyber-attacks on our IT systems, as described in the Risk Factor below tit</w:t>
      </w:r>
      <w:r>
        <w:rPr>
          <w:rFonts w:eastAsia="Times New Roman"/>
          <w:color w:val="000000"/>
          <w:sz w:val="20"/>
          <w:szCs w:val="20"/>
        </w:rPr>
        <w:t xml:space="preserve">led </w:t>
      </w:r>
      <w:r>
        <w:rPr>
          <w:rFonts w:eastAsia="Times New Roman"/>
          <w:i/>
          <w:iCs/>
          <w:color w:val="000000"/>
          <w:sz w:val="20"/>
          <w:szCs w:val="20"/>
        </w:rPr>
        <w:t>“Our business and operations could suffer in the event of security breaches of our IT systems, or other misappropriation of our technology, intellectual property or other proprietary or confidential information.”</w:t>
      </w:r>
    </w:p>
    <w:p w:rsidR="00000000" w:rsidRDefault="008931E1">
      <w:pPr>
        <w:ind w:firstLine="360"/>
        <w:divId w:val="1245846178"/>
        <w:rPr>
          <w:rFonts w:eastAsia="Times New Roman"/>
        </w:rPr>
      </w:pPr>
      <w:r>
        <w:rPr>
          <w:rFonts w:eastAsia="Times New Roman"/>
          <w:color w:val="000000"/>
          <w:sz w:val="20"/>
          <w:szCs w:val="20"/>
        </w:rPr>
        <w:t xml:space="preserve">Our manufacturing operations depend on </w:t>
      </w:r>
      <w:r>
        <w:rPr>
          <w:rFonts w:eastAsia="Times New Roman"/>
          <w:color w:val="000000"/>
          <w:sz w:val="20"/>
          <w:szCs w:val="20"/>
        </w:rPr>
        <w:t>securing raw materials, equipment and other supplies in adequate quality and quantity in a timely manner from multiple suppliers, and in some cases, we rely on a limited number of suppliers, including in some cases sole suppliers, particularly in Asia. The</w:t>
      </w:r>
      <w:r>
        <w:rPr>
          <w:rFonts w:eastAsia="Times New Roman"/>
          <w:color w:val="000000"/>
          <w:sz w:val="20"/>
          <w:szCs w:val="20"/>
        </w:rPr>
        <w:t>re may be cases where supplies of raw materials, equipment and other products are interrupted or limited by natural disaster, geopolitical conflict, accident or some other event affecting a supplier or source of raw materials; supply is suspended due to qu</w:t>
      </w:r>
      <w:r>
        <w:rPr>
          <w:rFonts w:eastAsia="Times New Roman"/>
          <w:color w:val="000000"/>
          <w:sz w:val="20"/>
          <w:szCs w:val="20"/>
        </w:rPr>
        <w:t>ality or other issues; there is a shortage of supply due to a rapid increase in demand; and/or we or our suppliers are prohibited from utilizing certain raw materials, or products or components that incorporate such raw materials, due to government restric</w:t>
      </w:r>
      <w:r>
        <w:rPr>
          <w:rFonts w:eastAsia="Times New Roman"/>
          <w:color w:val="000000"/>
          <w:sz w:val="20"/>
          <w:szCs w:val="20"/>
        </w:rPr>
        <w:t xml:space="preserve">tions related to the countries from which such raw materials originate, and acceptable alternative suppliers, raw materials or raw materials sources are not available or not available in acceptable time frames or upon acceptable terms, among others, which </w:t>
      </w:r>
      <w:r>
        <w:rPr>
          <w:rFonts w:eastAsia="Times New Roman"/>
          <w:color w:val="000000"/>
          <w:sz w:val="20"/>
          <w:szCs w:val="20"/>
        </w:rPr>
        <w:t>could impact production and prevent us from supplying our products to our customers. If the supply-demand balance is disrupted, it may considerably increase costs of manufacturing due to increased prices we pay for raw materials. From time to time, supplie</w:t>
      </w:r>
      <w:r>
        <w:rPr>
          <w:rFonts w:eastAsia="Times New Roman"/>
          <w:color w:val="000000"/>
          <w:sz w:val="20"/>
          <w:szCs w:val="20"/>
        </w:rPr>
        <w:t>rs may extend lead times, limit amounts supplied to us or increase prices due to capacity constraints or other factors. Additionally, supply and costs of raw materials, equipment and other products may be negatively impacted by trade and/or national securi</w:t>
      </w:r>
      <w:r>
        <w:rPr>
          <w:rFonts w:eastAsia="Times New Roman"/>
          <w:color w:val="000000"/>
          <w:sz w:val="20"/>
          <w:szCs w:val="20"/>
        </w:rPr>
        <w:t>ty protection policies, such as tariffs, or actions by governments that limit or prevent us from transacting business with certain countries or companies or that limit or prevent certain companies from transacting business with us, or trade tensions, parti</w:t>
      </w:r>
      <w:r>
        <w:rPr>
          <w:rFonts w:eastAsia="Times New Roman"/>
          <w:color w:val="000000"/>
          <w:sz w:val="20"/>
          <w:szCs w:val="20"/>
        </w:rPr>
        <w:t xml:space="preserve">cularly with countries in Asia. Further, it may be difficult or impossible to substitute one piece of equipment for another or replace one type of material with another. A failure by our suppliers to deliver our requirements could result in disruptions to </w:t>
      </w:r>
      <w:r>
        <w:rPr>
          <w:rFonts w:eastAsia="Times New Roman"/>
          <w:color w:val="000000"/>
          <w:sz w:val="20"/>
          <w:szCs w:val="20"/>
        </w:rPr>
        <w:t>our manufacturing operations.</w:t>
      </w:r>
    </w:p>
    <w:p w:rsidR="00000000" w:rsidRDefault="008931E1">
      <w:pPr>
        <w:ind w:firstLine="360"/>
        <w:divId w:val="1466269002"/>
        <w:rPr>
          <w:rFonts w:eastAsia="Times New Roman"/>
        </w:rPr>
      </w:pPr>
      <w:r>
        <w:rPr>
          <w:rFonts w:eastAsia="Times New Roman"/>
          <w:color w:val="000000"/>
          <w:sz w:val="20"/>
          <w:szCs w:val="20"/>
        </w:rPr>
        <w:t>Our manufacturing processes are highly complex, require advanced and costly equipment and must be continuously modified to improve yields and performance. Difficulties in the production process can reduce yields or interrupt p</w:t>
      </w:r>
      <w:r>
        <w:rPr>
          <w:rFonts w:eastAsia="Times New Roman"/>
          <w:color w:val="000000"/>
          <w:sz w:val="20"/>
          <w:szCs w:val="20"/>
        </w:rPr>
        <w:t>roduction, and as a result, we may not be able to deliver our products or do so in a timely, cost-effective or competitive manner. Further, to remain competitive and meet customer demand, we may be required to improve our facilities and process technologie</w:t>
      </w:r>
      <w:r>
        <w:rPr>
          <w:rFonts w:eastAsia="Times New Roman"/>
          <w:color w:val="000000"/>
          <w:sz w:val="20"/>
          <w:szCs w:val="20"/>
        </w:rPr>
        <w:t xml:space="preserve">s and carry out extensive research and development, each of which may require investment of significant amounts of capital and may have a material adverse effect on our results of operations, cash flows and financial condition. </w:t>
      </w:r>
    </w:p>
    <w:p w:rsidR="00000000" w:rsidRDefault="008931E1">
      <w:pPr>
        <w:ind w:firstLine="360"/>
        <w:divId w:val="647326287"/>
        <w:rPr>
          <w:rFonts w:eastAsia="Times New Roman"/>
        </w:rPr>
      </w:pPr>
      <w:r>
        <w:rPr>
          <w:rFonts w:eastAsia="Times New Roman"/>
          <w:color w:val="000000"/>
          <w:sz w:val="20"/>
          <w:szCs w:val="20"/>
        </w:rPr>
        <w:t>From time to time, we purch</w:t>
      </w:r>
      <w:r>
        <w:rPr>
          <w:rFonts w:eastAsia="Times New Roman"/>
          <w:color w:val="000000"/>
          <w:sz w:val="20"/>
          <w:szCs w:val="20"/>
        </w:rPr>
        <w:t xml:space="preserve">ase equipment to meet expected customer demand in advance of any purchase orders or long-term purchase commitments. Further, we typically begin manufacturing our products using our or our customers’ forecasts of demand for our products, which are based on </w:t>
      </w:r>
      <w:r>
        <w:rPr>
          <w:rFonts w:eastAsia="Times New Roman"/>
          <w:color w:val="000000"/>
          <w:sz w:val="20"/>
          <w:szCs w:val="20"/>
        </w:rPr>
        <w:t>a number of assumptions and estimates and may not be covered by long-term purchase commitments. As a result, we may incur increased inventory and manufacturing costs and/or record impairment charges to the extent anticipated sales ultimately do not materia</w:t>
      </w:r>
      <w:r>
        <w:rPr>
          <w:rFonts w:eastAsia="Times New Roman"/>
          <w:color w:val="000000"/>
          <w:sz w:val="20"/>
          <w:szCs w:val="20"/>
        </w:rPr>
        <w:t>lize or are lower than expected. If we or our customers overestimate demand, or if demand is impacted by factors outside of our or our customers’ control, and such demand is not covered by a binding commitment from our customers, we may experience higher i</w:t>
      </w:r>
      <w:r>
        <w:rPr>
          <w:rFonts w:eastAsia="Times New Roman"/>
          <w:color w:val="000000"/>
          <w:sz w:val="20"/>
          <w:szCs w:val="20"/>
        </w:rPr>
        <w:t>nventory carrying and operating costs and/or increased excess or obsolete inventory or reserve charges, which would negatively impact our results of operations.</w:t>
      </w:r>
    </w:p>
    <w:p w:rsidR="00000000" w:rsidRDefault="008931E1">
      <w:pPr>
        <w:jc w:val="center"/>
        <w:divId w:val="302856050"/>
        <w:rPr>
          <w:rFonts w:eastAsia="Times New Roman"/>
        </w:rPr>
      </w:pPr>
      <w:r>
        <w:rPr>
          <w:rFonts w:eastAsia="Times New Roman"/>
          <w:color w:val="000000"/>
          <w:sz w:val="20"/>
          <w:szCs w:val="20"/>
        </w:rPr>
        <w:t>25</w:t>
      </w:r>
    </w:p>
    <w:p w:rsidR="00000000" w:rsidRDefault="008931E1">
      <w:pPr>
        <w:rPr>
          <w:rFonts w:eastAsia="Times New Roman"/>
        </w:rPr>
      </w:pPr>
      <w:r>
        <w:rPr>
          <w:rFonts w:eastAsia="Times New Roman"/>
        </w:rPr>
        <w:pict>
          <v:rect id="_x0000_i1048" style="width:0;height:1.5pt" o:hralign="center" o:hrstd="t" o:hr="t" fillcolor="#a0a0a0" stroked="f"/>
        </w:pict>
      </w:r>
    </w:p>
    <w:p w:rsidR="00000000" w:rsidRDefault="008931E1">
      <w:pPr>
        <w:divId w:val="224726371"/>
        <w:rPr>
          <w:rFonts w:eastAsia="Times New Roman"/>
        </w:rPr>
      </w:pPr>
    </w:p>
    <w:p w:rsidR="00000000" w:rsidRDefault="008931E1">
      <w:pPr>
        <w:divId w:val="687029649"/>
        <w:rPr>
          <w:rFonts w:eastAsia="Times New Roman"/>
        </w:rPr>
      </w:pPr>
      <w:r>
        <w:rPr>
          <w:rFonts w:eastAsia="Times New Roman"/>
          <w:b/>
          <w:bCs/>
          <w:color w:val="000000"/>
          <w:sz w:val="20"/>
          <w:szCs w:val="20"/>
        </w:rPr>
        <w:t xml:space="preserve">RISKS RELATED TO CYBERSECURITY OR MISAPPROPRIATION OF </w:t>
      </w:r>
      <w:r>
        <w:rPr>
          <w:rFonts w:eastAsia="Times New Roman"/>
          <w:b/>
          <w:bCs/>
          <w:color w:val="000000"/>
          <w:sz w:val="20"/>
          <w:szCs w:val="20"/>
        </w:rPr>
        <w:t xml:space="preserve">OUR CRITICAL INFORMATION </w:t>
      </w:r>
    </w:p>
    <w:p w:rsidR="00000000" w:rsidRDefault="008931E1">
      <w:pPr>
        <w:divId w:val="2117172913"/>
        <w:rPr>
          <w:rFonts w:eastAsia="Times New Roman"/>
        </w:rPr>
      </w:pPr>
      <w:r>
        <w:rPr>
          <w:rFonts w:eastAsia="Times New Roman"/>
          <w:b/>
          <w:bCs/>
          <w:i/>
          <w:iCs/>
          <w:color w:val="000000"/>
          <w:sz w:val="20"/>
          <w:szCs w:val="20"/>
        </w:rPr>
        <w:t>Our business and operations could suffer in the event of security breaches of our IT systems, or other misappropriation of our technology, intellectual property or other proprietary or confidential information.</w:t>
      </w:r>
    </w:p>
    <w:p w:rsidR="00000000" w:rsidRDefault="008931E1">
      <w:pPr>
        <w:ind w:firstLine="360"/>
        <w:divId w:val="1770588371"/>
        <w:rPr>
          <w:rFonts w:eastAsia="Times New Roman"/>
        </w:rPr>
      </w:pPr>
      <w:r>
        <w:rPr>
          <w:rFonts w:eastAsia="Times New Roman"/>
          <w:color w:val="000000"/>
          <w:sz w:val="20"/>
          <w:szCs w:val="20"/>
        </w:rPr>
        <w:t>Third parties regularly attempt to gain unaut</w:t>
      </w:r>
      <w:r>
        <w:rPr>
          <w:rFonts w:eastAsia="Times New Roman"/>
          <w:color w:val="000000"/>
          <w:sz w:val="20"/>
          <w:szCs w:val="20"/>
        </w:rPr>
        <w:t>horized access to our IT systems, and many such attacks are increasingly more sophisticated. These attacks, which might be related to industrial, corporate or other espionage, criminal hackers or state-sponsored intrusions, include trying to covertly intro</w:t>
      </w:r>
      <w:r>
        <w:rPr>
          <w:rFonts w:eastAsia="Times New Roman"/>
          <w:color w:val="000000"/>
          <w:sz w:val="20"/>
          <w:szCs w:val="20"/>
        </w:rPr>
        <w:t>duce malware to our computers and networks, including those in our manufacturing operations, exploiting vulnerabilities in hardware, software or other IT infrastructure and impersonating authorized users, among others. We are also subject to ransom-style c</w:t>
      </w:r>
      <w:r>
        <w:rPr>
          <w:rFonts w:eastAsia="Times New Roman"/>
          <w:color w:val="000000"/>
          <w:sz w:val="20"/>
          <w:szCs w:val="20"/>
        </w:rPr>
        <w:t>yber-attacks, which could expose our confidential or proprietary information, demand payment of money and/or impact our IT systems and cause widespread disruption to our business, including our manufacturing operations. Third parties that store and/or proc</w:t>
      </w:r>
      <w:r>
        <w:rPr>
          <w:rFonts w:eastAsia="Times New Roman"/>
          <w:color w:val="000000"/>
          <w:sz w:val="20"/>
          <w:szCs w:val="20"/>
        </w:rPr>
        <w:t>ess our confidential information, or that provide products, software or services used in our IT infrastructure, may be subject to similar attacks, which could also result in malware being introduced into our IT infrastructure, e.g., through the third parti</w:t>
      </w:r>
      <w:r>
        <w:rPr>
          <w:rFonts w:eastAsia="Times New Roman"/>
          <w:color w:val="000000"/>
          <w:sz w:val="20"/>
          <w:szCs w:val="20"/>
        </w:rPr>
        <w:t>es’ software and/or software updates. Such attacks could result in the misappropriation, theft, misuse, disclosure, loss or destruction of the technology, intellectual property, or the proprietary, confidential or personal information, of us or our employe</w:t>
      </w:r>
      <w:r>
        <w:rPr>
          <w:rFonts w:eastAsia="Times New Roman"/>
          <w:color w:val="000000"/>
          <w:sz w:val="20"/>
          <w:szCs w:val="20"/>
        </w:rPr>
        <w:t>es, customers, licensees, suppliers or other third parties, as well as damage to or disruptions in our IT systems. We believe that we have a robust cybersecurity program that is aligned to international cybersecurity frameworks, and that we leverage indust</w:t>
      </w:r>
      <w:r>
        <w:rPr>
          <w:rFonts w:eastAsia="Times New Roman"/>
          <w:color w:val="000000"/>
          <w:sz w:val="20"/>
          <w:szCs w:val="20"/>
        </w:rPr>
        <w:t>ry best practices across people, processes and technologies in an attempt to mitigate cybersecurity threats. However, we cannot anticipate, detect, repel or implement fully effective preventative measures against all cybersecurity threats, particularly bec</w:t>
      </w:r>
      <w:r>
        <w:rPr>
          <w:rFonts w:eastAsia="Times New Roman"/>
          <w:color w:val="000000"/>
          <w:sz w:val="20"/>
          <w:szCs w:val="20"/>
        </w:rPr>
        <w:t xml:space="preserve">ause the techniques used are increasingly sophisticated and constantly evolving. For example, as AI continues to evolve, cyber-attackers could also use AI to develop malicious code and sophisticated phishing attempts. As part of our cybersecurity program, </w:t>
      </w:r>
      <w:r>
        <w:rPr>
          <w:rFonts w:eastAsia="Times New Roman"/>
          <w:color w:val="000000"/>
          <w:sz w:val="20"/>
          <w:szCs w:val="20"/>
        </w:rPr>
        <w:t>we seek to identify and remediate vulnerabilities in our IT systems and software (including third party software used in our IT systems) that could be exploited by hackers or other malicious actors. However, we may not be aware of all such vulnerabilities,</w:t>
      </w:r>
      <w:r>
        <w:rPr>
          <w:rFonts w:eastAsia="Times New Roman"/>
          <w:color w:val="000000"/>
          <w:sz w:val="20"/>
          <w:szCs w:val="20"/>
        </w:rPr>
        <w:t xml:space="preserve"> and we may fail to identify and/or remediate such vulnerabilities before they are exploited. Attempts to gain unauthorized access to our IT systems or other attacks have in the past, in certain instances and to certain degrees, been successful (but have n</w:t>
      </w:r>
      <w:r>
        <w:rPr>
          <w:rFonts w:eastAsia="Times New Roman"/>
          <w:color w:val="000000"/>
          <w:sz w:val="20"/>
          <w:szCs w:val="20"/>
        </w:rPr>
        <w:t xml:space="preserve">ot caused significant harm), and may in the future be successful, and in some cases, we might be unaware of an incident or its magnitude and effects. </w:t>
      </w:r>
    </w:p>
    <w:p w:rsidR="00000000" w:rsidRDefault="008931E1">
      <w:pPr>
        <w:ind w:firstLine="360"/>
        <w:divId w:val="312679413"/>
        <w:rPr>
          <w:rFonts w:eastAsia="Times New Roman"/>
        </w:rPr>
      </w:pPr>
      <w:r>
        <w:rPr>
          <w:rFonts w:eastAsia="Times New Roman"/>
          <w:color w:val="000000"/>
          <w:sz w:val="20"/>
          <w:szCs w:val="20"/>
        </w:rPr>
        <w:t>In addition, employees and former employees, in particular former employees who become employees of our c</w:t>
      </w:r>
      <w:r>
        <w:rPr>
          <w:rFonts w:eastAsia="Times New Roman"/>
          <w:color w:val="000000"/>
          <w:sz w:val="20"/>
          <w:szCs w:val="20"/>
        </w:rPr>
        <w:t>ompetitors, customers, licensees or other third parties, including state actors, have in the past and may in the future misappropriate, wrongfully use, publish or provide to our competitors, customers, licensees or other third parties, including state acto</w:t>
      </w:r>
      <w:r>
        <w:rPr>
          <w:rFonts w:eastAsia="Times New Roman"/>
          <w:color w:val="000000"/>
          <w:sz w:val="20"/>
          <w:szCs w:val="20"/>
        </w:rPr>
        <w:t xml:space="preserve">rs, our technology, intellectual property or other proprietary or confidential information. This risk is exacerbated as competitors for talent, particularly engineering talent, increasingly attempt to hire our employees. See also the Risk Factor titled </w:t>
      </w:r>
      <w:r>
        <w:rPr>
          <w:rFonts w:eastAsia="Times New Roman"/>
          <w:i/>
          <w:iCs/>
          <w:color w:val="000000"/>
          <w:sz w:val="20"/>
          <w:szCs w:val="20"/>
        </w:rPr>
        <w:t>“We</w:t>
      </w:r>
      <w:r>
        <w:rPr>
          <w:rFonts w:eastAsia="Times New Roman"/>
          <w:i/>
          <w:iCs/>
          <w:color w:val="000000"/>
          <w:sz w:val="20"/>
          <w:szCs w:val="20"/>
        </w:rPr>
        <w:t xml:space="preserve"> may not be able to attract or retain qualified employees.”</w:t>
      </w:r>
      <w:r>
        <w:rPr>
          <w:rFonts w:eastAsia="Times New Roman"/>
          <w:color w:val="000000"/>
          <w:sz w:val="20"/>
          <w:szCs w:val="20"/>
        </w:rPr>
        <w:t xml:space="preserve"> Similarly, we provide access to certain of our technology, intellectual property and other proprietary or confidential information to our direct and indirect customers and licensees and certain of</w:t>
      </w:r>
      <w:r>
        <w:rPr>
          <w:rFonts w:eastAsia="Times New Roman"/>
          <w:color w:val="000000"/>
          <w:sz w:val="20"/>
          <w:szCs w:val="20"/>
        </w:rPr>
        <w:t xml:space="preserve"> our consultants, who have in the past and may in the future wrongfully use such technology, intellectual property or information, or wrongfully disclose such technology, intellectual property or information to third parties, including our competitors or s</w:t>
      </w:r>
      <w:r>
        <w:rPr>
          <w:rFonts w:eastAsia="Times New Roman"/>
          <w:color w:val="000000"/>
          <w:sz w:val="20"/>
          <w:szCs w:val="20"/>
        </w:rPr>
        <w:t>tate actors. We also provide access to certain of our technology, intellectual property and other proprietary or confidential information to certain of our joint venture partners, including those affiliated with state actors and including in foreign jurisd</w:t>
      </w:r>
      <w:r>
        <w:rPr>
          <w:rFonts w:eastAsia="Times New Roman"/>
          <w:color w:val="000000"/>
          <w:sz w:val="20"/>
          <w:szCs w:val="20"/>
        </w:rPr>
        <w:t>ictions where ownership restrictions may require us to take a minority ownership interest in the joint venture. Such joint venture partners may wrongfully use such technology, intellectual property or information, or wrongfully disclose such technology, in</w:t>
      </w:r>
      <w:r>
        <w:rPr>
          <w:rFonts w:eastAsia="Times New Roman"/>
          <w:color w:val="000000"/>
          <w:sz w:val="20"/>
          <w:szCs w:val="20"/>
        </w:rPr>
        <w:t>tellectual property or information to third parties, including our competitors or state actors. Our technology, intellectual property and other proprietary or confidential information that we have provided to customers, licensees or other business partners</w:t>
      </w:r>
      <w:r>
        <w:rPr>
          <w:rFonts w:eastAsia="Times New Roman"/>
          <w:color w:val="000000"/>
          <w:sz w:val="20"/>
          <w:szCs w:val="20"/>
        </w:rPr>
        <w:t xml:space="preserve"> could also be wrongfully obtained by third parties through cyber-attacks on such customers’, licensees’ or other business partners’ IT systems.</w:t>
      </w:r>
    </w:p>
    <w:p w:rsidR="00000000" w:rsidRDefault="008931E1">
      <w:pPr>
        <w:ind w:firstLine="360"/>
        <w:divId w:val="693386931"/>
        <w:rPr>
          <w:rFonts w:eastAsia="Times New Roman"/>
        </w:rPr>
      </w:pPr>
      <w:r>
        <w:rPr>
          <w:rFonts w:eastAsia="Times New Roman"/>
          <w:color w:val="000000"/>
          <w:sz w:val="20"/>
          <w:szCs w:val="20"/>
        </w:rPr>
        <w:t xml:space="preserve">The misappropriation, theft, misuse, disclosure, loss or destruction of the technology, intellectual property, </w:t>
      </w:r>
      <w:r>
        <w:rPr>
          <w:rFonts w:eastAsia="Times New Roman"/>
          <w:color w:val="000000"/>
          <w:sz w:val="20"/>
          <w:szCs w:val="20"/>
        </w:rPr>
        <w:t>or the proprietary, confidential or personal information, of us or our employees, customers, licensees, suppliers or other third parties, could harm our competitive position, reduce the value of our investment in research and development and other strategi</w:t>
      </w:r>
      <w:r>
        <w:rPr>
          <w:rFonts w:eastAsia="Times New Roman"/>
          <w:color w:val="000000"/>
          <w:sz w:val="20"/>
          <w:szCs w:val="20"/>
        </w:rPr>
        <w:t xml:space="preserve">c initiatives, cause us to lose business, damage our reputation, subject us to legal or regulatory proceedings, cause us to incur other loss or liability and otherwise adversely affect our business. We expect to continue to devote significant resources to </w:t>
      </w:r>
      <w:r>
        <w:rPr>
          <w:rFonts w:eastAsia="Times New Roman"/>
          <w:color w:val="000000"/>
          <w:sz w:val="20"/>
          <w:szCs w:val="20"/>
        </w:rPr>
        <w:t>the security of our IT systems, and our technology, intellectual property and proprietary and confidential information.</w:t>
      </w:r>
    </w:p>
    <w:p w:rsidR="00000000" w:rsidRDefault="008931E1">
      <w:pPr>
        <w:ind w:firstLine="360"/>
        <w:divId w:val="1802141232"/>
        <w:rPr>
          <w:rFonts w:eastAsia="Times New Roman"/>
        </w:rPr>
      </w:pPr>
      <w:r>
        <w:rPr>
          <w:rFonts w:eastAsia="Times New Roman"/>
          <w:color w:val="000000"/>
          <w:sz w:val="20"/>
          <w:szCs w:val="20"/>
        </w:rPr>
        <w:t>Further, certain countries in which we operate have implemented, and other countries or regions may implement, cybersecurity laws that r</w:t>
      </w:r>
      <w:r>
        <w:rPr>
          <w:rFonts w:eastAsia="Times New Roman"/>
          <w:color w:val="000000"/>
          <w:sz w:val="20"/>
          <w:szCs w:val="20"/>
        </w:rPr>
        <w:t>equire our overall IT security environment to meet certain standards and/or be certified. Such laws may be complex, ambiguous and subject to interpretation, which may create uncertainty regarding compliance. As a result, our efforts to comply with such law</w:t>
      </w:r>
      <w:r>
        <w:rPr>
          <w:rFonts w:eastAsia="Times New Roman"/>
          <w:color w:val="000000"/>
          <w:sz w:val="20"/>
          <w:szCs w:val="20"/>
        </w:rPr>
        <w:t>s may be expensive and may fail, which could adversely affect our business, results of operations and cash flows. In addition, our contracts with certain of our customers require us to obtain cybersecurity certifications for our IT systems. Failure to obta</w:t>
      </w:r>
      <w:r>
        <w:rPr>
          <w:rFonts w:eastAsia="Times New Roman"/>
          <w:color w:val="000000"/>
          <w:sz w:val="20"/>
          <w:szCs w:val="20"/>
        </w:rPr>
        <w:t>in or maintain the necessary cybersecurity certifications could result in loss of future revenues, damage to our customer relationships and reputation, and a shift of business to our competitors.</w:t>
      </w:r>
    </w:p>
    <w:p w:rsidR="00000000" w:rsidRDefault="008931E1">
      <w:pPr>
        <w:jc w:val="center"/>
        <w:divId w:val="781533737"/>
        <w:rPr>
          <w:rFonts w:eastAsia="Times New Roman"/>
        </w:rPr>
      </w:pPr>
      <w:r>
        <w:rPr>
          <w:rFonts w:eastAsia="Times New Roman"/>
          <w:color w:val="000000"/>
          <w:sz w:val="20"/>
          <w:szCs w:val="20"/>
        </w:rPr>
        <w:t>26</w:t>
      </w:r>
    </w:p>
    <w:p w:rsidR="00000000" w:rsidRDefault="008931E1">
      <w:pPr>
        <w:rPr>
          <w:rFonts w:eastAsia="Times New Roman"/>
        </w:rPr>
      </w:pPr>
      <w:r>
        <w:rPr>
          <w:rFonts w:eastAsia="Times New Roman"/>
        </w:rPr>
        <w:pict>
          <v:rect id="_x0000_i1049" style="width:0;height:1.5pt" o:hralign="center" o:hrstd="t" o:hr="t" fillcolor="#a0a0a0" stroked="f"/>
        </w:pict>
      </w:r>
    </w:p>
    <w:p w:rsidR="00000000" w:rsidRDefault="008931E1">
      <w:pPr>
        <w:divId w:val="479542013"/>
        <w:rPr>
          <w:rFonts w:eastAsia="Times New Roman"/>
        </w:rPr>
      </w:pPr>
    </w:p>
    <w:p w:rsidR="00000000" w:rsidRDefault="008931E1">
      <w:pPr>
        <w:divId w:val="776682109"/>
        <w:rPr>
          <w:rFonts w:eastAsia="Times New Roman"/>
        </w:rPr>
      </w:pPr>
      <w:r>
        <w:rPr>
          <w:rFonts w:eastAsia="Times New Roman"/>
          <w:b/>
          <w:bCs/>
          <w:color w:val="000000"/>
          <w:sz w:val="20"/>
          <w:szCs w:val="20"/>
        </w:rPr>
        <w:t>RISKS RELATED TO H</w:t>
      </w:r>
      <w:r>
        <w:rPr>
          <w:rFonts w:eastAsia="Times New Roman"/>
          <w:b/>
          <w:bCs/>
          <w:color w:val="000000"/>
          <w:sz w:val="20"/>
          <w:szCs w:val="20"/>
        </w:rPr>
        <w:t>UMAN CAPITAL MANAGEMENT</w:t>
      </w:r>
    </w:p>
    <w:p w:rsidR="00000000" w:rsidRDefault="008931E1">
      <w:pPr>
        <w:divId w:val="2043899357"/>
        <w:rPr>
          <w:rFonts w:eastAsia="Times New Roman"/>
        </w:rPr>
      </w:pPr>
      <w:r>
        <w:rPr>
          <w:rFonts w:eastAsia="Times New Roman"/>
          <w:b/>
          <w:bCs/>
          <w:i/>
          <w:iCs/>
          <w:color w:val="000000"/>
          <w:sz w:val="20"/>
          <w:szCs w:val="20"/>
        </w:rPr>
        <w:t>We may not be able to attract or retain qualified employees.</w:t>
      </w:r>
    </w:p>
    <w:p w:rsidR="00000000" w:rsidRDefault="008931E1">
      <w:pPr>
        <w:ind w:firstLine="360"/>
        <w:divId w:val="1604649973"/>
        <w:rPr>
          <w:rFonts w:eastAsia="Times New Roman"/>
        </w:rPr>
      </w:pPr>
      <w:r>
        <w:rPr>
          <w:rFonts w:eastAsia="Times New Roman"/>
          <w:color w:val="000000"/>
          <w:sz w:val="20"/>
          <w:szCs w:val="20"/>
        </w:rPr>
        <w:t>Our future success depends upon the continued service of our executive officers and other key management and technical personnel, and on our ability to continue to identif</w:t>
      </w:r>
      <w:r>
        <w:rPr>
          <w:rFonts w:eastAsia="Times New Roman"/>
          <w:color w:val="000000"/>
          <w:sz w:val="20"/>
          <w:szCs w:val="20"/>
        </w:rPr>
        <w:t>y, attract, retain and motivate them. Implementing our business strategy requires specialized engineering and other talent, as our revenues are highly dependent on technological and product innovations. In addition, in order to extend our business into cer</w:t>
      </w:r>
      <w:r>
        <w:rPr>
          <w:rFonts w:eastAsia="Times New Roman"/>
          <w:color w:val="000000"/>
          <w:sz w:val="20"/>
          <w:szCs w:val="20"/>
        </w:rPr>
        <w:t xml:space="preserve">tain new and expanded product areas and industries and applications beyond mobile handsets, we need to attract, retain and motivate engineering and other technical personnel with specialized skills in these areas, and these skills are in high demand among </w:t>
      </w:r>
      <w:r>
        <w:rPr>
          <w:rFonts w:eastAsia="Times New Roman"/>
          <w:color w:val="000000"/>
          <w:sz w:val="20"/>
          <w:szCs w:val="20"/>
        </w:rPr>
        <w:t>our competitors. The market for employees in our industry is extremely competitive, and competitors for talent, particularly engineering talent, increasingly attempt to hire, and to varying degrees have been successful in hiring, our employees or employmen</w:t>
      </w:r>
      <w:r>
        <w:rPr>
          <w:rFonts w:eastAsia="Times New Roman"/>
          <w:color w:val="000000"/>
          <w:sz w:val="20"/>
          <w:szCs w:val="20"/>
        </w:rPr>
        <w:t xml:space="preserve">t candidates, including by establishing or expanding local offices near our headquarters in San Diego, California. Further, the increased availability of remote working arrangements has expanded the pool of companies that can compete for our employees and </w:t>
      </w:r>
      <w:r>
        <w:rPr>
          <w:rFonts w:eastAsia="Times New Roman"/>
          <w:color w:val="000000"/>
          <w:sz w:val="20"/>
          <w:szCs w:val="20"/>
        </w:rPr>
        <w:t>employment candidates. A number of such competitors for talent are significantly larger than us and/or offer compensation in excess of what we offer or other benefits that we do not offer. Further, existing immigration laws make it more difficult for us to</w:t>
      </w:r>
      <w:r>
        <w:rPr>
          <w:rFonts w:eastAsia="Times New Roman"/>
          <w:color w:val="000000"/>
          <w:sz w:val="20"/>
          <w:szCs w:val="20"/>
        </w:rPr>
        <w:t xml:space="preserve"> recruit and retain highly skilled foreign national graduates of universities in the United States, making the pool of available talent even smaller. </w:t>
      </w:r>
    </w:p>
    <w:p w:rsidR="00000000" w:rsidRDefault="008931E1">
      <w:pPr>
        <w:ind w:firstLine="360"/>
        <w:divId w:val="1388649480"/>
        <w:rPr>
          <w:rFonts w:eastAsia="Times New Roman"/>
        </w:rPr>
      </w:pPr>
      <w:r>
        <w:rPr>
          <w:rFonts w:eastAsia="Times New Roman"/>
          <w:color w:val="000000"/>
          <w:sz w:val="20"/>
          <w:szCs w:val="20"/>
        </w:rPr>
        <w:t>The COVID-19 pandemic caused us to modify our workforce practices, including having the vast majority of our employees work from home. Upon the reopening of our offices, we initially operated under a hybrid work model, meaning that the majority of our empl</w:t>
      </w:r>
      <w:r>
        <w:rPr>
          <w:rFonts w:eastAsia="Times New Roman"/>
          <w:color w:val="000000"/>
          <w:sz w:val="20"/>
          <w:szCs w:val="20"/>
        </w:rPr>
        <w:t>oyees had the flexibility to work remotely at least some of the time. In fiscal 2023, we implemented changes to our hybrid work model that require the majority of our employees to spend the majority of their working time in the office. This requirement for</w:t>
      </w:r>
      <w:r>
        <w:rPr>
          <w:rFonts w:eastAsia="Times New Roman"/>
          <w:color w:val="000000"/>
          <w:sz w:val="20"/>
          <w:szCs w:val="20"/>
        </w:rPr>
        <w:t xml:space="preserve"> greater in-office attendance may not meet the needs or expectations of our employees and could negatively impact our ability to attract and retain employees, particularly if it is perceived as less favorable compared to other companies’ remote work polici</w:t>
      </w:r>
      <w:r>
        <w:rPr>
          <w:rFonts w:eastAsia="Times New Roman"/>
          <w:color w:val="000000"/>
          <w:sz w:val="20"/>
          <w:szCs w:val="20"/>
        </w:rPr>
        <w:t xml:space="preserve">es. </w:t>
      </w:r>
    </w:p>
    <w:p w:rsidR="00000000" w:rsidRDefault="008931E1">
      <w:pPr>
        <w:ind w:firstLine="360"/>
        <w:divId w:val="1768036018"/>
        <w:rPr>
          <w:rFonts w:eastAsia="Times New Roman"/>
        </w:rPr>
      </w:pPr>
      <w:r>
        <w:rPr>
          <w:rFonts w:eastAsia="Times New Roman"/>
          <w:color w:val="000000"/>
          <w:sz w:val="20"/>
          <w:szCs w:val="20"/>
        </w:rPr>
        <w:t xml:space="preserve">If we are unable to attract or retain qualified employees or fail to maintain employee productivity due to any of the factors described above or for other reasons, our business could be adversely impacted. </w:t>
      </w:r>
    </w:p>
    <w:p w:rsidR="00000000" w:rsidRDefault="008931E1">
      <w:pPr>
        <w:divId w:val="770274846"/>
        <w:rPr>
          <w:rFonts w:eastAsia="Times New Roman"/>
        </w:rPr>
      </w:pPr>
      <w:r>
        <w:rPr>
          <w:rFonts w:eastAsia="Times New Roman"/>
          <w:b/>
          <w:bCs/>
          <w:color w:val="000000"/>
          <w:sz w:val="20"/>
          <w:szCs w:val="20"/>
        </w:rPr>
        <w:t>RISKS SPECIFIC TO OUR LICENSING BUSINESS</w:t>
      </w:r>
    </w:p>
    <w:p w:rsidR="00000000" w:rsidRDefault="008931E1">
      <w:pPr>
        <w:divId w:val="282925466"/>
        <w:rPr>
          <w:rFonts w:eastAsia="Times New Roman"/>
        </w:rPr>
      </w:pPr>
      <w:r>
        <w:rPr>
          <w:rFonts w:eastAsia="Times New Roman"/>
          <w:b/>
          <w:bCs/>
          <w:i/>
          <w:iCs/>
          <w:color w:val="000000"/>
          <w:sz w:val="20"/>
          <w:szCs w:val="20"/>
        </w:rPr>
        <w:t>The</w:t>
      </w:r>
      <w:r>
        <w:rPr>
          <w:rFonts w:eastAsia="Times New Roman"/>
          <w:b/>
          <w:bCs/>
          <w:i/>
          <w:iCs/>
          <w:color w:val="000000"/>
          <w:sz w:val="20"/>
          <w:szCs w:val="20"/>
        </w:rPr>
        <w:t xml:space="preserve"> continued and future success of our licensing programs requires us to continue to evolve our patent portfolio and to renew or renegotiate license agreements that are expiring.</w:t>
      </w:r>
    </w:p>
    <w:p w:rsidR="00000000" w:rsidRDefault="008931E1">
      <w:pPr>
        <w:ind w:firstLine="360"/>
        <w:divId w:val="1210606434"/>
        <w:rPr>
          <w:rFonts w:eastAsia="Times New Roman"/>
        </w:rPr>
      </w:pPr>
      <w:r>
        <w:rPr>
          <w:rFonts w:eastAsia="Times New Roman"/>
          <w:color w:val="000000"/>
          <w:sz w:val="20"/>
          <w:szCs w:val="20"/>
        </w:rPr>
        <w:t>We own a very strong portfolio of issued and pending patents related to 3G, 4G,</w:t>
      </w:r>
      <w:r>
        <w:rPr>
          <w:rFonts w:eastAsia="Times New Roman"/>
          <w:color w:val="000000"/>
          <w:sz w:val="20"/>
          <w:szCs w:val="20"/>
        </w:rPr>
        <w:t xml:space="preserve"> 5G and other technologies. It is critical that we continue to evolve our patent portfolio, particularly in 5G. If we do not maintain a strong portfolio that is applicable to current and future standards, products and services, our future licensing revenue</w:t>
      </w:r>
      <w:r>
        <w:rPr>
          <w:rFonts w:eastAsia="Times New Roman"/>
          <w:color w:val="000000"/>
          <w:sz w:val="20"/>
          <w:szCs w:val="20"/>
        </w:rPr>
        <w:t>s could be negatively impacted.</w:t>
      </w:r>
    </w:p>
    <w:p w:rsidR="00000000" w:rsidRDefault="008931E1">
      <w:pPr>
        <w:ind w:firstLine="360"/>
        <w:divId w:val="1122111665"/>
        <w:rPr>
          <w:rFonts w:eastAsia="Times New Roman"/>
        </w:rPr>
      </w:pPr>
      <w:r>
        <w:rPr>
          <w:rFonts w:eastAsia="Times New Roman"/>
          <w:color w:val="000000"/>
          <w:sz w:val="20"/>
          <w:szCs w:val="20"/>
        </w:rPr>
        <w:t xml:space="preserve">Our patent license agreements in effect that generate a significant portion of our licensing revenues are effective for a specified term. To receive royalties after the expiration date of the specified term, we will need to </w:t>
      </w:r>
      <w:r>
        <w:rPr>
          <w:rFonts w:eastAsia="Times New Roman"/>
          <w:color w:val="000000"/>
          <w:sz w:val="20"/>
          <w:szCs w:val="20"/>
        </w:rPr>
        <w:t>extend or modify such license agreements or enter into new license agreements with such licensees. We might not be able to extend or modify license agreements, or enter into new license agreements, in the future without negatively affecting the material te</w:t>
      </w:r>
      <w:r>
        <w:rPr>
          <w:rFonts w:eastAsia="Times New Roman"/>
          <w:color w:val="000000"/>
          <w:sz w:val="20"/>
          <w:szCs w:val="20"/>
        </w:rPr>
        <w:t>rms and conditions of our license agreements with such licensees, and such modifications or new agreements may negatively impact our revenues. In some circumstances, we may extend, modify or enter into new license agreements as a result of arbitration or l</w:t>
      </w:r>
      <w:r>
        <w:rPr>
          <w:rFonts w:eastAsia="Times New Roman"/>
          <w:color w:val="000000"/>
          <w:sz w:val="20"/>
          <w:szCs w:val="20"/>
        </w:rPr>
        <w:t>itigation, and terms imposed by arbitrators or courts may be less favorable to us than existing terms, and may impact the financial or other terms of license agreements not subject to the litigation or arbitration. If there is a delay in extending, modifyi</w:t>
      </w:r>
      <w:r>
        <w:rPr>
          <w:rFonts w:eastAsia="Times New Roman"/>
          <w:color w:val="000000"/>
          <w:sz w:val="20"/>
          <w:szCs w:val="20"/>
        </w:rPr>
        <w:t>ng or entering into a new license agreement with a licensee, there would be a delay in our ability to recognize revenues related to that licensee’s product sales. Further, if we are unable to reach agreement on such modifications or new agreements, it coul</w:t>
      </w:r>
      <w:r>
        <w:rPr>
          <w:rFonts w:eastAsia="Times New Roman"/>
          <w:color w:val="000000"/>
          <w:sz w:val="20"/>
          <w:szCs w:val="20"/>
        </w:rPr>
        <w:t>d result in patent infringement litigation with such licensees.</w:t>
      </w:r>
    </w:p>
    <w:p w:rsidR="00000000" w:rsidRDefault="008931E1">
      <w:pPr>
        <w:divId w:val="1560826478"/>
        <w:rPr>
          <w:rFonts w:eastAsia="Times New Roman"/>
        </w:rPr>
      </w:pPr>
      <w:r>
        <w:rPr>
          <w:rFonts w:eastAsia="Times New Roman"/>
          <w:b/>
          <w:bCs/>
          <w:i/>
          <w:iCs/>
          <w:color w:val="000000"/>
          <w:sz w:val="20"/>
          <w:szCs w:val="20"/>
        </w:rPr>
        <w:t>Efforts by some original equipment manufacturers (OEMs) to avoid paying fair and reasonable royalties for the use of our intellectual property may require the investment of substantial managem</w:t>
      </w:r>
      <w:r>
        <w:rPr>
          <w:rFonts w:eastAsia="Times New Roman"/>
          <w:b/>
          <w:bCs/>
          <w:i/>
          <w:iCs/>
          <w:color w:val="000000"/>
          <w:sz w:val="20"/>
          <w:szCs w:val="20"/>
        </w:rPr>
        <w:t xml:space="preserve">ent time and financial resources and may result in legal decisions or actions by governments, courts, regulators or agencies, Standards Development Organizations (SDOs) or other industry organizations that harm our business. </w:t>
      </w:r>
    </w:p>
    <w:p w:rsidR="00000000" w:rsidRDefault="008931E1">
      <w:pPr>
        <w:ind w:firstLine="360"/>
        <w:divId w:val="1749620470"/>
        <w:rPr>
          <w:rFonts w:eastAsia="Times New Roman"/>
        </w:rPr>
      </w:pPr>
      <w:r>
        <w:rPr>
          <w:rFonts w:eastAsia="Times New Roman"/>
          <w:color w:val="000000"/>
          <w:sz w:val="20"/>
          <w:szCs w:val="20"/>
        </w:rPr>
        <w:t>From time to time, companies i</w:t>
      </w:r>
      <w:r>
        <w:rPr>
          <w:rFonts w:eastAsia="Times New Roman"/>
          <w:color w:val="000000"/>
          <w:sz w:val="20"/>
          <w:szCs w:val="20"/>
        </w:rPr>
        <w:t>nitiate various strategies to attempt to negotiate, renegotiate, reduce and/or eliminate their need to pay royalties to us for the use of our intellectual property. These strategies have included: (i) litigation, often alleging infringement of patents held</w:t>
      </w:r>
      <w:r>
        <w:rPr>
          <w:rFonts w:eastAsia="Times New Roman"/>
          <w:color w:val="000000"/>
          <w:sz w:val="20"/>
          <w:szCs w:val="20"/>
        </w:rPr>
        <w:t xml:space="preserve"> by such companies, patent misuse, patent exhaustion, patent invalidity or unenforceability of our patents or licenses, alleging that we do not license our patents on fair, reasonable and nondiscriminatory (FRAND) terms, or alleging some form of unfair com</w:t>
      </w:r>
      <w:r>
        <w:rPr>
          <w:rFonts w:eastAsia="Times New Roman"/>
          <w:color w:val="000000"/>
          <w:sz w:val="20"/>
          <w:szCs w:val="20"/>
        </w:rPr>
        <w:t>petition or competition law violation; (ii) taking positions contrary to our understanding (and/or the plain language) of their contracts with us; (iii) appeals to governmental authorities; (iv) collective action, including working with wireless operators,</w:t>
      </w:r>
      <w:r>
        <w:rPr>
          <w:rFonts w:eastAsia="Times New Roman"/>
          <w:color w:val="000000"/>
          <w:sz w:val="20"/>
          <w:szCs w:val="20"/>
        </w:rPr>
        <w:t xml:space="preserve"> standards bodies, other like-minded companies and organizations, on both formal and informal bases, to adopt intellectual property policies and practices that could have the effect of limiting returns on intellectual property innovations; (v) lobbying gov</w:t>
      </w:r>
      <w:r>
        <w:rPr>
          <w:rFonts w:eastAsia="Times New Roman"/>
          <w:color w:val="000000"/>
          <w:sz w:val="20"/>
          <w:szCs w:val="20"/>
        </w:rPr>
        <w:t>ernmental regulators and elected officials for the purpose of seeking the reduction of royalty rates or the base on which royalties are calculated, seeking to impose some form of compulsory licensing or weakening a patent holder’s ability to enforce its ri</w:t>
      </w:r>
      <w:r>
        <w:rPr>
          <w:rFonts w:eastAsia="Times New Roman"/>
          <w:color w:val="000000"/>
          <w:sz w:val="20"/>
          <w:szCs w:val="20"/>
        </w:rPr>
        <w:t>ghts or obtain a fair return for such rights; and (vi) attempts by licensees to shift their royalty obligation to their suppliers in order to make royalty collection more difficult or reduce the amount of royalties collected.</w:t>
      </w:r>
    </w:p>
    <w:p w:rsidR="00000000" w:rsidRDefault="008931E1">
      <w:pPr>
        <w:jc w:val="center"/>
        <w:divId w:val="2084905894"/>
        <w:rPr>
          <w:rFonts w:eastAsia="Times New Roman"/>
        </w:rPr>
      </w:pPr>
      <w:r>
        <w:rPr>
          <w:rFonts w:eastAsia="Times New Roman"/>
          <w:color w:val="000000"/>
          <w:sz w:val="20"/>
          <w:szCs w:val="20"/>
        </w:rPr>
        <w:t>27</w:t>
      </w:r>
    </w:p>
    <w:p w:rsidR="00000000" w:rsidRDefault="008931E1">
      <w:pPr>
        <w:rPr>
          <w:rFonts w:eastAsia="Times New Roman"/>
        </w:rPr>
      </w:pPr>
      <w:r>
        <w:rPr>
          <w:rFonts w:eastAsia="Times New Roman"/>
        </w:rPr>
        <w:pict>
          <v:rect id="_x0000_i1050" style="width:0;height:1.5pt" o:hralign="center" o:hrstd="t" o:hr="t" fillcolor="#a0a0a0" stroked="f"/>
        </w:pict>
      </w:r>
    </w:p>
    <w:p w:rsidR="00000000" w:rsidRDefault="008931E1">
      <w:pPr>
        <w:divId w:val="1899823697"/>
        <w:rPr>
          <w:rFonts w:eastAsia="Times New Roman"/>
        </w:rPr>
      </w:pPr>
    </w:p>
    <w:p w:rsidR="00000000" w:rsidRDefault="008931E1">
      <w:pPr>
        <w:ind w:firstLine="360"/>
        <w:divId w:val="29653460"/>
        <w:rPr>
          <w:rFonts w:eastAsia="Times New Roman"/>
        </w:rPr>
      </w:pPr>
      <w:r>
        <w:rPr>
          <w:rFonts w:eastAsia="Times New Roman"/>
          <w:color w:val="000000"/>
          <w:sz w:val="20"/>
          <w:szCs w:val="20"/>
        </w:rPr>
        <w:t>In addition, certain licensees have disputed, underreported, underpaid, not reported or not paid royalties owed to us under their license agreements or reported to us in a manner that is not in compliance with their contractual obligations, and</w:t>
      </w:r>
      <w:r>
        <w:rPr>
          <w:rFonts w:eastAsia="Times New Roman"/>
          <w:color w:val="000000"/>
          <w:sz w:val="20"/>
          <w:szCs w:val="20"/>
        </w:rPr>
        <w:t xml:space="preserve"> certain companies have yet to enter into or have delayed entering into or renewing license agreements with us for their use of our intellectual property, and they or others may engage in such behavior in the future. The fact that one or more licensees dis</w:t>
      </w:r>
      <w:r>
        <w:rPr>
          <w:rFonts w:eastAsia="Times New Roman"/>
          <w:color w:val="000000"/>
          <w:sz w:val="20"/>
          <w:szCs w:val="20"/>
        </w:rPr>
        <w:t xml:space="preserve">pute, underreport, underpay, do not report or do not pay royalties owed to us may encourage other licensees to take similar actions or not renew their existing license agreements, and may encourage other licensees or unlicensed companies to delay entering </w:t>
      </w:r>
      <w:r>
        <w:rPr>
          <w:rFonts w:eastAsia="Times New Roman"/>
          <w:color w:val="000000"/>
          <w:sz w:val="20"/>
          <w:szCs w:val="20"/>
        </w:rPr>
        <w:t xml:space="preserve">into, or to not enter into, new license agreements. Further, to the extent such licensees and companies increase their device share, the negative impact of their underreporting, underpayment, non-payment or non-reporting on our business, revenues, results </w:t>
      </w:r>
      <w:r>
        <w:rPr>
          <w:rFonts w:eastAsia="Times New Roman"/>
          <w:color w:val="000000"/>
          <w:sz w:val="20"/>
          <w:szCs w:val="20"/>
        </w:rPr>
        <w:t>of operations, cash flows and financial condition will be exacerbated.</w:t>
      </w:r>
    </w:p>
    <w:p w:rsidR="00000000" w:rsidRDefault="008931E1">
      <w:pPr>
        <w:ind w:firstLine="360"/>
        <w:divId w:val="1832678560"/>
        <w:rPr>
          <w:rFonts w:eastAsia="Times New Roman"/>
        </w:rPr>
      </w:pPr>
      <w:r>
        <w:rPr>
          <w:rFonts w:eastAsia="Times New Roman"/>
          <w:color w:val="000000"/>
          <w:sz w:val="20"/>
          <w:szCs w:val="20"/>
        </w:rPr>
        <w:t>We have been in the past and are currently subject to various litigation and/or governmental investigations and proceedings. Certain of these matters are described in this Annual Report</w:t>
      </w:r>
      <w:r>
        <w:rPr>
          <w:rFonts w:eastAsia="Times New Roman"/>
          <w:color w:val="000000"/>
          <w:sz w:val="20"/>
          <w:szCs w:val="20"/>
        </w:rPr>
        <w:t xml:space="preserve"> in “Notes to Consolidated Financial Statements, Note 7. Commitments and Contingencies.” We may become subject to other litigation or governmental investigations or proceedings in the future. Additionally, certain of our direct and indirect customers and l</w:t>
      </w:r>
      <w:r>
        <w:rPr>
          <w:rFonts w:eastAsia="Times New Roman"/>
          <w:color w:val="000000"/>
          <w:sz w:val="20"/>
          <w:szCs w:val="20"/>
        </w:rPr>
        <w:t>icensees have pursued, and others may in the future pursue, litigation or arbitration against us related to our business. Unfavorable resolutions of one or more of these matters have had and could in the future have a material adverse effect on our busines</w:t>
      </w:r>
      <w:r>
        <w:rPr>
          <w:rFonts w:eastAsia="Times New Roman"/>
          <w:color w:val="000000"/>
          <w:sz w:val="20"/>
          <w:szCs w:val="20"/>
        </w:rPr>
        <w:t xml:space="preserve">s, revenues, results of operations, cash flows and financial condition. See also the Risk Factors below titled </w:t>
      </w:r>
      <w:r>
        <w:rPr>
          <w:rFonts w:eastAsia="Times New Roman"/>
          <w:i/>
          <w:iCs/>
          <w:color w:val="000000"/>
          <w:sz w:val="20"/>
          <w:szCs w:val="20"/>
        </w:rPr>
        <w:t>“Changes in our patent licensing practices, whether due to governmental investigations, legal challenges or otherwise, could adversely impact our</w:t>
      </w:r>
      <w:r>
        <w:rPr>
          <w:rFonts w:eastAsia="Times New Roman"/>
          <w:i/>
          <w:iCs/>
          <w:color w:val="000000"/>
          <w:sz w:val="20"/>
          <w:szCs w:val="20"/>
        </w:rPr>
        <w:t xml:space="preserve"> business and results of operations” and “Our business may suffer as a result of adverse rulings in governmental investigations or proceedings or other legal proceedings.” </w:t>
      </w:r>
    </w:p>
    <w:p w:rsidR="00000000" w:rsidRDefault="008931E1">
      <w:pPr>
        <w:ind w:firstLine="360"/>
        <w:divId w:val="1339307946"/>
        <w:rPr>
          <w:rFonts w:eastAsia="Times New Roman"/>
        </w:rPr>
      </w:pPr>
      <w:r>
        <w:rPr>
          <w:rFonts w:eastAsia="Times New Roman"/>
          <w:color w:val="000000"/>
          <w:sz w:val="20"/>
          <w:szCs w:val="20"/>
        </w:rPr>
        <w:t>In addition, in connection with our participation in SDOs, we, like other patent ow</w:t>
      </w:r>
      <w:r>
        <w:rPr>
          <w:rFonts w:eastAsia="Times New Roman"/>
          <w:color w:val="000000"/>
          <w:sz w:val="20"/>
          <w:szCs w:val="20"/>
        </w:rPr>
        <w:t>ners, generally have made contractual commitments to such organizations to license those of our patents that would necessarily be infringed by standard-compliant products as set forth in those commitments (referred to as standard-essential patents). Some m</w:t>
      </w:r>
      <w:r>
        <w:rPr>
          <w:rFonts w:eastAsia="Times New Roman"/>
          <w:color w:val="000000"/>
          <w:sz w:val="20"/>
          <w:szCs w:val="20"/>
        </w:rPr>
        <w:t xml:space="preserve">anufacturers and users of standard-compliant products advance interpretations of these commitments that are adverse to our licensing business, including interpretations that would limit the amount of royalties that we could collect on the licensing of our </w:t>
      </w:r>
      <w:r>
        <w:rPr>
          <w:rFonts w:eastAsia="Times New Roman"/>
          <w:color w:val="000000"/>
          <w:sz w:val="20"/>
          <w:szCs w:val="20"/>
        </w:rPr>
        <w:t>standard-essential patent portfolio.</w:t>
      </w:r>
    </w:p>
    <w:p w:rsidR="00000000" w:rsidRDefault="008931E1">
      <w:pPr>
        <w:ind w:firstLine="360"/>
        <w:divId w:val="52702587"/>
        <w:rPr>
          <w:rFonts w:eastAsia="Times New Roman"/>
        </w:rPr>
      </w:pPr>
      <w:r>
        <w:rPr>
          <w:rFonts w:eastAsia="Times New Roman"/>
          <w:color w:val="000000"/>
          <w:sz w:val="20"/>
          <w:szCs w:val="20"/>
        </w:rPr>
        <w:t>Further, some third parties have proposed significant changes to existing intellectual property policies for implementation by SDOs and other industry organizations with the goal of significantly devaluing standard-esse</w:t>
      </w:r>
      <w:r>
        <w:rPr>
          <w:rFonts w:eastAsia="Times New Roman"/>
          <w:color w:val="000000"/>
          <w:sz w:val="20"/>
          <w:szCs w:val="20"/>
        </w:rPr>
        <w:t>ntial patents. For example, some have put forth proposals which would require a maximum aggregate intellectual property royalty rate for the use of all standard-essential patents owned by all of the member companies to be applied to the selling price of an</w:t>
      </w:r>
      <w:r>
        <w:rPr>
          <w:rFonts w:eastAsia="Times New Roman"/>
          <w:color w:val="000000"/>
          <w:sz w:val="20"/>
          <w:szCs w:val="20"/>
        </w:rPr>
        <w:t>y product implementing the relevant standard. They have further proposed that such maximum aggregate royalty rate be apportioned to each member company with standard-essential patents based upon the number of standard-essential patents held by such company</w:t>
      </w:r>
      <w:r>
        <w:rPr>
          <w:rFonts w:eastAsia="Times New Roman"/>
          <w:color w:val="000000"/>
          <w:sz w:val="20"/>
          <w:szCs w:val="20"/>
        </w:rPr>
        <w:t>. Others have proposed that injunctions should not be an available remedy for infringement of standard-essential patents and have made proposals that could severely limit damage awards and other remedies by courts for patent infringement (e.g., by limiting</w:t>
      </w:r>
      <w:r>
        <w:rPr>
          <w:rFonts w:eastAsia="Times New Roman"/>
          <w:color w:val="000000"/>
          <w:sz w:val="20"/>
          <w:szCs w:val="20"/>
        </w:rPr>
        <w:t xml:space="preserve"> the base upon which the royalty rate may be applied). A number of these strategies are purportedly based on interpretations of the policies of certain SDOs concerning the licensing of patents that are or may be essential to industry standards and on our (</w:t>
      </w:r>
      <w:r>
        <w:rPr>
          <w:rFonts w:eastAsia="Times New Roman"/>
          <w:color w:val="000000"/>
          <w:sz w:val="20"/>
          <w:szCs w:val="20"/>
        </w:rPr>
        <w:t xml:space="preserve">or other companies’) alleged failure to abide by these policies. </w:t>
      </w:r>
    </w:p>
    <w:p w:rsidR="00000000" w:rsidRDefault="008931E1">
      <w:pPr>
        <w:ind w:firstLine="360"/>
        <w:divId w:val="1582451393"/>
        <w:rPr>
          <w:rFonts w:eastAsia="Times New Roman"/>
        </w:rPr>
      </w:pPr>
      <w:r>
        <w:rPr>
          <w:rFonts w:eastAsia="Times New Roman"/>
          <w:color w:val="000000"/>
          <w:sz w:val="20"/>
          <w:szCs w:val="20"/>
        </w:rPr>
        <w:t>Some SDOs, courts and governmental agencies have adopted, and may in the future adopt, some or all of these interpretations or proposals in a manner adverse to our interests, including in li</w:t>
      </w:r>
      <w:r>
        <w:rPr>
          <w:rFonts w:eastAsia="Times New Roman"/>
          <w:color w:val="000000"/>
          <w:sz w:val="20"/>
          <w:szCs w:val="20"/>
        </w:rPr>
        <w:t>tigation to which we may not be a party. Further, SDOs in certain countries may attempt to modify widely accepted standards and claim the resulting standard as their own. In addition, governments may enact policies concerning standard-essential patents, su</w:t>
      </w:r>
      <w:r>
        <w:rPr>
          <w:rFonts w:eastAsia="Times New Roman"/>
          <w:color w:val="000000"/>
          <w:sz w:val="20"/>
          <w:szCs w:val="20"/>
        </w:rPr>
        <w:t>ch as the European Commission’s recently proposed regulations which would create a new regulatory scheme for standard-essential patents, that may have various consequences, some of which may be detrimental, such as by devaluing standard-essential patents o</w:t>
      </w:r>
      <w:r>
        <w:rPr>
          <w:rFonts w:eastAsia="Times New Roman"/>
          <w:color w:val="000000"/>
          <w:sz w:val="20"/>
          <w:szCs w:val="20"/>
        </w:rPr>
        <w:t xml:space="preserve">r disrupting worldwide technology standards. Other jurisdictions may adopt similar regulatory schemes, which could also have such effects. </w:t>
      </w:r>
    </w:p>
    <w:p w:rsidR="00000000" w:rsidRDefault="008931E1">
      <w:pPr>
        <w:ind w:firstLine="360"/>
        <w:divId w:val="1652907744"/>
        <w:rPr>
          <w:rFonts w:eastAsia="Times New Roman"/>
        </w:rPr>
      </w:pPr>
      <w:r>
        <w:rPr>
          <w:rFonts w:eastAsia="Times New Roman"/>
          <w:color w:val="000000"/>
          <w:sz w:val="20"/>
          <w:szCs w:val="20"/>
        </w:rPr>
        <w:t>We expect that such proposals, interpretations and strategies will continue in the future, and if successful, our bu</w:t>
      </w:r>
      <w:r>
        <w:rPr>
          <w:rFonts w:eastAsia="Times New Roman"/>
          <w:color w:val="000000"/>
          <w:sz w:val="20"/>
          <w:szCs w:val="20"/>
        </w:rPr>
        <w:t>siness model would be harmed, either by limiting or eliminating our ability to collect royalties (or by reducing the royalties we can collect) on all or a portion of our standard-essential patent portfolio, limiting our return on investment with respect to</w:t>
      </w:r>
      <w:r>
        <w:rPr>
          <w:rFonts w:eastAsia="Times New Roman"/>
          <w:color w:val="000000"/>
          <w:sz w:val="20"/>
          <w:szCs w:val="20"/>
        </w:rPr>
        <w:t xml:space="preserve"> new technologies, limiting our ability to seek injunctions against infringers of our standard-essential patents, constraining our ability to make licensing commitments when submitting our technologies for inclusion in future standards (which could make ou</w:t>
      </w:r>
      <w:r>
        <w:rPr>
          <w:rFonts w:eastAsia="Times New Roman"/>
          <w:color w:val="000000"/>
          <w:sz w:val="20"/>
          <w:szCs w:val="20"/>
        </w:rPr>
        <w:t>r technologies less likely to be included in such standards) or forcing us to work outside of SDOs or other industry groups to promote our new technologies, and our revenues, results of operations and cash flows could be negatively impacted. In addition, t</w:t>
      </w:r>
      <w:r>
        <w:rPr>
          <w:rFonts w:eastAsia="Times New Roman"/>
          <w:color w:val="000000"/>
          <w:sz w:val="20"/>
          <w:szCs w:val="20"/>
        </w:rPr>
        <w:t>he legal and other costs associated with asserting or defending our positions have been and may in the future be significant. We expect that such challenges, regardless of their merits, will continue into the foreseeable future and will require the investm</w:t>
      </w:r>
      <w:r>
        <w:rPr>
          <w:rFonts w:eastAsia="Times New Roman"/>
          <w:color w:val="000000"/>
          <w:sz w:val="20"/>
          <w:szCs w:val="20"/>
        </w:rPr>
        <w:t>ent of substantial management time and financial resources.</w:t>
      </w:r>
    </w:p>
    <w:p w:rsidR="00000000" w:rsidRDefault="008931E1">
      <w:pPr>
        <w:divId w:val="1610355724"/>
        <w:rPr>
          <w:rFonts w:eastAsia="Times New Roman"/>
        </w:rPr>
      </w:pPr>
      <w:r>
        <w:rPr>
          <w:rFonts w:eastAsia="Times New Roman"/>
          <w:b/>
          <w:bCs/>
          <w:i/>
          <w:iCs/>
          <w:color w:val="000000"/>
          <w:sz w:val="20"/>
          <w:szCs w:val="20"/>
        </w:rPr>
        <w:t>Changes in our patent licensing practices, whether due to</w:t>
      </w:r>
      <w:r>
        <w:rPr>
          <w:rFonts w:eastAsia="Times New Roman"/>
          <w:color w:val="000000"/>
          <w:sz w:val="20"/>
          <w:szCs w:val="20"/>
        </w:rPr>
        <w:t xml:space="preserve"> </w:t>
      </w:r>
      <w:r>
        <w:rPr>
          <w:rFonts w:eastAsia="Times New Roman"/>
          <w:b/>
          <w:bCs/>
          <w:i/>
          <w:iCs/>
          <w:color w:val="000000"/>
          <w:sz w:val="20"/>
          <w:szCs w:val="20"/>
        </w:rPr>
        <w:t>governmental investigations, legal challenges or otherwise, could adversely impact our business and results of operations.</w:t>
      </w:r>
    </w:p>
    <w:p w:rsidR="00000000" w:rsidRDefault="008931E1">
      <w:pPr>
        <w:ind w:firstLine="360"/>
        <w:divId w:val="511650146"/>
        <w:rPr>
          <w:rFonts w:eastAsia="Times New Roman"/>
        </w:rPr>
      </w:pPr>
      <w:r>
        <w:rPr>
          <w:rFonts w:eastAsia="Times New Roman"/>
          <w:color w:val="000000"/>
          <w:sz w:val="20"/>
          <w:szCs w:val="20"/>
        </w:rPr>
        <w:t>As described in</w:t>
      </w:r>
      <w:r>
        <w:rPr>
          <w:rFonts w:eastAsia="Times New Roman"/>
          <w:color w:val="000000"/>
          <w:sz w:val="20"/>
          <w:szCs w:val="20"/>
        </w:rPr>
        <w:t xml:space="preserve"> the Risk Factor below titled “</w:t>
      </w:r>
      <w:r>
        <w:rPr>
          <w:rFonts w:eastAsia="Times New Roman"/>
          <w:i/>
          <w:iCs/>
          <w:color w:val="000000"/>
          <w:sz w:val="20"/>
          <w:szCs w:val="20"/>
        </w:rPr>
        <w:t>Our business may suffer as a result of adverse rulings in governmental investigations or proceedings or other legal proceedings,</w:t>
      </w:r>
      <w:r>
        <w:rPr>
          <w:rFonts w:eastAsia="Times New Roman"/>
          <w:color w:val="000000"/>
          <w:sz w:val="20"/>
          <w:szCs w:val="20"/>
        </w:rPr>
        <w:t>” we have been in the past, currently are and may in the future be subject to various governmenta</w:t>
      </w:r>
      <w:r>
        <w:rPr>
          <w:rFonts w:eastAsia="Times New Roman"/>
          <w:color w:val="000000"/>
          <w:sz w:val="20"/>
          <w:szCs w:val="20"/>
        </w:rPr>
        <w:t xml:space="preserve">l investigations and/or legal proceedings challenging our patent licensing practices. Certain of these matters are described in this Annual Report in “Notes to Consolidated Financial Statements, Note 7. Commitments and </w:t>
      </w:r>
    </w:p>
    <w:p w:rsidR="00000000" w:rsidRDefault="008931E1">
      <w:pPr>
        <w:jc w:val="center"/>
        <w:divId w:val="995648158"/>
        <w:rPr>
          <w:rFonts w:eastAsia="Times New Roman"/>
        </w:rPr>
      </w:pPr>
      <w:r>
        <w:rPr>
          <w:rFonts w:eastAsia="Times New Roman"/>
          <w:color w:val="000000"/>
          <w:sz w:val="20"/>
          <w:szCs w:val="20"/>
        </w:rPr>
        <w:t>28</w:t>
      </w:r>
    </w:p>
    <w:p w:rsidR="00000000" w:rsidRDefault="008931E1">
      <w:pPr>
        <w:rPr>
          <w:rFonts w:eastAsia="Times New Roman"/>
        </w:rPr>
      </w:pPr>
      <w:r>
        <w:rPr>
          <w:rFonts w:eastAsia="Times New Roman"/>
        </w:rPr>
        <w:pict>
          <v:rect id="_x0000_i1051" style="width:0;height:1.5pt" o:hralign="center" o:hrstd="t" o:hr="t" fillcolor="#a0a0a0" stroked="f"/>
        </w:pict>
      </w:r>
    </w:p>
    <w:p w:rsidR="00000000" w:rsidRDefault="008931E1">
      <w:pPr>
        <w:divId w:val="1113864576"/>
        <w:rPr>
          <w:rFonts w:eastAsia="Times New Roman"/>
        </w:rPr>
      </w:pPr>
    </w:p>
    <w:p w:rsidR="00000000" w:rsidRDefault="008931E1">
      <w:pPr>
        <w:divId w:val="198013398"/>
        <w:rPr>
          <w:rFonts w:eastAsia="Times New Roman"/>
        </w:rPr>
      </w:pPr>
      <w:r>
        <w:rPr>
          <w:rFonts w:eastAsia="Times New Roman"/>
          <w:color w:val="000000"/>
          <w:sz w:val="20"/>
          <w:szCs w:val="20"/>
        </w:rPr>
        <w:t xml:space="preserve">Contingencies.” We believe that one intent of certain of these governmental investigations and legal proceedings has been to reduce the amount of royalties that licensees are required to pay to us for their use of our intellectual property. </w:t>
      </w:r>
    </w:p>
    <w:p w:rsidR="00000000" w:rsidRDefault="008931E1">
      <w:pPr>
        <w:ind w:firstLine="360"/>
        <w:divId w:val="1405685923"/>
        <w:rPr>
          <w:rFonts w:eastAsia="Times New Roman"/>
        </w:rPr>
      </w:pPr>
      <w:r>
        <w:rPr>
          <w:rFonts w:eastAsia="Times New Roman"/>
          <w:color w:val="000000"/>
          <w:sz w:val="20"/>
          <w:szCs w:val="20"/>
        </w:rPr>
        <w:t>If we were required to reduce the royalty rates in our patent license agreements, our revenues, earnings and cash flows would be negatively impacted absent a sufficient increase in the volume of sales of devices upon which royalties are paid. Similarly, if</w:t>
      </w:r>
      <w:r>
        <w:rPr>
          <w:rFonts w:eastAsia="Times New Roman"/>
          <w:color w:val="000000"/>
          <w:sz w:val="20"/>
          <w:szCs w:val="20"/>
        </w:rPr>
        <w:t xml:space="preserve"> we were required to reduce the base on which our royalties are calculated (e.g., license at the chipset level rather than at the device level), our revenues, earnings and cash flows would be negatively impacted unless there was a sufficient increase in th</w:t>
      </w:r>
      <w:r>
        <w:rPr>
          <w:rFonts w:eastAsia="Times New Roman"/>
          <w:color w:val="000000"/>
          <w:sz w:val="20"/>
          <w:szCs w:val="20"/>
        </w:rPr>
        <w:t>e volume of sales of devices upon which royalties are paid or we were able to increase our royalty rates to offset the decrease in revenues resulting from such lower royalty base.</w:t>
      </w:r>
    </w:p>
    <w:p w:rsidR="00000000" w:rsidRDefault="008931E1">
      <w:pPr>
        <w:ind w:firstLine="360"/>
        <w:divId w:val="966198766"/>
        <w:rPr>
          <w:rFonts w:eastAsia="Times New Roman"/>
        </w:rPr>
      </w:pPr>
      <w:r>
        <w:rPr>
          <w:rFonts w:eastAsia="Times New Roman"/>
          <w:color w:val="000000"/>
          <w:sz w:val="20"/>
          <w:szCs w:val="20"/>
        </w:rPr>
        <w:t>If we were required to grant patent licenses to chipset manufacturers or oth</w:t>
      </w:r>
      <w:r>
        <w:rPr>
          <w:rFonts w:eastAsia="Times New Roman"/>
          <w:color w:val="000000"/>
          <w:sz w:val="20"/>
          <w:szCs w:val="20"/>
        </w:rPr>
        <w:t>er component suppliers (which could lead to implementing a more complex, multi-level licensing structure in which we license certain portions of our patent portfolio to chipset manufacturers or other component suppliers and other portions to OEMs), we woul</w:t>
      </w:r>
      <w:r>
        <w:rPr>
          <w:rFonts w:eastAsia="Times New Roman"/>
          <w:color w:val="000000"/>
          <w:sz w:val="20"/>
          <w:szCs w:val="20"/>
        </w:rPr>
        <w:t>d incur additional transaction costs, which may be significant, and we could incur delays in recognizing revenues until license negotiations were completed. In addition, our licensing revenues and earnings would be negatively impacted if we were not able t</w:t>
      </w:r>
      <w:r>
        <w:rPr>
          <w:rFonts w:eastAsia="Times New Roman"/>
          <w:color w:val="000000"/>
          <w:sz w:val="20"/>
          <w:szCs w:val="20"/>
        </w:rPr>
        <w:t>o obtain, in the aggregate, equivalent revenues under such a multi-level licensing structure.</w:t>
      </w:r>
    </w:p>
    <w:p w:rsidR="00000000" w:rsidRDefault="008931E1">
      <w:pPr>
        <w:ind w:firstLine="360"/>
        <w:divId w:val="77294185"/>
        <w:rPr>
          <w:rFonts w:eastAsia="Times New Roman"/>
        </w:rPr>
      </w:pPr>
      <w:r>
        <w:rPr>
          <w:rFonts w:eastAsia="Times New Roman"/>
          <w:color w:val="000000"/>
          <w:sz w:val="20"/>
          <w:szCs w:val="20"/>
        </w:rPr>
        <w:t>If we were required to sell chipsets to OEMs that do not have a license to our patents, our licensing programs could be negatively impacted by patent exhaustion c</w:t>
      </w:r>
      <w:r>
        <w:rPr>
          <w:rFonts w:eastAsia="Times New Roman"/>
          <w:color w:val="000000"/>
          <w:sz w:val="20"/>
          <w:szCs w:val="20"/>
        </w:rPr>
        <w:t>laims raised by such unlicensed OEMs (i.e., claims that our sale of chipsets to such OEMs forecloses us from asserting any patents substantially embodied by the chipsets against such OEMs). Such sales could provide OEMs with a defense in the event we asser</w:t>
      </w:r>
      <w:r>
        <w:rPr>
          <w:rFonts w:eastAsia="Times New Roman"/>
          <w:color w:val="000000"/>
          <w:sz w:val="20"/>
          <w:szCs w:val="20"/>
        </w:rPr>
        <w:t>ted our patents against them to obtain licensing revenue for those patents. Moreover, such a requirement could negatively impact our ability to maintain our licensing program for products that do not use our chipsets. This could have a material adverse eff</w:t>
      </w:r>
      <w:r>
        <w:rPr>
          <w:rFonts w:eastAsia="Times New Roman"/>
          <w:color w:val="000000"/>
          <w:sz w:val="20"/>
          <w:szCs w:val="20"/>
        </w:rPr>
        <w:t>ect on our licensing programs and our results of operations, cash flows and financial condition.</w:t>
      </w:r>
    </w:p>
    <w:p w:rsidR="00000000" w:rsidRDefault="008931E1">
      <w:pPr>
        <w:ind w:firstLine="360"/>
        <w:divId w:val="1794597049"/>
        <w:rPr>
          <w:rFonts w:eastAsia="Times New Roman"/>
        </w:rPr>
      </w:pPr>
      <w:r>
        <w:rPr>
          <w:rFonts w:eastAsia="Times New Roman"/>
          <w:color w:val="000000"/>
          <w:sz w:val="20"/>
          <w:szCs w:val="20"/>
        </w:rPr>
        <w:t>To the extent that we were required to implement any of these licensing and/or business practices, including by modifying or renegotiating our existing license</w:t>
      </w:r>
      <w:r>
        <w:rPr>
          <w:rFonts w:eastAsia="Times New Roman"/>
          <w:color w:val="000000"/>
          <w:sz w:val="20"/>
          <w:szCs w:val="20"/>
        </w:rPr>
        <w:t xml:space="preserve"> agreements or pursuing other commercial arrangements, we would incur additional transaction costs, which may be significant, we could incur delays in recognizing revenues until license negotiations were completed, and our business, revenues, results of op</w:t>
      </w:r>
      <w:r>
        <w:rPr>
          <w:rFonts w:eastAsia="Times New Roman"/>
          <w:color w:val="000000"/>
          <w:sz w:val="20"/>
          <w:szCs w:val="20"/>
        </w:rPr>
        <w:t xml:space="preserve">erations, cash flows and financial condition could be harmed. The impact of any such changes to our licensing practices could vary widely and by jurisdiction, depending on the specific outcomes and the geographic scope of such outcomes. In addition, if we </w:t>
      </w:r>
      <w:r>
        <w:rPr>
          <w:rFonts w:eastAsia="Times New Roman"/>
          <w:color w:val="000000"/>
          <w:sz w:val="20"/>
          <w:szCs w:val="20"/>
        </w:rPr>
        <w:t xml:space="preserve">were required to make modifications to our licensing practices in one jurisdiction, licensees or governmental agencies in other jurisdictions may attempt to obtain similar outcomes for themselves or for such other jurisdictions, as applicable, which could </w:t>
      </w:r>
      <w:r>
        <w:rPr>
          <w:rFonts w:eastAsia="Times New Roman"/>
          <w:color w:val="000000"/>
          <w:sz w:val="20"/>
          <w:szCs w:val="20"/>
        </w:rPr>
        <w:t>result in increased legal costs and further harm to our business, revenues, results of operations, cash flows and financial condition.</w:t>
      </w:r>
    </w:p>
    <w:p w:rsidR="00000000" w:rsidRDefault="008931E1">
      <w:pPr>
        <w:divId w:val="1075198655"/>
        <w:rPr>
          <w:rFonts w:eastAsia="Times New Roman"/>
        </w:rPr>
      </w:pPr>
      <w:r>
        <w:rPr>
          <w:rFonts w:eastAsia="Times New Roman"/>
          <w:b/>
          <w:bCs/>
          <w:color w:val="000000"/>
          <w:sz w:val="20"/>
          <w:szCs w:val="20"/>
        </w:rPr>
        <w:t>RISKS RELATED TO REGULATORY AND LEGAL CHALLENGES</w:t>
      </w:r>
    </w:p>
    <w:p w:rsidR="00000000" w:rsidRDefault="008931E1">
      <w:pPr>
        <w:divId w:val="1387022777"/>
        <w:rPr>
          <w:rFonts w:eastAsia="Times New Roman"/>
        </w:rPr>
      </w:pPr>
      <w:r>
        <w:rPr>
          <w:rFonts w:eastAsia="Times New Roman"/>
          <w:b/>
          <w:bCs/>
          <w:i/>
          <w:iCs/>
          <w:color w:val="000000"/>
          <w:sz w:val="20"/>
          <w:szCs w:val="20"/>
        </w:rPr>
        <w:t>Our business may suffer as a result of adverse rulings in governmental investigations or proceedings or other legal proceedings.</w:t>
      </w:r>
    </w:p>
    <w:p w:rsidR="00000000" w:rsidRDefault="008931E1">
      <w:pPr>
        <w:ind w:firstLine="360"/>
        <w:divId w:val="1540047160"/>
        <w:rPr>
          <w:rFonts w:eastAsia="Times New Roman"/>
        </w:rPr>
      </w:pPr>
      <w:r>
        <w:rPr>
          <w:rFonts w:eastAsia="Times New Roman"/>
          <w:color w:val="000000"/>
          <w:sz w:val="20"/>
          <w:szCs w:val="20"/>
        </w:rPr>
        <w:t xml:space="preserve">We have been in the past and currently are subject to various governmental investigations and/or legal proceedings. Certain of </w:t>
      </w:r>
      <w:r>
        <w:rPr>
          <w:rFonts w:eastAsia="Times New Roman"/>
          <w:color w:val="000000"/>
          <w:sz w:val="20"/>
          <w:szCs w:val="20"/>
        </w:rPr>
        <w:t>these matters are described in this Annual Report in “Notes to Consolidated Financial Statements, Note 7. Commitments and Contingencies.” Key allegations or findings in those matters include or have in the past included, among others: that we violate FRAND</w:t>
      </w:r>
      <w:r>
        <w:rPr>
          <w:rFonts w:eastAsia="Times New Roman"/>
          <w:color w:val="000000"/>
          <w:sz w:val="20"/>
          <w:szCs w:val="20"/>
        </w:rPr>
        <w:t xml:space="preserve"> licensing commitments by refusing to grant licenses to chipset manufacturers; that our royalty rates are too high; that the base on which our royalties are calculated should be something less than the wholesale (i.e., licensee’s) selling price of the appl</w:t>
      </w:r>
      <w:r>
        <w:rPr>
          <w:rFonts w:eastAsia="Times New Roman"/>
          <w:color w:val="000000"/>
          <w:sz w:val="20"/>
          <w:szCs w:val="20"/>
        </w:rPr>
        <w:t>icable device (minus certain permitted deductions); that we unlawfully require customers to execute a patent license before we sell them cellular modem chipsets; that we have entered into exclusive agreements with chipset customers that foreclose competiti</w:t>
      </w:r>
      <w:r>
        <w:rPr>
          <w:rFonts w:eastAsia="Times New Roman"/>
          <w:color w:val="000000"/>
          <w:sz w:val="20"/>
          <w:szCs w:val="20"/>
        </w:rPr>
        <w:t>on; that we leverage our position in baseband chipsets in the RFFE space; and that we violate antitrust laws and engage in anticompetitive conduct and unfair methods of competition. We may become subject to other litigation or governmental investigations o</w:t>
      </w:r>
      <w:r>
        <w:rPr>
          <w:rFonts w:eastAsia="Times New Roman"/>
          <w:color w:val="000000"/>
          <w:sz w:val="20"/>
          <w:szCs w:val="20"/>
        </w:rPr>
        <w:t xml:space="preserve">r proceedings in the future. </w:t>
      </w:r>
    </w:p>
    <w:p w:rsidR="00000000" w:rsidRDefault="008931E1">
      <w:pPr>
        <w:ind w:firstLine="360"/>
        <w:divId w:val="307979740"/>
        <w:rPr>
          <w:rFonts w:eastAsia="Times New Roman"/>
        </w:rPr>
      </w:pPr>
      <w:r>
        <w:rPr>
          <w:rFonts w:eastAsia="Times New Roman"/>
          <w:color w:val="000000"/>
          <w:sz w:val="20"/>
          <w:szCs w:val="20"/>
        </w:rPr>
        <w:t>Unfavorable resolutions of one or more of these matters have had and could in the future have a material adverse effect on our business, revenues, results of operations, cash flows and financial condition. Depending on the mat</w:t>
      </w:r>
      <w:r>
        <w:rPr>
          <w:rFonts w:eastAsia="Times New Roman"/>
          <w:color w:val="000000"/>
          <w:sz w:val="20"/>
          <w:szCs w:val="20"/>
        </w:rPr>
        <w:t xml:space="preserve">ter, various remedies that could result from an unfavorable resolution include, among others: the loss of our ability to enforce one or more of our patents; injunctions; monetary damages, fines or other orders to pay money; the issuance of orders to cease </w:t>
      </w:r>
      <w:r>
        <w:rPr>
          <w:rFonts w:eastAsia="Times New Roman"/>
          <w:color w:val="000000"/>
          <w:sz w:val="20"/>
          <w:szCs w:val="20"/>
        </w:rPr>
        <w:t>certain conduct or modify our business practices, such as requiring us to reduce our royalty rates, reduce the base on which our royalties are calculated, grant patent licenses to chipset manufacturers or other component suppliers, sell chipsets to unlicen</w:t>
      </w:r>
      <w:r>
        <w:rPr>
          <w:rFonts w:eastAsia="Times New Roman"/>
          <w:color w:val="000000"/>
          <w:sz w:val="20"/>
          <w:szCs w:val="20"/>
        </w:rPr>
        <w:t>sed OEMs or modify or renegotiate some or all of our existing license agreements; and determinations that some or all of our license agreements are invalid or unenforceable. In addition, a governmental body in a particular country or region may successfull</w:t>
      </w:r>
      <w:r>
        <w:rPr>
          <w:rFonts w:eastAsia="Times New Roman"/>
          <w:color w:val="000000"/>
          <w:sz w:val="20"/>
          <w:szCs w:val="20"/>
        </w:rPr>
        <w:t>y assert and impose remedies with effects that extend beyond the borders of that country or region. If some or all of our license agreements are declared invalid or unenforceable and/or we are required to renegotiate these license agreements, we may not re</w:t>
      </w:r>
      <w:r>
        <w:rPr>
          <w:rFonts w:eastAsia="Times New Roman"/>
          <w:color w:val="000000"/>
          <w:sz w:val="20"/>
          <w:szCs w:val="20"/>
        </w:rPr>
        <w:t>ceive, or may not be able to recognize, some or any licensing or royalty revenues under the impacted license agreements unless and until we enter into new license agreements; and even licensees whose license agreements are not impacted may demand to renego</w:t>
      </w:r>
      <w:r>
        <w:rPr>
          <w:rFonts w:eastAsia="Times New Roman"/>
          <w:color w:val="000000"/>
          <w:sz w:val="20"/>
          <w:szCs w:val="20"/>
        </w:rPr>
        <w:t xml:space="preserve">tiate their agreements or invoke the dispute resolution provision in their agreements, and we may not be able to recognize some or any revenues under such agreements. The renegotiation of license agreements could result in terms that are less favorable to </w:t>
      </w:r>
      <w:r>
        <w:rPr>
          <w:rFonts w:eastAsia="Times New Roman"/>
          <w:color w:val="000000"/>
          <w:sz w:val="20"/>
          <w:szCs w:val="20"/>
        </w:rPr>
        <w:t xml:space="preserve">us than existing terms, or lead to arbitration or litigation to resolve the licensing terms, which could also be less favorable to us than existing terms, and each of which could take months or years. Licensees may underreport, underpay, not report or not </w:t>
      </w:r>
      <w:r>
        <w:rPr>
          <w:rFonts w:eastAsia="Times New Roman"/>
          <w:color w:val="000000"/>
          <w:sz w:val="20"/>
          <w:szCs w:val="20"/>
        </w:rPr>
        <w:t xml:space="preserve">pay royalties owed to us pending the conclusion of such </w:t>
      </w:r>
    </w:p>
    <w:p w:rsidR="00000000" w:rsidRDefault="008931E1">
      <w:pPr>
        <w:jc w:val="center"/>
        <w:divId w:val="1193376552"/>
        <w:rPr>
          <w:rFonts w:eastAsia="Times New Roman"/>
        </w:rPr>
      </w:pPr>
      <w:r>
        <w:rPr>
          <w:rFonts w:eastAsia="Times New Roman"/>
          <w:color w:val="000000"/>
          <w:sz w:val="20"/>
          <w:szCs w:val="20"/>
        </w:rPr>
        <w:t>29</w:t>
      </w:r>
    </w:p>
    <w:p w:rsidR="00000000" w:rsidRDefault="008931E1">
      <w:pPr>
        <w:rPr>
          <w:rFonts w:eastAsia="Times New Roman"/>
        </w:rPr>
      </w:pPr>
      <w:r>
        <w:rPr>
          <w:rFonts w:eastAsia="Times New Roman"/>
        </w:rPr>
        <w:pict>
          <v:rect id="_x0000_i1052" style="width:0;height:1.5pt" o:hralign="center" o:hrstd="t" o:hr="t" fillcolor="#a0a0a0" stroked="f"/>
        </w:pict>
      </w:r>
    </w:p>
    <w:p w:rsidR="00000000" w:rsidRDefault="008931E1">
      <w:pPr>
        <w:divId w:val="1289239306"/>
        <w:rPr>
          <w:rFonts w:eastAsia="Times New Roman"/>
        </w:rPr>
      </w:pPr>
    </w:p>
    <w:p w:rsidR="00000000" w:rsidRDefault="008931E1">
      <w:pPr>
        <w:divId w:val="2038460319"/>
        <w:rPr>
          <w:rFonts w:eastAsia="Times New Roman"/>
        </w:rPr>
      </w:pPr>
      <w:r>
        <w:rPr>
          <w:rFonts w:eastAsia="Times New Roman"/>
          <w:color w:val="000000"/>
          <w:sz w:val="20"/>
          <w:szCs w:val="20"/>
        </w:rPr>
        <w:t>negotiations, arbitration or litigation. In addition, we may be sued for alleged overpayments of past royalties paid to us, including private antitrust action</w:t>
      </w:r>
      <w:r>
        <w:rPr>
          <w:rFonts w:eastAsia="Times New Roman"/>
          <w:color w:val="000000"/>
          <w:sz w:val="20"/>
          <w:szCs w:val="20"/>
        </w:rPr>
        <w:t>s seeking treble damages under U.S. antitrust laws. The occurrence of any of the above could have a material adverse effect on our business, revenues, results of operations, cash flows and financial condition, and our stock price could decline, possibly si</w:t>
      </w:r>
      <w:r>
        <w:rPr>
          <w:rFonts w:eastAsia="Times New Roman"/>
          <w:color w:val="000000"/>
          <w:sz w:val="20"/>
          <w:szCs w:val="20"/>
        </w:rPr>
        <w:t>gnificantly, in which case we may have to significantly cut costs and other uses of cash, including in research and development, significantly impairing our ability to maintain product and technology leadership and invest in next generation technologies. F</w:t>
      </w:r>
      <w:r>
        <w:rPr>
          <w:rFonts w:eastAsia="Times New Roman"/>
          <w:color w:val="000000"/>
          <w:sz w:val="20"/>
          <w:szCs w:val="20"/>
        </w:rPr>
        <w:t>urther, depending on the breadth and severity of the circumstances above, we may have to reduce, suspend or eliminate our capital return programs, and our ability to timely pay our indebtedness may be impacted.</w:t>
      </w:r>
    </w:p>
    <w:p w:rsidR="00000000" w:rsidRDefault="008931E1">
      <w:pPr>
        <w:ind w:firstLine="360"/>
        <w:divId w:val="1289698169"/>
        <w:rPr>
          <w:rFonts w:eastAsia="Times New Roman"/>
        </w:rPr>
      </w:pPr>
      <w:r>
        <w:rPr>
          <w:rFonts w:eastAsia="Times New Roman"/>
          <w:color w:val="000000"/>
          <w:sz w:val="20"/>
          <w:szCs w:val="20"/>
        </w:rPr>
        <w:t>These challenges have required, and may in th</w:t>
      </w:r>
      <w:r>
        <w:rPr>
          <w:rFonts w:eastAsia="Times New Roman"/>
          <w:color w:val="000000"/>
          <w:sz w:val="20"/>
          <w:szCs w:val="20"/>
        </w:rPr>
        <w:t>e future require, the investment of significant management time and attention and have resulted, and may in the future result, in significant legal costs.</w:t>
      </w:r>
    </w:p>
    <w:p w:rsidR="00000000" w:rsidRDefault="008931E1">
      <w:pPr>
        <w:divId w:val="852306905"/>
        <w:rPr>
          <w:rFonts w:eastAsia="Times New Roman"/>
        </w:rPr>
      </w:pPr>
      <w:r>
        <w:rPr>
          <w:rFonts w:eastAsia="Times New Roman"/>
          <w:b/>
          <w:bCs/>
          <w:color w:val="000000"/>
          <w:sz w:val="20"/>
          <w:szCs w:val="20"/>
        </w:rPr>
        <w:t>RISKS RELATED TO INDUSTRY DYNAMICS AND COMPETITION</w:t>
      </w:r>
    </w:p>
    <w:p w:rsidR="00000000" w:rsidRDefault="008931E1">
      <w:pPr>
        <w:divId w:val="1150097347"/>
        <w:rPr>
          <w:rFonts w:eastAsia="Times New Roman"/>
        </w:rPr>
      </w:pPr>
      <w:r>
        <w:rPr>
          <w:rFonts w:eastAsia="Times New Roman"/>
          <w:b/>
          <w:bCs/>
          <w:i/>
          <w:iCs/>
          <w:color w:val="000000"/>
          <w:sz w:val="20"/>
          <w:szCs w:val="20"/>
        </w:rPr>
        <w:t>Our revenues depend on our customers’ and licensee</w:t>
      </w:r>
      <w:r>
        <w:rPr>
          <w:rFonts w:eastAsia="Times New Roman"/>
          <w:b/>
          <w:bCs/>
          <w:i/>
          <w:iCs/>
          <w:color w:val="000000"/>
          <w:sz w:val="20"/>
          <w:szCs w:val="20"/>
        </w:rPr>
        <w:t>s’ sales of products and services based on CDMA, OFDMA and other communications technologies, including 5G, and customer demand for our products based on these technologies.</w:t>
      </w:r>
    </w:p>
    <w:p w:rsidR="00000000" w:rsidRDefault="008931E1">
      <w:pPr>
        <w:ind w:firstLine="360"/>
        <w:divId w:val="331107082"/>
        <w:rPr>
          <w:rFonts w:eastAsia="Times New Roman"/>
        </w:rPr>
      </w:pPr>
      <w:r>
        <w:rPr>
          <w:rFonts w:eastAsia="Times New Roman"/>
          <w:color w:val="000000"/>
          <w:sz w:val="20"/>
          <w:szCs w:val="20"/>
        </w:rPr>
        <w:t xml:space="preserve">We develop, patent and commercialize technology and products based on CDMA, OFDMA </w:t>
      </w:r>
      <w:r>
        <w:rPr>
          <w:rFonts w:eastAsia="Times New Roman"/>
          <w:color w:val="000000"/>
          <w:sz w:val="20"/>
          <w:szCs w:val="20"/>
        </w:rPr>
        <w:t>and other communications technologies, which are primarily wireless. We depend on our customers and licensees to develop devices and services based on these technologies to drive consumer demand for such devices, and to establish the selling prices for suc</w:t>
      </w:r>
      <w:r>
        <w:rPr>
          <w:rFonts w:eastAsia="Times New Roman"/>
          <w:color w:val="000000"/>
          <w:sz w:val="20"/>
          <w:szCs w:val="20"/>
        </w:rPr>
        <w:t>h devices (which impact the amount of royalties we receive for certain devices). Further, the timing of our shipments of our products is dependent on the timing of our customers’ and licensees’ deployments of new devices and services based on these technol</w:t>
      </w:r>
      <w:r>
        <w:rPr>
          <w:rFonts w:eastAsia="Times New Roman"/>
          <w:color w:val="000000"/>
          <w:sz w:val="20"/>
          <w:szCs w:val="20"/>
        </w:rPr>
        <w:t>ogies. Increasingly, we also depend on operators of wireless networks, our customers and licensees and other third parties to incorporate these technologies into new device types and into industries and applications beyond mobile handsets, such as automoti</w:t>
      </w:r>
      <w:r>
        <w:rPr>
          <w:rFonts w:eastAsia="Times New Roman"/>
          <w:color w:val="000000"/>
          <w:sz w:val="20"/>
          <w:szCs w:val="20"/>
        </w:rPr>
        <w:t xml:space="preserve">ve and IoT, among others. Commercial deployments of 5G networks and devices have begun and are expected to continue for the foreseeable future. However, the timing and scale of certain such deployments were delayed due to the COVID-19 pandemic, and future </w:t>
      </w:r>
      <w:r>
        <w:rPr>
          <w:rFonts w:eastAsia="Times New Roman"/>
          <w:color w:val="000000"/>
          <w:sz w:val="20"/>
          <w:szCs w:val="20"/>
        </w:rPr>
        <w:t>deployments may similarly be delayed for reasons that are beyond our control.</w:t>
      </w:r>
    </w:p>
    <w:p w:rsidR="00000000" w:rsidRDefault="008931E1">
      <w:pPr>
        <w:ind w:firstLine="360"/>
        <w:divId w:val="1547402664"/>
        <w:rPr>
          <w:rFonts w:eastAsia="Times New Roman"/>
        </w:rPr>
      </w:pPr>
      <w:r>
        <w:rPr>
          <w:rFonts w:eastAsia="Times New Roman"/>
          <w:color w:val="000000"/>
          <w:sz w:val="20"/>
          <w:szCs w:val="20"/>
        </w:rPr>
        <w:t xml:space="preserve">Our revenues and growth in revenues could be negatively impacted, our business may be harmed and our substantial investments in these technologies may not provide us an adequate </w:t>
      </w:r>
      <w:r>
        <w:rPr>
          <w:rFonts w:eastAsia="Times New Roman"/>
          <w:color w:val="000000"/>
          <w:sz w:val="20"/>
          <w:szCs w:val="20"/>
        </w:rPr>
        <w:t>return, if: our customers’ and licensees’ revenues and sales of products, particularly premium-tier handset products, and services using these technologies, or average selling prices of such products, decline due to, for example, the maturity of smartphone</w:t>
      </w:r>
      <w:r>
        <w:rPr>
          <w:rFonts w:eastAsia="Times New Roman"/>
          <w:color w:val="000000"/>
          <w:sz w:val="20"/>
          <w:szCs w:val="20"/>
        </w:rPr>
        <w:t xml:space="preserve"> penetration in developed regions, including China; we do not continue to maintain our intellectual property and technical leadership in 5G, including in ongoing 5G standardization efforts; we are unable to drive the adoption of our products into networks </w:t>
      </w:r>
      <w:r>
        <w:rPr>
          <w:rFonts w:eastAsia="Times New Roman"/>
          <w:color w:val="000000"/>
          <w:sz w:val="20"/>
          <w:szCs w:val="20"/>
        </w:rPr>
        <w:t xml:space="preserve">and devices, including devices beyond mobile handsets; consumers’ rates of replacement of smartphones and other devices decline; or there is a shift in consumer demand away from new devices in favor of refurbished or secondhand devices. </w:t>
      </w:r>
    </w:p>
    <w:p w:rsidR="00000000" w:rsidRDefault="008931E1">
      <w:pPr>
        <w:divId w:val="975572807"/>
        <w:rPr>
          <w:rFonts w:eastAsia="Times New Roman"/>
        </w:rPr>
      </w:pPr>
      <w:r>
        <w:rPr>
          <w:rFonts w:eastAsia="Times New Roman"/>
          <w:b/>
          <w:bCs/>
          <w:i/>
          <w:iCs/>
          <w:color w:val="000000"/>
          <w:sz w:val="20"/>
          <w:szCs w:val="20"/>
        </w:rPr>
        <w:t>Our industry is su</w:t>
      </w:r>
      <w:r>
        <w:rPr>
          <w:rFonts w:eastAsia="Times New Roman"/>
          <w:b/>
          <w:bCs/>
          <w:i/>
          <w:iCs/>
          <w:color w:val="000000"/>
          <w:sz w:val="20"/>
          <w:szCs w:val="20"/>
        </w:rPr>
        <w:t xml:space="preserve">bject to intense competition in an environment of rapid technological change. Our success depends in part on our ability to adapt to such change and compete effectively; and such change and competition could result in decreased demand for our products and </w:t>
      </w:r>
      <w:r>
        <w:rPr>
          <w:rFonts w:eastAsia="Times New Roman"/>
          <w:b/>
          <w:bCs/>
          <w:i/>
          <w:iCs/>
          <w:color w:val="000000"/>
          <w:sz w:val="20"/>
          <w:szCs w:val="20"/>
        </w:rPr>
        <w:t>technologies or declining average selling prices for our products or those of our customers or licensees.</w:t>
      </w:r>
    </w:p>
    <w:p w:rsidR="00000000" w:rsidRDefault="008931E1">
      <w:pPr>
        <w:ind w:firstLine="360"/>
        <w:divId w:val="530385730"/>
        <w:rPr>
          <w:rFonts w:eastAsia="Times New Roman"/>
        </w:rPr>
      </w:pPr>
      <w:r>
        <w:rPr>
          <w:rFonts w:eastAsia="Times New Roman"/>
          <w:color w:val="000000"/>
          <w:sz w:val="20"/>
          <w:szCs w:val="20"/>
        </w:rPr>
        <w:t>Our products and technologies face significant competition. Competition may intensify as our current competitors expand their product offerings, impro</w:t>
      </w:r>
      <w:r>
        <w:rPr>
          <w:rFonts w:eastAsia="Times New Roman"/>
          <w:color w:val="000000"/>
          <w:sz w:val="20"/>
          <w:szCs w:val="20"/>
        </w:rPr>
        <w:t>ve their products or reduce the prices of their products as part of a strategy to maintain existing business and customers or attract new business and customers, as new opportunities develop, and as new competitors enter the industry. Competition in wirele</w:t>
      </w:r>
      <w:r>
        <w:rPr>
          <w:rFonts w:eastAsia="Times New Roman"/>
          <w:color w:val="000000"/>
          <w:sz w:val="20"/>
          <w:szCs w:val="20"/>
        </w:rPr>
        <w:t>ss communications is affected by various factors that include, among others: OEM concentrations; vertical integration; competition in certain geographic regions; government intervention or support of national industries or competitors; the ability to maint</w:t>
      </w:r>
      <w:r>
        <w:rPr>
          <w:rFonts w:eastAsia="Times New Roman"/>
          <w:color w:val="000000"/>
          <w:sz w:val="20"/>
          <w:szCs w:val="20"/>
        </w:rPr>
        <w:t xml:space="preserve">ain product differentiation in light of evolving industry standards and speed of technological change (including the transition to smaller geometry process technologies, the demand for always on, always connected capabilities, the increasing use of AI and </w:t>
      </w:r>
      <w:r>
        <w:rPr>
          <w:rFonts w:eastAsia="Times New Roman"/>
          <w:color w:val="000000"/>
          <w:sz w:val="20"/>
          <w:szCs w:val="20"/>
        </w:rPr>
        <w:t>machine learning technologies and the need to run complex AI-based applications on devices); access to capacity in the supply chain; and value-added features that drive selling prices and consumer demand for new devices.</w:t>
      </w:r>
    </w:p>
    <w:p w:rsidR="00000000" w:rsidRDefault="008931E1">
      <w:pPr>
        <w:ind w:firstLine="360"/>
        <w:divId w:val="1947421966"/>
        <w:rPr>
          <w:rFonts w:eastAsia="Times New Roman"/>
        </w:rPr>
      </w:pPr>
      <w:r>
        <w:rPr>
          <w:rFonts w:eastAsia="Times New Roman"/>
          <w:color w:val="000000"/>
          <w:sz w:val="20"/>
          <w:szCs w:val="20"/>
        </w:rPr>
        <w:t>We anticipate that additional compe</w:t>
      </w:r>
      <w:r>
        <w:rPr>
          <w:rFonts w:eastAsia="Times New Roman"/>
          <w:color w:val="000000"/>
          <w:sz w:val="20"/>
          <w:szCs w:val="20"/>
        </w:rPr>
        <w:t xml:space="preserve">titors will introduce products as a result of growth opportunities in wireless communications, the trend toward global expansion by foreign and domestic competitors, and technological and public policy changes. Additionally, the semiconductor industry has </w:t>
      </w:r>
      <w:r>
        <w:rPr>
          <w:rFonts w:eastAsia="Times New Roman"/>
          <w:color w:val="000000"/>
          <w:sz w:val="20"/>
          <w:szCs w:val="20"/>
        </w:rPr>
        <w:t>experienced and may continue to experience consolidation, which could result in significant changes to the competitive landscape. For example, if any key supplier of technologies and intellectual property to the semiconductor industry was sold to one of ou</w:t>
      </w:r>
      <w:r>
        <w:rPr>
          <w:rFonts w:eastAsia="Times New Roman"/>
          <w:color w:val="000000"/>
          <w:sz w:val="20"/>
          <w:szCs w:val="20"/>
        </w:rPr>
        <w:t>r competitors, it could negatively affect our ability to procure or license such technologies and intellectual property in the future, at all or upon acceptable terms, which could have wide-ranging impacts on our business and operations.</w:t>
      </w:r>
    </w:p>
    <w:p w:rsidR="00000000" w:rsidRDefault="008931E1">
      <w:pPr>
        <w:ind w:firstLine="360"/>
        <w:divId w:val="1037049082"/>
        <w:rPr>
          <w:rFonts w:eastAsia="Times New Roman"/>
        </w:rPr>
      </w:pPr>
      <w:r>
        <w:rPr>
          <w:rFonts w:eastAsia="Times New Roman"/>
          <w:color w:val="000000"/>
          <w:sz w:val="20"/>
          <w:szCs w:val="20"/>
        </w:rPr>
        <w:t>We expect that our</w:t>
      </w:r>
      <w:r>
        <w:rPr>
          <w:rFonts w:eastAsia="Times New Roman"/>
          <w:color w:val="000000"/>
          <w:sz w:val="20"/>
          <w:szCs w:val="20"/>
        </w:rPr>
        <w:t xml:space="preserve"> future success will depend on, among other factors, our ability to:</w:t>
      </w:r>
    </w:p>
    <w:p w:rsidR="00000000" w:rsidRDefault="008931E1">
      <w:pPr>
        <w:ind w:hanging="360"/>
        <w:divId w:val="586228857"/>
        <w:rPr>
          <w:rFonts w:eastAsia="Times New Roman"/>
        </w:rPr>
      </w:pPr>
      <w:r>
        <w:rPr>
          <w:rFonts w:eastAsia="Times New Roman"/>
          <w:color w:val="000000"/>
          <w:sz w:val="20"/>
          <w:szCs w:val="20"/>
        </w:rPr>
        <w:t>•differentiate our integrated circuit products with innovative technologies across multiple products and features (e.g., modem, RFFE including millimeter wave (mmWave), graphics and other</w:t>
      </w:r>
      <w:r>
        <w:rPr>
          <w:rFonts w:eastAsia="Times New Roman"/>
          <w:color w:val="000000"/>
          <w:sz w:val="20"/>
          <w:szCs w:val="20"/>
        </w:rPr>
        <w:t xml:space="preserve"> processors, camera, connectivity and on-device AI) and with smaller geometry process technologies that drive both performance and lower power consumption;</w:t>
      </w:r>
    </w:p>
    <w:p w:rsidR="00000000" w:rsidRDefault="008931E1">
      <w:pPr>
        <w:jc w:val="center"/>
        <w:divId w:val="1082682968"/>
        <w:rPr>
          <w:rFonts w:eastAsia="Times New Roman"/>
        </w:rPr>
      </w:pPr>
      <w:r>
        <w:rPr>
          <w:rFonts w:eastAsia="Times New Roman"/>
          <w:color w:val="000000"/>
          <w:sz w:val="20"/>
          <w:szCs w:val="20"/>
        </w:rPr>
        <w:t>30</w:t>
      </w:r>
    </w:p>
    <w:p w:rsidR="00000000" w:rsidRDefault="008931E1">
      <w:pPr>
        <w:rPr>
          <w:rFonts w:eastAsia="Times New Roman"/>
        </w:rPr>
      </w:pPr>
      <w:r>
        <w:rPr>
          <w:rFonts w:eastAsia="Times New Roman"/>
        </w:rPr>
        <w:pict>
          <v:rect id="_x0000_i1053" style="width:0;height:1.5pt" o:hralign="center" o:hrstd="t" o:hr="t" fillcolor="#a0a0a0" stroked="f"/>
        </w:pict>
      </w:r>
    </w:p>
    <w:p w:rsidR="00000000" w:rsidRDefault="008931E1">
      <w:pPr>
        <w:divId w:val="1803230344"/>
        <w:rPr>
          <w:rFonts w:eastAsia="Times New Roman"/>
        </w:rPr>
      </w:pPr>
    </w:p>
    <w:p w:rsidR="00000000" w:rsidRDefault="008931E1">
      <w:pPr>
        <w:ind w:hanging="360"/>
        <w:divId w:val="1412585451"/>
        <w:rPr>
          <w:rFonts w:eastAsia="Times New Roman"/>
        </w:rPr>
      </w:pPr>
      <w:r>
        <w:rPr>
          <w:rFonts w:eastAsia="Times New Roman"/>
          <w:color w:val="000000"/>
          <w:sz w:val="20"/>
          <w:szCs w:val="20"/>
        </w:rPr>
        <w:t>•develop and offer integrated circuit products at competit</w:t>
      </w:r>
      <w:r>
        <w:rPr>
          <w:rFonts w:eastAsia="Times New Roman"/>
          <w:color w:val="000000"/>
          <w:sz w:val="20"/>
          <w:szCs w:val="20"/>
        </w:rPr>
        <w:t>ive cost and price points and to effectively cover all geographic regions and all device tiers;</w:t>
      </w:r>
    </w:p>
    <w:p w:rsidR="00000000" w:rsidRDefault="008931E1">
      <w:pPr>
        <w:ind w:hanging="360"/>
        <w:divId w:val="1917398924"/>
        <w:rPr>
          <w:rFonts w:eastAsia="Times New Roman"/>
        </w:rPr>
      </w:pPr>
      <w:r>
        <w:rPr>
          <w:rFonts w:eastAsia="Times New Roman"/>
          <w:color w:val="000000"/>
          <w:sz w:val="20"/>
          <w:szCs w:val="20"/>
        </w:rPr>
        <w:t xml:space="preserve">•continue to be a leader in mobile, and drive the adoption of our technologies and integrated circuit products into the most popular device models and across a </w:t>
      </w:r>
      <w:r>
        <w:rPr>
          <w:rFonts w:eastAsia="Times New Roman"/>
          <w:color w:val="000000"/>
          <w:sz w:val="20"/>
          <w:szCs w:val="20"/>
        </w:rPr>
        <w:t>broad spectrum of devices in mobile, such as smartphones, tablets, laptops and other mobile computing devices;</w:t>
      </w:r>
    </w:p>
    <w:p w:rsidR="00000000" w:rsidRDefault="008931E1">
      <w:pPr>
        <w:ind w:hanging="360"/>
        <w:divId w:val="454838229"/>
        <w:rPr>
          <w:rFonts w:eastAsia="Times New Roman"/>
        </w:rPr>
      </w:pPr>
      <w:r>
        <w:rPr>
          <w:rFonts w:eastAsia="Times New Roman"/>
          <w:color w:val="000000"/>
          <w:sz w:val="20"/>
          <w:szCs w:val="20"/>
        </w:rPr>
        <w:t>•increase or accelerate adoption of our technologies and products in industries and applications outside of mobile handsets, including automotive</w:t>
      </w:r>
      <w:r>
        <w:rPr>
          <w:rFonts w:eastAsia="Times New Roman"/>
          <w:color w:val="000000"/>
          <w:sz w:val="20"/>
          <w:szCs w:val="20"/>
        </w:rPr>
        <w:t xml:space="preserve"> and IoT;</w:t>
      </w:r>
    </w:p>
    <w:p w:rsidR="00000000" w:rsidRDefault="008931E1">
      <w:pPr>
        <w:ind w:hanging="360"/>
        <w:divId w:val="1103765786"/>
        <w:rPr>
          <w:rFonts w:eastAsia="Times New Roman"/>
        </w:rPr>
      </w:pPr>
      <w:r>
        <w:rPr>
          <w:rFonts w:eastAsia="Times New Roman"/>
          <w:color w:val="000000"/>
          <w:sz w:val="20"/>
          <w:szCs w:val="20"/>
        </w:rPr>
        <w:t>•maintain or accelerate demand for our integrated circuit products at the premium device tier, while also driving the adoption of our products into high, mid- and low-tier devices across all regions;</w:t>
      </w:r>
    </w:p>
    <w:p w:rsidR="00000000" w:rsidRDefault="008931E1">
      <w:pPr>
        <w:ind w:hanging="360"/>
        <w:divId w:val="1875924145"/>
        <w:rPr>
          <w:rFonts w:eastAsia="Times New Roman"/>
        </w:rPr>
      </w:pPr>
      <w:r>
        <w:rPr>
          <w:rFonts w:eastAsia="Times New Roman"/>
          <w:color w:val="000000"/>
          <w:sz w:val="20"/>
          <w:szCs w:val="20"/>
        </w:rPr>
        <w:t>•remain a leader in 5G technology development,</w:t>
      </w:r>
      <w:r>
        <w:rPr>
          <w:rFonts w:eastAsia="Times New Roman"/>
          <w:color w:val="000000"/>
          <w:sz w:val="20"/>
          <w:szCs w:val="20"/>
        </w:rPr>
        <w:t xml:space="preserve"> standardization, intellectual property creation and licensing, and develop, commercialize and remain a leading supplier of 5G integrated circuit products, including RFFE products; </w:t>
      </w:r>
    </w:p>
    <w:p w:rsidR="00000000" w:rsidRDefault="008931E1">
      <w:pPr>
        <w:ind w:hanging="360"/>
        <w:divId w:val="1023359325"/>
        <w:rPr>
          <w:rFonts w:eastAsia="Times New Roman"/>
        </w:rPr>
      </w:pPr>
      <w:r>
        <w:rPr>
          <w:rFonts w:eastAsia="Times New Roman"/>
          <w:color w:val="000000"/>
          <w:sz w:val="20"/>
          <w:szCs w:val="20"/>
        </w:rPr>
        <w:t>•maintain access to sufficient capacity in the supply chain relative to ou</w:t>
      </w:r>
      <w:r>
        <w:rPr>
          <w:rFonts w:eastAsia="Times New Roman"/>
          <w:color w:val="000000"/>
          <w:sz w:val="20"/>
          <w:szCs w:val="20"/>
        </w:rPr>
        <w:t>r competitors to meet customer demand;</w:t>
      </w:r>
    </w:p>
    <w:p w:rsidR="00000000" w:rsidRDefault="008931E1">
      <w:pPr>
        <w:ind w:hanging="360"/>
        <w:divId w:val="1018234957"/>
        <w:rPr>
          <w:rFonts w:eastAsia="Times New Roman"/>
        </w:rPr>
      </w:pPr>
      <w:r>
        <w:rPr>
          <w:rFonts w:eastAsia="Times New Roman"/>
          <w:color w:val="000000"/>
          <w:sz w:val="20"/>
          <w:szCs w:val="20"/>
        </w:rPr>
        <w:t>•create standalone value and contribute to the success of our existing businesses through acquisitions, joint ventures and other strategic transactions, and by developing customer, licensee, vendor, distributor and ot</w:t>
      </w:r>
      <w:r>
        <w:rPr>
          <w:rFonts w:eastAsia="Times New Roman"/>
          <w:color w:val="000000"/>
          <w:sz w:val="20"/>
          <w:szCs w:val="20"/>
        </w:rPr>
        <w:t xml:space="preserve">her channel relationships in new industries and applications; </w:t>
      </w:r>
    </w:p>
    <w:p w:rsidR="00000000" w:rsidRDefault="008931E1">
      <w:pPr>
        <w:ind w:hanging="360"/>
        <w:divId w:val="2093500676"/>
        <w:rPr>
          <w:rFonts w:eastAsia="Times New Roman"/>
        </w:rPr>
      </w:pPr>
      <w:r>
        <w:rPr>
          <w:rFonts w:eastAsia="Times New Roman"/>
          <w:color w:val="000000"/>
          <w:sz w:val="20"/>
          <w:szCs w:val="20"/>
        </w:rPr>
        <w:t>•</w:t>
      </w:r>
      <w:r>
        <w:rPr>
          <w:rFonts w:eastAsia="Times New Roman"/>
          <w:color w:val="000000"/>
          <w:sz w:val="20"/>
          <w:szCs w:val="20"/>
        </w:rPr>
        <w:t>identify potential acquisition targets that will grow or sustain our business or address strategic needs, reach agreement on terms acceptable to us, close the transactions and effectively integrate these new businesses, products, technologies and employees</w:t>
      </w:r>
      <w:r>
        <w:rPr>
          <w:rFonts w:eastAsia="Times New Roman"/>
          <w:color w:val="000000"/>
          <w:sz w:val="20"/>
          <w:szCs w:val="20"/>
        </w:rPr>
        <w:t xml:space="preserve">; </w:t>
      </w:r>
    </w:p>
    <w:p w:rsidR="00000000" w:rsidRDefault="008931E1">
      <w:pPr>
        <w:ind w:hanging="360"/>
        <w:divId w:val="927998940"/>
        <w:rPr>
          <w:rFonts w:eastAsia="Times New Roman"/>
        </w:rPr>
      </w:pPr>
      <w:r>
        <w:rPr>
          <w:rFonts w:eastAsia="Times New Roman"/>
          <w:color w:val="000000"/>
          <w:sz w:val="20"/>
          <w:szCs w:val="20"/>
        </w:rPr>
        <w:t>•provide leading products and technologies to OEMs, high level operating systems (HLOS) providers, operators, cloud providers and other industry participants as competitors, new industry entrants and other factors continue to affect the industry landsca</w:t>
      </w:r>
      <w:r>
        <w:rPr>
          <w:rFonts w:eastAsia="Times New Roman"/>
          <w:color w:val="000000"/>
          <w:sz w:val="20"/>
          <w:szCs w:val="20"/>
        </w:rPr>
        <w:t>pe;</w:t>
      </w:r>
    </w:p>
    <w:p w:rsidR="00000000" w:rsidRDefault="008931E1">
      <w:pPr>
        <w:ind w:hanging="360"/>
        <w:divId w:val="1332945599"/>
        <w:rPr>
          <w:rFonts w:eastAsia="Times New Roman"/>
        </w:rPr>
      </w:pPr>
      <w:r>
        <w:rPr>
          <w:rFonts w:eastAsia="Times New Roman"/>
          <w:color w:val="000000"/>
          <w:sz w:val="20"/>
          <w:szCs w:val="20"/>
        </w:rPr>
        <w:t>•be a preferred partner and sustain preferred relationships providing integrated circuit products that support multiple operating system and infrastructure platforms to industry participants that effectively commercialize new devices using these platfo</w:t>
      </w:r>
      <w:r>
        <w:rPr>
          <w:rFonts w:eastAsia="Times New Roman"/>
          <w:color w:val="000000"/>
          <w:sz w:val="20"/>
          <w:szCs w:val="20"/>
        </w:rPr>
        <w:t>rms; and</w:t>
      </w:r>
    </w:p>
    <w:p w:rsidR="00000000" w:rsidRDefault="008931E1">
      <w:pPr>
        <w:ind w:hanging="360"/>
        <w:divId w:val="2101833969"/>
        <w:rPr>
          <w:rFonts w:eastAsia="Times New Roman"/>
        </w:rPr>
      </w:pPr>
      <w:r>
        <w:rPr>
          <w:rFonts w:eastAsia="Times New Roman"/>
          <w:color w:val="000000"/>
          <w:sz w:val="20"/>
          <w:szCs w:val="20"/>
        </w:rPr>
        <w:t>•continue to develop brand recognition to effectively compete against better known companies in computing and other consumer driven segments and to deepen our presence in significant emerging regions.</w:t>
      </w:r>
    </w:p>
    <w:p w:rsidR="00000000" w:rsidRDefault="008931E1">
      <w:pPr>
        <w:ind w:firstLine="360"/>
        <w:divId w:val="1915972849"/>
        <w:rPr>
          <w:rFonts w:eastAsia="Times New Roman"/>
        </w:rPr>
      </w:pPr>
      <w:r>
        <w:rPr>
          <w:rFonts w:eastAsia="Times New Roman"/>
          <w:color w:val="000000"/>
          <w:sz w:val="20"/>
          <w:szCs w:val="20"/>
        </w:rPr>
        <w:t>We compete with many different semiconductor c</w:t>
      </w:r>
      <w:r>
        <w:rPr>
          <w:rFonts w:eastAsia="Times New Roman"/>
          <w:color w:val="000000"/>
          <w:sz w:val="20"/>
          <w:szCs w:val="20"/>
        </w:rPr>
        <w:t xml:space="preserve">ompanies, ranging from multinational companies with integrated research and development, manufacturing, sales and marketing organizations across a broad spectrum of product lines, to companies that are focused on a single application, industry or standard </w:t>
      </w:r>
      <w:r>
        <w:rPr>
          <w:rFonts w:eastAsia="Times New Roman"/>
          <w:color w:val="000000"/>
          <w:sz w:val="20"/>
          <w:szCs w:val="20"/>
        </w:rPr>
        <w:t xml:space="preserve">product, including those that produce products for mobile handsets, automotive or IoT, among others. Most of these competitors compete with us with respect to some, but not all, of our businesses or product lines. Companies that design integrated circuits </w:t>
      </w:r>
      <w:r>
        <w:rPr>
          <w:rFonts w:eastAsia="Times New Roman"/>
          <w:color w:val="000000"/>
          <w:sz w:val="20"/>
          <w:szCs w:val="20"/>
        </w:rPr>
        <w:t xml:space="preserve">based on CDMA, OFDMA, Wi-Fi or their derivatives are generally competitors or potential competitors. Examples (some of which are strategic partners of ours in other areas) include Apple, Broadcom, HiSilicon, MediaTek, Mobileye, Nvidia, NXP Semiconductors, </w:t>
      </w:r>
      <w:r>
        <w:rPr>
          <w:rFonts w:eastAsia="Times New Roman"/>
          <w:color w:val="000000"/>
          <w:sz w:val="20"/>
          <w:szCs w:val="20"/>
        </w:rPr>
        <w:t xml:space="preserve">Qorvo, Samsung, Skyworks, Texas Instruments and UNISOC. Some of these current and potential competitors may have advantages over us that include, among others: motivation by our customers in certain circumstances to use our competitors’ integrated circuit </w:t>
      </w:r>
      <w:r>
        <w:rPr>
          <w:rFonts w:eastAsia="Times New Roman"/>
          <w:color w:val="000000"/>
          <w:sz w:val="20"/>
          <w:szCs w:val="20"/>
        </w:rPr>
        <w:t>products, to utilize their own internally-developed integrated circuit products and/or sell such products to others, or to utilize alternative technologies; lower cost structures or a willingness and ability to accept lower prices or lower margins for thei</w:t>
      </w:r>
      <w:r>
        <w:rPr>
          <w:rFonts w:eastAsia="Times New Roman"/>
          <w:color w:val="000000"/>
          <w:sz w:val="20"/>
          <w:szCs w:val="20"/>
        </w:rPr>
        <w:t xml:space="preserve">r products, particularly in China; foreign government support of other technologies, competitors or OEMs that sell devices that do not contain our integrated circuit products; better known brand names; ownership and control of manufacturing facilities and </w:t>
      </w:r>
      <w:r>
        <w:rPr>
          <w:rFonts w:eastAsia="Times New Roman"/>
          <w:color w:val="000000"/>
          <w:sz w:val="20"/>
          <w:szCs w:val="20"/>
        </w:rPr>
        <w:t>greater expertise in manufacturing processes; the development and sale of infrastructure equipment for wireless networks, which may enable such competitors to better optimize their integrated circuit products for performance on those networks; more extensi</w:t>
      </w:r>
      <w:r>
        <w:rPr>
          <w:rFonts w:eastAsia="Times New Roman"/>
          <w:color w:val="000000"/>
          <w:sz w:val="20"/>
          <w:szCs w:val="20"/>
        </w:rPr>
        <w:t>ve relationships with local distribution companies and OEMs in certain geographic regions (such as China); more experience in industries and applications beyond mobile handsets (such as automotive and IoT); and a more established presence in certain region</w:t>
      </w:r>
      <w:r>
        <w:rPr>
          <w:rFonts w:eastAsia="Times New Roman"/>
          <w:color w:val="000000"/>
          <w:sz w:val="20"/>
          <w:szCs w:val="20"/>
        </w:rPr>
        <w:t xml:space="preserve">s. </w:t>
      </w:r>
    </w:p>
    <w:p w:rsidR="00000000" w:rsidRDefault="008931E1">
      <w:pPr>
        <w:ind w:firstLine="360"/>
        <w:divId w:val="331226746"/>
        <w:rPr>
          <w:rFonts w:eastAsia="Times New Roman"/>
        </w:rPr>
      </w:pPr>
      <w:r>
        <w:rPr>
          <w:rFonts w:eastAsia="Times New Roman"/>
          <w:color w:val="000000"/>
          <w:sz w:val="20"/>
          <w:szCs w:val="20"/>
        </w:rPr>
        <w:t>In addition, certain of our largest customers have in the past utilized, currently utilize and may in the future utilize our competitors’ integrated circuit products in some or all of their devices, rather than our products. Further, certain of those c</w:t>
      </w:r>
      <w:r>
        <w:rPr>
          <w:rFonts w:eastAsia="Times New Roman"/>
          <w:color w:val="000000"/>
          <w:sz w:val="20"/>
          <w:szCs w:val="20"/>
        </w:rPr>
        <w:t>ustomers have developed, are developing or may develop their own integrated circuit products (effectively making them competitors), which they have in the past utilized, currently utilize and may in the future utilize in some or all of their devices, rathe</w:t>
      </w:r>
      <w:r>
        <w:rPr>
          <w:rFonts w:eastAsia="Times New Roman"/>
          <w:color w:val="000000"/>
          <w:sz w:val="20"/>
          <w:szCs w:val="20"/>
        </w:rPr>
        <w:t>r than our products. See also the Risk Factor titled “</w:t>
      </w:r>
      <w:r>
        <w:rPr>
          <w:rFonts w:eastAsia="Times New Roman"/>
          <w:i/>
          <w:iCs/>
          <w:color w:val="000000"/>
          <w:sz w:val="20"/>
          <w:szCs w:val="20"/>
        </w:rPr>
        <w:t>Our business, particularly our semiconductor business, may suffer as a result of our customers vertically integrating (i.e., developing their own integrated circuit products)</w:t>
      </w:r>
      <w:r>
        <w:rPr>
          <w:rFonts w:eastAsia="Times New Roman"/>
          <w:color w:val="000000"/>
          <w:sz w:val="20"/>
          <w:szCs w:val="20"/>
        </w:rPr>
        <w:t xml:space="preserve">.” </w:t>
      </w:r>
    </w:p>
    <w:p w:rsidR="00000000" w:rsidRDefault="008931E1">
      <w:pPr>
        <w:ind w:firstLine="360"/>
        <w:divId w:val="835682192"/>
        <w:rPr>
          <w:rFonts w:eastAsia="Times New Roman"/>
        </w:rPr>
      </w:pPr>
      <w:r>
        <w:rPr>
          <w:rFonts w:eastAsia="Times New Roman"/>
          <w:color w:val="000000"/>
          <w:sz w:val="20"/>
          <w:szCs w:val="20"/>
        </w:rPr>
        <w:t>Further, political actions, including trade and/or national security protection policies, or other actions by governments, particularly the U.S. and Chinese governments, have in the past, currently are and could in the future limit or prevent us from trans</w:t>
      </w:r>
      <w:r>
        <w:rPr>
          <w:rFonts w:eastAsia="Times New Roman"/>
          <w:color w:val="000000"/>
          <w:sz w:val="20"/>
          <w:szCs w:val="20"/>
        </w:rPr>
        <w:t>acting business with certain of our customers or suppliers; limit, prevent or discourage certain of our customers or suppliers from transacting business with us; or make it more expensive to do so. This could advantage our competitors by enabling them with</w:t>
      </w:r>
      <w:r>
        <w:rPr>
          <w:rFonts w:eastAsia="Times New Roman"/>
          <w:color w:val="000000"/>
          <w:sz w:val="20"/>
          <w:szCs w:val="20"/>
        </w:rPr>
        <w:t xml:space="preserve"> increased sales, economies of scale, operating income and/or cash flows, and/or enabling critical technology transfer, allowing them to increase their investments in technology development, research and development, and </w:t>
      </w:r>
    </w:p>
    <w:p w:rsidR="00000000" w:rsidRDefault="008931E1">
      <w:pPr>
        <w:jc w:val="center"/>
        <w:divId w:val="1457526840"/>
        <w:rPr>
          <w:rFonts w:eastAsia="Times New Roman"/>
        </w:rPr>
      </w:pPr>
      <w:r>
        <w:rPr>
          <w:rFonts w:eastAsia="Times New Roman"/>
          <w:color w:val="000000"/>
          <w:sz w:val="20"/>
          <w:szCs w:val="20"/>
        </w:rPr>
        <w:t>31</w:t>
      </w:r>
    </w:p>
    <w:p w:rsidR="00000000" w:rsidRDefault="008931E1">
      <w:pPr>
        <w:rPr>
          <w:rFonts w:eastAsia="Times New Roman"/>
        </w:rPr>
      </w:pPr>
      <w:r>
        <w:rPr>
          <w:rFonts w:eastAsia="Times New Roman"/>
        </w:rPr>
        <w:pict>
          <v:rect id="_x0000_i1054" style="width:0;height:1.5pt" o:hralign="center" o:hrstd="t" o:hr="t" fillcolor="#a0a0a0" stroked="f"/>
        </w:pict>
      </w:r>
    </w:p>
    <w:p w:rsidR="00000000" w:rsidRDefault="008931E1">
      <w:pPr>
        <w:divId w:val="520827172"/>
        <w:rPr>
          <w:rFonts w:eastAsia="Times New Roman"/>
        </w:rPr>
      </w:pPr>
    </w:p>
    <w:p w:rsidR="00000000" w:rsidRDefault="008931E1">
      <w:pPr>
        <w:divId w:val="1758399852"/>
        <w:rPr>
          <w:rFonts w:eastAsia="Times New Roman"/>
        </w:rPr>
      </w:pPr>
      <w:r>
        <w:rPr>
          <w:rFonts w:eastAsia="Times New Roman"/>
          <w:color w:val="000000"/>
          <w:sz w:val="20"/>
          <w:szCs w:val="20"/>
        </w:rPr>
        <w:t>commercialization of products. See also the Risk Factor titled “</w:t>
      </w:r>
      <w:r>
        <w:rPr>
          <w:rFonts w:eastAsia="Times New Roman"/>
          <w:i/>
          <w:iCs/>
          <w:color w:val="000000"/>
          <w:sz w:val="20"/>
          <w:szCs w:val="20"/>
        </w:rPr>
        <w:t>A significant portion of our business is concentrated in China, and the risks of such concentration are exacerbated by U.S./China trade and national security tensions.</w:t>
      </w:r>
      <w:r>
        <w:rPr>
          <w:rFonts w:eastAsia="Times New Roman"/>
          <w:color w:val="000000"/>
          <w:sz w:val="20"/>
          <w:szCs w:val="20"/>
        </w:rPr>
        <w:t xml:space="preserve">” </w:t>
      </w:r>
    </w:p>
    <w:p w:rsidR="00000000" w:rsidRDefault="008931E1">
      <w:pPr>
        <w:ind w:firstLine="360"/>
        <w:divId w:val="2121485599"/>
        <w:rPr>
          <w:rFonts w:eastAsia="Times New Roman"/>
        </w:rPr>
      </w:pPr>
      <w:r>
        <w:rPr>
          <w:rFonts w:eastAsia="Times New Roman"/>
          <w:color w:val="000000"/>
          <w:sz w:val="20"/>
          <w:szCs w:val="20"/>
        </w:rPr>
        <w:t>Competition in</w:t>
      </w:r>
      <w:r>
        <w:rPr>
          <w:rFonts w:eastAsia="Times New Roman"/>
          <w:color w:val="000000"/>
          <w:sz w:val="20"/>
          <w:szCs w:val="20"/>
        </w:rPr>
        <w:t xml:space="preserve"> any or all product areas or device tiers may result in the loss of business or customers, which would negatively impact our business, revenues, results of operations, cash flows and financial condition. Such competition may also reduce average selling pri</w:t>
      </w:r>
      <w:r>
        <w:rPr>
          <w:rFonts w:eastAsia="Times New Roman"/>
          <w:color w:val="000000"/>
          <w:sz w:val="20"/>
          <w:szCs w:val="20"/>
        </w:rPr>
        <w:t>ces for our chipset products or the products of our customers and licensees. Certain of these dynamics are particularly pronounced in emerging regions and China where competitors may have lower cost structures or may have a willingness and ability to accep</w:t>
      </w:r>
      <w:r>
        <w:rPr>
          <w:rFonts w:eastAsia="Times New Roman"/>
          <w:color w:val="000000"/>
          <w:sz w:val="20"/>
          <w:szCs w:val="20"/>
        </w:rPr>
        <w:t>t lower prices or lower margins on their products. Reductions in the average selling prices of our chipset products, without a corresponding increase in volumes, would negatively impact our revenues, and without corresponding decreases in average unit cost</w:t>
      </w:r>
      <w:r>
        <w:rPr>
          <w:rFonts w:eastAsia="Times New Roman"/>
          <w:color w:val="000000"/>
          <w:sz w:val="20"/>
          <w:szCs w:val="20"/>
        </w:rPr>
        <w:t>s, would negatively impact our margins. In addition, reductions in the average selling prices of our licensees’ products, unless offset by an increase in volumes, would generally decrease total royalties payable to us, negatively impacting our licensing re</w:t>
      </w:r>
      <w:r>
        <w:rPr>
          <w:rFonts w:eastAsia="Times New Roman"/>
          <w:color w:val="000000"/>
          <w:sz w:val="20"/>
          <w:szCs w:val="20"/>
        </w:rPr>
        <w:t>venues.</w:t>
      </w:r>
    </w:p>
    <w:p w:rsidR="00000000" w:rsidRDefault="008931E1">
      <w:pPr>
        <w:divId w:val="863252525"/>
        <w:rPr>
          <w:rFonts w:eastAsia="Times New Roman"/>
        </w:rPr>
      </w:pPr>
      <w:r>
        <w:rPr>
          <w:rFonts w:eastAsia="Times New Roman"/>
          <w:b/>
          <w:bCs/>
          <w:color w:val="000000"/>
          <w:sz w:val="20"/>
          <w:szCs w:val="20"/>
        </w:rPr>
        <w:t>RISKS RELATED TO PRODUCT DEFECTS OR SECURITY VULNERABILITIES</w:t>
      </w:r>
    </w:p>
    <w:p w:rsidR="00000000" w:rsidRDefault="008931E1">
      <w:pPr>
        <w:divId w:val="1152213501"/>
        <w:rPr>
          <w:rFonts w:eastAsia="Times New Roman"/>
        </w:rPr>
      </w:pPr>
      <w:r>
        <w:rPr>
          <w:rFonts w:eastAsia="Times New Roman"/>
          <w:b/>
          <w:bCs/>
          <w:i/>
          <w:iCs/>
          <w:color w:val="000000"/>
          <w:sz w:val="20"/>
          <w:szCs w:val="20"/>
        </w:rPr>
        <w:t>Failures in our products, or in the products of our customers or licensees, including those resulting from security vulnerabilities, defects or errors, could harm our business.</w:t>
      </w:r>
    </w:p>
    <w:p w:rsidR="00000000" w:rsidRDefault="008931E1">
      <w:pPr>
        <w:ind w:firstLine="360"/>
        <w:divId w:val="1510440699"/>
        <w:rPr>
          <w:rFonts w:eastAsia="Times New Roman"/>
        </w:rPr>
      </w:pPr>
      <w:r>
        <w:rPr>
          <w:rFonts w:eastAsia="Times New Roman"/>
          <w:color w:val="000000"/>
          <w:sz w:val="20"/>
          <w:szCs w:val="20"/>
        </w:rPr>
        <w:t>Our produc</w:t>
      </w:r>
      <w:r>
        <w:rPr>
          <w:rFonts w:eastAsia="Times New Roman"/>
          <w:color w:val="000000"/>
          <w:sz w:val="20"/>
          <w:szCs w:val="20"/>
        </w:rPr>
        <w:t>ts are complex and may contain defects, errors or security vulnerabilities, or experience failures or unsatisfactory performance, due to any number of issues, including issues in materials, design, fabrication, packaging and/or use within a system. Develop</w:t>
      </w:r>
      <w:r>
        <w:rPr>
          <w:rFonts w:eastAsia="Times New Roman"/>
          <w:color w:val="000000"/>
          <w:sz w:val="20"/>
          <w:szCs w:val="20"/>
        </w:rPr>
        <w:t>ment of products in new domains of technology, and the migration to integrated circuit technologies with smaller geometric feature sizes, increases complexity and adds risk to manufacturing yields and reliability, and increases the likelihood of product de</w:t>
      </w:r>
      <w:r>
        <w:rPr>
          <w:rFonts w:eastAsia="Times New Roman"/>
          <w:color w:val="000000"/>
          <w:sz w:val="20"/>
          <w:szCs w:val="20"/>
        </w:rPr>
        <w:t xml:space="preserve">fects, errors or security vulnerabilities. Defects, errors, security vulnerabilities or other unintended functionality could also be introduced into our products by cyber-attacks or other actions by malicious actors, either directly or through third-party </w:t>
      </w:r>
      <w:r>
        <w:rPr>
          <w:rFonts w:eastAsia="Times New Roman"/>
          <w:color w:val="000000"/>
          <w:sz w:val="20"/>
          <w:szCs w:val="20"/>
        </w:rPr>
        <w:t>products or software used in our products or IT infrastructure. Further, because of the complexity of our products, defects, errors or security vulnerabilities might only be detected when the products are in use. Risks associated with product or technology</w:t>
      </w:r>
      <w:r>
        <w:rPr>
          <w:rFonts w:eastAsia="Times New Roman"/>
          <w:color w:val="000000"/>
          <w:sz w:val="20"/>
          <w:szCs w:val="20"/>
        </w:rPr>
        <w:t xml:space="preserve"> defects, errors or security vulnerabilities are exacerbated by the fact that our customers typically integrate our products into consumer and other devices.</w:t>
      </w:r>
    </w:p>
    <w:p w:rsidR="00000000" w:rsidRDefault="008931E1">
      <w:pPr>
        <w:ind w:firstLine="360"/>
        <w:divId w:val="500394898"/>
        <w:rPr>
          <w:rFonts w:eastAsia="Times New Roman"/>
        </w:rPr>
      </w:pPr>
      <w:r>
        <w:rPr>
          <w:rFonts w:eastAsia="Times New Roman"/>
          <w:color w:val="000000"/>
          <w:sz w:val="20"/>
          <w:szCs w:val="20"/>
        </w:rPr>
        <w:t xml:space="preserve">The use of devices containing our products to interact with untrusted systems or otherwise access </w:t>
      </w:r>
      <w:r>
        <w:rPr>
          <w:rFonts w:eastAsia="Times New Roman"/>
          <w:color w:val="000000"/>
          <w:sz w:val="20"/>
          <w:szCs w:val="20"/>
        </w:rPr>
        <w:t>untrusted content creates a risk of exposing the system hardware and software in those devices to malicious attacks. Further, security vulnerabilities in our products or the technologies we use could expose our customers, or end users of our customers’ pro</w:t>
      </w:r>
      <w:r>
        <w:rPr>
          <w:rFonts w:eastAsia="Times New Roman"/>
          <w:color w:val="000000"/>
          <w:sz w:val="20"/>
          <w:szCs w:val="20"/>
        </w:rPr>
        <w:t>ducts, to hackers or other unscrupulous third parties who develop and deploy malware that could attack our products or our customers’ products or IT infrastructure. Such attacks could result in the disruption of our customers’ businesses or the misappropri</w:t>
      </w:r>
      <w:r>
        <w:rPr>
          <w:rFonts w:eastAsia="Times New Roman"/>
          <w:color w:val="000000"/>
          <w:sz w:val="20"/>
          <w:szCs w:val="20"/>
        </w:rPr>
        <w:t>ation, theft, misuse, disclosure, loss or destruction of the technology or intellectual property, or the proprietary, confidential or personal information, of our customers, their employees or the end users of our customers’ devices. While we continue to f</w:t>
      </w:r>
      <w:r>
        <w:rPr>
          <w:rFonts w:eastAsia="Times New Roman"/>
          <w:color w:val="000000"/>
          <w:sz w:val="20"/>
          <w:szCs w:val="20"/>
        </w:rPr>
        <w:t xml:space="preserve">ocus on this issue and take measures to safeguard our products from cybersecurity threats, device capabilities continue to evolve, enabling more elaborate functionality and applications, and increasing the risk of security failures, and techniques used to </w:t>
      </w:r>
      <w:r>
        <w:rPr>
          <w:rFonts w:eastAsia="Times New Roman"/>
          <w:color w:val="000000"/>
          <w:sz w:val="20"/>
          <w:szCs w:val="20"/>
        </w:rPr>
        <w:t>perpetrate cybersecurity attacks are increasingly sophisticated and constantly evolving. See also the Risk Factor titled “</w:t>
      </w:r>
      <w:r>
        <w:rPr>
          <w:rFonts w:eastAsia="Times New Roman"/>
          <w:i/>
          <w:iCs/>
          <w:color w:val="000000"/>
          <w:sz w:val="20"/>
          <w:szCs w:val="20"/>
        </w:rPr>
        <w:t>Our business and operations could suffer in the event of security breaches of our IT systems, or other misappropriation of our technol</w:t>
      </w:r>
      <w:r>
        <w:rPr>
          <w:rFonts w:eastAsia="Times New Roman"/>
          <w:i/>
          <w:iCs/>
          <w:color w:val="000000"/>
          <w:sz w:val="20"/>
          <w:szCs w:val="20"/>
        </w:rPr>
        <w:t>ogy, intellectual property or other proprietary or confidential information</w:t>
      </w:r>
      <w:r>
        <w:rPr>
          <w:rFonts w:eastAsia="Times New Roman"/>
          <w:color w:val="000000"/>
          <w:sz w:val="20"/>
          <w:szCs w:val="20"/>
        </w:rPr>
        <w:t>.”</w:t>
      </w:r>
    </w:p>
    <w:p w:rsidR="00000000" w:rsidRDefault="008931E1">
      <w:pPr>
        <w:ind w:firstLine="360"/>
        <w:divId w:val="1624994458"/>
        <w:rPr>
          <w:rFonts w:eastAsia="Times New Roman"/>
        </w:rPr>
      </w:pPr>
      <w:r>
        <w:rPr>
          <w:rFonts w:eastAsia="Times New Roman"/>
          <w:color w:val="000000"/>
          <w:sz w:val="20"/>
          <w:szCs w:val="20"/>
        </w:rPr>
        <w:t>Our products may be responsible for critical functions in our customers’ products and networks. Failure of our products to perform to specifications, meet certain regulatory or i</w:t>
      </w:r>
      <w:r>
        <w:rPr>
          <w:rFonts w:eastAsia="Times New Roman"/>
          <w:color w:val="000000"/>
          <w:sz w:val="20"/>
          <w:szCs w:val="20"/>
        </w:rPr>
        <w:t>ndustry standards (including product safety and information security standards, which may differ by region, geography and industry, and which are particularly stringent in the automotive industry), or other product defects, errors or security vulnerabiliti</w:t>
      </w:r>
      <w:r>
        <w:rPr>
          <w:rFonts w:eastAsia="Times New Roman"/>
          <w:color w:val="000000"/>
          <w:sz w:val="20"/>
          <w:szCs w:val="20"/>
        </w:rPr>
        <w:t>es, could lead to substantial damage to the products we sell to our customers, the devices into which our products are integrated and the end users of such devices, and potentially to our customers’ IT infrastructure. Such defects, errors or security vulne</w:t>
      </w:r>
      <w:r>
        <w:rPr>
          <w:rFonts w:eastAsia="Times New Roman"/>
          <w:color w:val="000000"/>
          <w:sz w:val="20"/>
          <w:szCs w:val="20"/>
        </w:rPr>
        <w:t>rabilities could give rise to significant costs, including costs related to developing solutions, recalling products, repairing or replacing defective products, writing down defective inventory or indemnification obligations under our agreements, and could</w:t>
      </w:r>
      <w:r>
        <w:rPr>
          <w:rFonts w:eastAsia="Times New Roman"/>
          <w:color w:val="000000"/>
          <w:sz w:val="20"/>
          <w:szCs w:val="20"/>
        </w:rPr>
        <w:t xml:space="preserve"> result in the loss of sales and divert the attention of our engineering personnel from our product development efforts. In addition, defects, errors or security vulnerabilities in our products could result in failure to achieve market acceptance, a loss o</w:t>
      </w:r>
      <w:r>
        <w:rPr>
          <w:rFonts w:eastAsia="Times New Roman"/>
          <w:color w:val="000000"/>
          <w:sz w:val="20"/>
          <w:szCs w:val="20"/>
        </w:rPr>
        <w:t>f design wins, a shifting of business to our competitors, and litigation or regulatory action against us, and could harm our reputation, our relationships with customers and partners and our ability to attract new customers, as well as the perceptions of o</w:t>
      </w:r>
      <w:r>
        <w:rPr>
          <w:rFonts w:eastAsia="Times New Roman"/>
          <w:color w:val="000000"/>
          <w:sz w:val="20"/>
          <w:szCs w:val="20"/>
        </w:rPr>
        <w:t>ur brand. Other potential adverse impacts of product defects, errors or security vulnerabilities include shipment delays, write-offs of property, plant and equipment and intangible assets, and losses on unfavorable purchase commitments. In addition, defect</w:t>
      </w:r>
      <w:r>
        <w:rPr>
          <w:rFonts w:eastAsia="Times New Roman"/>
          <w:color w:val="000000"/>
          <w:sz w:val="20"/>
          <w:szCs w:val="20"/>
        </w:rPr>
        <w:t>s, errors or security vulnerabilities in the products of our customers or licensees could cause a delay or decrease in demand for the products into which our products are integrated, and thus for our products.</w:t>
      </w:r>
    </w:p>
    <w:p w:rsidR="00000000" w:rsidRDefault="008931E1">
      <w:pPr>
        <w:ind w:firstLine="360"/>
        <w:divId w:val="393629974"/>
        <w:rPr>
          <w:rFonts w:eastAsia="Times New Roman"/>
        </w:rPr>
      </w:pPr>
      <w:r>
        <w:rPr>
          <w:rFonts w:eastAsia="Times New Roman"/>
          <w:color w:val="000000"/>
          <w:sz w:val="20"/>
          <w:szCs w:val="20"/>
        </w:rPr>
        <w:t>In addition, the occurrence of defects, errors</w:t>
      </w:r>
      <w:r>
        <w:rPr>
          <w:rFonts w:eastAsia="Times New Roman"/>
          <w:color w:val="000000"/>
          <w:sz w:val="20"/>
          <w:szCs w:val="20"/>
        </w:rPr>
        <w:t xml:space="preserve"> or security vulnerabilities may give rise to product liability claims, particularly if such defects, errors or security vulnerabilities in our products or the technology we use, or the products into which they are integrated, result in personal injury or </w:t>
      </w:r>
      <w:r>
        <w:rPr>
          <w:rFonts w:eastAsia="Times New Roman"/>
          <w:color w:val="000000"/>
          <w:sz w:val="20"/>
          <w:szCs w:val="20"/>
        </w:rPr>
        <w:t>death, and could result in significant costs, expenses and losses. If a product liability claim is brought against us, the cost of defending the claim could be significant, and could divert the attention of our technical and management personnel and harm o</w:t>
      </w:r>
      <w:r>
        <w:rPr>
          <w:rFonts w:eastAsia="Times New Roman"/>
          <w:color w:val="000000"/>
          <w:sz w:val="20"/>
          <w:szCs w:val="20"/>
        </w:rPr>
        <w:t>ur business, even if we are successful. We may be named in product liability claims even if there is no evidence that our products caused the damage in question, and even though we may have indemnity from our customers, and such claims could result in sign</w:t>
      </w:r>
      <w:r>
        <w:rPr>
          <w:rFonts w:eastAsia="Times New Roman"/>
          <w:color w:val="000000"/>
          <w:sz w:val="20"/>
          <w:szCs w:val="20"/>
        </w:rPr>
        <w:t xml:space="preserve">ificant costs and expenses. We may also be required to indemnify and/or defend our customers from product liability claims relating to our products. Further, our business liability insurance may be inadequate, may not cover the claims, and future coverage </w:t>
      </w:r>
      <w:r>
        <w:rPr>
          <w:rFonts w:eastAsia="Times New Roman"/>
          <w:color w:val="000000"/>
          <w:sz w:val="20"/>
          <w:szCs w:val="20"/>
        </w:rPr>
        <w:t xml:space="preserve">may be unavailable on </w:t>
      </w:r>
    </w:p>
    <w:p w:rsidR="00000000" w:rsidRDefault="008931E1">
      <w:pPr>
        <w:jc w:val="center"/>
        <w:divId w:val="1453331237"/>
        <w:rPr>
          <w:rFonts w:eastAsia="Times New Roman"/>
        </w:rPr>
      </w:pPr>
      <w:r>
        <w:rPr>
          <w:rFonts w:eastAsia="Times New Roman"/>
          <w:color w:val="000000"/>
          <w:sz w:val="20"/>
          <w:szCs w:val="20"/>
        </w:rPr>
        <w:t>32</w:t>
      </w:r>
    </w:p>
    <w:p w:rsidR="00000000" w:rsidRDefault="008931E1">
      <w:pPr>
        <w:rPr>
          <w:rFonts w:eastAsia="Times New Roman"/>
        </w:rPr>
      </w:pPr>
      <w:r>
        <w:rPr>
          <w:rFonts w:eastAsia="Times New Roman"/>
        </w:rPr>
        <w:pict>
          <v:rect id="_x0000_i1055" style="width:0;height:1.5pt" o:hralign="center" o:hrstd="t" o:hr="t" fillcolor="#a0a0a0" stroked="f"/>
        </w:pict>
      </w:r>
    </w:p>
    <w:p w:rsidR="00000000" w:rsidRDefault="008931E1">
      <w:pPr>
        <w:divId w:val="1327054760"/>
        <w:rPr>
          <w:rFonts w:eastAsia="Times New Roman"/>
        </w:rPr>
      </w:pPr>
    </w:p>
    <w:p w:rsidR="00000000" w:rsidRDefault="008931E1">
      <w:pPr>
        <w:divId w:val="297340111"/>
        <w:rPr>
          <w:rFonts w:eastAsia="Times New Roman"/>
        </w:rPr>
      </w:pPr>
      <w:r>
        <w:rPr>
          <w:rFonts w:eastAsia="Times New Roman"/>
          <w:color w:val="000000"/>
          <w:sz w:val="20"/>
          <w:szCs w:val="20"/>
        </w:rPr>
        <w:t>acceptable terms, which could adversely impact our financial results. The above is exacerbated by the fact that our products may be used, and perform critical functions, in various high-risk a</w:t>
      </w:r>
      <w:r>
        <w:rPr>
          <w:rFonts w:eastAsia="Times New Roman"/>
          <w:color w:val="000000"/>
          <w:sz w:val="20"/>
          <w:szCs w:val="20"/>
        </w:rPr>
        <w:t>pplications such as: automobiles, including ADAS/AD functions; cameras and artificial intelligence, including home and enterprise security; home automation, including smoke and noxious gas detectors; medical condition monitoring; location and asset trackin</w:t>
      </w:r>
      <w:r>
        <w:rPr>
          <w:rFonts w:eastAsia="Times New Roman"/>
          <w:color w:val="000000"/>
          <w:sz w:val="20"/>
          <w:szCs w:val="20"/>
        </w:rPr>
        <w:t>g and management, including wearables for child safety and elderly health; robotics, including public safety drones and autonomous municipality vehicles; and XR for treatment of phobias or PTSD, early detection of disorders or special needs, among others.</w:t>
      </w:r>
    </w:p>
    <w:p w:rsidR="00000000" w:rsidRDefault="008931E1">
      <w:pPr>
        <w:ind w:firstLine="360"/>
        <w:divId w:val="1757969995"/>
        <w:rPr>
          <w:rFonts w:eastAsia="Times New Roman"/>
        </w:rPr>
      </w:pPr>
      <w:r>
        <w:rPr>
          <w:rFonts w:eastAsia="Times New Roman"/>
          <w:color w:val="000000"/>
          <w:sz w:val="20"/>
          <w:szCs w:val="20"/>
        </w:rPr>
        <w:t>Accordingly, defects, errors or security vulnerabilities in our products or the technologies we use could have an adverse impact on us, on our customers and the end users of our customers’ products. If any of these risks materialize, there could be a mater</w:t>
      </w:r>
      <w:r>
        <w:rPr>
          <w:rFonts w:eastAsia="Times New Roman"/>
          <w:color w:val="000000"/>
          <w:sz w:val="20"/>
          <w:szCs w:val="20"/>
        </w:rPr>
        <w:t>ial adverse effect on our business, results of operations and financial condition.</w:t>
      </w:r>
    </w:p>
    <w:p w:rsidR="00000000" w:rsidRDefault="008931E1">
      <w:pPr>
        <w:divId w:val="1118795441"/>
        <w:rPr>
          <w:rFonts w:eastAsia="Times New Roman"/>
        </w:rPr>
      </w:pPr>
      <w:r>
        <w:rPr>
          <w:rFonts w:eastAsia="Times New Roman"/>
          <w:b/>
          <w:bCs/>
          <w:color w:val="000000"/>
          <w:sz w:val="20"/>
          <w:szCs w:val="20"/>
        </w:rPr>
        <w:t>RISKS RELATED TO INTELLECTUAL PROPERTY</w:t>
      </w:r>
    </w:p>
    <w:p w:rsidR="00000000" w:rsidRDefault="008931E1">
      <w:pPr>
        <w:divId w:val="255604375"/>
        <w:rPr>
          <w:rFonts w:eastAsia="Times New Roman"/>
        </w:rPr>
      </w:pPr>
      <w:r>
        <w:rPr>
          <w:rFonts w:eastAsia="Times New Roman"/>
          <w:b/>
          <w:bCs/>
          <w:i/>
          <w:iCs/>
          <w:color w:val="000000"/>
          <w:sz w:val="20"/>
          <w:szCs w:val="20"/>
        </w:rPr>
        <w:t>The enforcement and protection of our intellectual property may be expensive, could fail to prevent misappropriation or unauthorized u</w:t>
      </w:r>
      <w:r>
        <w:rPr>
          <w:rFonts w:eastAsia="Times New Roman"/>
          <w:b/>
          <w:bCs/>
          <w:i/>
          <w:iCs/>
          <w:color w:val="000000"/>
          <w:sz w:val="20"/>
          <w:szCs w:val="20"/>
        </w:rPr>
        <w:t>se of our intellectual property, could result in the loss of our ability to enforce one or more patents, and could be adversely affected by changes in patent laws, by laws in certain foreign jurisdictions that may not effectively protect our intellectual p</w:t>
      </w:r>
      <w:r>
        <w:rPr>
          <w:rFonts w:eastAsia="Times New Roman"/>
          <w:b/>
          <w:bCs/>
          <w:i/>
          <w:iCs/>
          <w:color w:val="000000"/>
          <w:sz w:val="20"/>
          <w:szCs w:val="20"/>
        </w:rPr>
        <w:t>roperty and by ineffective enforcement of laws in such jurisdictions.</w:t>
      </w:r>
    </w:p>
    <w:p w:rsidR="00000000" w:rsidRDefault="008931E1">
      <w:pPr>
        <w:ind w:firstLine="360"/>
        <w:divId w:val="1616400564"/>
        <w:rPr>
          <w:rFonts w:eastAsia="Times New Roman"/>
        </w:rPr>
      </w:pPr>
      <w:r>
        <w:rPr>
          <w:rFonts w:eastAsia="Times New Roman"/>
          <w:color w:val="000000"/>
          <w:sz w:val="20"/>
          <w:szCs w:val="20"/>
        </w:rPr>
        <w:t>We rely primarily on patent, copyright, trademark and trade secret laws, as well as nondisclosure and confidentiality agreements, international treaties and other methods, to protect our</w:t>
      </w:r>
      <w:r>
        <w:rPr>
          <w:rFonts w:eastAsia="Times New Roman"/>
          <w:color w:val="000000"/>
          <w:sz w:val="20"/>
          <w:szCs w:val="20"/>
        </w:rPr>
        <w:t xml:space="preserve"> intellectual property, including our patent portfolio. Policing unauthorized use of our products, technologies and intellectual property is difficult and time consuming. The steps we have taken have not always prevented, and we cannot be certain the steps</w:t>
      </w:r>
      <w:r>
        <w:rPr>
          <w:rFonts w:eastAsia="Times New Roman"/>
          <w:color w:val="000000"/>
          <w:sz w:val="20"/>
          <w:szCs w:val="20"/>
        </w:rPr>
        <w:t xml:space="preserve"> we take in the future will prevent, the misappropriation or unauthorized use of our products, technologies or intellectual property, particularly in foreign countries where the laws may not protect our rights as fully or as readily as U.S. laws or where t</w:t>
      </w:r>
      <w:r>
        <w:rPr>
          <w:rFonts w:eastAsia="Times New Roman"/>
          <w:color w:val="000000"/>
          <w:sz w:val="20"/>
          <w:szCs w:val="20"/>
        </w:rPr>
        <w:t xml:space="preserve">he enforcement of such laws may be lacking or ineffective. See also the Risk Factor titled </w:t>
      </w:r>
      <w:r>
        <w:rPr>
          <w:rFonts w:eastAsia="Times New Roman"/>
          <w:i/>
          <w:iCs/>
          <w:color w:val="000000"/>
          <w:sz w:val="20"/>
          <w:szCs w:val="20"/>
        </w:rPr>
        <w:t xml:space="preserve">“Our business and operations could suffer in the event of security breaches of our IT systems, or other misappropriation of our technology, intellectual property or </w:t>
      </w:r>
      <w:r>
        <w:rPr>
          <w:rFonts w:eastAsia="Times New Roman"/>
          <w:i/>
          <w:iCs/>
          <w:color w:val="000000"/>
          <w:sz w:val="20"/>
          <w:szCs w:val="20"/>
        </w:rPr>
        <w:t>other proprietary or confidential information.”</w:t>
      </w:r>
    </w:p>
    <w:p w:rsidR="00000000" w:rsidRDefault="008931E1">
      <w:pPr>
        <w:ind w:firstLine="360"/>
        <w:divId w:val="998850001"/>
        <w:rPr>
          <w:rFonts w:eastAsia="Times New Roman"/>
        </w:rPr>
      </w:pPr>
      <w:r>
        <w:rPr>
          <w:rFonts w:eastAsia="Times New Roman"/>
          <w:color w:val="000000"/>
          <w:sz w:val="20"/>
          <w:szCs w:val="20"/>
        </w:rPr>
        <w:t>Some industry participants who have a vested interest in devaluing patents in general, or standard-essential patents in particular, have mounted attacks on certain patent systems, increasing the likelihood of</w:t>
      </w:r>
      <w:r>
        <w:rPr>
          <w:rFonts w:eastAsia="Times New Roman"/>
          <w:color w:val="000000"/>
          <w:sz w:val="20"/>
          <w:szCs w:val="20"/>
        </w:rPr>
        <w:t xml:space="preserve"> changes to established patent laws. We cannot predict with certainty the long-term effects of any potential changes. In the United States, Europe (including the United Kingdom), India, China and elsewhere, there is continued discussion regarding potential</w:t>
      </w:r>
      <w:r>
        <w:rPr>
          <w:rFonts w:eastAsia="Times New Roman"/>
          <w:color w:val="000000"/>
          <w:sz w:val="20"/>
          <w:szCs w:val="20"/>
        </w:rPr>
        <w:t xml:space="preserve"> patent law changes, and there is current and potential future litigation regarding patents, the outcomes of which could be detrimental to our licensing business. Some proposed changes would apply to only standard-essential patents, and such changes may su</w:t>
      </w:r>
      <w:r>
        <w:rPr>
          <w:rFonts w:eastAsia="Times New Roman"/>
          <w:color w:val="000000"/>
          <w:sz w:val="20"/>
          <w:szCs w:val="20"/>
        </w:rPr>
        <w:t xml:space="preserve">bstantially alter the incentives to participate in standardization or develop standards-compliant products. See also the Risk Factor entitled </w:t>
      </w:r>
      <w:r>
        <w:rPr>
          <w:rFonts w:eastAsia="Times New Roman"/>
          <w:i/>
          <w:iCs/>
          <w:color w:val="000000"/>
          <w:sz w:val="20"/>
          <w:szCs w:val="20"/>
        </w:rPr>
        <w:t>“Efforts by some original equipment manufacturers (OEMs) to avoid paying fair and reasonable royalties for the use</w:t>
      </w:r>
      <w:r>
        <w:rPr>
          <w:rFonts w:eastAsia="Times New Roman"/>
          <w:i/>
          <w:iCs/>
          <w:color w:val="000000"/>
          <w:sz w:val="20"/>
          <w:szCs w:val="20"/>
        </w:rPr>
        <w:t xml:space="preserve"> of our intellectual property may require the investment of substantial management time and financial resources and may result in legal decisions or actions by governments, courts, regulators or agencies, Standards Development Organizations (SDOs) or other</w:t>
      </w:r>
      <w:r>
        <w:rPr>
          <w:rFonts w:eastAsia="Times New Roman"/>
          <w:i/>
          <w:iCs/>
          <w:color w:val="000000"/>
          <w:sz w:val="20"/>
          <w:szCs w:val="20"/>
        </w:rPr>
        <w:t xml:space="preserve"> industry organizations that harm our business.”</w:t>
      </w:r>
    </w:p>
    <w:p w:rsidR="00000000" w:rsidRDefault="008931E1">
      <w:pPr>
        <w:ind w:firstLine="360"/>
        <w:divId w:val="641620421"/>
        <w:rPr>
          <w:rFonts w:eastAsia="Times New Roman"/>
        </w:rPr>
      </w:pPr>
      <w:r>
        <w:rPr>
          <w:rFonts w:eastAsia="Times New Roman"/>
          <w:color w:val="000000"/>
          <w:sz w:val="20"/>
          <w:szCs w:val="20"/>
        </w:rPr>
        <w:t xml:space="preserve">Further, the laws in certain foreign countries in which our patents are or may be licensed, or our products are or may be manufactured or sold, including certain countries in Asia, may not protect our intellectual property rights to the same extent as the </w:t>
      </w:r>
      <w:r>
        <w:rPr>
          <w:rFonts w:eastAsia="Times New Roman"/>
          <w:color w:val="000000"/>
          <w:sz w:val="20"/>
          <w:szCs w:val="20"/>
        </w:rPr>
        <w:t>laws in the United States. In addition, we cannot be certain that the laws and policies of any country or the practices of any standards bodies, foreign or domestic, with respect to intellectual property enforcement or licensing or the adoption of standard</w:t>
      </w:r>
      <w:r>
        <w:rPr>
          <w:rFonts w:eastAsia="Times New Roman"/>
          <w:color w:val="000000"/>
          <w:sz w:val="20"/>
          <w:szCs w:val="20"/>
        </w:rPr>
        <w:t>s, will not be changed in the future in ways that are detrimental to our licensing programs or to the sale or use of our products or technologies.</w:t>
      </w:r>
    </w:p>
    <w:p w:rsidR="00000000" w:rsidRDefault="008931E1">
      <w:pPr>
        <w:ind w:firstLine="360"/>
        <w:divId w:val="131411616"/>
        <w:rPr>
          <w:rFonts w:eastAsia="Times New Roman"/>
        </w:rPr>
      </w:pPr>
      <w:r>
        <w:rPr>
          <w:rFonts w:eastAsia="Times New Roman"/>
          <w:color w:val="000000"/>
          <w:sz w:val="20"/>
          <w:szCs w:val="20"/>
        </w:rPr>
        <w:t>We have had and may in the future have difficulty in certain circumstances in protecting or enforcing our int</w:t>
      </w:r>
      <w:r>
        <w:rPr>
          <w:rFonts w:eastAsia="Times New Roman"/>
          <w:color w:val="000000"/>
          <w:sz w:val="20"/>
          <w:szCs w:val="20"/>
        </w:rPr>
        <w:t>ellectual property and contracts, including collecting royalties for use of our patent portfolio due to, among others: refusal by certain licensees to report and pay all or a portion of the royalties they owe to us; policies or political actions of governm</w:t>
      </w:r>
      <w:r>
        <w:rPr>
          <w:rFonts w:eastAsia="Times New Roman"/>
          <w:color w:val="000000"/>
          <w:sz w:val="20"/>
          <w:szCs w:val="20"/>
        </w:rPr>
        <w:t>ents, including trade protection and national security policies; challenges to our licensing practices under competition laws; adoption of mandatory licensing provisions by foreign jurisdictions; failure of foreign courts to recognize and enforce judgments</w:t>
      </w:r>
      <w:r>
        <w:rPr>
          <w:rFonts w:eastAsia="Times New Roman"/>
          <w:color w:val="000000"/>
          <w:sz w:val="20"/>
          <w:szCs w:val="20"/>
        </w:rPr>
        <w:t xml:space="preserve"> of contract breach and damages issued by courts in the United States; and challenges before competition agencies to our licensing business or the pricing and integration of additional features and functionality into our chipset products. See also the Risk</w:t>
      </w:r>
      <w:r>
        <w:rPr>
          <w:rFonts w:eastAsia="Times New Roman"/>
          <w:color w:val="000000"/>
          <w:sz w:val="20"/>
          <w:szCs w:val="20"/>
        </w:rPr>
        <w:t xml:space="preserve"> Factors titled “</w:t>
      </w:r>
      <w:r>
        <w:rPr>
          <w:rFonts w:eastAsia="Times New Roman"/>
          <w:i/>
          <w:iCs/>
          <w:color w:val="000000"/>
          <w:sz w:val="20"/>
          <w:szCs w:val="20"/>
        </w:rPr>
        <w:t>Efforts by some original equipment manufacturers (OEMs) to avoid paying fair and reasonable royalties for the use of our intellectual property may require the investment of substantial management time and financial resources and may result</w:t>
      </w:r>
      <w:r>
        <w:rPr>
          <w:rFonts w:eastAsia="Times New Roman"/>
          <w:i/>
          <w:iCs/>
          <w:color w:val="000000"/>
          <w:sz w:val="20"/>
          <w:szCs w:val="20"/>
        </w:rPr>
        <w:t xml:space="preserve"> in legal decisions or actions by governments, courts, regulators or agencies, Standards Development Organizations (SDOs) or other industry organizations that harm our business</w:t>
      </w:r>
      <w:r>
        <w:rPr>
          <w:rFonts w:eastAsia="Times New Roman"/>
          <w:color w:val="000000"/>
          <w:sz w:val="20"/>
          <w:szCs w:val="20"/>
        </w:rPr>
        <w:t>” and “</w:t>
      </w:r>
      <w:r>
        <w:rPr>
          <w:rFonts w:eastAsia="Times New Roman"/>
          <w:i/>
          <w:iCs/>
          <w:color w:val="000000"/>
          <w:sz w:val="20"/>
          <w:szCs w:val="20"/>
        </w:rPr>
        <w:t>Our business may suffer as a result of adverse rulings in governmental in</w:t>
      </w:r>
      <w:r>
        <w:rPr>
          <w:rFonts w:eastAsia="Times New Roman"/>
          <w:i/>
          <w:iCs/>
          <w:color w:val="000000"/>
          <w:sz w:val="20"/>
          <w:szCs w:val="20"/>
        </w:rPr>
        <w:t>vestigations or proceedings or other legal proceedings</w:t>
      </w:r>
      <w:r>
        <w:rPr>
          <w:rFonts w:eastAsia="Times New Roman"/>
          <w:color w:val="000000"/>
          <w:sz w:val="20"/>
          <w:szCs w:val="20"/>
        </w:rPr>
        <w:t>.”</w:t>
      </w:r>
    </w:p>
    <w:p w:rsidR="00000000" w:rsidRDefault="008931E1">
      <w:pPr>
        <w:ind w:firstLine="360"/>
        <w:divId w:val="1491678112"/>
        <w:rPr>
          <w:rFonts w:eastAsia="Times New Roman"/>
        </w:rPr>
      </w:pPr>
      <w:r>
        <w:rPr>
          <w:rFonts w:eastAsia="Times New Roman"/>
          <w:color w:val="000000"/>
          <w:sz w:val="20"/>
          <w:szCs w:val="20"/>
        </w:rPr>
        <w:t>We have engaged in litigation and arbitration in the past and may need to further litigate or arbitrate in the future to enforce our contract and intellectual property rights, protect our trade secre</w:t>
      </w:r>
      <w:r>
        <w:rPr>
          <w:rFonts w:eastAsia="Times New Roman"/>
          <w:color w:val="000000"/>
          <w:sz w:val="20"/>
          <w:szCs w:val="20"/>
        </w:rPr>
        <w:t>ts or determine the validity and scope of proprietary rights of others. As a result of any such litigation or arbitration, we could lose our ability to enforce one or more patents, portions of our license agreements could be determined to be invalid or une</w:t>
      </w:r>
      <w:r>
        <w:rPr>
          <w:rFonts w:eastAsia="Times New Roman"/>
          <w:color w:val="000000"/>
          <w:sz w:val="20"/>
          <w:szCs w:val="20"/>
        </w:rPr>
        <w:t>nforceable (which may in turn result in other licensees either not complying with their existing license agreements or initiating litigation or arbitration), license terms (including but not limited to royalty rates for the use of our intellectual property</w:t>
      </w:r>
      <w:r>
        <w:rPr>
          <w:rFonts w:eastAsia="Times New Roman"/>
          <w:color w:val="000000"/>
          <w:sz w:val="20"/>
          <w:szCs w:val="20"/>
        </w:rPr>
        <w:t>) could be imposed that are less favorable to us than existing terms, and we could incur substantial costs. Any action we take to enforce our contract or intellectual property rights could be costly and could absorb significant management time and attentio</w:t>
      </w:r>
      <w:r>
        <w:rPr>
          <w:rFonts w:eastAsia="Times New Roman"/>
          <w:color w:val="000000"/>
          <w:sz w:val="20"/>
          <w:szCs w:val="20"/>
        </w:rPr>
        <w:t xml:space="preserve">n, which, in turn, could negatively </w:t>
      </w:r>
    </w:p>
    <w:p w:rsidR="00000000" w:rsidRDefault="008931E1">
      <w:pPr>
        <w:jc w:val="center"/>
        <w:divId w:val="287392855"/>
        <w:rPr>
          <w:rFonts w:eastAsia="Times New Roman"/>
        </w:rPr>
      </w:pPr>
      <w:r>
        <w:rPr>
          <w:rFonts w:eastAsia="Times New Roman"/>
          <w:color w:val="000000"/>
          <w:sz w:val="20"/>
          <w:szCs w:val="20"/>
        </w:rPr>
        <w:t>33</w:t>
      </w:r>
    </w:p>
    <w:p w:rsidR="00000000" w:rsidRDefault="008931E1">
      <w:pPr>
        <w:rPr>
          <w:rFonts w:eastAsia="Times New Roman"/>
        </w:rPr>
      </w:pPr>
      <w:r>
        <w:rPr>
          <w:rFonts w:eastAsia="Times New Roman"/>
        </w:rPr>
        <w:pict>
          <v:rect id="_x0000_i1056" style="width:0;height:1.5pt" o:hralign="center" o:hrstd="t" o:hr="t" fillcolor="#a0a0a0" stroked="f"/>
        </w:pict>
      </w:r>
    </w:p>
    <w:p w:rsidR="00000000" w:rsidRDefault="008931E1">
      <w:pPr>
        <w:divId w:val="534536839"/>
        <w:rPr>
          <w:rFonts w:eastAsia="Times New Roman"/>
        </w:rPr>
      </w:pPr>
    </w:p>
    <w:p w:rsidR="00000000" w:rsidRDefault="008931E1">
      <w:pPr>
        <w:divId w:val="993265602"/>
        <w:rPr>
          <w:rFonts w:eastAsia="Times New Roman"/>
        </w:rPr>
      </w:pPr>
      <w:r>
        <w:rPr>
          <w:rFonts w:eastAsia="Times New Roman"/>
          <w:color w:val="000000"/>
          <w:sz w:val="20"/>
          <w:szCs w:val="20"/>
        </w:rPr>
        <w:t xml:space="preserve">impact our results of operations and cash flows. Further, even a positive resolution to our enforcement efforts may take time to conclude, which may reduce our revenues and cash </w:t>
      </w:r>
      <w:r>
        <w:rPr>
          <w:rFonts w:eastAsia="Times New Roman"/>
          <w:color w:val="000000"/>
          <w:sz w:val="20"/>
          <w:szCs w:val="20"/>
        </w:rPr>
        <w:t xml:space="preserve">resources available for other purposes, such as research and development, in the periods prior to conclusion. </w:t>
      </w:r>
    </w:p>
    <w:p w:rsidR="00000000" w:rsidRDefault="008931E1">
      <w:pPr>
        <w:ind w:firstLine="360"/>
        <w:divId w:val="384261730"/>
        <w:rPr>
          <w:rFonts w:eastAsia="Times New Roman"/>
        </w:rPr>
      </w:pPr>
      <w:r>
        <w:rPr>
          <w:rFonts w:eastAsia="Times New Roman"/>
          <w:color w:val="000000"/>
          <w:sz w:val="20"/>
          <w:szCs w:val="20"/>
        </w:rPr>
        <w:t>Additionally, although our license agreements generally provide us with the right to audit the books and records of licensees, audits can be expe</w:t>
      </w:r>
      <w:r>
        <w:rPr>
          <w:rFonts w:eastAsia="Times New Roman"/>
          <w:color w:val="000000"/>
          <w:sz w:val="20"/>
          <w:szCs w:val="20"/>
        </w:rPr>
        <w:t>nsive, time consuming, incomplete and subject to dispute. Further, certain licensees may not comply with the obligation to provide full access to their books and records. To the extent we do not aggressively enforce our rights under our license agreements,</w:t>
      </w:r>
      <w:r>
        <w:rPr>
          <w:rFonts w:eastAsia="Times New Roman"/>
          <w:color w:val="000000"/>
          <w:sz w:val="20"/>
          <w:szCs w:val="20"/>
        </w:rPr>
        <w:t xml:space="preserve"> licensees may not comply with their existing license agreements, and to the extent we do not aggressively pursue unlicensed companies to enter into license agreements with us for their use of our intellectual property, other unlicensed companies may not e</w:t>
      </w:r>
      <w:r>
        <w:rPr>
          <w:rFonts w:eastAsia="Times New Roman"/>
          <w:color w:val="000000"/>
          <w:sz w:val="20"/>
          <w:szCs w:val="20"/>
        </w:rPr>
        <w:t>nter into license agreements.</w:t>
      </w:r>
    </w:p>
    <w:p w:rsidR="00000000" w:rsidRDefault="008931E1">
      <w:pPr>
        <w:ind w:firstLine="360"/>
        <w:divId w:val="197663571"/>
        <w:rPr>
          <w:rFonts w:eastAsia="Times New Roman"/>
        </w:rPr>
      </w:pPr>
      <w:r>
        <w:rPr>
          <w:rFonts w:eastAsia="Times New Roman"/>
          <w:color w:val="000000"/>
          <w:sz w:val="20"/>
          <w:szCs w:val="20"/>
        </w:rPr>
        <w:t>See also the Risk Factors titled “</w:t>
      </w:r>
      <w:r>
        <w:rPr>
          <w:rFonts w:eastAsia="Times New Roman"/>
          <w:i/>
          <w:iCs/>
          <w:color w:val="000000"/>
          <w:sz w:val="20"/>
          <w:szCs w:val="20"/>
        </w:rPr>
        <w:t>Efforts by some original equipment manufacturers (OEMs) to avoid paying fair and reasonable royalties for the use of our intellectual property may require the investment of substantial managem</w:t>
      </w:r>
      <w:r>
        <w:rPr>
          <w:rFonts w:eastAsia="Times New Roman"/>
          <w:i/>
          <w:iCs/>
          <w:color w:val="000000"/>
          <w:sz w:val="20"/>
          <w:szCs w:val="20"/>
        </w:rPr>
        <w:t>ent time and financial resources and may result in legal decisions or actions by governments, courts, regulators or agencies, Standards Development Organizations (SDOs) or other industry organizations that harm our business</w:t>
      </w:r>
      <w:r>
        <w:rPr>
          <w:rFonts w:eastAsia="Times New Roman"/>
          <w:color w:val="000000"/>
          <w:sz w:val="20"/>
          <w:szCs w:val="20"/>
        </w:rPr>
        <w:t>” and</w:t>
      </w:r>
      <w:r>
        <w:rPr>
          <w:rFonts w:eastAsia="Times New Roman"/>
          <w:i/>
          <w:iCs/>
          <w:color w:val="000000"/>
          <w:sz w:val="20"/>
          <w:szCs w:val="20"/>
        </w:rPr>
        <w:t xml:space="preserve"> “Our business and operation</w:t>
      </w:r>
      <w:r>
        <w:rPr>
          <w:rFonts w:eastAsia="Times New Roman"/>
          <w:i/>
          <w:iCs/>
          <w:color w:val="000000"/>
          <w:sz w:val="20"/>
          <w:szCs w:val="20"/>
        </w:rPr>
        <w:t>s could suffer in the event of security breaches of our IT systems, or other misappropriation of our technology, intellectual property or other proprietary or confidential information.”</w:t>
      </w:r>
    </w:p>
    <w:p w:rsidR="00000000" w:rsidRDefault="008931E1">
      <w:pPr>
        <w:divId w:val="1151482089"/>
        <w:rPr>
          <w:rFonts w:eastAsia="Times New Roman"/>
        </w:rPr>
      </w:pPr>
      <w:r>
        <w:rPr>
          <w:rFonts w:eastAsia="Times New Roman"/>
          <w:b/>
          <w:bCs/>
          <w:i/>
          <w:iCs/>
          <w:color w:val="000000"/>
          <w:sz w:val="20"/>
          <w:szCs w:val="20"/>
        </w:rPr>
        <w:t>Claims by other companies that we infringe their intellectual property could adversely affect our business.</w:t>
      </w:r>
    </w:p>
    <w:p w:rsidR="00000000" w:rsidRDefault="008931E1">
      <w:pPr>
        <w:ind w:firstLine="360"/>
        <w:divId w:val="1561593260"/>
        <w:rPr>
          <w:rFonts w:eastAsia="Times New Roman"/>
        </w:rPr>
      </w:pPr>
      <w:r>
        <w:rPr>
          <w:rFonts w:eastAsia="Times New Roman"/>
          <w:color w:val="000000"/>
          <w:sz w:val="20"/>
          <w:szCs w:val="20"/>
        </w:rPr>
        <w:t>From time to time, companies have asserted, and may again assert, patent, copyright or other intellectual property claims against us relating to our</w:t>
      </w:r>
      <w:r>
        <w:rPr>
          <w:rFonts w:eastAsia="Times New Roman"/>
          <w:color w:val="000000"/>
          <w:sz w:val="20"/>
          <w:szCs w:val="20"/>
        </w:rPr>
        <w:t xml:space="preserve"> technologies or products, including those we have acquired from other companies. These claims have resulted and may again result in our involvement in litigation, and we are currently involved in such litigation, including certain matters described in thi</w:t>
      </w:r>
      <w:r>
        <w:rPr>
          <w:rFonts w:eastAsia="Times New Roman"/>
          <w:color w:val="000000"/>
          <w:sz w:val="20"/>
          <w:szCs w:val="20"/>
        </w:rPr>
        <w:t>s Annual Report in “Notes to Consolidated Financial Statements, Note 7. Commitments and Contingencies.” We may not prevail in such litigation given, among other factors, the complex technical issues and inherent uncertainties in intellectual property litig</w:t>
      </w:r>
      <w:r>
        <w:rPr>
          <w:rFonts w:eastAsia="Times New Roman"/>
          <w:color w:val="000000"/>
          <w:sz w:val="20"/>
          <w:szCs w:val="20"/>
        </w:rPr>
        <w:t>ation. If any of our products were found to infringe another company’s intellectual property, we could be subject to an injunction or be required to redesign our products, or to license such intellectual property or pay damages or other compensation to suc</w:t>
      </w:r>
      <w:r>
        <w:rPr>
          <w:rFonts w:eastAsia="Times New Roman"/>
          <w:color w:val="000000"/>
          <w:sz w:val="20"/>
          <w:szCs w:val="20"/>
        </w:rPr>
        <w:t xml:space="preserve">h other company (any of which could be costly). If we are unable to redesign our products, license such intellectual property used in our products or otherwise distribute our products (e.g., through a licensed supplier), we could be prohibited from making </w:t>
      </w:r>
      <w:r>
        <w:rPr>
          <w:rFonts w:eastAsia="Times New Roman"/>
          <w:color w:val="000000"/>
          <w:sz w:val="20"/>
          <w:szCs w:val="20"/>
        </w:rPr>
        <w:t>and selling our products. Similarly, our suppliers could be found to infringe another company’s intellectual property, and such suppliers could then be enjoined from providing products or services to us.</w:t>
      </w:r>
    </w:p>
    <w:p w:rsidR="00000000" w:rsidRDefault="008931E1">
      <w:pPr>
        <w:ind w:firstLine="360"/>
        <w:divId w:val="541790816"/>
        <w:rPr>
          <w:rFonts w:eastAsia="Times New Roman"/>
        </w:rPr>
      </w:pPr>
      <w:r>
        <w:rPr>
          <w:rFonts w:eastAsia="Times New Roman"/>
          <w:color w:val="000000"/>
          <w:sz w:val="20"/>
          <w:szCs w:val="20"/>
        </w:rPr>
        <w:t>In any potential dispute involving us and another co</w:t>
      </w:r>
      <w:r>
        <w:rPr>
          <w:rFonts w:eastAsia="Times New Roman"/>
          <w:color w:val="000000"/>
          <w:sz w:val="20"/>
          <w:szCs w:val="20"/>
        </w:rPr>
        <w:t xml:space="preserve">mpany’s patents or other intellectual property, our chipset foundries, semiconductor assembly and test providers and customers could also become the targets of litigation. We are contingently liable under certain product sales, services, license and other </w:t>
      </w:r>
      <w:r>
        <w:rPr>
          <w:rFonts w:eastAsia="Times New Roman"/>
          <w:color w:val="000000"/>
          <w:sz w:val="20"/>
          <w:szCs w:val="20"/>
        </w:rPr>
        <w:t>agreements to indemnify certain customers, chipset foundries and semiconductor assembly and test service providers against certain types of liability and damages arising from qualifying claims of patent infringement by products sold by us, or by intellectu</w:t>
      </w:r>
      <w:r>
        <w:rPr>
          <w:rFonts w:eastAsia="Times New Roman"/>
          <w:color w:val="000000"/>
          <w:sz w:val="20"/>
          <w:szCs w:val="20"/>
        </w:rPr>
        <w:t>al property provided by us to our chipset foundries and semiconductor assembly and test service providers. Reimbursements under indemnification arrangements could have an adverse effect on our results of operations and cash flows. Furthermore, any such lit</w:t>
      </w:r>
      <w:r>
        <w:rPr>
          <w:rFonts w:eastAsia="Times New Roman"/>
          <w:color w:val="000000"/>
          <w:sz w:val="20"/>
          <w:szCs w:val="20"/>
        </w:rPr>
        <w:t>igation could severely disrupt the supply of our products and the businesses of our chipset customers and their customers, which in turn could harm our relationships with them and could result in a decline in our chipset sales or a reduction in our license</w:t>
      </w:r>
      <w:r>
        <w:rPr>
          <w:rFonts w:eastAsia="Times New Roman"/>
          <w:color w:val="000000"/>
          <w:sz w:val="20"/>
          <w:szCs w:val="20"/>
        </w:rPr>
        <w:t>es’ sales, causing a corresponding decline in our chipset or licensing revenues. Any claims, regardless of their merit, could be time consuming to address, result in costly litigation, divert the efforts of our technical and management personnel and/or cau</w:t>
      </w:r>
      <w:r>
        <w:rPr>
          <w:rFonts w:eastAsia="Times New Roman"/>
          <w:color w:val="000000"/>
          <w:sz w:val="20"/>
          <w:szCs w:val="20"/>
        </w:rPr>
        <w:t>se product release or shipment delays, any of which could have an adverse effect on our results of operations and cash flows.</w:t>
      </w:r>
    </w:p>
    <w:p w:rsidR="00000000" w:rsidRDefault="008931E1">
      <w:pPr>
        <w:ind w:firstLine="360"/>
        <w:divId w:val="1854221043"/>
        <w:rPr>
          <w:rFonts w:eastAsia="Times New Roman"/>
        </w:rPr>
      </w:pPr>
      <w:r>
        <w:rPr>
          <w:rFonts w:eastAsia="Times New Roman"/>
          <w:color w:val="000000"/>
          <w:sz w:val="20"/>
          <w:szCs w:val="20"/>
        </w:rPr>
        <w:t>We may continue to be involved in litigation and may have to appear in front of administrative bodies (such as the United States I</w:t>
      </w:r>
      <w:r>
        <w:rPr>
          <w:rFonts w:eastAsia="Times New Roman"/>
          <w:color w:val="000000"/>
          <w:sz w:val="20"/>
          <w:szCs w:val="20"/>
        </w:rPr>
        <w:t>nternational Trade Commission) to defend against patent assertions against our products by companies, some of whom are attempting to gain competitive advantage or leverage in licensing negotiations. We may not be successful in such proceedings, and if we a</w:t>
      </w:r>
      <w:r>
        <w:rPr>
          <w:rFonts w:eastAsia="Times New Roman"/>
          <w:color w:val="000000"/>
          <w:sz w:val="20"/>
          <w:szCs w:val="20"/>
        </w:rPr>
        <w:t>re not, the range of possible outcomes is very broad and may include, for example, monetary damages or fines or other orders to pay money, royalty payments, injunctions on the sale of certain of our integrated circuit products (or on the sale of our custom</w:t>
      </w:r>
      <w:r>
        <w:rPr>
          <w:rFonts w:eastAsia="Times New Roman"/>
          <w:color w:val="000000"/>
          <w:sz w:val="20"/>
          <w:szCs w:val="20"/>
        </w:rPr>
        <w:t xml:space="preserve">ers’ devices using such products) or the issuance of orders to cease certain conduct or modify our business practices. Further, a governmental body in a particular country or region may assert, and may be successful in imposing, remedies with effects that </w:t>
      </w:r>
      <w:r>
        <w:rPr>
          <w:rFonts w:eastAsia="Times New Roman"/>
          <w:color w:val="000000"/>
          <w:sz w:val="20"/>
          <w:szCs w:val="20"/>
        </w:rPr>
        <w:t>extend beyond the borders of that country or region. In addition, a negative outcome in any such proceeding could severely disrupt the business of our customers and their wireless operator customers, which in turn could harm our relationships with them and</w:t>
      </w:r>
      <w:r>
        <w:rPr>
          <w:rFonts w:eastAsia="Times New Roman"/>
          <w:color w:val="000000"/>
          <w:sz w:val="20"/>
          <w:szCs w:val="20"/>
        </w:rPr>
        <w:t xml:space="preserve"> could result in a decline in our chipset sales or a reduction in our licensees’ sales, causing corresponding declines in our chipset or licensing revenues.</w:t>
      </w:r>
    </w:p>
    <w:p w:rsidR="00000000" w:rsidRDefault="008931E1">
      <w:pPr>
        <w:divId w:val="1052268585"/>
        <w:rPr>
          <w:rFonts w:eastAsia="Times New Roman"/>
        </w:rPr>
      </w:pPr>
      <w:r>
        <w:rPr>
          <w:rFonts w:eastAsia="Times New Roman"/>
          <w:b/>
          <w:bCs/>
          <w:i/>
          <w:iCs/>
          <w:color w:val="000000"/>
          <w:sz w:val="20"/>
          <w:szCs w:val="20"/>
        </w:rPr>
        <w:t>Our use of open source software may harm our business.</w:t>
      </w:r>
    </w:p>
    <w:p w:rsidR="00000000" w:rsidRDefault="008931E1">
      <w:pPr>
        <w:ind w:firstLine="360"/>
        <w:divId w:val="986784797"/>
        <w:rPr>
          <w:rFonts w:eastAsia="Times New Roman"/>
        </w:rPr>
      </w:pPr>
      <w:r>
        <w:rPr>
          <w:rFonts w:eastAsia="Times New Roman"/>
          <w:color w:val="000000"/>
          <w:sz w:val="20"/>
          <w:szCs w:val="20"/>
        </w:rPr>
        <w:t>Certain of our software and our suppliers’ s</w:t>
      </w:r>
      <w:r>
        <w:rPr>
          <w:rFonts w:eastAsia="Times New Roman"/>
          <w:color w:val="000000"/>
          <w:sz w:val="20"/>
          <w:szCs w:val="20"/>
        </w:rPr>
        <w:t xml:space="preserve">oftware may contain or may be derived from “open source” software, and we have seen, and believe that we will continue to see, customers request that we develop products, including software associated with our integrated circuit products, that incorporate </w:t>
      </w:r>
      <w:r>
        <w:rPr>
          <w:rFonts w:eastAsia="Times New Roman"/>
          <w:color w:val="000000"/>
          <w:sz w:val="20"/>
          <w:szCs w:val="20"/>
        </w:rPr>
        <w:t>open source software elements and operate in an open source environment, which, under certain open source licenses, may offer accessibility to a portion of our products’ source code and may expose our related intellectual property to adverse licensing cond</w:t>
      </w:r>
      <w:r>
        <w:rPr>
          <w:rFonts w:eastAsia="Times New Roman"/>
          <w:color w:val="000000"/>
          <w:sz w:val="20"/>
          <w:szCs w:val="20"/>
        </w:rPr>
        <w:t>itions. Licensing of such open source software may impose certain obligations on us if we were to distribute derivative works of that software. For example, these obligations may require us to make source code for the derivative works available to our cust</w:t>
      </w:r>
      <w:r>
        <w:rPr>
          <w:rFonts w:eastAsia="Times New Roman"/>
          <w:color w:val="000000"/>
          <w:sz w:val="20"/>
          <w:szCs w:val="20"/>
        </w:rPr>
        <w:t xml:space="preserve">omers in a manner that allows them to make such source code available to their customers, or to license such derivative works under a particular type of license that is </w:t>
      </w:r>
    </w:p>
    <w:p w:rsidR="00000000" w:rsidRDefault="008931E1">
      <w:pPr>
        <w:jc w:val="center"/>
        <w:divId w:val="182286882"/>
        <w:rPr>
          <w:rFonts w:eastAsia="Times New Roman"/>
        </w:rPr>
      </w:pPr>
      <w:r>
        <w:rPr>
          <w:rFonts w:eastAsia="Times New Roman"/>
          <w:color w:val="000000"/>
          <w:sz w:val="20"/>
          <w:szCs w:val="20"/>
        </w:rPr>
        <w:t>34</w:t>
      </w:r>
    </w:p>
    <w:p w:rsidR="00000000" w:rsidRDefault="008931E1">
      <w:pPr>
        <w:rPr>
          <w:rFonts w:eastAsia="Times New Roman"/>
        </w:rPr>
      </w:pPr>
      <w:r>
        <w:rPr>
          <w:rFonts w:eastAsia="Times New Roman"/>
        </w:rPr>
        <w:pict>
          <v:rect id="_x0000_i1057" style="width:0;height:1.5pt" o:hralign="center" o:hrstd="t" o:hr="t" fillcolor="#a0a0a0" stroked="f"/>
        </w:pict>
      </w:r>
    </w:p>
    <w:p w:rsidR="00000000" w:rsidRDefault="008931E1">
      <w:pPr>
        <w:divId w:val="101849660"/>
        <w:rPr>
          <w:rFonts w:eastAsia="Times New Roman"/>
        </w:rPr>
      </w:pPr>
    </w:p>
    <w:p w:rsidR="00000000" w:rsidRDefault="008931E1">
      <w:pPr>
        <w:divId w:val="2115897388"/>
        <w:rPr>
          <w:rFonts w:eastAsia="Times New Roman"/>
        </w:rPr>
      </w:pPr>
      <w:r>
        <w:rPr>
          <w:rFonts w:eastAsia="Times New Roman"/>
          <w:color w:val="000000"/>
          <w:sz w:val="20"/>
          <w:szCs w:val="20"/>
        </w:rPr>
        <w:t>different than what we customarily use to li</w:t>
      </w:r>
      <w:r>
        <w:rPr>
          <w:rFonts w:eastAsia="Times New Roman"/>
          <w:color w:val="000000"/>
          <w:sz w:val="20"/>
          <w:szCs w:val="20"/>
        </w:rPr>
        <w:t>cense our software. Furthermore, in the course of product development, we may make contributions to third-party open source projects that could subject our intellectual property to adverse licensing conditions. For example, to encourage the growth of a sof</w:t>
      </w:r>
      <w:r>
        <w:rPr>
          <w:rFonts w:eastAsia="Times New Roman"/>
          <w:color w:val="000000"/>
          <w:sz w:val="20"/>
          <w:szCs w:val="20"/>
        </w:rPr>
        <w:t>tware ecosystem that is interoperable with our products, we may need to contribute certain implementations under the open source licensing terms that govern such projects, which may adversely impact our associated intellectual property. Developing open sou</w:t>
      </w:r>
      <w:r>
        <w:rPr>
          <w:rFonts w:eastAsia="Times New Roman"/>
          <w:color w:val="000000"/>
          <w:sz w:val="20"/>
          <w:szCs w:val="20"/>
        </w:rPr>
        <w:t>rce products, while adequately protecting the intellectual property upon which our licensing programs depend, may prove burdensome and time-consuming under certain circumstances, thereby placing us at a competitive disadvantage, and we may not adequately p</w:t>
      </w:r>
      <w:r>
        <w:rPr>
          <w:rFonts w:eastAsia="Times New Roman"/>
          <w:color w:val="000000"/>
          <w:sz w:val="20"/>
          <w:szCs w:val="20"/>
        </w:rPr>
        <w:t>rotect our intellectual property. Also, our use and our customers’ use of open source software may subject our products and our customers’ products to governmental and third-party scrutiny and delays in product certification, which could cause customers to</w:t>
      </w:r>
      <w:r>
        <w:rPr>
          <w:rFonts w:eastAsia="Times New Roman"/>
          <w:color w:val="000000"/>
          <w:sz w:val="20"/>
          <w:szCs w:val="20"/>
        </w:rPr>
        <w:t xml:space="preserve"> view our products as less desirable than our competitors’ products. </w:t>
      </w:r>
    </w:p>
    <w:p w:rsidR="00000000" w:rsidRDefault="008931E1">
      <w:pPr>
        <w:divId w:val="6296950"/>
        <w:rPr>
          <w:rFonts w:eastAsia="Times New Roman"/>
        </w:rPr>
      </w:pPr>
      <w:r>
        <w:rPr>
          <w:rFonts w:eastAsia="Times New Roman"/>
          <w:b/>
          <w:bCs/>
          <w:color w:val="000000"/>
          <w:sz w:val="20"/>
          <w:szCs w:val="20"/>
        </w:rPr>
        <w:t>GENERAL RISK FACTORS</w:t>
      </w:r>
    </w:p>
    <w:p w:rsidR="00000000" w:rsidRDefault="008931E1">
      <w:pPr>
        <w:divId w:val="1775712257"/>
        <w:rPr>
          <w:rFonts w:eastAsia="Times New Roman"/>
        </w:rPr>
      </w:pPr>
      <w:r>
        <w:rPr>
          <w:rFonts w:eastAsia="Times New Roman"/>
          <w:b/>
          <w:bCs/>
          <w:i/>
          <w:iCs/>
          <w:color w:val="000000"/>
          <w:sz w:val="20"/>
          <w:szCs w:val="20"/>
        </w:rPr>
        <w:t>We operate in the highly cyclical semiconductor industry, which is subject to significant downturns. We are also susceptible to declines in global, regional and loca</w:t>
      </w:r>
      <w:r>
        <w:rPr>
          <w:rFonts w:eastAsia="Times New Roman"/>
          <w:b/>
          <w:bCs/>
          <w:i/>
          <w:iCs/>
          <w:color w:val="000000"/>
          <w:sz w:val="20"/>
          <w:szCs w:val="20"/>
        </w:rPr>
        <w:t>l economic conditions generally. Our stock price and financial results are subject to substantial quarterly and annual fluctuations due to these dynamics, among others.</w:t>
      </w:r>
    </w:p>
    <w:p w:rsidR="00000000" w:rsidRDefault="008931E1">
      <w:pPr>
        <w:ind w:firstLine="360"/>
        <w:divId w:val="697389983"/>
        <w:rPr>
          <w:rFonts w:eastAsia="Times New Roman"/>
        </w:rPr>
      </w:pPr>
      <w:r>
        <w:rPr>
          <w:rFonts w:eastAsia="Times New Roman"/>
          <w:color w:val="000000"/>
          <w:sz w:val="20"/>
          <w:szCs w:val="20"/>
        </w:rPr>
        <w:t>The semiconductor industry is highly cyclical, volatile, subject to downturns and chara</w:t>
      </w:r>
      <w:r>
        <w:rPr>
          <w:rFonts w:eastAsia="Times New Roman"/>
          <w:color w:val="000000"/>
          <w:sz w:val="20"/>
          <w:szCs w:val="20"/>
        </w:rPr>
        <w:t>cterized by constant and rapid technological change, price erosion, evolving technical standards, frequent new product introductions, short product life cycles and fluctuations in product supply and demand. Periods of downturns have been characterized by d</w:t>
      </w:r>
      <w:r>
        <w:rPr>
          <w:rFonts w:eastAsia="Times New Roman"/>
          <w:color w:val="000000"/>
          <w:sz w:val="20"/>
          <w:szCs w:val="20"/>
        </w:rPr>
        <w:t>iminished demand for end-user products, high inventory levels, excess or obsolete inventory adjustments or reserves, underutilization of manufacturing capacity, changes in revenue mix and erosion of average selling prices. We expect our business to continu</w:t>
      </w:r>
      <w:r>
        <w:rPr>
          <w:rFonts w:eastAsia="Times New Roman"/>
          <w:color w:val="000000"/>
          <w:sz w:val="20"/>
          <w:szCs w:val="20"/>
        </w:rPr>
        <w:t>e to be subject to such cyclical downturns. During such downturns, our revenues may decline, and our results of operations and financial condition may be adversely impacted. We are currently seeing and expect to continue to see weakness in the macroeconomi</w:t>
      </w:r>
      <w:r>
        <w:rPr>
          <w:rFonts w:eastAsia="Times New Roman"/>
          <w:color w:val="000000"/>
          <w:sz w:val="20"/>
          <w:szCs w:val="20"/>
        </w:rPr>
        <w:t xml:space="preserve">c environment (negatively impacting consumer demand for smartphones and other devices that incorporate our products and technologies) and elevated inventory levels at certain of our customers (negatively impacting the volume of chipsets they purchase from </w:t>
      </w:r>
      <w:r>
        <w:rPr>
          <w:rFonts w:eastAsia="Times New Roman"/>
          <w:color w:val="000000"/>
          <w:sz w:val="20"/>
          <w:szCs w:val="20"/>
        </w:rPr>
        <w:t>us until such inventory is depleted). Until these conditions improve, we expect that both of these dynamics will have a negative impact on our revenues, results of operations and cash flows.</w:t>
      </w:r>
    </w:p>
    <w:p w:rsidR="00000000" w:rsidRDefault="008931E1">
      <w:pPr>
        <w:ind w:firstLine="360"/>
        <w:divId w:val="608632996"/>
        <w:rPr>
          <w:rFonts w:eastAsia="Times New Roman"/>
        </w:rPr>
      </w:pPr>
      <w:r>
        <w:rPr>
          <w:rFonts w:eastAsia="Times New Roman"/>
          <w:color w:val="000000"/>
          <w:sz w:val="20"/>
          <w:szCs w:val="20"/>
        </w:rPr>
        <w:t xml:space="preserve">A decline in global, regional or local economic conditions, such </w:t>
      </w:r>
      <w:r>
        <w:rPr>
          <w:rFonts w:eastAsia="Times New Roman"/>
          <w:color w:val="000000"/>
          <w:sz w:val="20"/>
          <w:szCs w:val="20"/>
        </w:rPr>
        <w:t xml:space="preserve">as we are currently seeing, or a slow-down in economic growth, particularly in geographic regions with high concentrations of wireless voice and data users or high concentrations of our customers or licensees, could also have adverse, wide-ranging effects </w:t>
      </w:r>
      <w:r>
        <w:rPr>
          <w:rFonts w:eastAsia="Times New Roman"/>
          <w:color w:val="000000"/>
          <w:sz w:val="20"/>
          <w:szCs w:val="20"/>
        </w:rPr>
        <w:t>on our business and financial results, including: a decrease in demand for our products and technologies; a decrease in demand for the products and services of our customers or licensees; the inability of our suppliers to deliver on their supply commitment</w:t>
      </w:r>
      <w:r>
        <w:rPr>
          <w:rFonts w:eastAsia="Times New Roman"/>
          <w:color w:val="000000"/>
          <w:sz w:val="20"/>
          <w:szCs w:val="20"/>
        </w:rPr>
        <w:t>s to us, our inability to supply our products to our customers and/or the inability of our customers or licensees to supply their products to end users; the insolvency of key suppliers, customers or licensees; delays in reporting or payments from our custo</w:t>
      </w:r>
      <w:r>
        <w:rPr>
          <w:rFonts w:eastAsia="Times New Roman"/>
          <w:color w:val="000000"/>
          <w:sz w:val="20"/>
          <w:szCs w:val="20"/>
        </w:rPr>
        <w:t>mers or licensees; failures by counterparties; and/or negative effects on wireless device inventories. In addition, our customers’ and licensees’ ability to purchase or pay for our products and intellectual property and network operators’ ability to upgrad</w:t>
      </w:r>
      <w:r>
        <w:rPr>
          <w:rFonts w:eastAsia="Times New Roman"/>
          <w:color w:val="000000"/>
          <w:sz w:val="20"/>
          <w:szCs w:val="20"/>
        </w:rPr>
        <w:t>e their wireless networks could be adversely affected, potentially leading to a reduction, cancellation or delay of orders for our products. Further, inflationary pressure may increase our costs, including employee compensation costs, reduce demand for our</w:t>
      </w:r>
      <w:r>
        <w:rPr>
          <w:rFonts w:eastAsia="Times New Roman"/>
          <w:color w:val="000000"/>
          <w:sz w:val="20"/>
          <w:szCs w:val="20"/>
        </w:rPr>
        <w:t xml:space="preserve"> products or those of our customers or licensees due to increased prices of those products, or result in employee attrition to the extent our compensation does not keep up with inflation, particularly if our competitors’ compensation does.</w:t>
      </w:r>
    </w:p>
    <w:p w:rsidR="00000000" w:rsidRDefault="008931E1">
      <w:pPr>
        <w:ind w:firstLine="360"/>
        <w:divId w:val="664362551"/>
        <w:rPr>
          <w:rFonts w:eastAsia="Times New Roman"/>
        </w:rPr>
      </w:pPr>
      <w:r>
        <w:rPr>
          <w:rFonts w:eastAsia="Times New Roman"/>
          <w:color w:val="000000"/>
          <w:sz w:val="20"/>
          <w:szCs w:val="20"/>
        </w:rPr>
        <w:t xml:space="preserve">Our stock price </w:t>
      </w:r>
      <w:r>
        <w:rPr>
          <w:rFonts w:eastAsia="Times New Roman"/>
          <w:color w:val="000000"/>
          <w:sz w:val="20"/>
          <w:szCs w:val="20"/>
        </w:rPr>
        <w:t>and financial results have fluctuated in the past and are likely to fluctuate in the future. Factors that may have a significant impact on the market price of our stock and our financial results include those identified above and throughout this Risk Facto</w:t>
      </w:r>
      <w:r>
        <w:rPr>
          <w:rFonts w:eastAsia="Times New Roman"/>
          <w:color w:val="000000"/>
          <w:sz w:val="20"/>
          <w:szCs w:val="20"/>
        </w:rPr>
        <w:t>rs section, as well as: volatility of the stock market in general and technology and semiconductor companies in particular; announcements concerning us, our suppliers, our competitors or our customers or licensees, including any announcement concerning the</w:t>
      </w:r>
      <w:r>
        <w:rPr>
          <w:rFonts w:eastAsia="Times New Roman"/>
          <w:color w:val="000000"/>
          <w:sz w:val="20"/>
          <w:szCs w:val="20"/>
        </w:rPr>
        <w:t xml:space="preserve"> initiation of, or any developments in, any lawsuit or governmental investigation or proceeding against us; and variations between our actual financial results or guidance and expectations of securities analysts or investors, among others. In the past, sec</w:t>
      </w:r>
      <w:r>
        <w:rPr>
          <w:rFonts w:eastAsia="Times New Roman"/>
          <w:color w:val="000000"/>
          <w:sz w:val="20"/>
          <w:szCs w:val="20"/>
        </w:rPr>
        <w:t>urities class action litigation has been brought against companies following periods of volatility in the market price of their securities, among other reasons. We are and may in the future be the target of securities litigation. Securities litigation coul</w:t>
      </w:r>
      <w:r>
        <w:rPr>
          <w:rFonts w:eastAsia="Times New Roman"/>
          <w:color w:val="000000"/>
          <w:sz w:val="20"/>
          <w:szCs w:val="20"/>
        </w:rPr>
        <w:t>d result in substantial uninsured costs and divert management’s attention and our resources. Certain legal matters, including certain securities litigation brought against us, are described in this Annual Report in “Notes to Consolidated Financial Statemen</w:t>
      </w:r>
      <w:r>
        <w:rPr>
          <w:rFonts w:eastAsia="Times New Roman"/>
          <w:color w:val="000000"/>
          <w:sz w:val="20"/>
          <w:szCs w:val="20"/>
        </w:rPr>
        <w:t>ts, Note 7. Commitments and Contingencies.”</w:t>
      </w:r>
    </w:p>
    <w:p w:rsidR="00000000" w:rsidRDefault="008931E1">
      <w:pPr>
        <w:divId w:val="2043434170"/>
        <w:rPr>
          <w:rFonts w:eastAsia="Times New Roman"/>
        </w:rPr>
      </w:pPr>
      <w:r>
        <w:rPr>
          <w:rFonts w:eastAsia="Times New Roman"/>
          <w:b/>
          <w:bCs/>
          <w:i/>
          <w:iCs/>
          <w:color w:val="000000"/>
          <w:sz w:val="20"/>
          <w:szCs w:val="20"/>
        </w:rPr>
        <w:t>Geopolitical conflicts, natural disasters, pandemics and other health crises, and other factors outside of our control, could significantly disrupt our business.</w:t>
      </w:r>
    </w:p>
    <w:p w:rsidR="00000000" w:rsidRDefault="008931E1">
      <w:pPr>
        <w:ind w:firstLine="360"/>
        <w:divId w:val="368722759"/>
        <w:rPr>
          <w:rFonts w:eastAsia="Times New Roman"/>
        </w:rPr>
      </w:pPr>
      <w:r>
        <w:rPr>
          <w:rFonts w:eastAsia="Times New Roman"/>
          <w:color w:val="000000"/>
          <w:sz w:val="20"/>
          <w:szCs w:val="20"/>
        </w:rPr>
        <w:t>We have operations and facilities in the United St</w:t>
      </w:r>
      <w:r>
        <w:rPr>
          <w:rFonts w:eastAsia="Times New Roman"/>
          <w:color w:val="000000"/>
          <w:sz w:val="20"/>
          <w:szCs w:val="20"/>
        </w:rPr>
        <w:t>ates and many other countries throughout the world. We derive a significant portion of our revenues from Chinese OEMs and from non-Chinese OEMs that utilize our integrated circuit products in devices they sell into China (which has the largest number of sm</w:t>
      </w:r>
      <w:r>
        <w:rPr>
          <w:rFonts w:eastAsia="Times New Roman"/>
          <w:color w:val="000000"/>
          <w:sz w:val="20"/>
          <w:szCs w:val="20"/>
        </w:rPr>
        <w:t>artphone users in the world); our key suppliers and their manufacturing foundries and assembly, test and other facilities are primarily located in Taiwan and Korea; our manufacturing facilities for RFFE and RF products are located in China, Germany and Sin</w:t>
      </w:r>
      <w:r>
        <w:rPr>
          <w:rFonts w:eastAsia="Times New Roman"/>
          <w:color w:val="000000"/>
          <w:sz w:val="20"/>
          <w:szCs w:val="20"/>
        </w:rPr>
        <w:t>gapore; the primary warehouses where we store finished goods for fulfillment of customer orders are located in Singapore; and a significant portion of our workforce (including engineering and other technical personnel) is based in India. Acts of war, terro</w:t>
      </w:r>
      <w:r>
        <w:rPr>
          <w:rFonts w:eastAsia="Times New Roman"/>
          <w:color w:val="000000"/>
          <w:sz w:val="20"/>
          <w:szCs w:val="20"/>
        </w:rPr>
        <w:t>rism, geopolitical conflicts, political instability or tensions such as the current geopolitical tensions involving China and Taiwan, natural disasters, the effects of climate change, pandemics such as the COVID-19 pandemic, or other health crises affectin</w:t>
      </w:r>
      <w:r>
        <w:rPr>
          <w:rFonts w:eastAsia="Times New Roman"/>
          <w:color w:val="000000"/>
          <w:sz w:val="20"/>
          <w:szCs w:val="20"/>
        </w:rPr>
        <w:t xml:space="preserve">g any of </w:t>
      </w:r>
    </w:p>
    <w:p w:rsidR="00000000" w:rsidRDefault="008931E1">
      <w:pPr>
        <w:jc w:val="center"/>
        <w:divId w:val="462160802"/>
        <w:rPr>
          <w:rFonts w:eastAsia="Times New Roman"/>
        </w:rPr>
      </w:pPr>
      <w:r>
        <w:rPr>
          <w:rFonts w:eastAsia="Times New Roman"/>
          <w:color w:val="000000"/>
          <w:sz w:val="20"/>
          <w:szCs w:val="20"/>
        </w:rPr>
        <w:t>35</w:t>
      </w:r>
    </w:p>
    <w:p w:rsidR="00000000" w:rsidRDefault="008931E1">
      <w:pPr>
        <w:rPr>
          <w:rFonts w:eastAsia="Times New Roman"/>
        </w:rPr>
      </w:pPr>
      <w:r>
        <w:rPr>
          <w:rFonts w:eastAsia="Times New Roman"/>
        </w:rPr>
        <w:pict>
          <v:rect id="_x0000_i1058" style="width:0;height:1.5pt" o:hralign="center" o:hrstd="t" o:hr="t" fillcolor="#a0a0a0" stroked="f"/>
        </w:pict>
      </w:r>
    </w:p>
    <w:p w:rsidR="00000000" w:rsidRDefault="008931E1">
      <w:pPr>
        <w:divId w:val="1210921675"/>
        <w:rPr>
          <w:rFonts w:eastAsia="Times New Roman"/>
        </w:rPr>
      </w:pPr>
    </w:p>
    <w:p w:rsidR="00000000" w:rsidRDefault="008931E1">
      <w:pPr>
        <w:divId w:val="12655532"/>
        <w:rPr>
          <w:rFonts w:eastAsia="Times New Roman"/>
        </w:rPr>
      </w:pPr>
      <w:r>
        <w:rPr>
          <w:rFonts w:eastAsia="Times New Roman"/>
          <w:color w:val="000000"/>
          <w:sz w:val="20"/>
          <w:szCs w:val="20"/>
        </w:rPr>
        <w:t>the regions in which we operate, and particularly those in which our customers, suppliers, manufacturing facilities and/or significant portions of our workforce are concentrated, could significantly disrupt our business by, among others: reducing demand fo</w:t>
      </w:r>
      <w:r>
        <w:rPr>
          <w:rFonts w:eastAsia="Times New Roman"/>
          <w:color w:val="000000"/>
          <w:sz w:val="20"/>
          <w:szCs w:val="20"/>
        </w:rPr>
        <w:t>r our products and services or end-user devices incorporating our products or intellectual property; impairing our customers’ or licensees’ ability to purchase or pay for our products, services or intellectual property; delaying or preventing our suppliers</w:t>
      </w:r>
      <w:r>
        <w:rPr>
          <w:rFonts w:eastAsia="Times New Roman"/>
          <w:color w:val="000000"/>
          <w:sz w:val="20"/>
          <w:szCs w:val="20"/>
        </w:rPr>
        <w:t xml:space="preserve"> from providing us with critical components or raw materials; delaying or preventing our foundry or semiconductor assembly and test providers from manufacturing, assembling or testing our products; preventing us from manufacturing products or shipping fini</w:t>
      </w:r>
      <w:r>
        <w:rPr>
          <w:rFonts w:eastAsia="Times New Roman"/>
          <w:color w:val="000000"/>
          <w:sz w:val="20"/>
          <w:szCs w:val="20"/>
        </w:rPr>
        <w:t>shed products; damaging or destroying inventory; delaying or preventing network operators from upgrading their wireless networks to meet new technology standards; or preventing a significant number of our employees, or employees who perform critical functi</w:t>
      </w:r>
      <w:r>
        <w:rPr>
          <w:rFonts w:eastAsia="Times New Roman"/>
          <w:color w:val="000000"/>
          <w:sz w:val="20"/>
          <w:szCs w:val="20"/>
        </w:rPr>
        <w:t>ons, from performing their duties for us. For example, our business depends on our ability to receive consistent and reliable chipset supply from our foundry partners, particularly in Taiwan. Consequently, a significant or prolonged military or other geopo</w:t>
      </w:r>
      <w:r>
        <w:rPr>
          <w:rFonts w:eastAsia="Times New Roman"/>
          <w:color w:val="000000"/>
          <w:sz w:val="20"/>
          <w:szCs w:val="20"/>
        </w:rPr>
        <w:t>litical conflict involving China and Taiwan could severely limit or prevent us from receiving chipset supply from Taiwan, which would have a material adverse impact on our business (and likely on the semiconductor industry as a whole). In addition, acts of</w:t>
      </w:r>
      <w:r>
        <w:rPr>
          <w:rFonts w:eastAsia="Times New Roman"/>
          <w:color w:val="000000"/>
          <w:sz w:val="20"/>
          <w:szCs w:val="20"/>
        </w:rPr>
        <w:t xml:space="preserve"> war, terrorism, geopolitical conflicts, political instability or tensions, natural disasters, the effects of climate change, pandemics or other health crises impacting any of these regions could also result in a decline in global, regional or local econom</w:t>
      </w:r>
      <w:r>
        <w:rPr>
          <w:rFonts w:eastAsia="Times New Roman"/>
          <w:color w:val="000000"/>
          <w:sz w:val="20"/>
          <w:szCs w:val="20"/>
        </w:rPr>
        <w:t>ic conditions generally, or increased volatility in financial markets, which could have adverse effects on our business and financial results. See also the Risk Factor titled “</w:t>
      </w:r>
      <w:r>
        <w:rPr>
          <w:rFonts w:eastAsia="Times New Roman"/>
          <w:i/>
          <w:iCs/>
          <w:color w:val="000000"/>
          <w:sz w:val="20"/>
          <w:szCs w:val="20"/>
        </w:rPr>
        <w:t>We operate in the highly cyclical semiconductor industry, which is subject to si</w:t>
      </w:r>
      <w:r>
        <w:rPr>
          <w:rFonts w:eastAsia="Times New Roman"/>
          <w:i/>
          <w:iCs/>
          <w:color w:val="000000"/>
          <w:sz w:val="20"/>
          <w:szCs w:val="20"/>
        </w:rPr>
        <w:t>gnificant downturns. We are also susceptible to declines in global, regional and local economic conditions generally. Our stock price and financial results are subject to substantial quarterly and annual fluctuations due to these dynamics, among others</w:t>
      </w:r>
      <w:r>
        <w:rPr>
          <w:rFonts w:eastAsia="Times New Roman"/>
          <w:color w:val="000000"/>
          <w:sz w:val="20"/>
          <w:szCs w:val="20"/>
        </w:rPr>
        <w:t>.” A</w:t>
      </w:r>
      <w:r>
        <w:rPr>
          <w:rFonts w:eastAsia="Times New Roman"/>
          <w:color w:val="000000"/>
          <w:sz w:val="20"/>
          <w:szCs w:val="20"/>
        </w:rPr>
        <w:t>ny such events may also have the effect of exacerbating the other risks discussed in this “Risk Factors” section.</w:t>
      </w:r>
    </w:p>
    <w:p w:rsidR="00000000" w:rsidRDefault="008931E1">
      <w:pPr>
        <w:divId w:val="580990875"/>
        <w:rPr>
          <w:rFonts w:eastAsia="Times New Roman"/>
        </w:rPr>
      </w:pPr>
      <w:r>
        <w:rPr>
          <w:rFonts w:eastAsia="Times New Roman"/>
          <w:b/>
          <w:bCs/>
          <w:i/>
          <w:iCs/>
          <w:color w:val="000000"/>
          <w:sz w:val="20"/>
          <w:szCs w:val="20"/>
        </w:rPr>
        <w:t xml:space="preserve">Our business may suffer due to the impact of, or our failure to comply with, the various existing, new or amended laws, regulations, policies </w:t>
      </w:r>
      <w:r>
        <w:rPr>
          <w:rFonts w:eastAsia="Times New Roman"/>
          <w:b/>
          <w:bCs/>
          <w:i/>
          <w:iCs/>
          <w:color w:val="000000"/>
          <w:sz w:val="20"/>
          <w:szCs w:val="20"/>
        </w:rPr>
        <w:t>or standards to which we are subject.</w:t>
      </w:r>
    </w:p>
    <w:p w:rsidR="00000000" w:rsidRDefault="008931E1">
      <w:pPr>
        <w:ind w:firstLine="360"/>
        <w:divId w:val="1295646732"/>
        <w:rPr>
          <w:rFonts w:eastAsia="Times New Roman"/>
        </w:rPr>
      </w:pPr>
      <w:r>
        <w:rPr>
          <w:rFonts w:eastAsia="Times New Roman"/>
          <w:color w:val="000000"/>
          <w:sz w:val="20"/>
          <w:szCs w:val="20"/>
        </w:rPr>
        <w:t>Our business and products, and those of our customers and licensees, are subject to various laws, rules and regulations globally, as well as government policies and the specifications of international, national and reg</w:t>
      </w:r>
      <w:r>
        <w:rPr>
          <w:rFonts w:eastAsia="Times New Roman"/>
          <w:color w:val="000000"/>
          <w:sz w:val="20"/>
          <w:szCs w:val="20"/>
        </w:rPr>
        <w:t>ional communications standards bodies (collectively, Regulations). These include, among others, Regulations related to: patent licensing practices; antitrust, competition and competitive business practices; the flow of funds out of certain countries (e.g.,</w:t>
      </w:r>
      <w:r>
        <w:rPr>
          <w:rFonts w:eastAsia="Times New Roman"/>
          <w:color w:val="000000"/>
          <w:sz w:val="20"/>
          <w:szCs w:val="20"/>
        </w:rPr>
        <w:t xml:space="preserve"> China); cybersecurity; privacy and data protection; imports and exports, such as the U.S. Export Administration Regulations administered by the U.S. Department of Commerce; protection of intellectual property; trade and trade protection including tariffs;</w:t>
      </w:r>
      <w:r>
        <w:rPr>
          <w:rFonts w:eastAsia="Times New Roman"/>
          <w:color w:val="000000"/>
          <w:sz w:val="20"/>
          <w:szCs w:val="20"/>
        </w:rPr>
        <w:t xml:space="preserve"> foreign policy and national security; environmental protection (including climate change), health and safety; supply chain, responsible sourcing, including the use of conflict minerals, and human rights; spectrum availability and license issuance; adoptio</w:t>
      </w:r>
      <w:r>
        <w:rPr>
          <w:rFonts w:eastAsia="Times New Roman"/>
          <w:color w:val="000000"/>
          <w:sz w:val="20"/>
          <w:szCs w:val="20"/>
        </w:rPr>
        <w:t>n of standards; taxation; labor, employment and human capital; corporate governance; public disclosure and reporting (including reporting of ESG-related data); automotive industry safety and quality standards; AI technologies; and business conduct. Complia</w:t>
      </w:r>
      <w:r>
        <w:rPr>
          <w:rFonts w:eastAsia="Times New Roman"/>
          <w:color w:val="000000"/>
          <w:sz w:val="20"/>
          <w:szCs w:val="20"/>
        </w:rPr>
        <w:t>nce with, or changes in the interpretation of, existing Regulations, the adoption of new Regulations, changes in the oversight of our activities by governments or standards bodies, or rulings in court, regulatory, administrative or other proceedings relati</w:t>
      </w:r>
      <w:r>
        <w:rPr>
          <w:rFonts w:eastAsia="Times New Roman"/>
          <w:color w:val="000000"/>
          <w:sz w:val="20"/>
          <w:szCs w:val="20"/>
        </w:rPr>
        <w:t>ng to such Regulations, among others, could have an adverse effect on our business and results of operations.</w:t>
      </w:r>
      <w:r>
        <w:rPr>
          <w:rFonts w:eastAsia="Times New Roman"/>
          <w:i/>
          <w:iCs/>
          <w:color w:val="000000"/>
          <w:sz w:val="20"/>
          <w:szCs w:val="20"/>
        </w:rPr>
        <w:t xml:space="preserve"> </w:t>
      </w:r>
      <w:r>
        <w:rPr>
          <w:rFonts w:eastAsia="Times New Roman"/>
          <w:color w:val="000000"/>
          <w:sz w:val="20"/>
          <w:szCs w:val="20"/>
        </w:rPr>
        <w:t>See also the Risk Factors titled “</w:t>
      </w:r>
      <w:r>
        <w:rPr>
          <w:rFonts w:eastAsia="Times New Roman"/>
          <w:i/>
          <w:iCs/>
          <w:color w:val="000000"/>
          <w:sz w:val="20"/>
          <w:szCs w:val="20"/>
        </w:rPr>
        <w:t>Our business may suffer as a result of adverse rulings in governmental investigations or proceedings or other le</w:t>
      </w:r>
      <w:r>
        <w:rPr>
          <w:rFonts w:eastAsia="Times New Roman"/>
          <w:i/>
          <w:iCs/>
          <w:color w:val="000000"/>
          <w:sz w:val="20"/>
          <w:szCs w:val="20"/>
        </w:rPr>
        <w:t>gal proceedings,”</w:t>
      </w:r>
      <w:r>
        <w:rPr>
          <w:rFonts w:eastAsia="Times New Roman"/>
          <w:color w:val="000000"/>
          <w:sz w:val="20"/>
          <w:szCs w:val="20"/>
        </w:rPr>
        <w:t xml:space="preserve"> “</w:t>
      </w:r>
      <w:r>
        <w:rPr>
          <w:rFonts w:eastAsia="Times New Roman"/>
          <w:i/>
          <w:iCs/>
          <w:color w:val="000000"/>
          <w:sz w:val="20"/>
          <w:szCs w:val="20"/>
        </w:rPr>
        <w:t xml:space="preserve">Changes in our patent licensing practices, whether due to governmental investigations, legal challenges or otherwise, could adversely impact our business and results of operations,” “A significant portion of our business is concentrated </w:t>
      </w:r>
      <w:r>
        <w:rPr>
          <w:rFonts w:eastAsia="Times New Roman"/>
          <w:i/>
          <w:iCs/>
          <w:color w:val="000000"/>
          <w:sz w:val="20"/>
          <w:szCs w:val="20"/>
        </w:rPr>
        <w:t>in China, and the risks of such concentration are exacerbated by U.S./China trade and national security tensions,”</w:t>
      </w:r>
      <w:r>
        <w:rPr>
          <w:rFonts w:eastAsia="Times New Roman"/>
          <w:color w:val="000000"/>
          <w:sz w:val="20"/>
          <w:szCs w:val="20"/>
        </w:rPr>
        <w:t xml:space="preserve"> “</w:t>
      </w:r>
      <w:r>
        <w:rPr>
          <w:rFonts w:eastAsia="Times New Roman"/>
          <w:i/>
          <w:iCs/>
          <w:color w:val="000000"/>
          <w:sz w:val="20"/>
          <w:szCs w:val="20"/>
        </w:rPr>
        <w:t>There are numerous risks associated with the operation and control of our manufacturing facilities, including a higher portion of fixed cost</w:t>
      </w:r>
      <w:r>
        <w:rPr>
          <w:rFonts w:eastAsia="Times New Roman"/>
          <w:i/>
          <w:iCs/>
          <w:color w:val="000000"/>
          <w:sz w:val="20"/>
          <w:szCs w:val="20"/>
        </w:rPr>
        <w:t>s relative to a fabless model; environmental compliance and liability; impacts related to climate change; exposure to natural disasters, health crises, geopolitical conflicts and cyber-attacks; timely supply of equipment and materials; and various manufact</w:t>
      </w:r>
      <w:r>
        <w:rPr>
          <w:rFonts w:eastAsia="Times New Roman"/>
          <w:i/>
          <w:iCs/>
          <w:color w:val="000000"/>
          <w:sz w:val="20"/>
          <w:szCs w:val="20"/>
        </w:rPr>
        <w:t>uring issues,” and “Tax liabilities could adversely affect our results of operations.”</w:t>
      </w:r>
    </w:p>
    <w:p w:rsidR="00000000" w:rsidRDefault="008931E1">
      <w:pPr>
        <w:ind w:firstLine="360"/>
        <w:divId w:val="1266843550"/>
        <w:rPr>
          <w:rFonts w:eastAsia="Times New Roman"/>
        </w:rPr>
      </w:pPr>
      <w:r>
        <w:rPr>
          <w:rFonts w:eastAsia="Times New Roman"/>
          <w:color w:val="000000"/>
          <w:sz w:val="20"/>
          <w:szCs w:val="20"/>
        </w:rPr>
        <w:t>Regulations are complex and changing (which may create uncertainty regarding compliance), are subject to varying interpretations, and their application in practice may e</w:t>
      </w:r>
      <w:r>
        <w:rPr>
          <w:rFonts w:eastAsia="Times New Roman"/>
          <w:color w:val="000000"/>
          <w:sz w:val="20"/>
          <w:szCs w:val="20"/>
        </w:rPr>
        <w:t>volve over time. As a result, our efforts to comply with Regulations may fail, particularly if there is ambiguity as to how they should be applied in practice. Failure to comply with any Regulation may adversely affect our business, results of operations a</w:t>
      </w:r>
      <w:r>
        <w:rPr>
          <w:rFonts w:eastAsia="Times New Roman"/>
          <w:color w:val="000000"/>
          <w:sz w:val="20"/>
          <w:szCs w:val="20"/>
        </w:rPr>
        <w:t>nd cash flows. New Regulations, or evolving interpretations thereof, may cause us to incur higher costs as we revise current practices, policies or procedures; may divert management time and attention to compliance activities; and may negatively impact our</w:t>
      </w:r>
      <w:r>
        <w:rPr>
          <w:rFonts w:eastAsia="Times New Roman"/>
          <w:color w:val="000000"/>
          <w:sz w:val="20"/>
          <w:szCs w:val="20"/>
        </w:rPr>
        <w:t xml:space="preserve"> ability to conduct business in certain jurisdictions.</w:t>
      </w:r>
    </w:p>
    <w:p w:rsidR="00000000" w:rsidRDefault="008931E1">
      <w:pPr>
        <w:divId w:val="2119596328"/>
        <w:rPr>
          <w:rFonts w:eastAsia="Times New Roman"/>
        </w:rPr>
      </w:pPr>
      <w:r>
        <w:rPr>
          <w:rFonts w:eastAsia="Times New Roman"/>
          <w:b/>
          <w:bCs/>
          <w:i/>
          <w:iCs/>
          <w:color w:val="000000"/>
          <w:sz w:val="20"/>
          <w:szCs w:val="20"/>
        </w:rPr>
        <w:t>There are risks associated with our debt.</w:t>
      </w:r>
    </w:p>
    <w:p w:rsidR="00000000" w:rsidRDefault="008931E1">
      <w:pPr>
        <w:ind w:firstLine="360"/>
        <w:divId w:val="275210166"/>
        <w:rPr>
          <w:rFonts w:eastAsia="Times New Roman"/>
        </w:rPr>
      </w:pPr>
      <w:r>
        <w:rPr>
          <w:rFonts w:eastAsia="Times New Roman"/>
          <w:color w:val="000000"/>
          <w:sz w:val="20"/>
          <w:szCs w:val="20"/>
        </w:rPr>
        <w:t xml:space="preserve">Our outstanding debt and any additional debt we incur may have negative consequences on our business, including, among others: requiring us to use cash to pay </w:t>
      </w:r>
      <w:r>
        <w:rPr>
          <w:rFonts w:eastAsia="Times New Roman"/>
          <w:color w:val="000000"/>
          <w:sz w:val="20"/>
          <w:szCs w:val="20"/>
        </w:rPr>
        <w:t xml:space="preserve">the principal of and interest on our debt, thereby reducing the amount of cash available for other purposes; limiting our ability to obtain additional financing for working capital, capital expenditures, acquisitions, stock repurchases, dividends, general </w:t>
      </w:r>
      <w:r>
        <w:rPr>
          <w:rFonts w:eastAsia="Times New Roman"/>
          <w:color w:val="000000"/>
          <w:sz w:val="20"/>
          <w:szCs w:val="20"/>
        </w:rPr>
        <w:t>corporate or other purposes; and limiting our flexibility in planning for, or reacting to, changes in our business, industries or the market. Our ability to make payments of principal and interest on our debt depends upon our future performance, which is s</w:t>
      </w:r>
      <w:r>
        <w:rPr>
          <w:rFonts w:eastAsia="Times New Roman"/>
          <w:color w:val="000000"/>
          <w:sz w:val="20"/>
          <w:szCs w:val="20"/>
        </w:rPr>
        <w:t>ubject to economic and political conditions, industry cycles and financial, business and other factors, many of which are beyond our control. If we are unable to generate sufficient cash flow from operations to service our debt, we may be required to, amon</w:t>
      </w:r>
      <w:r>
        <w:rPr>
          <w:rFonts w:eastAsia="Times New Roman"/>
          <w:color w:val="000000"/>
          <w:sz w:val="20"/>
          <w:szCs w:val="20"/>
        </w:rPr>
        <w:t>g others: refinance or restructure all or a portion of our debt; reduce or delay planned capital or operating expenditures; reduce, suspend or eliminate our dividend payments and/or our stock repurchase program; or sell selected assets. Such measures might</w:t>
      </w:r>
      <w:r>
        <w:rPr>
          <w:rFonts w:eastAsia="Times New Roman"/>
          <w:color w:val="000000"/>
          <w:sz w:val="20"/>
          <w:szCs w:val="20"/>
        </w:rPr>
        <w:t xml:space="preserve"> not be sufficient to enable us to service our debt. In </w:t>
      </w:r>
    </w:p>
    <w:p w:rsidR="00000000" w:rsidRDefault="008931E1">
      <w:pPr>
        <w:jc w:val="center"/>
        <w:divId w:val="1721325702"/>
        <w:rPr>
          <w:rFonts w:eastAsia="Times New Roman"/>
        </w:rPr>
      </w:pPr>
      <w:r>
        <w:rPr>
          <w:rFonts w:eastAsia="Times New Roman"/>
          <w:color w:val="000000"/>
          <w:sz w:val="20"/>
          <w:szCs w:val="20"/>
        </w:rPr>
        <w:t>36</w:t>
      </w:r>
    </w:p>
    <w:p w:rsidR="00000000" w:rsidRDefault="008931E1">
      <w:pPr>
        <w:rPr>
          <w:rFonts w:eastAsia="Times New Roman"/>
        </w:rPr>
      </w:pPr>
      <w:r>
        <w:rPr>
          <w:rFonts w:eastAsia="Times New Roman"/>
        </w:rPr>
        <w:pict>
          <v:rect id="_x0000_i1059" style="width:0;height:1.5pt" o:hralign="center" o:hrstd="t" o:hr="t" fillcolor="#a0a0a0" stroked="f"/>
        </w:pict>
      </w:r>
    </w:p>
    <w:p w:rsidR="00000000" w:rsidRDefault="008931E1">
      <w:pPr>
        <w:divId w:val="1197893361"/>
        <w:rPr>
          <w:rFonts w:eastAsia="Times New Roman"/>
        </w:rPr>
      </w:pPr>
    </w:p>
    <w:p w:rsidR="00000000" w:rsidRDefault="008931E1">
      <w:pPr>
        <w:divId w:val="855729082"/>
        <w:rPr>
          <w:rFonts w:eastAsia="Times New Roman"/>
        </w:rPr>
      </w:pPr>
      <w:r>
        <w:rPr>
          <w:rFonts w:eastAsia="Times New Roman"/>
          <w:color w:val="000000"/>
          <w:sz w:val="20"/>
          <w:szCs w:val="20"/>
        </w:rPr>
        <w:t>addition, any such refinancing, restructuring or sale of assets might not be available on economically favorable terms or at all, and if prevailing interest r</w:t>
      </w:r>
      <w:r>
        <w:rPr>
          <w:rFonts w:eastAsia="Times New Roman"/>
          <w:color w:val="000000"/>
          <w:sz w:val="20"/>
          <w:szCs w:val="20"/>
        </w:rPr>
        <w:t xml:space="preserve">ates at the time of any such refinancing or restructuring are higher than our current rates, interest expense related to such refinancing or restructuring would increase. Further, if there are adverse changes in the ratings assigned to our debt securities </w:t>
      </w:r>
      <w:r>
        <w:rPr>
          <w:rFonts w:eastAsia="Times New Roman"/>
          <w:color w:val="000000"/>
          <w:sz w:val="20"/>
          <w:szCs w:val="20"/>
        </w:rPr>
        <w:t>by credit rating agencies, our borrowing costs, our ability to access debt financing in the future and the terms of such debt could be adversely affected.</w:t>
      </w:r>
    </w:p>
    <w:p w:rsidR="00000000" w:rsidRDefault="008931E1">
      <w:pPr>
        <w:divId w:val="1806123719"/>
        <w:rPr>
          <w:rFonts w:eastAsia="Times New Roman"/>
        </w:rPr>
      </w:pPr>
      <w:r>
        <w:rPr>
          <w:rFonts w:eastAsia="Times New Roman"/>
          <w:b/>
          <w:bCs/>
          <w:i/>
          <w:iCs/>
          <w:color w:val="000000"/>
          <w:sz w:val="20"/>
          <w:szCs w:val="20"/>
        </w:rPr>
        <w:t>Tax liabilities could adversely affect our results of operations.</w:t>
      </w:r>
    </w:p>
    <w:p w:rsidR="00000000" w:rsidRDefault="008931E1">
      <w:pPr>
        <w:ind w:firstLine="360"/>
        <w:divId w:val="1467813629"/>
        <w:rPr>
          <w:rFonts w:eastAsia="Times New Roman"/>
        </w:rPr>
      </w:pPr>
      <w:r>
        <w:rPr>
          <w:rFonts w:eastAsia="Times New Roman"/>
          <w:color w:val="000000"/>
          <w:sz w:val="20"/>
          <w:szCs w:val="20"/>
        </w:rPr>
        <w:t>We are subject to income taxes in t</w:t>
      </w:r>
      <w:r>
        <w:rPr>
          <w:rFonts w:eastAsia="Times New Roman"/>
          <w:color w:val="000000"/>
          <w:sz w:val="20"/>
          <w:szCs w:val="20"/>
        </w:rPr>
        <w:t>he United States and numerous foreign jurisdictions. Significant judgment is required in determining our provision for income taxes. We regularly are subject to examination of our tax returns and reports by taxing authorities in the United States federal j</w:t>
      </w:r>
      <w:r>
        <w:rPr>
          <w:rFonts w:eastAsia="Times New Roman"/>
          <w:color w:val="000000"/>
          <w:sz w:val="20"/>
          <w:szCs w:val="20"/>
        </w:rPr>
        <w:t>urisdiction and various state and foreign jurisdictions, most notably in countries where we earn a routine return and the tax authorities believe substantial value-add activities are performed, as well as countries where we own intellectual property. The f</w:t>
      </w:r>
      <w:r>
        <w:rPr>
          <w:rFonts w:eastAsia="Times New Roman"/>
          <w:color w:val="000000"/>
          <w:sz w:val="20"/>
          <w:szCs w:val="20"/>
        </w:rPr>
        <w:t>inal determination of tax audits and any related legal proceedings could materially differ from amounts reflected in our income tax provisions and accruals. In such case, our income tax provision, results of operations and cash flows in the period or perio</w:t>
      </w:r>
      <w:r>
        <w:rPr>
          <w:rFonts w:eastAsia="Times New Roman"/>
          <w:color w:val="000000"/>
          <w:sz w:val="20"/>
          <w:szCs w:val="20"/>
        </w:rPr>
        <w:t>ds in which that determination is made could be negatively affected.</w:t>
      </w:r>
    </w:p>
    <w:p w:rsidR="00000000" w:rsidRDefault="008931E1">
      <w:pPr>
        <w:ind w:firstLine="360"/>
        <w:divId w:val="33626769"/>
        <w:rPr>
          <w:rFonts w:eastAsia="Times New Roman"/>
        </w:rPr>
      </w:pPr>
      <w:r>
        <w:rPr>
          <w:rFonts w:eastAsia="Times New Roman"/>
          <w:color w:val="000000"/>
          <w:sz w:val="20"/>
          <w:szCs w:val="20"/>
        </w:rPr>
        <w:t>Tax rules may change in a manner that adversely affects our future reported results of operations or the way we conduct our business. Most of our income is taxable in the United States wi</w:t>
      </w:r>
      <w:r>
        <w:rPr>
          <w:rFonts w:eastAsia="Times New Roman"/>
          <w:color w:val="000000"/>
          <w:sz w:val="20"/>
          <w:szCs w:val="20"/>
        </w:rPr>
        <w:t>th a significant portion qualifying for preferential treatment as FDII (foreign-derived intangible income). Beginning in fiscal 2027, the effective tax rate for FDII increases from 13% to 16%. Further, if U.S. tax rates increase and/or the FDII deduction i</w:t>
      </w:r>
      <w:r>
        <w:rPr>
          <w:rFonts w:eastAsia="Times New Roman"/>
          <w:color w:val="000000"/>
          <w:sz w:val="20"/>
          <w:szCs w:val="20"/>
        </w:rPr>
        <w:t>s eliminated or reduced, both of which have been proposed by the current U.S. presidential administration, our provision for income taxes, results of operations and cash flows would be adversely (potentially materially) affected. Also, if our customers mov</w:t>
      </w:r>
      <w:r>
        <w:rPr>
          <w:rFonts w:eastAsia="Times New Roman"/>
          <w:color w:val="000000"/>
          <w:sz w:val="20"/>
          <w:szCs w:val="20"/>
        </w:rPr>
        <w:t xml:space="preserve">e manufacturing operations to the United States, our FDII deduction may be reduced. </w:t>
      </w:r>
    </w:p>
    <w:p w:rsidR="00000000" w:rsidRDefault="008931E1">
      <w:pPr>
        <w:ind w:firstLine="360"/>
        <w:divId w:val="942958858"/>
        <w:rPr>
          <w:rFonts w:eastAsia="Times New Roman"/>
        </w:rPr>
      </w:pPr>
      <w:r>
        <w:rPr>
          <w:rFonts w:eastAsia="Times New Roman"/>
          <w:color w:val="000000"/>
          <w:sz w:val="20"/>
          <w:szCs w:val="20"/>
        </w:rPr>
        <w:t xml:space="preserve">Further changes in the tax laws of foreign jurisdictions could arise as a result of the base erosion and profit shifting (BEPS) project </w:t>
      </w:r>
      <w:r>
        <w:rPr>
          <w:rFonts w:eastAsia="Times New Roman"/>
          <w:color w:val="000000"/>
          <w:sz w:val="20"/>
          <w:szCs w:val="20"/>
        </w:rPr>
        <w:t xml:space="preserve">that was undertaken by the Organization for Economic Co-operation and Development (OECD). The OECD, which represents a coalition of member countries, recommended changes to numerous long-standing tax principles related to transfer pricing and continues to </w:t>
      </w:r>
      <w:r>
        <w:rPr>
          <w:rFonts w:eastAsia="Times New Roman"/>
          <w:color w:val="000000"/>
          <w:sz w:val="20"/>
          <w:szCs w:val="20"/>
        </w:rPr>
        <w:t xml:space="preserve">develop new proposals including allocating greater taxing rights to countries where customers are located and establishing a minimum tax on global income. These changes, if and as adopted by countries, may increase tax uncertainty and may adversely affect </w:t>
      </w:r>
      <w:r>
        <w:rPr>
          <w:rFonts w:eastAsia="Times New Roman"/>
          <w:color w:val="000000"/>
          <w:sz w:val="20"/>
          <w:szCs w:val="20"/>
        </w:rPr>
        <w:t>our provision for income taxes, results of operations and cash flows.</w:t>
      </w:r>
    </w:p>
    <w:p w:rsidR="00000000" w:rsidRDefault="008931E1">
      <w:pPr>
        <w:divId w:val="1466780286"/>
        <w:rPr>
          <w:rFonts w:eastAsia="Times New Roman"/>
        </w:rPr>
      </w:pPr>
      <w:r>
        <w:rPr>
          <w:rFonts w:eastAsia="Times New Roman"/>
          <w:b/>
          <w:bCs/>
          <w:color w:val="000000"/>
          <w:sz w:val="20"/>
          <w:szCs w:val="20"/>
        </w:rPr>
        <w:t>Item 1B. Unresolved Staff Comments</w:t>
      </w:r>
    </w:p>
    <w:p w:rsidR="00000000" w:rsidRDefault="008931E1">
      <w:pPr>
        <w:ind w:firstLine="360"/>
        <w:divId w:val="1469200567"/>
        <w:rPr>
          <w:rFonts w:eastAsia="Times New Roman"/>
        </w:rPr>
      </w:pPr>
      <w:r>
        <w:rPr>
          <w:rFonts w:eastAsia="Times New Roman"/>
          <w:color w:val="000000"/>
          <w:sz w:val="20"/>
          <w:szCs w:val="20"/>
        </w:rPr>
        <w:t>None.</w:t>
      </w:r>
    </w:p>
    <w:p w:rsidR="00000000" w:rsidRDefault="008931E1">
      <w:pPr>
        <w:divId w:val="1376393357"/>
        <w:rPr>
          <w:rFonts w:eastAsia="Times New Roman"/>
        </w:rPr>
      </w:pPr>
      <w:r>
        <w:rPr>
          <w:rFonts w:eastAsia="Times New Roman"/>
          <w:b/>
          <w:bCs/>
          <w:color w:val="000000"/>
          <w:sz w:val="20"/>
          <w:szCs w:val="20"/>
        </w:rPr>
        <w:t>Item 1C. Cybersecurity</w:t>
      </w:r>
    </w:p>
    <w:p w:rsidR="00000000" w:rsidRDefault="008931E1">
      <w:pPr>
        <w:ind w:firstLine="360"/>
        <w:divId w:val="1945646784"/>
        <w:rPr>
          <w:rFonts w:eastAsia="Times New Roman"/>
        </w:rPr>
      </w:pPr>
      <w:r>
        <w:rPr>
          <w:rFonts w:eastAsia="Times New Roman"/>
          <w:color w:val="000000"/>
          <w:sz w:val="20"/>
          <w:szCs w:val="20"/>
        </w:rPr>
        <w:t>Not applicable.</w:t>
      </w:r>
    </w:p>
    <w:p w:rsidR="00000000" w:rsidRDefault="008931E1">
      <w:pPr>
        <w:divId w:val="107704864"/>
        <w:rPr>
          <w:rFonts w:eastAsia="Times New Roman"/>
        </w:rPr>
      </w:pPr>
      <w:r>
        <w:rPr>
          <w:rFonts w:eastAsia="Times New Roman"/>
          <w:b/>
          <w:bCs/>
          <w:color w:val="000000"/>
          <w:sz w:val="20"/>
          <w:szCs w:val="20"/>
        </w:rPr>
        <w:t>Item 2. Properties</w:t>
      </w:r>
    </w:p>
    <w:p w:rsidR="00000000" w:rsidRDefault="008931E1">
      <w:pPr>
        <w:ind w:firstLine="360"/>
        <w:divId w:val="1336222217"/>
        <w:rPr>
          <w:rFonts w:eastAsia="Times New Roman"/>
        </w:rPr>
      </w:pPr>
      <w:r>
        <w:rPr>
          <w:rFonts w:eastAsia="Times New Roman"/>
          <w:color w:val="000000"/>
          <w:sz w:val="20"/>
          <w:szCs w:val="20"/>
        </w:rPr>
        <w:t>At September 24, 2023, we occupied the following facilities (square footage in millions</w:t>
      </w:r>
      <w:r>
        <w:rPr>
          <w:rFonts w:eastAsia="Times New Roman"/>
          <w:color w:val="000000"/>
          <w:sz w:val="20"/>
          <w:szCs w:val="20"/>
        </w:rPr>
        <w:t>)</w:t>
      </w:r>
      <w:r>
        <w:rPr>
          <w:rFonts w:eastAsia="Times New Roman"/>
          <w:color w:val="000000"/>
          <w:sz w:val="18"/>
          <w:szCs w:val="18"/>
        </w:rPr>
        <w:t>:</w:t>
      </w:r>
    </w:p>
    <w:tbl>
      <w:tblPr>
        <w:tblW w:w="4985" w:type="pct"/>
        <w:tblCellMar>
          <w:top w:w="15" w:type="dxa"/>
          <w:left w:w="15" w:type="dxa"/>
          <w:bottom w:w="15" w:type="dxa"/>
          <w:right w:w="15" w:type="dxa"/>
        </w:tblCellMar>
        <w:tblLook w:val="04A0" w:firstRow="1" w:lastRow="0" w:firstColumn="1" w:lastColumn="0" w:noHBand="0" w:noVBand="1"/>
      </w:tblPr>
      <w:tblGrid>
        <w:gridCol w:w="60"/>
        <w:gridCol w:w="5043"/>
        <w:gridCol w:w="36"/>
        <w:gridCol w:w="61"/>
        <w:gridCol w:w="887"/>
        <w:gridCol w:w="36"/>
        <w:gridCol w:w="36"/>
        <w:gridCol w:w="36"/>
        <w:gridCol w:w="36"/>
        <w:gridCol w:w="67"/>
        <w:gridCol w:w="868"/>
        <w:gridCol w:w="36"/>
        <w:gridCol w:w="36"/>
        <w:gridCol w:w="36"/>
        <w:gridCol w:w="36"/>
        <w:gridCol w:w="48"/>
        <w:gridCol w:w="887"/>
        <w:gridCol w:w="36"/>
      </w:tblGrid>
      <w:tr w:rsidR="00000000">
        <w:trPr>
          <w:divId w:val="388648970"/>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38864897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United States</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Other Countries</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Total</w:t>
            </w:r>
          </w:p>
        </w:tc>
      </w:tr>
      <w:tr w:rsidR="00000000">
        <w:trPr>
          <w:divId w:val="388648970"/>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Owned facilities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88648970"/>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Leased facilities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0.8 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88648970"/>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firstLine="360"/>
        <w:divId w:val="830946818"/>
        <w:rPr>
          <w:rFonts w:eastAsia="Times New Roman"/>
        </w:rPr>
      </w:pPr>
      <w:r>
        <w:rPr>
          <w:rFonts w:eastAsia="Times New Roman"/>
          <w:color w:val="000000"/>
          <w:sz w:val="20"/>
          <w:szCs w:val="20"/>
        </w:rPr>
        <w:t>Our headquarters and certain of our research and development and network management hub operations are located in San Diego, California. We also operate owned and leased manufacturing facilities in China, Germany and Singapore, and we own and lease propert</w:t>
      </w:r>
      <w:r>
        <w:rPr>
          <w:rFonts w:eastAsia="Times New Roman"/>
          <w:color w:val="000000"/>
          <w:sz w:val="20"/>
          <w:szCs w:val="20"/>
        </w:rPr>
        <w:t>ies around the world for use as sales and administrative offices and research and development centers, primarily in the United States, India and China. Our facility leases expire at varying dates through 2038, not including renewals that are at our option.</w:t>
      </w:r>
      <w:r>
        <w:rPr>
          <w:rFonts w:eastAsia="Times New Roman"/>
          <w:color w:val="000000"/>
          <w:sz w:val="20"/>
          <w:szCs w:val="20"/>
        </w:rPr>
        <w:t xml:space="preserve"> Several other owned and leased facilities are under construction totaling approximately 1.6 million additional square feet, primarily related to the construction of new facilities in India. We do not identify or allocate facilities by operating segment. </w:t>
      </w:r>
    </w:p>
    <w:p w:rsidR="00000000" w:rsidRDefault="008931E1">
      <w:pPr>
        <w:ind w:firstLine="360"/>
        <w:divId w:val="1653943061"/>
        <w:rPr>
          <w:rFonts w:eastAsia="Times New Roman"/>
        </w:rPr>
      </w:pPr>
      <w:r>
        <w:rPr>
          <w:rFonts w:eastAsia="Times New Roman"/>
          <w:color w:val="000000"/>
          <w:sz w:val="20"/>
          <w:szCs w:val="20"/>
        </w:rPr>
        <w:t xml:space="preserve">Information related to our additional capital requirements is provided in this Annual Report in “Part II, Item 7. Management’s Discussion and Analysis of Financial Condition and Results of Operations” in the “Liquidity and Capital Resources” section under </w:t>
      </w:r>
      <w:r>
        <w:rPr>
          <w:rFonts w:eastAsia="Times New Roman"/>
          <w:color w:val="000000"/>
          <w:sz w:val="20"/>
          <w:szCs w:val="20"/>
        </w:rPr>
        <w:t xml:space="preserve">the heading “Additional Capital Requirements.” Additional information on net property, plant and equipment by geography is provided in this Annual Report in “Notes to Consolidated Financial Statements, Note 8. Segment Information.” </w:t>
      </w:r>
    </w:p>
    <w:p w:rsidR="00000000" w:rsidRDefault="008931E1">
      <w:pPr>
        <w:jc w:val="center"/>
        <w:divId w:val="1470197985"/>
        <w:rPr>
          <w:rFonts w:eastAsia="Times New Roman"/>
        </w:rPr>
      </w:pPr>
      <w:r>
        <w:rPr>
          <w:rFonts w:eastAsia="Times New Roman"/>
          <w:color w:val="000000"/>
          <w:sz w:val="20"/>
          <w:szCs w:val="20"/>
        </w:rPr>
        <w:t>37</w:t>
      </w:r>
    </w:p>
    <w:p w:rsidR="00000000" w:rsidRDefault="008931E1">
      <w:pPr>
        <w:rPr>
          <w:rFonts w:eastAsia="Times New Roman"/>
        </w:rPr>
      </w:pPr>
      <w:r>
        <w:rPr>
          <w:rFonts w:eastAsia="Times New Roman"/>
        </w:rPr>
        <w:pict>
          <v:rect id="_x0000_i1060" style="width:0;height:1.5pt" o:hralign="center" o:hrstd="t" o:hr="t" fillcolor="#a0a0a0" stroked="f"/>
        </w:pict>
      </w:r>
    </w:p>
    <w:p w:rsidR="00000000" w:rsidRDefault="008931E1">
      <w:pPr>
        <w:divId w:val="1195923354"/>
        <w:rPr>
          <w:rFonts w:eastAsia="Times New Roman"/>
        </w:rPr>
      </w:pPr>
    </w:p>
    <w:p w:rsidR="00000000" w:rsidRDefault="008931E1">
      <w:pPr>
        <w:divId w:val="1397623657"/>
        <w:rPr>
          <w:rFonts w:eastAsia="Times New Roman"/>
        </w:rPr>
      </w:pPr>
      <w:r>
        <w:rPr>
          <w:rFonts w:eastAsia="Times New Roman"/>
          <w:b/>
          <w:bCs/>
          <w:color w:val="000000"/>
          <w:sz w:val="20"/>
          <w:szCs w:val="20"/>
        </w:rPr>
        <w:t>Item 3. Legal and Regulatory Proceedings</w:t>
      </w:r>
    </w:p>
    <w:p w:rsidR="00000000" w:rsidRDefault="008931E1">
      <w:pPr>
        <w:ind w:firstLine="360"/>
        <w:divId w:val="1462067679"/>
        <w:rPr>
          <w:rFonts w:eastAsia="Times New Roman"/>
        </w:rPr>
      </w:pPr>
      <w:r>
        <w:rPr>
          <w:rFonts w:eastAsia="Times New Roman"/>
          <w:color w:val="000000"/>
          <w:sz w:val="20"/>
          <w:szCs w:val="20"/>
        </w:rPr>
        <w:t xml:space="preserve">Information regarding legal and regulatory proceedings is provided in this Annual Report in “Notes to Consolidated Financial Statements, Note 7. Commitments and Contingencies.” We are also engaged </w:t>
      </w:r>
      <w:r>
        <w:rPr>
          <w:rFonts w:eastAsia="Times New Roman"/>
          <w:color w:val="000000"/>
          <w:sz w:val="20"/>
          <w:szCs w:val="20"/>
        </w:rPr>
        <w:t>in numerous other legal actions arising in the ordinary course of our business (for example, proceedings relating to employment matters or the initiation or defense of proceedings relating to intellectual property rights), and while there can be no assuran</w:t>
      </w:r>
      <w:r>
        <w:rPr>
          <w:rFonts w:eastAsia="Times New Roman"/>
          <w:color w:val="000000"/>
          <w:sz w:val="20"/>
          <w:szCs w:val="20"/>
        </w:rPr>
        <w:t>ce, we believe that the ultimate outcome of these other legal actions will not have a material adverse effect on our business, results of operations, financial condition or cash flows.</w:t>
      </w:r>
    </w:p>
    <w:p w:rsidR="00000000" w:rsidRDefault="008931E1">
      <w:pPr>
        <w:divId w:val="1359503296"/>
        <w:rPr>
          <w:rFonts w:eastAsia="Times New Roman"/>
        </w:rPr>
      </w:pPr>
      <w:r>
        <w:rPr>
          <w:rFonts w:eastAsia="Times New Roman"/>
          <w:b/>
          <w:bCs/>
          <w:color w:val="000000"/>
          <w:sz w:val="20"/>
          <w:szCs w:val="20"/>
        </w:rPr>
        <w:t>Item 4. Mine Safety Disclosures</w:t>
      </w:r>
    </w:p>
    <w:p w:rsidR="00000000" w:rsidRDefault="008931E1">
      <w:pPr>
        <w:ind w:firstLine="360"/>
        <w:divId w:val="1785809904"/>
        <w:rPr>
          <w:rFonts w:eastAsia="Times New Roman"/>
        </w:rPr>
      </w:pPr>
      <w:r>
        <w:rPr>
          <w:rFonts w:eastAsia="Times New Roman"/>
          <w:color w:val="000000"/>
          <w:sz w:val="20"/>
          <w:szCs w:val="20"/>
        </w:rPr>
        <w:t>Not applicable.</w:t>
      </w:r>
    </w:p>
    <w:p w:rsidR="00000000" w:rsidRDefault="008931E1">
      <w:pPr>
        <w:jc w:val="center"/>
        <w:divId w:val="1152988849"/>
        <w:rPr>
          <w:rFonts w:eastAsia="Times New Roman"/>
        </w:rPr>
      </w:pPr>
      <w:r>
        <w:rPr>
          <w:rFonts w:eastAsia="Times New Roman"/>
          <w:color w:val="000000"/>
          <w:sz w:val="20"/>
          <w:szCs w:val="20"/>
        </w:rPr>
        <w:t>38</w:t>
      </w:r>
    </w:p>
    <w:p w:rsidR="00000000" w:rsidRDefault="008931E1">
      <w:pPr>
        <w:rPr>
          <w:rFonts w:eastAsia="Times New Roman"/>
        </w:rPr>
      </w:pPr>
      <w:r>
        <w:rPr>
          <w:rFonts w:eastAsia="Times New Roman"/>
        </w:rPr>
        <w:pict>
          <v:rect id="_x0000_i1061" style="width:0;height:1.5pt" o:hralign="center" o:hrstd="t" o:hr="t" fillcolor="#a0a0a0" stroked="f"/>
        </w:pict>
      </w:r>
    </w:p>
    <w:p w:rsidR="00000000" w:rsidRDefault="008931E1">
      <w:pPr>
        <w:divId w:val="349257407"/>
        <w:rPr>
          <w:rFonts w:eastAsia="Times New Roman"/>
        </w:rPr>
      </w:pPr>
    </w:p>
    <w:p w:rsidR="00000000" w:rsidRDefault="008931E1">
      <w:pPr>
        <w:jc w:val="center"/>
        <w:divId w:val="759760964"/>
        <w:rPr>
          <w:rFonts w:eastAsia="Times New Roman"/>
        </w:rPr>
      </w:pPr>
      <w:r>
        <w:rPr>
          <w:rFonts w:eastAsia="Times New Roman"/>
          <w:b/>
          <w:bCs/>
          <w:color w:val="000000"/>
          <w:sz w:val="20"/>
          <w:szCs w:val="20"/>
        </w:rPr>
        <w:t>PART II</w:t>
      </w:r>
    </w:p>
    <w:p w:rsidR="00000000" w:rsidRDefault="008931E1">
      <w:pPr>
        <w:divId w:val="741025716"/>
        <w:rPr>
          <w:rFonts w:eastAsia="Times New Roman"/>
        </w:rPr>
      </w:pPr>
      <w:r>
        <w:rPr>
          <w:rFonts w:eastAsia="Times New Roman"/>
          <w:b/>
          <w:bCs/>
          <w:color w:val="000000"/>
          <w:sz w:val="20"/>
          <w:szCs w:val="20"/>
        </w:rPr>
        <w:t>Item 5. Market for Registrant’s Common Equity, Related Stockholder Matters and Issuer Purchases of Equity Securities</w:t>
      </w:r>
    </w:p>
    <w:p w:rsidR="00000000" w:rsidRDefault="008931E1">
      <w:pPr>
        <w:divId w:val="887180075"/>
        <w:rPr>
          <w:rFonts w:eastAsia="Times New Roman"/>
        </w:rPr>
      </w:pPr>
      <w:r>
        <w:rPr>
          <w:rFonts w:eastAsia="Times New Roman"/>
          <w:b/>
          <w:bCs/>
          <w:color w:val="000000"/>
          <w:sz w:val="20"/>
          <w:szCs w:val="20"/>
        </w:rPr>
        <w:t>Market Information and Dividends</w:t>
      </w:r>
    </w:p>
    <w:p w:rsidR="00000000" w:rsidRDefault="008931E1">
      <w:pPr>
        <w:ind w:firstLine="360"/>
        <w:divId w:val="1373965234"/>
        <w:rPr>
          <w:rFonts w:eastAsia="Times New Roman"/>
        </w:rPr>
      </w:pPr>
      <w:r>
        <w:rPr>
          <w:rFonts w:eastAsia="Times New Roman"/>
          <w:color w:val="000000"/>
          <w:sz w:val="20"/>
          <w:szCs w:val="20"/>
        </w:rPr>
        <w:t>Our common stock is traded on the NASDAQ Global Select Marke</w:t>
      </w:r>
      <w:r>
        <w:rPr>
          <w:rFonts w:eastAsia="Times New Roman"/>
          <w:color w:val="000000"/>
          <w:sz w:val="20"/>
          <w:szCs w:val="20"/>
        </w:rPr>
        <w:t xml:space="preserve">t (NASDAQ) under the symbol “QCOM.” At October 30, 2023, there were 6,124 holders of record of our common stock. </w:t>
      </w:r>
    </w:p>
    <w:p w:rsidR="00000000" w:rsidRDefault="008931E1">
      <w:pPr>
        <w:ind w:firstLine="360"/>
        <w:divId w:val="1158959346"/>
        <w:rPr>
          <w:rFonts w:eastAsia="Times New Roman"/>
        </w:rPr>
      </w:pPr>
      <w:r>
        <w:rPr>
          <w:rFonts w:eastAsia="Times New Roman"/>
          <w:color w:val="000000"/>
          <w:sz w:val="20"/>
          <w:szCs w:val="20"/>
        </w:rPr>
        <w:t>We currently intend to continue to pay quarterly cash dividends, subject to capital availability and our view that cash dividends are in the b</w:t>
      </w:r>
      <w:r>
        <w:rPr>
          <w:rFonts w:eastAsia="Times New Roman"/>
          <w:color w:val="000000"/>
          <w:sz w:val="20"/>
          <w:szCs w:val="20"/>
        </w:rPr>
        <w:t>est interests of our stockholders. Future dividends may be affected by, among other items, our views on potential future capital availability and requirements, including those relating to research and development, creation and expansion of sales and distri</w:t>
      </w:r>
      <w:r>
        <w:rPr>
          <w:rFonts w:eastAsia="Times New Roman"/>
          <w:color w:val="000000"/>
          <w:sz w:val="20"/>
          <w:szCs w:val="20"/>
        </w:rPr>
        <w:t>bution channels, investments and acquisitions, legal and regulatory risks, withholding of payments by one or more of our significant licensees and/or customers, fines and/or adverse rulings by government agencies, courts or arbitrators in legal or regulato</w:t>
      </w:r>
      <w:r>
        <w:rPr>
          <w:rFonts w:eastAsia="Times New Roman"/>
          <w:color w:val="000000"/>
          <w:sz w:val="20"/>
          <w:szCs w:val="20"/>
        </w:rPr>
        <w:t xml:space="preserve">ry matters, stock repurchase programs, debt issuances, changes in federal, state or foreign income tax law, trade and/or national security protection policies, volatility in economies and financial markets or other macroeconomic conditions, and changes to </w:t>
      </w:r>
      <w:r>
        <w:rPr>
          <w:rFonts w:eastAsia="Times New Roman"/>
          <w:color w:val="000000"/>
          <w:sz w:val="20"/>
          <w:szCs w:val="20"/>
        </w:rPr>
        <w:t>our business model.</w:t>
      </w:r>
    </w:p>
    <w:p w:rsidR="00000000" w:rsidRDefault="008931E1">
      <w:pPr>
        <w:divId w:val="1853254395"/>
        <w:rPr>
          <w:rFonts w:eastAsia="Times New Roman"/>
        </w:rPr>
      </w:pPr>
      <w:r>
        <w:rPr>
          <w:rFonts w:eastAsia="Times New Roman"/>
          <w:b/>
          <w:bCs/>
          <w:color w:val="000000"/>
          <w:sz w:val="20"/>
          <w:szCs w:val="20"/>
        </w:rPr>
        <w:t>Issuer Purchases of Equity Securities</w:t>
      </w:r>
    </w:p>
    <w:p w:rsidR="00000000" w:rsidRDefault="008931E1">
      <w:pPr>
        <w:ind w:firstLine="360"/>
        <w:divId w:val="947276540"/>
        <w:rPr>
          <w:rFonts w:eastAsia="Times New Roman"/>
        </w:rPr>
      </w:pPr>
      <w:r>
        <w:rPr>
          <w:rFonts w:eastAsia="Times New Roman"/>
          <w:color w:val="000000"/>
          <w:sz w:val="20"/>
          <w:szCs w:val="20"/>
        </w:rPr>
        <w:t>Our purchases of our common stock in the fourth quarter of fiscal 2023 were:</w:t>
      </w:r>
    </w:p>
    <w:tbl>
      <w:tblPr>
        <w:tblW w:w="4992" w:type="pct"/>
        <w:tblCellMar>
          <w:top w:w="15" w:type="dxa"/>
          <w:left w:w="15" w:type="dxa"/>
          <w:bottom w:w="15" w:type="dxa"/>
          <w:right w:w="15" w:type="dxa"/>
        </w:tblCellMar>
        <w:tblLook w:val="04A0" w:firstRow="1" w:lastRow="0" w:firstColumn="1" w:lastColumn="0" w:noHBand="0" w:noVBand="1"/>
      </w:tblPr>
      <w:tblGrid>
        <w:gridCol w:w="50"/>
        <w:gridCol w:w="3090"/>
        <w:gridCol w:w="38"/>
        <w:gridCol w:w="56"/>
        <w:gridCol w:w="1142"/>
        <w:gridCol w:w="36"/>
        <w:gridCol w:w="36"/>
        <w:gridCol w:w="36"/>
        <w:gridCol w:w="36"/>
        <w:gridCol w:w="111"/>
        <w:gridCol w:w="729"/>
        <w:gridCol w:w="36"/>
        <w:gridCol w:w="36"/>
        <w:gridCol w:w="36"/>
        <w:gridCol w:w="36"/>
        <w:gridCol w:w="62"/>
        <w:gridCol w:w="1087"/>
        <w:gridCol w:w="36"/>
        <w:gridCol w:w="36"/>
        <w:gridCol w:w="36"/>
        <w:gridCol w:w="36"/>
        <w:gridCol w:w="111"/>
        <w:gridCol w:w="1349"/>
        <w:gridCol w:w="36"/>
      </w:tblGrid>
      <w:tr w:rsidR="00000000">
        <w:trPr>
          <w:divId w:val="611745319"/>
        </w:trPr>
        <w:tc>
          <w:tcPr>
            <w:tcW w:w="50" w:type="pct"/>
            <w:vAlign w:val="center"/>
            <w:hideMark/>
          </w:tcPr>
          <w:p w:rsidR="00000000" w:rsidRDefault="008931E1">
            <w:pPr>
              <w:ind w:firstLine="360"/>
              <w:rPr>
                <w:rFonts w:eastAsia="Times New Roman"/>
              </w:rPr>
            </w:pPr>
          </w:p>
        </w:tc>
        <w:tc>
          <w:tcPr>
            <w:tcW w:w="188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71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474"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69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84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611745319"/>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Total Number of</w:t>
            </w:r>
          </w:p>
          <w:p w:rsidR="00000000" w:rsidRDefault="008931E1">
            <w:pPr>
              <w:spacing w:after="100"/>
              <w:jc w:val="center"/>
              <w:rPr>
                <w:rFonts w:eastAsia="Times New Roman"/>
              </w:rPr>
            </w:pPr>
            <w:r>
              <w:rPr>
                <w:rFonts w:eastAsia="Times New Roman"/>
                <w:b/>
                <w:bCs/>
                <w:color w:val="000000"/>
                <w:sz w:val="18"/>
                <w:szCs w:val="18"/>
              </w:rPr>
              <w:t>Shares Purchased</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 xml:space="preserve">Average Price Paid Per Share </w:t>
            </w:r>
            <w:r>
              <w:rPr>
                <w:rFonts w:eastAsia="Times New Roman"/>
                <w:b/>
                <w:bCs/>
                <w:color w:val="000000"/>
                <w:sz w:val="18"/>
                <w:szCs w:val="18"/>
              </w:rPr>
              <w:br/>
              <w:t>(1)</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Approximate Dollar Value of Shares that May Yet Be</w:t>
            </w:r>
            <w:r>
              <w:rPr>
                <w:rFonts w:eastAsia="Times New Roman"/>
                <w:b/>
                <w:bCs/>
                <w:color w:val="000000"/>
                <w:sz w:val="18"/>
                <w:szCs w:val="18"/>
              </w:rPr>
              <w:br/>
              <w:t xml:space="preserve">Purchased Under the Plans or Programs </w:t>
            </w:r>
            <w:r>
              <w:rPr>
                <w:rFonts w:eastAsia="Times New Roman"/>
                <w:b/>
                <w:bCs/>
                <w:color w:val="000000"/>
                <w:sz w:val="18"/>
                <w:szCs w:val="18"/>
              </w:rPr>
              <w:br/>
              <w:t>(2)</w:t>
            </w:r>
          </w:p>
        </w:tc>
      </w:tr>
      <w:tr w:rsidR="00000000">
        <w:trPr>
          <w:divId w:val="611745319"/>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(In thousands)</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(In thousands)</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(In millions)</w:t>
            </w:r>
          </w:p>
        </w:tc>
      </w:tr>
      <w:tr w:rsidR="00000000">
        <w:trPr>
          <w:divId w:val="611745319"/>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June 26, 2023 to July 23, 2023</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5,547 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611745319"/>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July 24, 2023 to August 20, 2023</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5,547 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611745319"/>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August 21, 2023 to September 24, 2023</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3,538 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113.04 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3,538 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5,147 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611745319"/>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611745319"/>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611745319"/>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bl>
    <w:p w:rsidR="00000000" w:rsidRDefault="008931E1">
      <w:pPr>
        <w:divId w:val="1363359865"/>
        <w:rPr>
          <w:rFonts w:eastAsia="Times New Roman"/>
        </w:rPr>
      </w:pPr>
      <w:r>
        <w:rPr>
          <w:rFonts w:eastAsia="Times New Roman"/>
          <w:color w:val="000000"/>
          <w:sz w:val="18"/>
          <w:szCs w:val="18"/>
        </w:rPr>
        <w:t>(1) Average Price Paid Per Share excludes cash paid for commissions.</w:t>
      </w:r>
    </w:p>
    <w:p w:rsidR="00000000" w:rsidRDefault="008931E1">
      <w:pPr>
        <w:ind w:hanging="270"/>
        <w:divId w:val="287207319"/>
        <w:rPr>
          <w:rFonts w:eastAsia="Times New Roman"/>
        </w:rPr>
      </w:pPr>
      <w:r>
        <w:rPr>
          <w:rFonts w:eastAsia="Times New Roman"/>
          <w:color w:val="000000"/>
          <w:sz w:val="18"/>
          <w:szCs w:val="18"/>
        </w:rPr>
        <w:t>(2) On October 12, 2021, we announced a $10.0 billion stock repurchase program. At September </w:t>
      </w:r>
      <w:r>
        <w:rPr>
          <w:rFonts w:eastAsia="Times New Roman"/>
          <w:color w:val="000000"/>
          <w:sz w:val="18"/>
          <w:szCs w:val="18"/>
        </w:rPr>
        <w:t>24, 2023, $5.1 billion remained authorized for repurchase. The stock repurchase program has no expiration date</w:t>
      </w:r>
      <w:r>
        <w:rPr>
          <w:rFonts w:eastAsia="Times New Roman"/>
          <w:color w:val="000000"/>
          <w:sz w:val="20"/>
          <w:szCs w:val="20"/>
        </w:rPr>
        <w:t>.</w:t>
      </w:r>
      <w:r>
        <w:rPr>
          <w:rFonts w:eastAsia="Times New Roman"/>
          <w:color w:val="000000"/>
          <w:sz w:val="18"/>
          <w:szCs w:val="18"/>
        </w:rPr>
        <w:t xml:space="preserve"> Shares withheld to satisfy statutory tax withholding requirements related to the vesting of share-based awards are not issued or considered stoc</w:t>
      </w:r>
      <w:r>
        <w:rPr>
          <w:rFonts w:eastAsia="Times New Roman"/>
          <w:color w:val="000000"/>
          <w:sz w:val="18"/>
          <w:szCs w:val="18"/>
        </w:rPr>
        <w:t>k repurchases under our stock repurchase program and, therefore, are excluded from the table above.</w:t>
      </w:r>
    </w:p>
    <w:p w:rsidR="00000000" w:rsidRDefault="008931E1">
      <w:pPr>
        <w:divId w:val="572282605"/>
        <w:rPr>
          <w:rFonts w:eastAsia="Times New Roman"/>
        </w:rPr>
      </w:pPr>
      <w:r>
        <w:rPr>
          <w:rFonts w:eastAsia="Times New Roman"/>
          <w:b/>
          <w:bCs/>
          <w:color w:val="000000"/>
          <w:sz w:val="20"/>
          <w:szCs w:val="20"/>
        </w:rPr>
        <w:t>Stock Performance Graph</w:t>
      </w:r>
    </w:p>
    <w:p w:rsidR="00000000" w:rsidRDefault="008931E1">
      <w:pPr>
        <w:ind w:firstLine="360"/>
        <w:divId w:val="1465350639"/>
        <w:rPr>
          <w:rFonts w:eastAsia="Times New Roman"/>
        </w:rPr>
      </w:pPr>
      <w:r>
        <w:rPr>
          <w:rFonts w:eastAsia="Times New Roman"/>
          <w:color w:val="000000"/>
          <w:sz w:val="20"/>
          <w:szCs w:val="20"/>
        </w:rPr>
        <w:t>The following graph compares the cumulative total stockholder return on our common stock, the Standard &amp; Poor’s 500 Stock Index (S&amp;P</w:t>
      </w:r>
      <w:r>
        <w:rPr>
          <w:rFonts w:eastAsia="Times New Roman"/>
          <w:color w:val="000000"/>
          <w:sz w:val="20"/>
          <w:szCs w:val="20"/>
        </w:rPr>
        <w:t xml:space="preserve"> 500) and the NASDAQ-100 Index (NASDAQ-100) for the five years ended September 24, 2023. The S&amp;P 500 tracks the aggregate price performance of the equity securities of 500 United States companies selected by Standard &amp; Poor’s Index Committee to include com</w:t>
      </w:r>
      <w:r>
        <w:rPr>
          <w:rFonts w:eastAsia="Times New Roman"/>
          <w:color w:val="000000"/>
          <w:sz w:val="20"/>
          <w:szCs w:val="20"/>
        </w:rPr>
        <w:t>panies in leading industries and to reflect the United States stock market. The NASDAQ-100 tracks the aggregate price performance of the 100 largest domestic and international non-financial securities listed on the NASDAQ Stock Market based on market capit</w:t>
      </w:r>
      <w:r>
        <w:rPr>
          <w:rFonts w:eastAsia="Times New Roman"/>
          <w:color w:val="000000"/>
          <w:sz w:val="20"/>
          <w:szCs w:val="20"/>
        </w:rPr>
        <w:t>alization. Our common stock is a component of each of the S&amp;P 500 and the NASDAQ-100.</w:t>
      </w:r>
    </w:p>
    <w:p w:rsidR="00000000" w:rsidRDefault="008931E1">
      <w:pPr>
        <w:ind w:firstLine="360"/>
        <w:divId w:val="2057004033"/>
        <w:rPr>
          <w:rFonts w:eastAsia="Times New Roman"/>
        </w:rPr>
      </w:pPr>
      <w:r>
        <w:rPr>
          <w:rFonts w:eastAsia="Times New Roman"/>
          <w:color w:val="000000"/>
          <w:sz w:val="20"/>
          <w:szCs w:val="20"/>
        </w:rPr>
        <w:t xml:space="preserve">The total return for our stock and for each index assumes that $100 was invested at the market close on the last trading day for our fiscal year ended September 30, 2018 </w:t>
      </w:r>
      <w:r>
        <w:rPr>
          <w:rFonts w:eastAsia="Times New Roman"/>
          <w:color w:val="000000"/>
          <w:sz w:val="20"/>
          <w:szCs w:val="20"/>
        </w:rPr>
        <w:t xml:space="preserve">and that all dividends were reinvested. All returns are reported as of our fiscal year end, which is the last Sunday in September. Stockholder returns over the indicated period are based on historical data and should not be considered indicative of future </w:t>
      </w:r>
      <w:r>
        <w:rPr>
          <w:rFonts w:eastAsia="Times New Roman"/>
          <w:color w:val="000000"/>
          <w:sz w:val="20"/>
          <w:szCs w:val="20"/>
        </w:rPr>
        <w:t>stockholder returns.</w:t>
      </w:r>
    </w:p>
    <w:p w:rsidR="00000000" w:rsidRDefault="008931E1">
      <w:pPr>
        <w:jc w:val="center"/>
        <w:divId w:val="763569912"/>
        <w:rPr>
          <w:rFonts w:eastAsia="Times New Roman"/>
        </w:rPr>
      </w:pPr>
      <w:r>
        <w:rPr>
          <w:rFonts w:eastAsia="Times New Roman"/>
          <w:color w:val="000000"/>
          <w:sz w:val="20"/>
          <w:szCs w:val="20"/>
        </w:rPr>
        <w:t>39</w:t>
      </w:r>
    </w:p>
    <w:p w:rsidR="00000000" w:rsidRDefault="008931E1">
      <w:pPr>
        <w:rPr>
          <w:rFonts w:eastAsia="Times New Roman"/>
        </w:rPr>
      </w:pPr>
      <w:r>
        <w:rPr>
          <w:rFonts w:eastAsia="Times New Roman"/>
        </w:rPr>
        <w:pict>
          <v:rect id="_x0000_i1062" style="width:0;height:1.5pt" o:hralign="center" o:hrstd="t" o:hr="t" fillcolor="#a0a0a0" stroked="f"/>
        </w:pict>
      </w:r>
    </w:p>
    <w:p w:rsidR="00000000" w:rsidRDefault="008931E1">
      <w:pPr>
        <w:divId w:val="482353992"/>
        <w:rPr>
          <w:rFonts w:eastAsia="Times New Roman"/>
        </w:rPr>
      </w:pPr>
    </w:p>
    <w:p w:rsidR="00000000" w:rsidRDefault="008931E1">
      <w:pPr>
        <w:jc w:val="center"/>
        <w:rPr>
          <w:rFonts w:eastAsia="Times New Roman"/>
        </w:rPr>
      </w:pPr>
      <w:r>
        <w:rPr>
          <w:rFonts w:eastAsia="Times New Roman"/>
          <w:noProof/>
        </w:rPr>
        <w:drawing>
          <wp:inline distT="0" distB="0" distL="0" distR="0">
            <wp:extent cx="304800" cy="304800"/>
            <wp:effectExtent l="0" t="0" r="0" b="0"/>
            <wp:docPr id="39" name="图片 39" descr="2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56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931E1">
      <w:pPr>
        <w:divId w:val="163322216"/>
        <w:rPr>
          <w:rFonts w:eastAsia="Times New Roman"/>
        </w:rPr>
      </w:pPr>
      <w:r>
        <w:rPr>
          <w:rFonts w:eastAsia="Times New Roman"/>
          <w:b/>
          <w:bCs/>
          <w:color w:val="000000"/>
          <w:sz w:val="20"/>
          <w:szCs w:val="20"/>
        </w:rPr>
        <w:t>Item 6. (Reserved)</w:t>
      </w:r>
    </w:p>
    <w:p w:rsidR="00000000" w:rsidRDefault="008931E1">
      <w:pPr>
        <w:divId w:val="930897938"/>
        <w:rPr>
          <w:rFonts w:eastAsia="Times New Roman"/>
        </w:rPr>
      </w:pPr>
      <w:r>
        <w:rPr>
          <w:rFonts w:eastAsia="Times New Roman"/>
          <w:b/>
          <w:bCs/>
          <w:color w:val="000000"/>
          <w:sz w:val="20"/>
          <w:szCs w:val="20"/>
        </w:rPr>
        <w:t>Item 7. Management</w:t>
      </w:r>
      <w:r>
        <w:rPr>
          <w:rFonts w:eastAsia="Times New Roman"/>
          <w:color w:val="000000"/>
          <w:sz w:val="20"/>
          <w:szCs w:val="20"/>
        </w:rPr>
        <w:t>’</w:t>
      </w:r>
      <w:r>
        <w:rPr>
          <w:rFonts w:eastAsia="Times New Roman"/>
          <w:b/>
          <w:bCs/>
          <w:color w:val="000000"/>
          <w:sz w:val="20"/>
          <w:szCs w:val="20"/>
        </w:rPr>
        <w:t>s Discussion and Analysis of Financial Condition and Results of Operations</w:t>
      </w:r>
    </w:p>
    <w:p w:rsidR="00000000" w:rsidRDefault="008931E1">
      <w:pPr>
        <w:ind w:firstLine="360"/>
        <w:divId w:val="803698819"/>
        <w:rPr>
          <w:rFonts w:eastAsia="Times New Roman"/>
        </w:rPr>
      </w:pPr>
      <w:r>
        <w:rPr>
          <w:rFonts w:eastAsia="Times New Roman"/>
          <w:color w:val="000000"/>
          <w:sz w:val="20"/>
          <w:szCs w:val="20"/>
        </w:rPr>
        <w:t>The following discussion and analysis of our financial condition and results of operations should be read in conjunction with our consolidated financial statements and related notes</w:t>
      </w:r>
      <w:r>
        <w:rPr>
          <w:rFonts w:eastAsia="Times New Roman"/>
          <w:color w:val="000000"/>
          <w:sz w:val="20"/>
          <w:szCs w:val="20"/>
        </w:rPr>
        <w:t xml:space="preserve"> included in “Part II, Item 8. Financial Statements and Supplementary Data” of this Annual Report.</w:t>
      </w:r>
    </w:p>
    <w:p w:rsidR="00000000" w:rsidRDefault="008931E1">
      <w:pPr>
        <w:ind w:firstLine="360"/>
        <w:divId w:val="1947421128"/>
        <w:rPr>
          <w:rFonts w:eastAsia="Times New Roman"/>
        </w:rPr>
      </w:pPr>
      <w:r>
        <w:rPr>
          <w:rFonts w:eastAsia="Times New Roman"/>
          <w:color w:val="000000"/>
          <w:sz w:val="20"/>
          <w:szCs w:val="20"/>
        </w:rPr>
        <w:t>The following section generally discusses fiscal 2023 and 2022 items and year-to-year comparisons between fiscal 2023 and 2022. Discussions of fiscal 2021 it</w:t>
      </w:r>
      <w:r>
        <w:rPr>
          <w:rFonts w:eastAsia="Times New Roman"/>
          <w:color w:val="000000"/>
          <w:sz w:val="20"/>
          <w:szCs w:val="20"/>
        </w:rPr>
        <w:t>ems and year-to-year comparisons between fiscal 2022 and 2021 that are not included in this Annual Report can be found in “Management’s Discussion and Analysis of Financial Condition and Results of Operations” in Part II, Item 7 of our Annual Report on For</w:t>
      </w:r>
      <w:r>
        <w:rPr>
          <w:rFonts w:eastAsia="Times New Roman"/>
          <w:color w:val="000000"/>
          <w:sz w:val="20"/>
          <w:szCs w:val="20"/>
        </w:rPr>
        <w:t xml:space="preserve">m 10-K for the fiscal year ended September 25, 2022. </w:t>
      </w:r>
    </w:p>
    <w:p w:rsidR="00000000" w:rsidRDefault="008931E1">
      <w:pPr>
        <w:divId w:val="438337319"/>
        <w:rPr>
          <w:rFonts w:eastAsia="Times New Roman"/>
        </w:rPr>
      </w:pPr>
      <w:r>
        <w:rPr>
          <w:rFonts w:eastAsia="Times New Roman"/>
          <w:b/>
          <w:bCs/>
          <w:color w:val="000000"/>
          <w:sz w:val="20"/>
          <w:szCs w:val="20"/>
        </w:rPr>
        <w:t>Our Business and Operating Segments</w:t>
      </w:r>
    </w:p>
    <w:p w:rsidR="00000000" w:rsidRDefault="008931E1">
      <w:pPr>
        <w:ind w:firstLine="360"/>
        <w:divId w:val="434177357"/>
        <w:rPr>
          <w:rFonts w:eastAsia="Times New Roman"/>
        </w:rPr>
      </w:pPr>
      <w:r>
        <w:rPr>
          <w:rFonts w:eastAsia="Times New Roman"/>
          <w:color w:val="000000"/>
          <w:sz w:val="20"/>
          <w:szCs w:val="20"/>
        </w:rPr>
        <w:t>We develop and commercialize foundational technologies and products used in mobile devices and other wireless products. We derive revenues principally from sales of i</w:t>
      </w:r>
      <w:r>
        <w:rPr>
          <w:rFonts w:eastAsia="Times New Roman"/>
          <w:color w:val="000000"/>
          <w:sz w:val="20"/>
          <w:szCs w:val="20"/>
        </w:rPr>
        <w:t xml:space="preserve">ntegrated circuit products and licensing our intellectual property, including patents and other rights. </w:t>
      </w:r>
    </w:p>
    <w:p w:rsidR="00000000" w:rsidRDefault="008931E1">
      <w:pPr>
        <w:ind w:firstLine="360"/>
        <w:divId w:val="1676153126"/>
        <w:rPr>
          <w:rFonts w:eastAsia="Times New Roman"/>
        </w:rPr>
      </w:pPr>
      <w:r>
        <w:rPr>
          <w:rFonts w:eastAsia="Times New Roman"/>
          <w:color w:val="000000"/>
          <w:sz w:val="20"/>
          <w:szCs w:val="20"/>
        </w:rPr>
        <w:t>We are organized on the basis of products and services and have three reportable segments. We conduct business primarily through our QCT (Qualcomm CDMA</w:t>
      </w:r>
      <w:r>
        <w:rPr>
          <w:rFonts w:eastAsia="Times New Roman"/>
          <w:color w:val="000000"/>
          <w:sz w:val="20"/>
          <w:szCs w:val="20"/>
        </w:rPr>
        <w:t xml:space="preserve"> Technologies) semiconductor business and our QTL (Qualcomm Technology Licensing) licensing business. Our QSI (Qualcomm Strategic Initiatives) reportable segment makes strategic investments. We also have nonreportable segments, including QGOV (Qualcomm Gov</w:t>
      </w:r>
      <w:r>
        <w:rPr>
          <w:rFonts w:eastAsia="Times New Roman"/>
          <w:color w:val="000000"/>
          <w:sz w:val="20"/>
          <w:szCs w:val="20"/>
        </w:rPr>
        <w:t xml:space="preserve">ernment Technologies) and our cloud computing processing initiative (formerly referred to as our cloud AI inference processing initiative). </w:t>
      </w:r>
    </w:p>
    <w:p w:rsidR="00000000" w:rsidRDefault="008931E1">
      <w:pPr>
        <w:ind w:firstLine="360"/>
        <w:divId w:val="1888566806"/>
        <w:rPr>
          <w:rFonts w:eastAsia="Times New Roman"/>
        </w:rPr>
      </w:pPr>
      <w:r>
        <w:rPr>
          <w:rFonts w:eastAsia="Times New Roman"/>
          <w:color w:val="000000"/>
          <w:sz w:val="20"/>
          <w:szCs w:val="20"/>
        </w:rPr>
        <w:t>Our reportable segments are operated by QUALCOMM Incorporated and its direct and indirect subsidiaries. QTL is oper</w:t>
      </w:r>
      <w:r>
        <w:rPr>
          <w:rFonts w:eastAsia="Times New Roman"/>
          <w:color w:val="000000"/>
          <w:sz w:val="20"/>
          <w:szCs w:val="20"/>
        </w:rPr>
        <w:t xml:space="preserve">ated by QUALCOMM Incorporated, which owns the vast majority of our patent portfolio. Substantially all of our products and services businesses, including QCT, and substantially all of our engineering and research and development functions, are operated by </w:t>
      </w:r>
      <w:r>
        <w:rPr>
          <w:rFonts w:eastAsia="Times New Roman"/>
          <w:color w:val="000000"/>
          <w:sz w:val="20"/>
          <w:szCs w:val="20"/>
        </w:rPr>
        <w:t xml:space="preserve">Qualcomm Technologies, Inc. (QTI), a wholly-owned subsidiary of QUALCOMM Incorporated, and QTI’s subsidiaries. Neither QTI nor any of its subsidiaries has any right, power or authority to grant any licenses or other rights under or to any patents owned by </w:t>
      </w:r>
      <w:r>
        <w:rPr>
          <w:rFonts w:eastAsia="Times New Roman"/>
          <w:color w:val="000000"/>
          <w:sz w:val="20"/>
          <w:szCs w:val="20"/>
        </w:rPr>
        <w:t>QUALCOMM Incorporated.</w:t>
      </w:r>
    </w:p>
    <w:p w:rsidR="00000000" w:rsidRDefault="008931E1">
      <w:pPr>
        <w:ind w:firstLine="360"/>
        <w:divId w:val="1745108199"/>
        <w:rPr>
          <w:rFonts w:eastAsia="Times New Roman"/>
        </w:rPr>
      </w:pPr>
      <w:r>
        <w:rPr>
          <w:rFonts w:eastAsia="Times New Roman"/>
          <w:color w:val="000000"/>
          <w:sz w:val="20"/>
          <w:szCs w:val="20"/>
        </w:rPr>
        <w:t xml:space="preserve">Further information regarding our business and operating segments is provided in “Part I, Item 1. Business” of this Annual Report. </w:t>
      </w:r>
    </w:p>
    <w:p w:rsidR="00000000" w:rsidRDefault="008931E1">
      <w:pPr>
        <w:ind w:firstLine="360"/>
        <w:divId w:val="129399248"/>
        <w:rPr>
          <w:rFonts w:eastAsia="Times New Roman"/>
        </w:rPr>
      </w:pPr>
      <w:r>
        <w:rPr>
          <w:rFonts w:eastAsia="Times New Roman"/>
          <w:b/>
          <w:bCs/>
          <w:i/>
          <w:iCs/>
          <w:color w:val="000000"/>
          <w:sz w:val="20"/>
          <w:szCs w:val="20"/>
        </w:rPr>
        <w:t>Seasonality.</w:t>
      </w:r>
      <w:r>
        <w:rPr>
          <w:rFonts w:eastAsia="Times New Roman"/>
          <w:color w:val="000000"/>
          <w:sz w:val="20"/>
          <w:szCs w:val="20"/>
        </w:rPr>
        <w:t xml:space="preserve"> Many of our products and much of our intellectual property are incorporated into consume</w:t>
      </w:r>
      <w:r>
        <w:rPr>
          <w:rFonts w:eastAsia="Times New Roman"/>
          <w:color w:val="000000"/>
          <w:sz w:val="20"/>
          <w:szCs w:val="20"/>
        </w:rPr>
        <w:t>r wireless devices, which are subject to seasonality and other fluctuations in demand. Our revenues have historically fluctuated based on consumer demand for devices, as well as on the timing of customer/licensee device launches and/or innovation cycles (s</w:t>
      </w:r>
      <w:r>
        <w:rPr>
          <w:rFonts w:eastAsia="Times New Roman"/>
          <w:color w:val="000000"/>
          <w:sz w:val="20"/>
          <w:szCs w:val="20"/>
        </w:rPr>
        <w:t xml:space="preserve">uch as the transition to the next generation of wireless technologies). This has resulted in fluctuations in QCT revenues in advance </w:t>
      </w:r>
    </w:p>
    <w:p w:rsidR="00000000" w:rsidRDefault="008931E1">
      <w:pPr>
        <w:jc w:val="center"/>
        <w:divId w:val="1064642966"/>
        <w:rPr>
          <w:rFonts w:eastAsia="Times New Roman"/>
        </w:rPr>
      </w:pPr>
      <w:r>
        <w:rPr>
          <w:rFonts w:eastAsia="Times New Roman"/>
          <w:color w:val="000000"/>
          <w:sz w:val="20"/>
          <w:szCs w:val="20"/>
        </w:rPr>
        <w:t>40</w:t>
      </w:r>
    </w:p>
    <w:p w:rsidR="00000000" w:rsidRDefault="008931E1">
      <w:pPr>
        <w:rPr>
          <w:rFonts w:eastAsia="Times New Roman"/>
        </w:rPr>
      </w:pPr>
      <w:r>
        <w:rPr>
          <w:rFonts w:eastAsia="Times New Roman"/>
        </w:rPr>
        <w:pict>
          <v:rect id="_x0000_i1064" style="width:0;height:1.5pt" o:hralign="center" o:hrstd="t" o:hr="t" fillcolor="#a0a0a0" stroked="f"/>
        </w:pict>
      </w:r>
    </w:p>
    <w:p w:rsidR="00000000" w:rsidRDefault="008931E1">
      <w:pPr>
        <w:divId w:val="173694503"/>
        <w:rPr>
          <w:rFonts w:eastAsia="Times New Roman"/>
        </w:rPr>
      </w:pPr>
    </w:p>
    <w:p w:rsidR="00000000" w:rsidRDefault="008931E1">
      <w:pPr>
        <w:divId w:val="546991507"/>
        <w:rPr>
          <w:rFonts w:eastAsia="Times New Roman"/>
        </w:rPr>
      </w:pPr>
      <w:r>
        <w:rPr>
          <w:rFonts w:eastAsia="Times New Roman"/>
          <w:color w:val="000000"/>
          <w:sz w:val="20"/>
          <w:szCs w:val="20"/>
        </w:rPr>
        <w:t>of and during device launches incorporating our products and in QTL revenues whe</w:t>
      </w:r>
      <w:r>
        <w:rPr>
          <w:rFonts w:eastAsia="Times New Roman"/>
          <w:color w:val="000000"/>
          <w:sz w:val="20"/>
          <w:szCs w:val="20"/>
        </w:rPr>
        <w:t>n licensees’ sales occur. These trends may or may not continue in the future. Further, the trends for QTL have been, and may in the future be, impacted by disputes and/or resolutions with licensees and/or governmental investigations or proceedings.</w:t>
      </w:r>
    </w:p>
    <w:p w:rsidR="00000000" w:rsidRDefault="008931E1">
      <w:pPr>
        <w:divId w:val="917783822"/>
        <w:rPr>
          <w:rFonts w:eastAsia="Times New Roman"/>
        </w:rPr>
      </w:pPr>
      <w:r>
        <w:rPr>
          <w:rFonts w:eastAsia="Times New Roman"/>
          <w:b/>
          <w:bCs/>
          <w:color w:val="000000"/>
          <w:sz w:val="20"/>
          <w:szCs w:val="20"/>
        </w:rPr>
        <w:t xml:space="preserve">Fiscal </w:t>
      </w:r>
      <w:r>
        <w:rPr>
          <w:rFonts w:eastAsia="Times New Roman"/>
          <w:b/>
          <w:bCs/>
          <w:color w:val="000000"/>
          <w:sz w:val="20"/>
          <w:szCs w:val="20"/>
        </w:rPr>
        <w:t>2023 Overview</w:t>
      </w:r>
    </w:p>
    <w:p w:rsidR="00000000" w:rsidRDefault="008931E1">
      <w:pPr>
        <w:ind w:firstLine="360"/>
        <w:divId w:val="1134637498"/>
        <w:rPr>
          <w:rFonts w:eastAsia="Times New Roman"/>
        </w:rPr>
      </w:pPr>
      <w:r>
        <w:rPr>
          <w:rFonts w:eastAsia="Times New Roman"/>
          <w:color w:val="000000"/>
          <w:sz w:val="20"/>
          <w:szCs w:val="20"/>
        </w:rPr>
        <w:t>Revenues were $35.8 billion, a decrease of 19% compared to revenues of $44.2 billion in fiscal 2022, with net income of $7.2 billion, a decrease of 44% compared to net income of $12.9 billion in fiscal 2022. Key items from fiscal 2023 include</w:t>
      </w:r>
      <w:r>
        <w:rPr>
          <w:rFonts w:eastAsia="Times New Roman"/>
          <w:color w:val="000000"/>
          <w:sz w:val="20"/>
          <w:szCs w:val="20"/>
        </w:rPr>
        <w:t xml:space="preserve">d: </w:t>
      </w:r>
    </w:p>
    <w:p w:rsidR="00000000" w:rsidRDefault="008931E1">
      <w:pPr>
        <w:ind w:hanging="360"/>
        <w:divId w:val="924150790"/>
        <w:rPr>
          <w:rFonts w:eastAsia="Times New Roman"/>
        </w:rPr>
      </w:pPr>
      <w:r>
        <w:rPr>
          <w:rFonts w:eastAsia="Times New Roman"/>
          <w:color w:val="000000"/>
          <w:sz w:val="20"/>
          <w:szCs w:val="20"/>
        </w:rPr>
        <w:t>•Revenues were negatively impacted by the weakness in the macroeconomic environment (which negatively impacted consumer demand for smartphones and other devices that incorporate our products and technologies) and our customers drawing down on their inv</w:t>
      </w:r>
      <w:r>
        <w:rPr>
          <w:rFonts w:eastAsia="Times New Roman"/>
          <w:color w:val="000000"/>
          <w:sz w:val="20"/>
          <w:szCs w:val="20"/>
        </w:rPr>
        <w:t>entory (which were at elevated levels).</w:t>
      </w:r>
    </w:p>
    <w:p w:rsidR="00000000" w:rsidRDefault="008931E1">
      <w:pPr>
        <w:ind w:hanging="360"/>
        <w:divId w:val="1141120462"/>
        <w:rPr>
          <w:rFonts w:eastAsia="Times New Roman"/>
        </w:rPr>
      </w:pPr>
      <w:r>
        <w:rPr>
          <w:rFonts w:eastAsia="Times New Roman"/>
          <w:color w:val="000000"/>
          <w:sz w:val="20"/>
          <w:szCs w:val="20"/>
        </w:rPr>
        <w:t>•QCT revenues decreased by 19% in fiscal 2023 compared to the prior year, primarily due to lower handset and IoT revenues.</w:t>
      </w:r>
    </w:p>
    <w:p w:rsidR="00000000" w:rsidRDefault="008931E1">
      <w:pPr>
        <w:ind w:hanging="360"/>
        <w:divId w:val="2058504866"/>
        <w:rPr>
          <w:rFonts w:eastAsia="Times New Roman"/>
        </w:rPr>
      </w:pPr>
      <w:r>
        <w:rPr>
          <w:rFonts w:eastAsia="Times New Roman"/>
          <w:color w:val="000000"/>
          <w:sz w:val="20"/>
          <w:szCs w:val="20"/>
        </w:rPr>
        <w:t>•</w:t>
      </w:r>
      <w:r>
        <w:rPr>
          <w:rFonts w:eastAsia="Times New Roman"/>
          <w:color w:val="000000"/>
          <w:sz w:val="20"/>
          <w:szCs w:val="20"/>
        </w:rPr>
        <w:t xml:space="preserve">QTL revenues decreased by 17% in fiscal 2023 compared to the prior year. </w:t>
      </w:r>
    </w:p>
    <w:p w:rsidR="00000000" w:rsidRDefault="008931E1">
      <w:pPr>
        <w:ind w:hanging="360"/>
        <w:divId w:val="1106465956"/>
        <w:rPr>
          <w:rFonts w:eastAsia="Times New Roman"/>
        </w:rPr>
      </w:pPr>
      <w:r>
        <w:rPr>
          <w:rFonts w:eastAsia="Times New Roman"/>
          <w:color w:val="000000"/>
          <w:sz w:val="20"/>
          <w:szCs w:val="20"/>
        </w:rPr>
        <w:t>•We recorded other expenses of $862 million in fiscal 2023, primarily related to restructuring and restructuring-related charges, compared to a</w:t>
      </w:r>
      <w:r>
        <w:rPr>
          <w:rFonts w:ascii="Century Gothic" w:eastAsia="Times New Roman" w:hAnsi="Century Gothic"/>
          <w:b/>
          <w:bCs/>
          <w:color w:val="000000"/>
          <w:sz w:val="20"/>
          <w:szCs w:val="20"/>
        </w:rPr>
        <w:t xml:space="preserve"> </w:t>
      </w:r>
      <w:r>
        <w:rPr>
          <w:rFonts w:eastAsia="Times New Roman"/>
          <w:color w:val="000000"/>
          <w:sz w:val="20"/>
          <w:szCs w:val="20"/>
        </w:rPr>
        <w:t>$1.1 billion benefit recorded to other</w:t>
      </w:r>
      <w:r>
        <w:rPr>
          <w:rFonts w:eastAsia="Times New Roman"/>
          <w:color w:val="000000"/>
          <w:sz w:val="20"/>
          <w:szCs w:val="20"/>
        </w:rPr>
        <w:t xml:space="preserve"> income in fiscal 2022 resulting from the 2018 European Commission (EC) fine reversal.</w:t>
      </w:r>
    </w:p>
    <w:p w:rsidR="00000000" w:rsidRDefault="008931E1">
      <w:pPr>
        <w:ind w:hanging="360"/>
        <w:divId w:val="911740779"/>
        <w:rPr>
          <w:rFonts w:eastAsia="Times New Roman"/>
        </w:rPr>
      </w:pPr>
      <w:r>
        <w:rPr>
          <w:rFonts w:eastAsia="Times New Roman"/>
          <w:color w:val="000000"/>
          <w:sz w:val="20"/>
          <w:szCs w:val="20"/>
        </w:rPr>
        <w:t>•Our effective income tax rate was 1% in fiscal 2023 compared to 13% in the prior year, reflecting certain additional foreign-derived intangible income (FDII) deductions</w:t>
      </w:r>
      <w:r>
        <w:rPr>
          <w:rFonts w:eastAsia="Times New Roman"/>
          <w:color w:val="000000"/>
          <w:sz w:val="20"/>
          <w:szCs w:val="20"/>
        </w:rPr>
        <w:t xml:space="preserve"> in fiscal 2023.</w:t>
      </w:r>
    </w:p>
    <w:p w:rsidR="00000000" w:rsidRDefault="008931E1">
      <w:pPr>
        <w:divId w:val="170411852"/>
        <w:rPr>
          <w:rFonts w:eastAsia="Times New Roman"/>
        </w:rPr>
      </w:pPr>
      <w:r>
        <w:rPr>
          <w:rFonts w:eastAsia="Times New Roman"/>
          <w:b/>
          <w:bCs/>
          <w:color w:val="000000"/>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907"/>
        <w:gridCol w:w="36"/>
        <w:gridCol w:w="110"/>
        <w:gridCol w:w="840"/>
        <w:gridCol w:w="36"/>
        <w:gridCol w:w="36"/>
        <w:gridCol w:w="36"/>
        <w:gridCol w:w="36"/>
        <w:gridCol w:w="110"/>
        <w:gridCol w:w="803"/>
        <w:gridCol w:w="36"/>
        <w:gridCol w:w="36"/>
        <w:gridCol w:w="36"/>
        <w:gridCol w:w="36"/>
        <w:gridCol w:w="36"/>
        <w:gridCol w:w="46"/>
        <w:gridCol w:w="110"/>
        <w:gridCol w:w="803"/>
        <w:gridCol w:w="36"/>
        <w:gridCol w:w="36"/>
        <w:gridCol w:w="36"/>
        <w:gridCol w:w="36"/>
        <w:gridCol w:w="36"/>
      </w:tblGrid>
      <w:tr w:rsidR="00000000">
        <w:trPr>
          <w:divId w:val="170411852"/>
        </w:trPr>
        <w:tc>
          <w:tcPr>
            <w:tcW w:w="50" w:type="pct"/>
            <w:vAlign w:val="center"/>
            <w:hideMark/>
          </w:tcPr>
          <w:p w:rsidR="00000000" w:rsidRDefault="008931E1">
            <w:pPr>
              <w:rPr>
                <w:rFonts w:eastAsia="Times New Roman"/>
              </w:rPr>
            </w:pPr>
          </w:p>
        </w:tc>
        <w:tc>
          <w:tcPr>
            <w:tcW w:w="306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70411852"/>
        </w:trPr>
        <w:tc>
          <w:tcPr>
            <w:tcW w:w="0" w:type="auto"/>
            <w:gridSpan w:val="3"/>
            <w:tcMar>
              <w:top w:w="30" w:type="dxa"/>
              <w:left w:w="290" w:type="dxa"/>
              <w:bottom w:w="30" w:type="dxa"/>
              <w:right w:w="20" w:type="dxa"/>
            </w:tcMar>
            <w:vAlign w:val="bottom"/>
            <w:hideMark/>
          </w:tcPr>
          <w:p w:rsidR="00000000" w:rsidRDefault="008931E1">
            <w:pPr>
              <w:spacing w:after="100"/>
              <w:rPr>
                <w:rFonts w:eastAsia="Times New Roman"/>
              </w:rPr>
            </w:pPr>
            <w:r>
              <w:rPr>
                <w:rFonts w:eastAsia="Times New Roman"/>
                <w:b/>
                <w:bCs/>
                <w:i/>
                <w:iCs/>
                <w:color w:val="000000"/>
                <w:sz w:val="20"/>
                <w:szCs w:val="20"/>
              </w:rPr>
              <w:t>Revenues (in millions)</w:t>
            </w:r>
          </w:p>
        </w:tc>
        <w:tc>
          <w:tcPr>
            <w:tcW w:w="0" w:type="auto"/>
            <w:gridSpan w:val="12"/>
            <w:tcMar>
              <w:top w:w="0" w:type="dxa"/>
              <w:left w:w="20" w:type="dxa"/>
              <w:bottom w:w="0" w:type="dxa"/>
              <w:right w:w="20" w:type="dxa"/>
            </w:tcMar>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70411852"/>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8931E1">
            <w:pPr>
              <w:spacing w:after="100"/>
              <w:jc w:val="center"/>
              <w:rPr>
                <w:rFonts w:eastAsia="Times New Roman"/>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7041185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Equipment and services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37,171 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(7,143)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7041185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Licensing</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5,792 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7,029 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(1,237)</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70411852"/>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35,820 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44,200 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(8,380)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bl>
    <w:p w:rsidR="00000000" w:rsidRDefault="008931E1">
      <w:pPr>
        <w:divId w:val="1326590758"/>
        <w:rPr>
          <w:rFonts w:eastAsia="Times New Roman"/>
        </w:rPr>
      </w:pPr>
      <w:r>
        <w:rPr>
          <w:rFonts w:eastAsia="Times New Roman"/>
          <w:b/>
          <w:bCs/>
          <w:i/>
          <w:iCs/>
          <w:color w:val="000000"/>
          <w:sz w:val="20"/>
          <w:szCs w:val="20"/>
        </w:rPr>
        <w:t>2023 vs. 2022</w:t>
      </w:r>
    </w:p>
    <w:p w:rsidR="00000000" w:rsidRDefault="008931E1">
      <w:pPr>
        <w:divId w:val="1693410437"/>
        <w:rPr>
          <w:rFonts w:eastAsia="Times New Roman"/>
        </w:rPr>
      </w:pPr>
      <w:r>
        <w:rPr>
          <w:rFonts w:eastAsia="Times New Roman"/>
          <w:color w:val="000000"/>
          <w:sz w:val="20"/>
          <w:szCs w:val="20"/>
        </w:rPr>
        <w:t xml:space="preserve">The decrease in revenues in fiscal 2023 was primarily due to: </w:t>
      </w:r>
    </w:p>
    <w:p w:rsidR="00000000" w:rsidRDefault="008931E1">
      <w:pPr>
        <w:ind w:hanging="360"/>
        <w:divId w:val="1439595792"/>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$7.2 billion in lower equipment and services revenue from our QCT segme</w:t>
      </w:r>
      <w:r>
        <w:rPr>
          <w:rFonts w:eastAsia="Times New Roman"/>
          <w:color w:val="000000"/>
          <w:sz w:val="20"/>
          <w:szCs w:val="20"/>
        </w:rPr>
        <w:t xml:space="preserve">nt </w:t>
      </w:r>
    </w:p>
    <w:p w:rsidR="00000000" w:rsidRDefault="008931E1">
      <w:pPr>
        <w:ind w:hanging="360"/>
        <w:divId w:val="96565690"/>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$1.1 billion in lower licensing revenues from our QTL segment</w:t>
      </w:r>
    </w:p>
    <w:p w:rsidR="00000000" w:rsidRDefault="008931E1">
      <w:pPr>
        <w:divId w:val="211158087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830"/>
        <w:gridCol w:w="36"/>
        <w:gridCol w:w="110"/>
        <w:gridCol w:w="801"/>
        <w:gridCol w:w="170"/>
        <w:gridCol w:w="36"/>
        <w:gridCol w:w="36"/>
        <w:gridCol w:w="36"/>
        <w:gridCol w:w="110"/>
        <w:gridCol w:w="727"/>
        <w:gridCol w:w="170"/>
        <w:gridCol w:w="36"/>
        <w:gridCol w:w="36"/>
        <w:gridCol w:w="36"/>
        <w:gridCol w:w="36"/>
        <w:gridCol w:w="46"/>
        <w:gridCol w:w="110"/>
        <w:gridCol w:w="727"/>
        <w:gridCol w:w="36"/>
        <w:gridCol w:w="36"/>
        <w:gridCol w:w="36"/>
        <w:gridCol w:w="36"/>
        <w:gridCol w:w="36"/>
      </w:tblGrid>
      <w:tr w:rsidR="00000000">
        <w:trPr>
          <w:divId w:val="860707351"/>
        </w:trPr>
        <w:tc>
          <w:tcPr>
            <w:tcW w:w="50" w:type="pct"/>
            <w:vAlign w:val="center"/>
            <w:hideMark/>
          </w:tcPr>
          <w:p w:rsidR="00000000" w:rsidRDefault="008931E1">
            <w:pPr>
              <w:rPr>
                <w:rFonts w:eastAsia="Times New Roman"/>
              </w:rPr>
            </w:pPr>
          </w:p>
        </w:tc>
        <w:tc>
          <w:tcPr>
            <w:tcW w:w="306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860707351"/>
        </w:trPr>
        <w:tc>
          <w:tcPr>
            <w:tcW w:w="0" w:type="auto"/>
            <w:gridSpan w:val="15"/>
            <w:tcMar>
              <w:top w:w="30" w:type="dxa"/>
              <w:left w:w="290" w:type="dxa"/>
              <w:bottom w:w="30" w:type="dxa"/>
              <w:right w:w="20" w:type="dxa"/>
            </w:tcMar>
            <w:vAlign w:val="bottom"/>
            <w:hideMark/>
          </w:tcPr>
          <w:p w:rsidR="00000000" w:rsidRDefault="008931E1">
            <w:pPr>
              <w:spacing w:after="100"/>
              <w:rPr>
                <w:rFonts w:eastAsia="Times New Roman"/>
              </w:rPr>
            </w:pPr>
            <w:r>
              <w:rPr>
                <w:rFonts w:eastAsia="Times New Roman"/>
                <w:b/>
                <w:bCs/>
                <w:i/>
                <w:iCs/>
                <w:color w:val="000000"/>
                <w:sz w:val="20"/>
                <w:szCs w:val="20"/>
              </w:rPr>
              <w:t>Costs and Expenses (in millions, except percentages)</w:t>
            </w:r>
          </w:p>
        </w:tc>
        <w:tc>
          <w:tcPr>
            <w:tcW w:w="0" w:type="auto"/>
            <w:vAlign w:val="center"/>
            <w:hideMark/>
          </w:tcPr>
          <w:p w:rsidR="00000000" w:rsidRDefault="008931E1">
            <w:pPr>
              <w:spacing w:after="100"/>
              <w:rPr>
                <w:rFonts w:eastAsia="Times New Roman"/>
              </w:rPr>
            </w:pPr>
          </w:p>
        </w:tc>
        <w:tc>
          <w:tcPr>
            <w:tcW w:w="0" w:type="auto"/>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860707351"/>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8931E1">
            <w:pPr>
              <w:spacing w:after="100"/>
              <w:jc w:val="center"/>
              <w:rPr>
                <w:rFonts w:eastAsia="Times New Roman"/>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86070735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Cost of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15,869 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18,635 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860707351"/>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xml:space="preserve">Gross margin </w:t>
            </w:r>
          </w:p>
        </w:tc>
        <w:tc>
          <w:tcPr>
            <w:tcW w:w="0" w:type="auto"/>
            <w:gridSpan w:val="2"/>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56 </w:t>
            </w:r>
          </w:p>
        </w:tc>
        <w:tc>
          <w:tcPr>
            <w:tcW w:w="0" w:type="auto"/>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58 </w:t>
            </w:r>
          </w:p>
        </w:tc>
        <w:tc>
          <w:tcPr>
            <w:tcW w:w="0" w:type="auto"/>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bl>
    <w:p w:rsidR="00000000" w:rsidRDefault="008931E1">
      <w:pPr>
        <w:divId w:val="1164856230"/>
        <w:rPr>
          <w:rFonts w:eastAsia="Times New Roman"/>
        </w:rPr>
      </w:pPr>
      <w:r>
        <w:rPr>
          <w:rFonts w:eastAsia="Times New Roman"/>
          <w:b/>
          <w:bCs/>
          <w:i/>
          <w:iCs/>
          <w:color w:val="000000"/>
          <w:sz w:val="20"/>
          <w:szCs w:val="20"/>
        </w:rPr>
        <w:t>2023 vs. 2022</w:t>
      </w:r>
    </w:p>
    <w:p w:rsidR="00000000" w:rsidRDefault="008931E1">
      <w:pPr>
        <w:divId w:val="1236277659"/>
        <w:rPr>
          <w:rFonts w:eastAsia="Times New Roman"/>
        </w:rPr>
      </w:pPr>
      <w:r>
        <w:rPr>
          <w:rFonts w:eastAsia="Times New Roman"/>
          <w:color w:val="000000"/>
          <w:sz w:val="20"/>
          <w:szCs w:val="20"/>
        </w:rPr>
        <w:t>Gross margin percentage decreased in fiscal 2023 primarily due to a decrease in QCT gross margin.</w:t>
      </w:r>
    </w:p>
    <w:p w:rsidR="00000000" w:rsidRDefault="008931E1">
      <w:pPr>
        <w:jc w:val="center"/>
        <w:divId w:val="1497185462"/>
        <w:rPr>
          <w:rFonts w:eastAsia="Times New Roman"/>
        </w:rPr>
      </w:pPr>
      <w:r>
        <w:rPr>
          <w:rFonts w:eastAsia="Times New Roman"/>
          <w:color w:val="000000"/>
          <w:sz w:val="20"/>
          <w:szCs w:val="20"/>
        </w:rPr>
        <w:t>41</w:t>
      </w:r>
    </w:p>
    <w:p w:rsidR="00000000" w:rsidRDefault="008931E1">
      <w:pPr>
        <w:rPr>
          <w:rFonts w:eastAsia="Times New Roman"/>
        </w:rPr>
      </w:pPr>
      <w:r>
        <w:rPr>
          <w:rFonts w:eastAsia="Times New Roman"/>
        </w:rPr>
        <w:pict>
          <v:rect id="_x0000_i1065" style="width:0;height:1.5pt" o:hralign="center" o:hrstd="t" o:hr="t" fillcolor="#a0a0a0" stroked="f"/>
        </w:pict>
      </w:r>
    </w:p>
    <w:p w:rsidR="00000000" w:rsidRDefault="008931E1">
      <w:pPr>
        <w:divId w:val="21344466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880"/>
        <w:gridCol w:w="36"/>
        <w:gridCol w:w="110"/>
        <w:gridCol w:w="811"/>
        <w:gridCol w:w="170"/>
        <w:gridCol w:w="36"/>
        <w:gridCol w:w="36"/>
        <w:gridCol w:w="36"/>
        <w:gridCol w:w="110"/>
        <w:gridCol w:w="737"/>
        <w:gridCol w:w="170"/>
        <w:gridCol w:w="36"/>
        <w:gridCol w:w="36"/>
        <w:gridCol w:w="36"/>
        <w:gridCol w:w="36"/>
        <w:gridCol w:w="36"/>
        <w:gridCol w:w="111"/>
        <w:gridCol w:w="738"/>
        <w:gridCol w:w="36"/>
        <w:gridCol w:w="36"/>
        <w:gridCol w:w="36"/>
      </w:tblGrid>
      <w:tr w:rsidR="00000000">
        <w:trPr>
          <w:divId w:val="500003752"/>
        </w:trPr>
        <w:tc>
          <w:tcPr>
            <w:tcW w:w="50" w:type="pct"/>
            <w:vAlign w:val="center"/>
            <w:hideMark/>
          </w:tcPr>
          <w:p w:rsidR="00000000" w:rsidRDefault="008931E1">
            <w:pPr>
              <w:rPr>
                <w:rFonts w:eastAsia="Times New Roman"/>
              </w:rPr>
            </w:pPr>
          </w:p>
        </w:tc>
        <w:tc>
          <w:tcPr>
            <w:tcW w:w="306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500003752"/>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 Change</w:t>
            </w:r>
          </w:p>
        </w:tc>
        <w:tc>
          <w:tcPr>
            <w:tcW w:w="0" w:type="auto"/>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r>
      <w:tr w:rsidR="00000000">
        <w:trPr>
          <w:divId w:val="50000375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Research and development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8,818 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50000375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of revenues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500003752"/>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500003752"/>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500003752"/>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bl>
    <w:p w:rsidR="00000000" w:rsidRDefault="008931E1">
      <w:pPr>
        <w:divId w:val="779957983"/>
        <w:rPr>
          <w:rFonts w:eastAsia="Times New Roman"/>
        </w:rPr>
      </w:pPr>
      <w:r>
        <w:rPr>
          <w:rFonts w:eastAsia="Times New Roman"/>
          <w:b/>
          <w:bCs/>
          <w:i/>
          <w:iCs/>
          <w:color w:val="000000"/>
          <w:sz w:val="20"/>
          <w:szCs w:val="20"/>
        </w:rPr>
        <w:t>2023 vs. 2022</w:t>
      </w:r>
    </w:p>
    <w:p w:rsidR="00000000" w:rsidRDefault="008931E1">
      <w:pPr>
        <w:divId w:val="333142963"/>
        <w:rPr>
          <w:rFonts w:eastAsia="Times New Roman"/>
        </w:rPr>
      </w:pPr>
      <w:r>
        <w:rPr>
          <w:rFonts w:eastAsia="Times New Roman"/>
          <w:color w:val="000000"/>
          <w:sz w:val="20"/>
          <w:szCs w:val="20"/>
        </w:rPr>
        <w:t>The increase in research and development expenses in fiscal 2023 was due to:</w:t>
      </w:r>
    </w:p>
    <w:p w:rsidR="00000000" w:rsidRDefault="008931E1">
      <w:pPr>
        <w:ind w:hanging="360"/>
        <w:divId w:val="2116710527"/>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w:t>
      </w:r>
      <w:r>
        <w:rPr>
          <w:rFonts w:eastAsia="Times New Roman"/>
          <w:color w:val="000000"/>
          <w:sz w:val="20"/>
          <w:szCs w:val="20"/>
        </w:rPr>
        <w:t>$375 million increase in share-based compensation expense</w:t>
      </w:r>
    </w:p>
    <w:p w:rsidR="00000000" w:rsidRDefault="008931E1">
      <w:pPr>
        <w:ind w:hanging="360"/>
        <w:divId w:val="1455709636"/>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$125 million increase in expenses driven by revaluation of our deferred compensation obligation on higher relative stock market performance</w:t>
      </w:r>
    </w:p>
    <w:p w:rsidR="00000000" w:rsidRDefault="008931E1">
      <w:pPr>
        <w:ind w:hanging="360"/>
        <w:divId w:val="1072846399"/>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$124 million increase driven by higher costs rel</w:t>
      </w:r>
      <w:r>
        <w:rPr>
          <w:rFonts w:eastAsia="Times New Roman"/>
          <w:color w:val="000000"/>
          <w:sz w:val="20"/>
          <w:szCs w:val="20"/>
        </w:rPr>
        <w:t xml:space="preserve">ated to the development of wireless and integrated circuit technologies (including 5G and application processor technologies), primarily driven by an increase in employee-related expenses (which included lower employee cash incentive program costs) </w:t>
      </w:r>
    </w:p>
    <w:tbl>
      <w:tblPr>
        <w:tblW w:w="5000" w:type="pct"/>
        <w:tblCellMar>
          <w:top w:w="15" w:type="dxa"/>
          <w:left w:w="15" w:type="dxa"/>
          <w:bottom w:w="15" w:type="dxa"/>
          <w:right w:w="15" w:type="dxa"/>
        </w:tblCellMar>
        <w:tblLook w:val="04A0" w:firstRow="1" w:lastRow="0" w:firstColumn="1" w:lastColumn="0" w:noHBand="0" w:noVBand="1"/>
      </w:tblPr>
      <w:tblGrid>
        <w:gridCol w:w="37"/>
        <w:gridCol w:w="4880"/>
        <w:gridCol w:w="36"/>
        <w:gridCol w:w="110"/>
        <w:gridCol w:w="811"/>
        <w:gridCol w:w="170"/>
        <w:gridCol w:w="36"/>
        <w:gridCol w:w="36"/>
        <w:gridCol w:w="36"/>
        <w:gridCol w:w="110"/>
        <w:gridCol w:w="737"/>
        <w:gridCol w:w="170"/>
        <w:gridCol w:w="36"/>
        <w:gridCol w:w="36"/>
        <w:gridCol w:w="36"/>
        <w:gridCol w:w="36"/>
        <w:gridCol w:w="36"/>
        <w:gridCol w:w="111"/>
        <w:gridCol w:w="738"/>
        <w:gridCol w:w="36"/>
        <w:gridCol w:w="36"/>
        <w:gridCol w:w="36"/>
      </w:tblGrid>
      <w:tr w:rsidR="00000000">
        <w:trPr>
          <w:divId w:val="832256948"/>
        </w:trPr>
        <w:tc>
          <w:tcPr>
            <w:tcW w:w="50" w:type="pct"/>
            <w:vAlign w:val="center"/>
            <w:hideMark/>
          </w:tcPr>
          <w:p w:rsidR="00000000" w:rsidRDefault="008931E1">
            <w:pPr>
              <w:ind w:hanging="360"/>
              <w:rPr>
                <w:rFonts w:eastAsia="Times New Roman"/>
              </w:rPr>
            </w:pPr>
          </w:p>
        </w:tc>
        <w:tc>
          <w:tcPr>
            <w:tcW w:w="306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832256948"/>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r>
      <w:tr w:rsidR="00000000">
        <w:trPr>
          <w:divId w:val="832256948"/>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Selling, general and administrative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832256948"/>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of revenues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bl>
    <w:p w:rsidR="00000000" w:rsidRDefault="008931E1">
      <w:pPr>
        <w:divId w:val="117183517"/>
        <w:rPr>
          <w:rFonts w:eastAsia="Times New Roman"/>
        </w:rPr>
      </w:pPr>
      <w:r>
        <w:rPr>
          <w:rFonts w:eastAsia="Times New Roman"/>
          <w:b/>
          <w:bCs/>
          <w:i/>
          <w:iCs/>
          <w:color w:val="000000"/>
          <w:sz w:val="20"/>
          <w:szCs w:val="20"/>
        </w:rPr>
        <w:t>2023 vs. 2022</w:t>
      </w:r>
    </w:p>
    <w:p w:rsidR="00000000" w:rsidRDefault="008931E1">
      <w:pPr>
        <w:divId w:val="560598907"/>
        <w:rPr>
          <w:rFonts w:eastAsia="Times New Roman"/>
        </w:rPr>
      </w:pPr>
      <w:r>
        <w:rPr>
          <w:rFonts w:eastAsia="Times New Roman"/>
          <w:color w:val="000000"/>
          <w:sz w:val="20"/>
          <w:szCs w:val="20"/>
        </w:rPr>
        <w:t>The decrease in selling, general and administrative expenses in fiscal 2023 was primarily due to:</w:t>
      </w:r>
    </w:p>
    <w:p w:rsidR="00000000" w:rsidRDefault="008931E1">
      <w:pPr>
        <w:ind w:hanging="360"/>
        <w:divId w:val="1961372416"/>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w:t>
      </w:r>
      <w:r>
        <w:rPr>
          <w:rFonts w:eastAsia="Times New Roman"/>
          <w:color w:val="000000"/>
          <w:sz w:val="20"/>
          <w:szCs w:val="20"/>
        </w:rPr>
        <w:t>$109 million decrease in employee-related expenses (which included lower employee cash incentive program costs)</w:t>
      </w:r>
    </w:p>
    <w:p w:rsidR="00000000" w:rsidRDefault="008931E1">
      <w:pPr>
        <w:ind w:hanging="360"/>
        <w:divId w:val="875966298"/>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$95 million decrease in acquisition-related expenses, primarily related to the Veoneer transaction which closed in the third quarter of fis</w:t>
      </w:r>
      <w:r>
        <w:rPr>
          <w:rFonts w:eastAsia="Times New Roman"/>
          <w:color w:val="000000"/>
          <w:sz w:val="20"/>
          <w:szCs w:val="20"/>
        </w:rPr>
        <w:t xml:space="preserve">cal 2022 </w:t>
      </w:r>
    </w:p>
    <w:p w:rsidR="00000000" w:rsidRDefault="008931E1">
      <w:pPr>
        <w:ind w:hanging="360"/>
        <w:divId w:val="469597612"/>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$99 million increase in expenses driven by revaluation of our deferred compensation obligation on higher relative stock market performance</w:t>
      </w:r>
    </w:p>
    <w:tbl>
      <w:tblPr>
        <w:tblW w:w="5000" w:type="pct"/>
        <w:tblCellMar>
          <w:top w:w="15" w:type="dxa"/>
          <w:left w:w="15" w:type="dxa"/>
          <w:bottom w:w="15" w:type="dxa"/>
          <w:right w:w="15" w:type="dxa"/>
        </w:tblCellMar>
        <w:tblLook w:val="04A0" w:firstRow="1" w:lastRow="0" w:firstColumn="1" w:lastColumn="0" w:noHBand="0" w:noVBand="1"/>
      </w:tblPr>
      <w:tblGrid>
        <w:gridCol w:w="37"/>
        <w:gridCol w:w="4956"/>
        <w:gridCol w:w="36"/>
        <w:gridCol w:w="110"/>
        <w:gridCol w:w="849"/>
        <w:gridCol w:w="36"/>
        <w:gridCol w:w="36"/>
        <w:gridCol w:w="36"/>
        <w:gridCol w:w="36"/>
        <w:gridCol w:w="110"/>
        <w:gridCol w:w="814"/>
        <w:gridCol w:w="36"/>
        <w:gridCol w:w="36"/>
        <w:gridCol w:w="36"/>
        <w:gridCol w:w="36"/>
        <w:gridCol w:w="36"/>
        <w:gridCol w:w="36"/>
        <w:gridCol w:w="111"/>
        <w:gridCol w:w="815"/>
        <w:gridCol w:w="36"/>
        <w:gridCol w:w="36"/>
        <w:gridCol w:w="36"/>
      </w:tblGrid>
      <w:tr w:rsidR="00000000">
        <w:trPr>
          <w:divId w:val="1702123317"/>
        </w:trPr>
        <w:tc>
          <w:tcPr>
            <w:tcW w:w="50" w:type="pct"/>
            <w:vAlign w:val="center"/>
            <w:hideMark/>
          </w:tcPr>
          <w:p w:rsidR="00000000" w:rsidRDefault="008931E1">
            <w:pPr>
              <w:ind w:hanging="360"/>
              <w:rPr>
                <w:rFonts w:eastAsia="Times New Roman"/>
              </w:rPr>
            </w:pPr>
          </w:p>
        </w:tc>
        <w:tc>
          <w:tcPr>
            <w:tcW w:w="306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702123317"/>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r>
      <w:tr w:rsidR="00000000">
        <w:trPr>
          <w:divId w:val="1702123317"/>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280381757"/>
              <w:rPr>
                <w:rFonts w:eastAsia="Times New Roman"/>
              </w:rPr>
            </w:pPr>
            <w:r>
              <w:rPr>
                <w:rFonts w:eastAsia="Times New Roman"/>
                <w:color w:val="000000"/>
                <w:sz w:val="18"/>
                <w:szCs w:val="18"/>
              </w:rPr>
              <w:t>Other expense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bl>
    <w:p w:rsidR="00000000" w:rsidRDefault="008931E1">
      <w:pPr>
        <w:divId w:val="863178091"/>
        <w:rPr>
          <w:rFonts w:eastAsia="Times New Roman"/>
        </w:rPr>
      </w:pPr>
      <w:r>
        <w:rPr>
          <w:rFonts w:eastAsia="Times New Roman"/>
          <w:b/>
          <w:bCs/>
          <w:i/>
          <w:iCs/>
          <w:color w:val="000000"/>
          <w:sz w:val="20"/>
          <w:szCs w:val="20"/>
        </w:rPr>
        <w:t>2023 vs. 2022</w:t>
      </w:r>
    </w:p>
    <w:p w:rsidR="00000000" w:rsidRDefault="008931E1">
      <w:pPr>
        <w:divId w:val="1303003773"/>
        <w:rPr>
          <w:rFonts w:eastAsia="Times New Roman"/>
        </w:rPr>
      </w:pPr>
      <w:r>
        <w:rPr>
          <w:rFonts w:eastAsia="Times New Roman"/>
          <w:color w:val="000000"/>
          <w:sz w:val="20"/>
          <w:szCs w:val="20"/>
        </w:rPr>
        <w:t>Other expense in fiscal 2023 consisted of $712 million in restructuring and restructuring-related charges (substantially all of which related to severance costs) resul</w:t>
      </w:r>
      <w:r>
        <w:rPr>
          <w:rFonts w:eastAsia="Times New Roman"/>
          <w:color w:val="000000"/>
          <w:sz w:val="20"/>
          <w:szCs w:val="20"/>
        </w:rPr>
        <w:t>ting from certain cost reduction actions initiated in fiscal 2023, and a $150 million intangible asset impairment charge related to in-process research and development. Additional information regarding our restructuring charges is provided in this Annual R</w:t>
      </w:r>
      <w:r>
        <w:rPr>
          <w:rFonts w:eastAsia="Times New Roman"/>
          <w:color w:val="000000"/>
          <w:sz w:val="20"/>
          <w:szCs w:val="20"/>
        </w:rPr>
        <w:t>eport in “Notes to Consolidated Financial Statements, Note 2. Composition of Certain Financial Statement Items - Other Income, Costs and Expenses.”</w:t>
      </w:r>
    </w:p>
    <w:p w:rsidR="00000000" w:rsidRDefault="008931E1">
      <w:pPr>
        <w:divId w:val="1337272141"/>
        <w:rPr>
          <w:rFonts w:eastAsia="Times New Roman"/>
        </w:rPr>
      </w:pPr>
      <w:r>
        <w:rPr>
          <w:rFonts w:eastAsia="Times New Roman"/>
          <w:color w:val="000000"/>
          <w:sz w:val="20"/>
          <w:szCs w:val="20"/>
        </w:rPr>
        <w:t>Other income in fiscal 2022 consisted of a</w:t>
      </w:r>
      <w:r>
        <w:rPr>
          <w:rFonts w:ascii="Century Gothic" w:eastAsia="Times New Roman" w:hAnsi="Century Gothic"/>
          <w:b/>
          <w:bCs/>
          <w:color w:val="000000"/>
          <w:sz w:val="20"/>
          <w:szCs w:val="20"/>
        </w:rPr>
        <w:t xml:space="preserve"> </w:t>
      </w:r>
      <w:r>
        <w:rPr>
          <w:rFonts w:eastAsia="Times New Roman"/>
          <w:color w:val="000000"/>
          <w:sz w:val="20"/>
          <w:szCs w:val="20"/>
        </w:rPr>
        <w:t>$1.1 billion benefit resulting from the 2018 EC fine reversal.</w:t>
      </w:r>
    </w:p>
    <w:tbl>
      <w:tblPr>
        <w:tblW w:w="5000" w:type="pct"/>
        <w:tblCellMar>
          <w:top w:w="15" w:type="dxa"/>
          <w:left w:w="15" w:type="dxa"/>
          <w:bottom w:w="15" w:type="dxa"/>
          <w:right w:w="15" w:type="dxa"/>
        </w:tblCellMar>
        <w:tblLook w:val="04A0" w:firstRow="1" w:lastRow="0" w:firstColumn="1" w:lastColumn="0" w:noHBand="0" w:noVBand="1"/>
      </w:tblPr>
      <w:tblGrid>
        <w:gridCol w:w="40"/>
        <w:gridCol w:w="4953"/>
        <w:gridCol w:w="39"/>
        <w:gridCol w:w="110"/>
        <w:gridCol w:w="849"/>
        <w:gridCol w:w="36"/>
        <w:gridCol w:w="36"/>
        <w:gridCol w:w="36"/>
        <w:gridCol w:w="36"/>
        <w:gridCol w:w="110"/>
        <w:gridCol w:w="813"/>
        <w:gridCol w:w="36"/>
        <w:gridCol w:w="36"/>
        <w:gridCol w:w="36"/>
        <w:gridCol w:w="36"/>
        <w:gridCol w:w="36"/>
        <w:gridCol w:w="36"/>
        <w:gridCol w:w="111"/>
        <w:gridCol w:w="813"/>
        <w:gridCol w:w="36"/>
        <w:gridCol w:w="36"/>
        <w:gridCol w:w="36"/>
      </w:tblGrid>
      <w:tr w:rsidR="00000000">
        <w:trPr>
          <w:divId w:val="365253189"/>
        </w:trPr>
        <w:tc>
          <w:tcPr>
            <w:tcW w:w="50" w:type="pct"/>
            <w:vAlign w:val="center"/>
            <w:hideMark/>
          </w:tcPr>
          <w:p w:rsidR="00000000" w:rsidRDefault="008931E1">
            <w:pPr>
              <w:rPr>
                <w:rFonts w:eastAsia="Times New Roman"/>
              </w:rPr>
            </w:pPr>
          </w:p>
        </w:tc>
        <w:tc>
          <w:tcPr>
            <w:tcW w:w="306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5253189"/>
        </w:trPr>
        <w:tc>
          <w:tcPr>
            <w:tcW w:w="0" w:type="auto"/>
            <w:gridSpan w:val="12"/>
            <w:tcMar>
              <w:top w:w="30" w:type="dxa"/>
              <w:left w:w="20" w:type="dxa"/>
              <w:bottom w:w="30" w:type="dxa"/>
              <w:right w:w="20" w:type="dxa"/>
            </w:tcMar>
            <w:vAlign w:val="bottom"/>
            <w:hideMark/>
          </w:tcPr>
          <w:p w:rsidR="00000000" w:rsidRDefault="008931E1">
            <w:pPr>
              <w:spacing w:after="100"/>
              <w:divId w:val="1273784225"/>
              <w:rPr>
                <w:rFonts w:eastAsia="Times New Roman"/>
              </w:rPr>
            </w:pPr>
            <w:r>
              <w:rPr>
                <w:rFonts w:eastAsia="Times New Roman"/>
                <w:b/>
                <w:bCs/>
                <w:i/>
                <w:iCs/>
                <w:color w:val="000000"/>
                <w:sz w:val="20"/>
                <w:szCs w:val="20"/>
              </w:rPr>
              <w:t>Interest Expense and Investment and Other Income (Expense), Net (in millions)</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5253189"/>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 Change</w:t>
            </w:r>
          </w:p>
        </w:tc>
        <w:tc>
          <w:tcPr>
            <w:tcW w:w="0" w:type="auto"/>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r>
      <w:tr w:rsidR="00000000">
        <w:trPr>
          <w:divId w:val="365253189"/>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Interest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5253189"/>
          <w:trHeight w:val="220"/>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5253189"/>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5253189"/>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Interest and dividend income</w:t>
            </w: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5253189"/>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gains (losses) on 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438 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5253189"/>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gains on other investments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5253189"/>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gains (losses) on deferred compensation plan assets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(141)</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5253189"/>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Impairment losses on other investments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(47)</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(85)</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5253189"/>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5253189"/>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5253189"/>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5253189"/>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(372)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bl>
    <w:p w:rsidR="00000000" w:rsidRDefault="008931E1">
      <w:pPr>
        <w:ind w:firstLine="360"/>
        <w:divId w:val="1130897279"/>
        <w:rPr>
          <w:rFonts w:eastAsia="Times New Roman"/>
        </w:rPr>
      </w:pPr>
      <w:r>
        <w:rPr>
          <w:rFonts w:eastAsia="Times New Roman"/>
          <w:color w:val="000000"/>
          <w:sz w:val="20"/>
          <w:szCs w:val="20"/>
        </w:rPr>
        <w:t>Interest expense in fiscal 2022 included a $62 million reversal of accrued interest previously recorded related to the annulled 2018 EC fine.</w:t>
      </w:r>
    </w:p>
    <w:p w:rsidR="00000000" w:rsidRDefault="008931E1">
      <w:pPr>
        <w:ind w:firstLine="360"/>
        <w:divId w:val="1531602994"/>
        <w:rPr>
          <w:rFonts w:eastAsia="Times New Roman"/>
        </w:rPr>
      </w:pPr>
      <w:r>
        <w:rPr>
          <w:rFonts w:eastAsia="Times New Roman"/>
          <w:color w:val="000000"/>
          <w:sz w:val="20"/>
          <w:szCs w:val="20"/>
        </w:rPr>
        <w:t>Net losses on mark</w:t>
      </w:r>
      <w:r>
        <w:rPr>
          <w:rFonts w:eastAsia="Times New Roman"/>
          <w:color w:val="000000"/>
          <w:sz w:val="20"/>
          <w:szCs w:val="20"/>
        </w:rPr>
        <w:t xml:space="preserve">etable securities in fiscal 2022 was primarily driven by the change in fair value of certain of our QSI marketable equity investments in early or growth stage companies. </w:t>
      </w:r>
    </w:p>
    <w:p w:rsidR="00000000" w:rsidRDefault="008931E1">
      <w:pPr>
        <w:jc w:val="center"/>
        <w:divId w:val="1629896462"/>
        <w:rPr>
          <w:rFonts w:eastAsia="Times New Roman"/>
        </w:rPr>
      </w:pPr>
      <w:r>
        <w:rPr>
          <w:rFonts w:eastAsia="Times New Roman"/>
          <w:color w:val="000000"/>
          <w:sz w:val="20"/>
          <w:szCs w:val="20"/>
        </w:rPr>
        <w:t>42</w:t>
      </w:r>
    </w:p>
    <w:p w:rsidR="00000000" w:rsidRDefault="008931E1">
      <w:pPr>
        <w:rPr>
          <w:rFonts w:eastAsia="Times New Roman"/>
        </w:rPr>
      </w:pPr>
      <w:r>
        <w:rPr>
          <w:rFonts w:eastAsia="Times New Roman"/>
        </w:rPr>
        <w:pict>
          <v:rect id="_x0000_i1066" style="width:0;height:1.5pt" o:hralign="center" o:hrstd="t" o:hr="t" fillcolor="#a0a0a0" stroked="f"/>
        </w:pict>
      </w:r>
    </w:p>
    <w:p w:rsidR="00000000" w:rsidRDefault="008931E1">
      <w:pPr>
        <w:divId w:val="1621033693"/>
        <w:rPr>
          <w:rFonts w:eastAsia="Times New Roman"/>
        </w:rPr>
      </w:pPr>
    </w:p>
    <w:p w:rsidR="00000000" w:rsidRDefault="008931E1">
      <w:pPr>
        <w:ind w:firstLine="270"/>
        <w:divId w:val="1899895460"/>
        <w:rPr>
          <w:rFonts w:eastAsia="Times New Roman"/>
        </w:rPr>
      </w:pPr>
      <w:r>
        <w:rPr>
          <w:rFonts w:eastAsia="Times New Roman"/>
          <w:b/>
          <w:bCs/>
          <w:i/>
          <w:iCs/>
          <w:color w:val="000000"/>
          <w:sz w:val="20"/>
          <w:szCs w:val="20"/>
        </w:rPr>
        <w:t>Income Tax Expense (in millions, except perc</w:t>
      </w:r>
      <w:r>
        <w:rPr>
          <w:rFonts w:eastAsia="Times New Roman"/>
          <w:b/>
          <w:bCs/>
          <w:i/>
          <w:iCs/>
          <w:color w:val="000000"/>
          <w:sz w:val="20"/>
          <w:szCs w:val="20"/>
        </w:rPr>
        <w:t>entages)</w:t>
      </w:r>
    </w:p>
    <w:p w:rsidR="00000000" w:rsidRDefault="008931E1">
      <w:pPr>
        <w:ind w:firstLine="270"/>
        <w:divId w:val="428474531"/>
        <w:rPr>
          <w:rFonts w:eastAsia="Times New Roman"/>
        </w:rPr>
      </w:pPr>
      <w:r>
        <w:rPr>
          <w:rFonts w:eastAsia="Times New Roman"/>
          <w:color w:val="000000"/>
          <w:sz w:val="20"/>
          <w:szCs w:val="20"/>
        </w:rPr>
        <w:t>The following table summarizes the primary factors that caused our annual tax provision from continuing operations to differ from the expected income tax provision at the U.S. federal statutory rate. Substantially all of our income is taxed in the</w:t>
      </w:r>
      <w:r>
        <w:rPr>
          <w:rFonts w:eastAsia="Times New Roman"/>
          <w:color w:val="000000"/>
          <w:sz w:val="20"/>
          <w:szCs w:val="20"/>
        </w:rPr>
        <w:t xml:space="preserve"> U.S., of which a significant portion qualifies for preferential treatment as FDII at a 13% effective tax rate. Additional information regarding our annual effective tax rate (including discussion related to the impact of the new requirement to capitalize </w:t>
      </w:r>
      <w:r>
        <w:rPr>
          <w:rFonts w:eastAsia="Times New Roman"/>
          <w:color w:val="000000"/>
          <w:sz w:val="20"/>
          <w:szCs w:val="20"/>
        </w:rPr>
        <w:t>research and development expenditures for federal income tax purposes) is provided in this Annual Report in “Notes to Consolidated Financial Statements, Notes 3. Income Taxes.”</w:t>
      </w:r>
    </w:p>
    <w:tbl>
      <w:tblPr>
        <w:tblW w:w="5000" w:type="pct"/>
        <w:tblCellMar>
          <w:top w:w="15" w:type="dxa"/>
          <w:left w:w="15" w:type="dxa"/>
          <w:bottom w:w="15" w:type="dxa"/>
          <w:right w:w="15" w:type="dxa"/>
        </w:tblCellMar>
        <w:tblLook w:val="04A0" w:firstRow="1" w:lastRow="0" w:firstColumn="1" w:lastColumn="0" w:noHBand="0" w:noVBand="1"/>
      </w:tblPr>
      <w:tblGrid>
        <w:gridCol w:w="39"/>
        <w:gridCol w:w="5981"/>
        <w:gridCol w:w="38"/>
        <w:gridCol w:w="110"/>
        <w:gridCol w:w="796"/>
        <w:gridCol w:w="170"/>
        <w:gridCol w:w="36"/>
        <w:gridCol w:w="36"/>
        <w:gridCol w:w="36"/>
        <w:gridCol w:w="110"/>
        <w:gridCol w:w="712"/>
        <w:gridCol w:w="170"/>
        <w:gridCol w:w="36"/>
        <w:gridCol w:w="36"/>
      </w:tblGrid>
      <w:tr w:rsidR="00000000">
        <w:trPr>
          <w:divId w:val="1986733841"/>
        </w:trPr>
        <w:tc>
          <w:tcPr>
            <w:tcW w:w="50" w:type="pct"/>
            <w:vAlign w:val="center"/>
            <w:hideMark/>
          </w:tcPr>
          <w:p w:rsidR="00000000" w:rsidRDefault="008931E1">
            <w:pPr>
              <w:ind w:firstLine="270"/>
              <w:rPr>
                <w:rFonts w:eastAsia="Times New Roman"/>
              </w:rPr>
            </w:pPr>
          </w:p>
        </w:tc>
        <w:tc>
          <w:tcPr>
            <w:tcW w:w="371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Expected income tax provision at federal statutory tax rate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Benefit from FDII deduction related to capitalizing research and development expenditures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(598)</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Benefit from FDII deduction, excluding the impact of capitalizing research and development expenditures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(447)</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(753)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Benefit related to the research and development tax credit</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(235)</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Benefit from fiscal 2021 and 2022 FDII deductions related to a change in sourcing of research and development expenditures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(126)</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Benefit from releasing valuation allowance on unutilized foreign loss carryforwards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Foreign currency (gains) losses related to foreign withholding tax receivable</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(66)</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243 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Shortfall (excess) tax benefit associated with share-based awards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(257)</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Nontaxable reversal of 2018 EC fine</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(224)</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shd w:val="clear" w:color="auto" w:fill="CCEE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Income tax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8673384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Effective tax rate</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r>
    </w:tbl>
    <w:p w:rsidR="00000000" w:rsidRDefault="008931E1">
      <w:pPr>
        <w:ind w:firstLine="270"/>
        <w:divId w:val="1229851363"/>
        <w:rPr>
          <w:rFonts w:eastAsia="Times New Roman"/>
        </w:rPr>
      </w:pPr>
      <w:r>
        <w:rPr>
          <w:rFonts w:eastAsia="Times New Roman"/>
          <w:b/>
          <w:bCs/>
          <w:i/>
          <w:iCs/>
          <w:color w:val="000000"/>
          <w:sz w:val="20"/>
          <w:szCs w:val="20"/>
        </w:rPr>
        <w:t>Discontinued Operations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956"/>
        <w:gridCol w:w="36"/>
        <w:gridCol w:w="110"/>
        <w:gridCol w:w="849"/>
        <w:gridCol w:w="36"/>
        <w:gridCol w:w="36"/>
        <w:gridCol w:w="36"/>
        <w:gridCol w:w="36"/>
        <w:gridCol w:w="110"/>
        <w:gridCol w:w="814"/>
        <w:gridCol w:w="36"/>
        <w:gridCol w:w="36"/>
        <w:gridCol w:w="36"/>
        <w:gridCol w:w="36"/>
        <w:gridCol w:w="36"/>
        <w:gridCol w:w="36"/>
        <w:gridCol w:w="111"/>
        <w:gridCol w:w="815"/>
        <w:gridCol w:w="36"/>
        <w:gridCol w:w="36"/>
        <w:gridCol w:w="36"/>
      </w:tblGrid>
      <w:tr w:rsidR="00000000">
        <w:trPr>
          <w:divId w:val="1838223407"/>
        </w:trPr>
        <w:tc>
          <w:tcPr>
            <w:tcW w:w="50" w:type="pct"/>
            <w:vAlign w:val="center"/>
            <w:hideMark/>
          </w:tcPr>
          <w:p w:rsidR="00000000" w:rsidRDefault="008931E1">
            <w:pPr>
              <w:ind w:firstLine="270"/>
              <w:rPr>
                <w:rFonts w:eastAsia="Times New Roman"/>
              </w:rPr>
            </w:pPr>
          </w:p>
        </w:tc>
        <w:tc>
          <w:tcPr>
            <w:tcW w:w="306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838223407"/>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r>
      <w:tr w:rsidR="00000000">
        <w:trPr>
          <w:divId w:val="1838223407"/>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Discontinued operations, net of income taxes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bl>
    <w:p w:rsidR="00000000" w:rsidRDefault="008931E1">
      <w:pPr>
        <w:ind w:firstLine="360"/>
        <w:divId w:val="1988628962"/>
        <w:rPr>
          <w:rFonts w:eastAsia="Times New Roman"/>
        </w:rPr>
      </w:pPr>
      <w:r>
        <w:rPr>
          <w:rFonts w:eastAsia="Times New Roman"/>
          <w:color w:val="000000"/>
          <w:sz w:val="20"/>
          <w:szCs w:val="20"/>
        </w:rPr>
        <w:t>Discontinued operations in fiscal 2023 and 2022 primarily related to net losses from the Non-Arriver businesses. Fiscal 2023 also included a gain on the sale of the Active Safety bu</w:t>
      </w:r>
      <w:r>
        <w:rPr>
          <w:rFonts w:eastAsia="Times New Roman"/>
          <w:color w:val="000000"/>
          <w:sz w:val="20"/>
          <w:szCs w:val="20"/>
        </w:rPr>
        <w:t>siness and certain write-down charges related to the Restraint Control Systems business based on the expected sales price, the individual and aggregate amounts of which were not material. Information regarding the Non-Arriver businesses is provided in this</w:t>
      </w:r>
      <w:r>
        <w:rPr>
          <w:rFonts w:eastAsia="Times New Roman"/>
          <w:color w:val="000000"/>
          <w:sz w:val="20"/>
          <w:szCs w:val="20"/>
        </w:rPr>
        <w:t xml:space="preserve"> Annual Report in “Notes to Consolidated Financial Statements, Note 9. Acquisitions and Divestitures.”</w:t>
      </w:r>
    </w:p>
    <w:p w:rsidR="00000000" w:rsidRDefault="008931E1">
      <w:pPr>
        <w:divId w:val="714542315"/>
        <w:rPr>
          <w:rFonts w:eastAsia="Times New Roman"/>
        </w:rPr>
      </w:pPr>
      <w:r>
        <w:rPr>
          <w:rFonts w:eastAsia="Times New Roman"/>
          <w:b/>
          <w:bCs/>
          <w:color w:val="000000"/>
          <w:sz w:val="20"/>
          <w:szCs w:val="20"/>
        </w:rPr>
        <w:t>Segment Results</w:t>
      </w:r>
    </w:p>
    <w:p w:rsidR="00000000" w:rsidRDefault="008931E1">
      <w:pPr>
        <w:ind w:firstLine="360"/>
        <w:divId w:val="268393462"/>
        <w:rPr>
          <w:rFonts w:eastAsia="Times New Roman"/>
        </w:rPr>
      </w:pPr>
      <w:r>
        <w:rPr>
          <w:rFonts w:eastAsia="Times New Roman"/>
          <w:color w:val="000000"/>
          <w:sz w:val="20"/>
          <w:szCs w:val="20"/>
        </w:rPr>
        <w:t>The following should be read in conjunction with the fiscal 2023 and 2022 results of operations for each reportable segment included in t</w:t>
      </w:r>
      <w:r>
        <w:rPr>
          <w:rFonts w:eastAsia="Times New Roman"/>
          <w:color w:val="000000"/>
          <w:sz w:val="20"/>
          <w:szCs w:val="20"/>
        </w:rPr>
        <w:t>his Annual Report in “Notes to Consolidated Financial Statements, Note 8. Segment Information.”</w:t>
      </w:r>
    </w:p>
    <w:p w:rsidR="00000000" w:rsidRDefault="008931E1">
      <w:pPr>
        <w:ind w:firstLine="360"/>
        <w:divId w:val="200677122"/>
        <w:rPr>
          <w:rFonts w:eastAsia="Times New Roman"/>
        </w:rPr>
      </w:pPr>
      <w:r>
        <w:rPr>
          <w:rFonts w:eastAsia="Times New Roman"/>
          <w:b/>
          <w:bCs/>
          <w:i/>
          <w:iCs/>
          <w:color w:val="000000"/>
          <w:sz w:val="20"/>
          <w:szCs w:val="20"/>
        </w:rPr>
        <w:t>QCT Segment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4879"/>
        <w:gridCol w:w="36"/>
        <w:gridCol w:w="110"/>
        <w:gridCol w:w="811"/>
        <w:gridCol w:w="170"/>
        <w:gridCol w:w="36"/>
        <w:gridCol w:w="36"/>
        <w:gridCol w:w="36"/>
        <w:gridCol w:w="110"/>
        <w:gridCol w:w="737"/>
        <w:gridCol w:w="170"/>
        <w:gridCol w:w="36"/>
        <w:gridCol w:w="36"/>
        <w:gridCol w:w="36"/>
        <w:gridCol w:w="36"/>
        <w:gridCol w:w="36"/>
        <w:gridCol w:w="111"/>
        <w:gridCol w:w="738"/>
        <w:gridCol w:w="36"/>
        <w:gridCol w:w="36"/>
        <w:gridCol w:w="36"/>
      </w:tblGrid>
      <w:tr w:rsidR="00000000">
        <w:trPr>
          <w:divId w:val="200677122"/>
        </w:trPr>
        <w:tc>
          <w:tcPr>
            <w:tcW w:w="50" w:type="pct"/>
            <w:vAlign w:val="center"/>
            <w:hideMark/>
          </w:tcPr>
          <w:p w:rsidR="00000000" w:rsidRDefault="008931E1">
            <w:pPr>
              <w:ind w:firstLine="360"/>
              <w:rPr>
                <w:rFonts w:eastAsia="Times New Roman"/>
              </w:rPr>
            </w:pPr>
          </w:p>
        </w:tc>
        <w:tc>
          <w:tcPr>
            <w:tcW w:w="306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 Change</w:t>
            </w:r>
          </w:p>
        </w:tc>
        <w:tc>
          <w:tcPr>
            <w:tcW w:w="0" w:type="auto"/>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Revenues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84484094"/>
              <w:rPr>
                <w:rFonts w:eastAsia="Times New Roman"/>
              </w:rPr>
            </w:pPr>
            <w:r>
              <w:rPr>
                <w:rFonts w:eastAsia="Times New Roman"/>
                <w:color w:val="000000"/>
                <w:sz w:val="18"/>
                <w:szCs w:val="18"/>
              </w:rPr>
              <w:t>Handsets</w:t>
            </w: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22,570 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28,815 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(6,245)</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406732396"/>
              <w:rPr>
                <w:rFonts w:eastAsia="Times New Roman"/>
              </w:rPr>
            </w:pPr>
            <w:r>
              <w:rPr>
                <w:rFonts w:eastAsia="Times New Roman"/>
                <w:color w:val="000000"/>
                <w:sz w:val="18"/>
                <w:szCs w:val="18"/>
              </w:rPr>
              <w:t>Automotive</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1,872 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1,509 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264649277"/>
              <w:rPr>
                <w:rFonts w:eastAsia="Times New Roman"/>
              </w:rPr>
            </w:pPr>
            <w:r>
              <w:rPr>
                <w:rFonts w:eastAsia="Times New Roman"/>
                <w:color w:val="000000"/>
                <w:sz w:val="18"/>
                <w:szCs w:val="18"/>
              </w:rPr>
              <w:t>IoT (internet of things)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5,940 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7,353 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(1,413)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404307884"/>
              <w:rPr>
                <w:rFonts w:eastAsia="Times New Roman"/>
              </w:rPr>
            </w:pPr>
            <w:r>
              <w:rPr>
                <w:rFonts w:eastAsia="Times New Roman"/>
                <w:color w:val="000000"/>
                <w:sz w:val="18"/>
                <w:szCs w:val="18"/>
              </w:rPr>
              <w:t>Total revenues (1)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30,382 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37,677 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(7,295)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116022491"/>
              <w:rPr>
                <w:rFonts w:eastAsia="Times New Roman"/>
              </w:rPr>
            </w:pPr>
            <w:r>
              <w:rPr>
                <w:rFonts w:eastAsia="Times New Roman"/>
                <w:b/>
                <w:bCs/>
                <w:color w:val="000000"/>
                <w:sz w:val="18"/>
                <w:szCs w:val="18"/>
              </w:rPr>
              <w:t>EBT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7,924 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12,837 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(4,913)</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EBT as a % of revenues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right"/>
              <w:rPr>
                <w:rFonts w:eastAsia="Times New Roman"/>
              </w:rPr>
            </w:pPr>
            <w:r>
              <w:rPr>
                <w:rFonts w:eastAsia="Times New Roman"/>
                <w:color w:val="000000"/>
                <w:sz w:val="18"/>
                <w:szCs w:val="18"/>
              </w:rPr>
              <w:t>-8 points</w:t>
            </w:r>
          </w:p>
        </w:tc>
        <w:tc>
          <w:tcPr>
            <w:tcW w:w="0" w:type="auto"/>
            <w:vAlign w:val="center"/>
            <w:hideMark/>
          </w:tcPr>
          <w:p w:rsidR="00000000" w:rsidRDefault="008931E1">
            <w:pPr>
              <w:spacing w:after="100"/>
              <w:jc w:val="right"/>
              <w:rPr>
                <w:rFonts w:eastAsia="Times New Roman"/>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00677122"/>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bl>
    <w:p w:rsidR="00000000" w:rsidRDefault="008931E1">
      <w:pPr>
        <w:ind w:hanging="270"/>
        <w:divId w:val="1145052381"/>
        <w:rPr>
          <w:rFonts w:eastAsia="Times New Roman"/>
        </w:rPr>
      </w:pPr>
      <w:r>
        <w:rPr>
          <w:rFonts w:eastAsia="Times New Roman"/>
          <w:color w:val="000000"/>
          <w:sz w:val="18"/>
          <w:szCs w:val="18"/>
        </w:rPr>
        <w:t>(1) Beginning in the first quarter of fiscal 2023, QCT RFFE (radio frequency front-end) revenues, which were previously presented as a separate revenue stream, are now included within our Handsets, Automotive and internet of things (IoT) revenue streams as</w:t>
      </w:r>
      <w:r>
        <w:rPr>
          <w:rFonts w:eastAsia="Times New Roman"/>
          <w:color w:val="000000"/>
          <w:sz w:val="18"/>
          <w:szCs w:val="18"/>
        </w:rPr>
        <w:t xml:space="preserve"> applicable. Prior period information has been recast to reflect this change. Descriptions of our three QCT revenue streams can be found in this Annual Report in “Notes to Consolidated Financial Statements, Note 2. Composition of Certain Financial Statemen</w:t>
      </w:r>
      <w:r>
        <w:rPr>
          <w:rFonts w:eastAsia="Times New Roman"/>
          <w:color w:val="000000"/>
          <w:sz w:val="18"/>
          <w:szCs w:val="18"/>
        </w:rPr>
        <w:t>t Items.”</w:t>
      </w:r>
    </w:p>
    <w:p w:rsidR="00000000" w:rsidRDefault="008931E1">
      <w:pPr>
        <w:divId w:val="1753356413"/>
        <w:rPr>
          <w:rFonts w:eastAsia="Times New Roman"/>
        </w:rPr>
      </w:pPr>
      <w:r>
        <w:rPr>
          <w:rFonts w:eastAsia="Times New Roman"/>
          <w:color w:val="000000"/>
          <w:sz w:val="18"/>
          <w:szCs w:val="18"/>
        </w:rPr>
        <w:t>(2) Earnings before income taxes.</w:t>
      </w:r>
    </w:p>
    <w:p w:rsidR="00000000" w:rsidRDefault="008931E1">
      <w:pPr>
        <w:jc w:val="center"/>
        <w:divId w:val="152990939"/>
        <w:rPr>
          <w:rFonts w:eastAsia="Times New Roman"/>
        </w:rPr>
      </w:pPr>
      <w:r>
        <w:rPr>
          <w:rFonts w:eastAsia="Times New Roman"/>
          <w:color w:val="000000"/>
          <w:sz w:val="20"/>
          <w:szCs w:val="20"/>
        </w:rPr>
        <w:t>43</w:t>
      </w:r>
    </w:p>
    <w:p w:rsidR="00000000" w:rsidRDefault="008931E1">
      <w:pPr>
        <w:rPr>
          <w:rFonts w:eastAsia="Times New Roman"/>
        </w:rPr>
      </w:pPr>
      <w:r>
        <w:rPr>
          <w:rFonts w:eastAsia="Times New Roman"/>
        </w:rPr>
        <w:pict>
          <v:rect id="_x0000_i1067" style="width:0;height:1.5pt" o:hralign="center" o:hrstd="t" o:hr="t" fillcolor="#a0a0a0" stroked="f"/>
        </w:pict>
      </w:r>
    </w:p>
    <w:p w:rsidR="00000000" w:rsidRDefault="008931E1">
      <w:pPr>
        <w:divId w:val="843786746"/>
        <w:rPr>
          <w:rFonts w:eastAsia="Times New Roman"/>
        </w:rPr>
      </w:pPr>
    </w:p>
    <w:p w:rsidR="00000000" w:rsidRDefault="008931E1">
      <w:pPr>
        <w:ind w:firstLine="360"/>
        <w:divId w:val="345326266"/>
        <w:rPr>
          <w:rFonts w:eastAsia="Times New Roman"/>
        </w:rPr>
      </w:pPr>
      <w:r>
        <w:rPr>
          <w:rFonts w:eastAsia="Times New Roman"/>
          <w:color w:val="000000"/>
          <w:sz w:val="20"/>
          <w:szCs w:val="20"/>
        </w:rPr>
        <w:t>Substantially all of QCT’</w:t>
      </w:r>
      <w:r>
        <w:rPr>
          <w:rFonts w:eastAsia="Times New Roman"/>
          <w:color w:val="000000"/>
          <w:sz w:val="20"/>
          <w:szCs w:val="20"/>
        </w:rPr>
        <w:t xml:space="preserve">s revenues consist of equipment and services revenues, which were $29.9 billion and $37.0 billion in fiscal 2023 and 2022, respectively. QCT handsets, automotive and IoT revenues mostly relate to sales of our Snapdragon platforms (which include processors </w:t>
      </w:r>
      <w:r>
        <w:rPr>
          <w:rFonts w:eastAsia="Times New Roman"/>
          <w:color w:val="000000"/>
          <w:sz w:val="20"/>
          <w:szCs w:val="20"/>
        </w:rPr>
        <w:t>and modems), stand-alone Mobile Data Modems, radio frequency transceiver, power management and wireless connectivity integrated chipsets as well as sales of 4G, 5G sub 6 and 5G millimeter wave RFFE products.</w:t>
      </w:r>
    </w:p>
    <w:p w:rsidR="00000000" w:rsidRDefault="008931E1">
      <w:pPr>
        <w:divId w:val="2013799479"/>
        <w:rPr>
          <w:rFonts w:eastAsia="Times New Roman"/>
        </w:rPr>
      </w:pPr>
      <w:r>
        <w:rPr>
          <w:rFonts w:eastAsia="Times New Roman"/>
          <w:b/>
          <w:bCs/>
          <w:i/>
          <w:iCs/>
          <w:color w:val="000000"/>
          <w:sz w:val="20"/>
          <w:szCs w:val="20"/>
        </w:rPr>
        <w:t>2023 vs. 2022</w:t>
      </w:r>
    </w:p>
    <w:p w:rsidR="00000000" w:rsidRDefault="008931E1">
      <w:pPr>
        <w:divId w:val="1679848258"/>
        <w:rPr>
          <w:rFonts w:eastAsia="Times New Roman"/>
        </w:rPr>
      </w:pPr>
      <w:r>
        <w:rPr>
          <w:rFonts w:eastAsia="Times New Roman"/>
          <w:color w:val="000000"/>
          <w:sz w:val="20"/>
          <w:szCs w:val="20"/>
        </w:rPr>
        <w:t>The decrease in QCT revenues in fi</w:t>
      </w:r>
      <w:r>
        <w:rPr>
          <w:rFonts w:eastAsia="Times New Roman"/>
          <w:color w:val="000000"/>
          <w:sz w:val="20"/>
          <w:szCs w:val="20"/>
        </w:rPr>
        <w:t>scal 2023 was primarily due to:</w:t>
      </w:r>
    </w:p>
    <w:p w:rsidR="00000000" w:rsidRDefault="008931E1">
      <w:pPr>
        <w:ind w:hanging="360"/>
        <w:divId w:val="1713113923"/>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lower handset revenues, primarily driven by $7.9 billion in lower chipset shipments to certain major OEMs (primarily driven by the negative effects of the macroeconomic environment weakness and customers drawing down on</w:t>
      </w:r>
      <w:r>
        <w:rPr>
          <w:rFonts w:eastAsia="Times New Roman"/>
          <w:color w:val="000000"/>
          <w:sz w:val="20"/>
          <w:szCs w:val="20"/>
        </w:rPr>
        <w:t xml:space="preserve"> their elevated inventory levels), partially offset by $1.7 billion in higher revenues per chipset primarily driven by favorable mix and increases in average selling prices </w:t>
      </w:r>
    </w:p>
    <w:p w:rsidR="00000000" w:rsidRDefault="008931E1">
      <w:pPr>
        <w:ind w:hanging="360"/>
        <w:divId w:val="32851687"/>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lower IoT revenues, primarily driven by a decrease in demand across consumer,</w:t>
      </w:r>
      <w:r>
        <w:rPr>
          <w:rFonts w:eastAsia="Times New Roman"/>
          <w:color w:val="000000"/>
          <w:sz w:val="20"/>
          <w:szCs w:val="20"/>
        </w:rPr>
        <w:t xml:space="preserve"> edge networking, and industrial products (primarily driven by the negative effects of the macroeconomic environment weakness and elevated customer inventory levels)</w:t>
      </w:r>
    </w:p>
    <w:p w:rsidR="00000000" w:rsidRDefault="008931E1">
      <w:pPr>
        <w:ind w:hanging="360"/>
        <w:divId w:val="372967930"/>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higher automotive revenues, primarily driven by an increase in demand for digital coc</w:t>
      </w:r>
      <w:r>
        <w:rPr>
          <w:rFonts w:eastAsia="Times New Roman"/>
          <w:color w:val="000000"/>
          <w:sz w:val="20"/>
          <w:szCs w:val="20"/>
        </w:rPr>
        <w:t>kpit products</w:t>
      </w:r>
    </w:p>
    <w:p w:rsidR="00000000" w:rsidRDefault="008931E1">
      <w:pPr>
        <w:divId w:val="1181166984"/>
        <w:rPr>
          <w:rFonts w:eastAsia="Times New Roman"/>
        </w:rPr>
      </w:pPr>
      <w:r>
        <w:rPr>
          <w:rFonts w:eastAsia="Times New Roman"/>
          <w:color w:val="000000"/>
          <w:sz w:val="20"/>
          <w:szCs w:val="20"/>
        </w:rPr>
        <w:t>QCT EBT as a percentage of revenues decreased in fiscal 2023 due to:</w:t>
      </w:r>
    </w:p>
    <w:p w:rsidR="00000000" w:rsidRDefault="008931E1">
      <w:pPr>
        <w:ind w:hanging="360"/>
        <w:divId w:val="1447698697"/>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lower revenues</w:t>
      </w:r>
    </w:p>
    <w:p w:rsidR="00000000" w:rsidRDefault="008931E1">
      <w:pPr>
        <w:ind w:hanging="360"/>
        <w:divId w:val="1590190694"/>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lower gross margin percentage, primarily driven by increased product costs</w:t>
      </w:r>
    </w:p>
    <w:p w:rsidR="00000000" w:rsidRDefault="008931E1">
      <w:pPr>
        <w:ind w:firstLine="360"/>
        <w:divId w:val="1092627130"/>
        <w:rPr>
          <w:rFonts w:eastAsia="Times New Roman"/>
        </w:rPr>
      </w:pPr>
      <w:r>
        <w:rPr>
          <w:rFonts w:eastAsia="Times New Roman"/>
          <w:b/>
          <w:bCs/>
          <w:i/>
          <w:iCs/>
          <w:color w:val="000000"/>
          <w:sz w:val="20"/>
          <w:szCs w:val="20"/>
        </w:rPr>
        <w:t>QTL Segment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7"/>
        <w:gridCol w:w="4880"/>
        <w:gridCol w:w="36"/>
        <w:gridCol w:w="110"/>
        <w:gridCol w:w="811"/>
        <w:gridCol w:w="170"/>
        <w:gridCol w:w="36"/>
        <w:gridCol w:w="36"/>
        <w:gridCol w:w="36"/>
        <w:gridCol w:w="110"/>
        <w:gridCol w:w="737"/>
        <w:gridCol w:w="170"/>
        <w:gridCol w:w="36"/>
        <w:gridCol w:w="36"/>
        <w:gridCol w:w="36"/>
        <w:gridCol w:w="36"/>
        <w:gridCol w:w="36"/>
        <w:gridCol w:w="110"/>
        <w:gridCol w:w="739"/>
        <w:gridCol w:w="36"/>
        <w:gridCol w:w="36"/>
        <w:gridCol w:w="36"/>
      </w:tblGrid>
      <w:tr w:rsidR="00000000">
        <w:trPr>
          <w:divId w:val="1092627130"/>
        </w:trPr>
        <w:tc>
          <w:tcPr>
            <w:tcW w:w="50" w:type="pct"/>
            <w:vAlign w:val="center"/>
            <w:hideMark/>
          </w:tcPr>
          <w:p w:rsidR="00000000" w:rsidRDefault="008931E1">
            <w:pPr>
              <w:ind w:firstLine="360"/>
              <w:rPr>
                <w:rFonts w:eastAsia="Times New Roman"/>
              </w:rPr>
            </w:pPr>
          </w:p>
        </w:tc>
        <w:tc>
          <w:tcPr>
            <w:tcW w:w="306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09262713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r>
      <w:tr w:rsidR="00000000">
        <w:trPr>
          <w:divId w:val="1092627130"/>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Licensing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5,306 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6,358 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092627130"/>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EBT</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3,628 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4,628 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(1,000)</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092627130"/>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EBT as a % of revenues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jc w:val="right"/>
              <w:rPr>
                <w:rFonts w:eastAsia="Times New Roman"/>
              </w:rPr>
            </w:pPr>
            <w:r>
              <w:rPr>
                <w:rFonts w:eastAsia="Times New Roman"/>
                <w:color w:val="000000"/>
                <w:sz w:val="18"/>
                <w:szCs w:val="18"/>
              </w:rPr>
              <w:t>-5 points</w:t>
            </w:r>
          </w:p>
        </w:tc>
        <w:tc>
          <w:tcPr>
            <w:tcW w:w="0" w:type="auto"/>
            <w:vAlign w:val="center"/>
            <w:hideMark/>
          </w:tcPr>
          <w:p w:rsidR="00000000" w:rsidRDefault="008931E1">
            <w:pPr>
              <w:spacing w:after="100"/>
              <w:jc w:val="right"/>
              <w:rPr>
                <w:rFonts w:eastAsia="Times New Roman"/>
              </w:rPr>
            </w:pPr>
          </w:p>
        </w:tc>
        <w:tc>
          <w:tcPr>
            <w:tcW w:w="0" w:type="auto"/>
            <w:vAlign w:val="center"/>
            <w:hideMark/>
          </w:tcPr>
          <w:p w:rsidR="00000000" w:rsidRDefault="008931E1">
            <w:pPr>
              <w:spacing w:after="100"/>
              <w:rPr>
                <w:rFonts w:eastAsia="Times New Roman"/>
                <w:sz w:val="20"/>
                <w:szCs w:val="20"/>
              </w:rPr>
            </w:pPr>
          </w:p>
        </w:tc>
      </w:tr>
      <w:tr w:rsidR="00000000">
        <w:trPr>
          <w:divId w:val="1092627130"/>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092627130"/>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bl>
    <w:p w:rsidR="00000000" w:rsidRDefault="008931E1">
      <w:pPr>
        <w:ind w:hanging="720"/>
        <w:divId w:val="790974289"/>
        <w:rPr>
          <w:rFonts w:eastAsia="Times New Roman"/>
        </w:rPr>
      </w:pPr>
      <w:r>
        <w:rPr>
          <w:rFonts w:eastAsia="Times New Roman"/>
          <w:b/>
          <w:bCs/>
          <w:i/>
          <w:iCs/>
          <w:color w:val="000000"/>
          <w:sz w:val="20"/>
          <w:szCs w:val="20"/>
        </w:rPr>
        <w:t>2023 vs. 2022</w:t>
      </w:r>
    </w:p>
    <w:p w:rsidR="00000000" w:rsidRDefault="008931E1">
      <w:pPr>
        <w:divId w:val="119806363"/>
        <w:rPr>
          <w:rFonts w:eastAsia="Times New Roman"/>
        </w:rPr>
      </w:pPr>
      <w:r>
        <w:rPr>
          <w:rFonts w:eastAsia="Times New Roman"/>
          <w:color w:val="000000"/>
          <w:sz w:val="20"/>
          <w:szCs w:val="20"/>
        </w:rPr>
        <w:t>The decrease in QTL licensing revenues in fiscal 2023 was primarily due to:</w:t>
      </w:r>
    </w:p>
    <w:p w:rsidR="00000000" w:rsidRDefault="008931E1">
      <w:pPr>
        <w:ind w:hanging="360"/>
        <w:divId w:val="1521509082"/>
        <w:rPr>
          <w:rFonts w:eastAsia="Times New Roman"/>
        </w:rPr>
      </w:pPr>
      <w:r>
        <w:rPr>
          <w:rFonts w:ascii="Century Gothic" w:eastAsia="Times New Roman" w:hAnsi="Century Gothic"/>
          <w:b/>
          <w:bCs/>
          <w:color w:val="000000"/>
          <w:sz w:val="20"/>
          <w:szCs w:val="20"/>
        </w:rPr>
        <w:t>-    </w:t>
      </w:r>
      <w:r>
        <w:rPr>
          <w:rFonts w:eastAsia="Times New Roman"/>
          <w:color w:val="000000"/>
          <w:sz w:val="20"/>
          <w:szCs w:val="20"/>
        </w:rPr>
        <w:t>$730 million decrease in estimated sales of 3G/4G/5G-based multimode products, primarily driven by the macroeconomic environment weakness</w:t>
      </w:r>
    </w:p>
    <w:p w:rsidR="00000000" w:rsidRDefault="008931E1">
      <w:pPr>
        <w:ind w:hanging="360"/>
        <w:divId w:val="2021851297"/>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$205 million decrease in revenues from the ending of the recognition of certain upfront license fee consideration</w:t>
      </w:r>
      <w:r>
        <w:rPr>
          <w:rFonts w:eastAsia="Times New Roman"/>
          <w:color w:val="000000"/>
          <w:sz w:val="20"/>
          <w:szCs w:val="20"/>
        </w:rPr>
        <w:t xml:space="preserve"> in the first quarter of fiscal 2023 from our long-term license agreement with Nokia</w:t>
      </w:r>
    </w:p>
    <w:p w:rsidR="00000000" w:rsidRDefault="008931E1">
      <w:pPr>
        <w:divId w:val="516847315"/>
        <w:rPr>
          <w:rFonts w:eastAsia="Times New Roman"/>
        </w:rPr>
      </w:pPr>
      <w:r>
        <w:rPr>
          <w:rFonts w:eastAsia="Times New Roman"/>
          <w:color w:val="000000"/>
          <w:sz w:val="20"/>
          <w:szCs w:val="20"/>
        </w:rPr>
        <w:t>QTL EBT as a percentage of revenues decreased in fiscal 2023 primarily due to lower revenues.</w:t>
      </w:r>
    </w:p>
    <w:p w:rsidR="00000000" w:rsidRDefault="008931E1">
      <w:pPr>
        <w:ind w:firstLine="360"/>
        <w:divId w:val="1907256536"/>
        <w:rPr>
          <w:rFonts w:eastAsia="Times New Roman"/>
        </w:rPr>
      </w:pPr>
      <w:r>
        <w:rPr>
          <w:rFonts w:eastAsia="Times New Roman"/>
          <w:b/>
          <w:bCs/>
          <w:i/>
          <w:iCs/>
          <w:color w:val="000000"/>
          <w:sz w:val="20"/>
          <w:szCs w:val="20"/>
        </w:rPr>
        <w:t>QSI Segment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956"/>
        <w:gridCol w:w="36"/>
        <w:gridCol w:w="111"/>
        <w:gridCol w:w="849"/>
        <w:gridCol w:w="36"/>
        <w:gridCol w:w="36"/>
        <w:gridCol w:w="36"/>
        <w:gridCol w:w="36"/>
        <w:gridCol w:w="111"/>
        <w:gridCol w:w="813"/>
        <w:gridCol w:w="36"/>
        <w:gridCol w:w="36"/>
        <w:gridCol w:w="36"/>
        <w:gridCol w:w="36"/>
        <w:gridCol w:w="36"/>
        <w:gridCol w:w="36"/>
        <w:gridCol w:w="111"/>
        <w:gridCol w:w="814"/>
        <w:gridCol w:w="36"/>
        <w:gridCol w:w="36"/>
        <w:gridCol w:w="36"/>
      </w:tblGrid>
      <w:tr w:rsidR="00000000">
        <w:trPr>
          <w:divId w:val="1907256536"/>
        </w:trPr>
        <w:tc>
          <w:tcPr>
            <w:tcW w:w="50" w:type="pct"/>
            <w:vAlign w:val="center"/>
            <w:hideMark/>
          </w:tcPr>
          <w:p w:rsidR="00000000" w:rsidRDefault="008931E1">
            <w:pPr>
              <w:ind w:firstLine="360"/>
              <w:rPr>
                <w:rFonts w:eastAsia="Times New Roman"/>
              </w:rPr>
            </w:pPr>
          </w:p>
        </w:tc>
        <w:tc>
          <w:tcPr>
            <w:tcW w:w="306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07256536"/>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r>
      <w:tr w:rsidR="00000000">
        <w:trPr>
          <w:divId w:val="1907256536"/>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Equipment and services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907256536"/>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399249700"/>
              <w:rPr>
                <w:rFonts w:eastAsia="Times New Roman"/>
              </w:rPr>
            </w:pPr>
            <w:r>
              <w:rPr>
                <w:rFonts w:eastAsia="Times New Roman"/>
                <w:color w:val="000000"/>
                <w:sz w:val="18"/>
                <w:szCs w:val="18"/>
              </w:rPr>
              <w:t>Loss before income taxes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(279)</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267 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bl>
    <w:p w:rsidR="00000000" w:rsidRDefault="008931E1">
      <w:pPr>
        <w:divId w:val="1210265715"/>
        <w:rPr>
          <w:rFonts w:eastAsia="Times New Roman"/>
        </w:rPr>
      </w:pPr>
      <w:r>
        <w:rPr>
          <w:rFonts w:eastAsia="Times New Roman"/>
          <w:b/>
          <w:bCs/>
          <w:i/>
          <w:iCs/>
          <w:color w:val="000000"/>
          <w:sz w:val="20"/>
          <w:szCs w:val="20"/>
        </w:rPr>
        <w:t>2023 vs. 2022</w:t>
      </w:r>
    </w:p>
    <w:p w:rsidR="00000000" w:rsidRDefault="008931E1">
      <w:pPr>
        <w:divId w:val="814490240"/>
        <w:rPr>
          <w:rFonts w:eastAsia="Times New Roman"/>
        </w:rPr>
      </w:pPr>
      <w:r>
        <w:rPr>
          <w:rFonts w:eastAsia="Times New Roman"/>
          <w:color w:val="000000"/>
          <w:sz w:val="20"/>
          <w:szCs w:val="20"/>
        </w:rPr>
        <w:t>The decrease in QSI loss before income taxes in fiscal 2023 was primarily due to a $350 million decrease in net losses on investments, which was primarily driven b</w:t>
      </w:r>
      <w:r>
        <w:rPr>
          <w:rFonts w:eastAsia="Times New Roman"/>
          <w:color w:val="000000"/>
          <w:sz w:val="20"/>
          <w:szCs w:val="20"/>
        </w:rPr>
        <w:t xml:space="preserve">y the change in fair value of certain of our marketable equity investments in early or growth stage companies, partially offset by a $61 million increase in impairment losses on certain investments. </w:t>
      </w:r>
    </w:p>
    <w:p w:rsidR="00000000" w:rsidRDefault="008931E1">
      <w:pPr>
        <w:divId w:val="293223217"/>
        <w:rPr>
          <w:rFonts w:eastAsia="Times New Roman"/>
        </w:rPr>
      </w:pPr>
      <w:r>
        <w:rPr>
          <w:rFonts w:eastAsia="Times New Roman"/>
          <w:b/>
          <w:bCs/>
          <w:color w:val="000000"/>
          <w:sz w:val="20"/>
          <w:szCs w:val="20"/>
        </w:rPr>
        <w:t>Looking Forward</w:t>
      </w:r>
    </w:p>
    <w:p w:rsidR="00000000" w:rsidRDefault="008931E1">
      <w:pPr>
        <w:ind w:firstLine="360"/>
        <w:divId w:val="1475440225"/>
        <w:rPr>
          <w:rFonts w:eastAsia="Times New Roman"/>
        </w:rPr>
      </w:pPr>
      <w:r>
        <w:rPr>
          <w:rFonts w:eastAsia="Times New Roman"/>
          <w:color w:val="000000"/>
          <w:sz w:val="20"/>
          <w:szCs w:val="20"/>
        </w:rPr>
        <w:t xml:space="preserve">In the coming years, we expect consumer </w:t>
      </w:r>
      <w:r>
        <w:rPr>
          <w:rFonts w:eastAsia="Times New Roman"/>
          <w:color w:val="000000"/>
          <w:sz w:val="20"/>
          <w:szCs w:val="20"/>
        </w:rPr>
        <w:t>demand for 3G/4G/5G multimode and 5G products and services to continue to ramp around the world as we continue to transition from 3G/4G multimode and 4G products and services. We believe that 5G combined with high-performance, low-power processing and on-d</w:t>
      </w:r>
      <w:r>
        <w:rPr>
          <w:rFonts w:eastAsia="Times New Roman"/>
          <w:color w:val="000000"/>
          <w:sz w:val="20"/>
          <w:szCs w:val="20"/>
        </w:rPr>
        <w:t>evice intelligence will continue to drive adoption of certain technologies that are already commonly used in smartphones by industries and applications beyond mobile handsets, such as automotive and IoT. We believe it is important that we remain a leader i</w:t>
      </w:r>
      <w:r>
        <w:rPr>
          <w:rFonts w:eastAsia="Times New Roman"/>
          <w:color w:val="000000"/>
          <w:sz w:val="20"/>
          <w:szCs w:val="20"/>
        </w:rPr>
        <w:t>n 5G technology development, standardization, intellectual property creation and licensing, and a leading developer and supplier of 5G integrated circuit products in order to sustain and grow our business long term.</w:t>
      </w:r>
    </w:p>
    <w:p w:rsidR="00000000" w:rsidRDefault="008931E1">
      <w:pPr>
        <w:ind w:firstLine="360"/>
        <w:divId w:val="365912701"/>
        <w:rPr>
          <w:rFonts w:eastAsia="Times New Roman"/>
        </w:rPr>
      </w:pPr>
      <w:r>
        <w:rPr>
          <w:rFonts w:eastAsia="Times New Roman"/>
          <w:color w:val="000000"/>
          <w:sz w:val="20"/>
          <w:szCs w:val="20"/>
        </w:rPr>
        <w:t>As we look forward to the next several q</w:t>
      </w:r>
      <w:r>
        <w:rPr>
          <w:rFonts w:eastAsia="Times New Roman"/>
          <w:color w:val="000000"/>
          <w:sz w:val="20"/>
          <w:szCs w:val="20"/>
        </w:rPr>
        <w:t>uarters:</w:t>
      </w:r>
    </w:p>
    <w:p w:rsidR="00000000" w:rsidRDefault="008931E1">
      <w:pPr>
        <w:ind w:hanging="360"/>
        <w:divId w:val="2021272481"/>
        <w:rPr>
          <w:rFonts w:eastAsia="Times New Roman"/>
        </w:rPr>
      </w:pPr>
      <w:r>
        <w:rPr>
          <w:rFonts w:eastAsia="Times New Roman"/>
          <w:color w:val="000000"/>
          <w:sz w:val="20"/>
          <w:szCs w:val="20"/>
        </w:rPr>
        <w:t>•We expect certain customers will continue to draw down on their inventory (which remains at elevated levels), which will continue to have a negative impact on our revenues, results of operations and cash flows. This dynamic, along with weaker con</w:t>
      </w:r>
      <w:r>
        <w:rPr>
          <w:rFonts w:eastAsia="Times New Roman"/>
          <w:color w:val="000000"/>
          <w:sz w:val="20"/>
          <w:szCs w:val="20"/>
        </w:rPr>
        <w:t>sumer demand for smartphones and other devices that incorporate our products and technologies in fiscal 2023 relative to the prior year, have also contributed to our elevated inventory levels and contribute to the inherent uncertainties in estimating futur</w:t>
      </w:r>
      <w:r>
        <w:rPr>
          <w:rFonts w:eastAsia="Times New Roman"/>
          <w:color w:val="000000"/>
          <w:sz w:val="20"/>
          <w:szCs w:val="20"/>
        </w:rPr>
        <w:t xml:space="preserve">e customer demand, which may increase excess or obsolete </w:t>
      </w:r>
    </w:p>
    <w:p w:rsidR="00000000" w:rsidRDefault="008931E1">
      <w:pPr>
        <w:jc w:val="center"/>
        <w:divId w:val="1405879033"/>
        <w:rPr>
          <w:rFonts w:eastAsia="Times New Roman"/>
        </w:rPr>
      </w:pPr>
      <w:r>
        <w:rPr>
          <w:rFonts w:eastAsia="Times New Roman"/>
          <w:color w:val="000000"/>
          <w:sz w:val="20"/>
          <w:szCs w:val="20"/>
        </w:rPr>
        <w:t>44</w:t>
      </w:r>
    </w:p>
    <w:p w:rsidR="00000000" w:rsidRDefault="008931E1">
      <w:pPr>
        <w:rPr>
          <w:rFonts w:eastAsia="Times New Roman"/>
        </w:rPr>
      </w:pPr>
      <w:r>
        <w:rPr>
          <w:rFonts w:eastAsia="Times New Roman"/>
        </w:rPr>
        <w:pict>
          <v:rect id="_x0000_i1068" style="width:0;height:1.5pt" o:hralign="center" o:hrstd="t" o:hr="t" fillcolor="#a0a0a0" stroked="f"/>
        </w:pict>
      </w:r>
    </w:p>
    <w:p w:rsidR="00000000" w:rsidRDefault="008931E1">
      <w:pPr>
        <w:divId w:val="2050295598"/>
        <w:rPr>
          <w:rFonts w:eastAsia="Times New Roman"/>
        </w:rPr>
      </w:pPr>
    </w:p>
    <w:p w:rsidR="00000000" w:rsidRDefault="008931E1">
      <w:pPr>
        <w:divId w:val="2033920864"/>
        <w:rPr>
          <w:rFonts w:eastAsia="Times New Roman"/>
        </w:rPr>
      </w:pPr>
      <w:r>
        <w:rPr>
          <w:rFonts w:eastAsia="Times New Roman"/>
          <w:color w:val="000000"/>
          <w:sz w:val="20"/>
          <w:szCs w:val="20"/>
        </w:rPr>
        <w:t>inventory or reserve charges if we overestimate such demand, negatively impacting our results of operations and cash flows.</w:t>
      </w:r>
    </w:p>
    <w:p w:rsidR="00000000" w:rsidRDefault="008931E1">
      <w:pPr>
        <w:ind w:hanging="360"/>
        <w:divId w:val="137041456"/>
        <w:rPr>
          <w:rFonts w:eastAsia="Times New Roman"/>
        </w:rPr>
      </w:pPr>
      <w:r>
        <w:rPr>
          <w:rFonts w:eastAsia="Times New Roman"/>
          <w:color w:val="000000"/>
          <w:sz w:val="20"/>
          <w:szCs w:val="20"/>
        </w:rPr>
        <w:t>•We expect to continue to see product cost increases from certain of our key semiconductor waf</w:t>
      </w:r>
      <w:r>
        <w:rPr>
          <w:rFonts w:eastAsia="Times New Roman"/>
          <w:color w:val="000000"/>
          <w:sz w:val="20"/>
          <w:szCs w:val="20"/>
        </w:rPr>
        <w:t>er suppliers.</w:t>
      </w:r>
    </w:p>
    <w:p w:rsidR="00000000" w:rsidRDefault="008931E1">
      <w:pPr>
        <w:ind w:hanging="360"/>
        <w:divId w:val="1278025841"/>
        <w:rPr>
          <w:rFonts w:eastAsia="Times New Roman"/>
        </w:rPr>
      </w:pPr>
      <w:r>
        <w:rPr>
          <w:rFonts w:eastAsia="Times New Roman"/>
          <w:color w:val="000000"/>
          <w:sz w:val="20"/>
          <w:szCs w:val="20"/>
        </w:rPr>
        <w:t>•We expect commercial 5G network deployments and device launches will continue.</w:t>
      </w:r>
    </w:p>
    <w:p w:rsidR="00000000" w:rsidRDefault="008931E1">
      <w:pPr>
        <w:ind w:hanging="360"/>
        <w:divId w:val="575283925"/>
        <w:rPr>
          <w:rFonts w:eastAsia="Times New Roman"/>
        </w:rPr>
      </w:pPr>
      <w:r>
        <w:rPr>
          <w:rFonts w:eastAsia="Times New Roman"/>
          <w:i/>
          <w:iCs/>
          <w:color w:val="000000"/>
          <w:sz w:val="20"/>
          <w:szCs w:val="20"/>
        </w:rPr>
        <w:t>•</w:t>
      </w:r>
      <w:r>
        <w:rPr>
          <w:rFonts w:eastAsia="Times New Roman"/>
          <w:color w:val="000000"/>
          <w:sz w:val="20"/>
          <w:szCs w:val="20"/>
        </w:rPr>
        <w:t>We expect continued intense competition, including from vertical integration by certain of our customers (for example, Samsung and Huawei).</w:t>
      </w:r>
    </w:p>
    <w:p w:rsidR="00000000" w:rsidRDefault="008931E1">
      <w:pPr>
        <w:ind w:hanging="360"/>
        <w:divId w:val="1664964078"/>
        <w:rPr>
          <w:rFonts w:eastAsia="Times New Roman"/>
        </w:rPr>
      </w:pPr>
      <w:r>
        <w:rPr>
          <w:rFonts w:eastAsia="Times New Roman"/>
          <w:color w:val="000000"/>
          <w:sz w:val="20"/>
          <w:szCs w:val="20"/>
        </w:rPr>
        <w:t xml:space="preserve">•Given the continued </w:t>
      </w:r>
      <w:r>
        <w:rPr>
          <w:rFonts w:eastAsia="Times New Roman"/>
          <w:color w:val="000000"/>
          <w:sz w:val="20"/>
          <w:szCs w:val="20"/>
        </w:rPr>
        <w:t>uncertainty in the macroeconomic and demand environment, we have initiated certain restructuring actions in the fourth quarter of fiscal 2023 to enable investments in key growth and diversification opportunities. We anticipate these actions to be substanti</w:t>
      </w:r>
      <w:r>
        <w:rPr>
          <w:rFonts w:eastAsia="Times New Roman"/>
          <w:color w:val="000000"/>
          <w:sz w:val="20"/>
          <w:szCs w:val="20"/>
        </w:rPr>
        <w:t>ally completed in the first half of fiscal 2024.</w:t>
      </w:r>
    </w:p>
    <w:p w:rsidR="00000000" w:rsidRDefault="008931E1">
      <w:pPr>
        <w:ind w:hanging="360"/>
        <w:divId w:val="932587777"/>
        <w:rPr>
          <w:rFonts w:eastAsia="Times New Roman"/>
        </w:rPr>
      </w:pPr>
      <w:r>
        <w:rPr>
          <w:rFonts w:eastAsia="Times New Roman"/>
          <w:color w:val="000000"/>
          <w:sz w:val="20"/>
          <w:szCs w:val="20"/>
        </w:rPr>
        <w:t>•Current U.S./China trade relations and/or national security protection policies may negatively impact our business, growth prospects and results of operations. See “Risk Factors” in this Annual Report, incl</w:t>
      </w:r>
      <w:r>
        <w:rPr>
          <w:rFonts w:eastAsia="Times New Roman"/>
          <w:color w:val="000000"/>
          <w:sz w:val="20"/>
          <w:szCs w:val="20"/>
        </w:rPr>
        <w:t>uding the Risk Factor titled “</w:t>
      </w:r>
      <w:r>
        <w:rPr>
          <w:rFonts w:eastAsia="Times New Roman"/>
          <w:i/>
          <w:iCs/>
          <w:color w:val="000000"/>
          <w:sz w:val="20"/>
          <w:szCs w:val="20"/>
        </w:rPr>
        <w:t>A significant portion of our business is concentrated in China, and the risks of such concentration are exacerbated by U.S./China trade and national security tensions.”</w:t>
      </w:r>
    </w:p>
    <w:p w:rsidR="00000000" w:rsidRDefault="008931E1">
      <w:pPr>
        <w:ind w:firstLine="360"/>
        <w:divId w:val="764689902"/>
        <w:rPr>
          <w:rFonts w:eastAsia="Times New Roman"/>
        </w:rPr>
      </w:pPr>
      <w:r>
        <w:rPr>
          <w:rFonts w:eastAsia="Times New Roman"/>
          <w:color w:val="000000"/>
          <w:sz w:val="20"/>
          <w:szCs w:val="20"/>
        </w:rPr>
        <w:t xml:space="preserve">Further, while future developments are highly uncertain, </w:t>
      </w:r>
      <w:r>
        <w:rPr>
          <w:rFonts w:eastAsia="Times New Roman"/>
          <w:color w:val="000000"/>
          <w:sz w:val="20"/>
          <w:szCs w:val="20"/>
        </w:rPr>
        <w:t>we currently do not expect a significant impact on our results of operations in the future due to the Israel-Hamas war. See “Risk Factors” in this Annual Report, specifically the Risk Factor titled “</w:t>
      </w:r>
      <w:r>
        <w:rPr>
          <w:rFonts w:eastAsia="Times New Roman"/>
          <w:i/>
          <w:iCs/>
          <w:color w:val="000000"/>
          <w:sz w:val="20"/>
          <w:szCs w:val="20"/>
        </w:rPr>
        <w:t xml:space="preserve">Geopolitical conflicts, natural disasters, pandemics and </w:t>
      </w:r>
      <w:r>
        <w:rPr>
          <w:rFonts w:eastAsia="Times New Roman"/>
          <w:i/>
          <w:iCs/>
          <w:color w:val="000000"/>
          <w:sz w:val="20"/>
          <w:szCs w:val="20"/>
        </w:rPr>
        <w:t>other health crises, and other factors outside of our control, could significantly disrupt our business.</w:t>
      </w:r>
      <w:r>
        <w:rPr>
          <w:rFonts w:eastAsia="Times New Roman"/>
          <w:color w:val="000000"/>
          <w:sz w:val="20"/>
          <w:szCs w:val="20"/>
        </w:rPr>
        <w:t>”</w:t>
      </w:r>
    </w:p>
    <w:p w:rsidR="00000000" w:rsidRDefault="008931E1">
      <w:pPr>
        <w:ind w:firstLine="360"/>
        <w:divId w:val="1611165001"/>
        <w:rPr>
          <w:rFonts w:eastAsia="Times New Roman"/>
        </w:rPr>
      </w:pPr>
      <w:r>
        <w:rPr>
          <w:rFonts w:eastAsia="Times New Roman"/>
          <w:color w:val="000000"/>
          <w:sz w:val="20"/>
          <w:szCs w:val="20"/>
        </w:rPr>
        <w:t>In addition to the foregoing business and market-based matters, we continue to devote resources to working with and educating participants in the wire</w:t>
      </w:r>
      <w:r>
        <w:rPr>
          <w:rFonts w:eastAsia="Times New Roman"/>
          <w:color w:val="000000"/>
          <w:sz w:val="20"/>
          <w:szCs w:val="20"/>
        </w:rPr>
        <w:t>less industry and governments as to the benefits of our licensing programs and our extensive technology investments in promoting a highly competitive and innovative wireless industry. However, we expect that certain companies may be dissatisfied with the n</w:t>
      </w:r>
      <w:r>
        <w:rPr>
          <w:rFonts w:eastAsia="Times New Roman"/>
          <w:color w:val="000000"/>
          <w:sz w:val="20"/>
          <w:szCs w:val="20"/>
        </w:rPr>
        <w:t>eed to pay reasonable royalties for the use of our technologies and not welcome the success of our licensing programs in enabling new, highly cost-effective competitors to their products. Accordingly, such companies, and/or governments or regulators, may c</w:t>
      </w:r>
      <w:r>
        <w:rPr>
          <w:rFonts w:eastAsia="Times New Roman"/>
          <w:color w:val="000000"/>
          <w:sz w:val="20"/>
          <w:szCs w:val="20"/>
        </w:rPr>
        <w:t>ontinue to challenge our business model in various forums throughout the world.</w:t>
      </w:r>
    </w:p>
    <w:p w:rsidR="00000000" w:rsidRDefault="008931E1">
      <w:pPr>
        <w:ind w:firstLine="360"/>
        <w:divId w:val="953484394"/>
        <w:rPr>
          <w:rFonts w:eastAsia="Times New Roman"/>
        </w:rPr>
      </w:pPr>
      <w:r>
        <w:rPr>
          <w:rFonts w:eastAsia="Times New Roman"/>
          <w:color w:val="000000"/>
          <w:sz w:val="20"/>
          <w:szCs w:val="20"/>
        </w:rPr>
        <w:t xml:space="preserve">Further discussion of risks related to our business is provided in “Part I, Item 1A. Risk Factors” included in this Annual Report. </w:t>
      </w:r>
    </w:p>
    <w:p w:rsidR="00000000" w:rsidRDefault="008931E1">
      <w:pPr>
        <w:divId w:val="1529677506"/>
        <w:rPr>
          <w:rFonts w:eastAsia="Times New Roman"/>
        </w:rPr>
      </w:pPr>
      <w:r>
        <w:rPr>
          <w:rFonts w:eastAsia="Times New Roman"/>
          <w:b/>
          <w:bCs/>
          <w:color w:val="000000"/>
          <w:sz w:val="20"/>
          <w:szCs w:val="20"/>
        </w:rPr>
        <w:t>Liquidity and Capital Resources</w:t>
      </w:r>
    </w:p>
    <w:p w:rsidR="00000000" w:rsidRDefault="008931E1">
      <w:pPr>
        <w:ind w:firstLine="360"/>
        <w:divId w:val="1262108987"/>
        <w:rPr>
          <w:rFonts w:eastAsia="Times New Roman"/>
        </w:rPr>
      </w:pPr>
      <w:r>
        <w:rPr>
          <w:rFonts w:eastAsia="Times New Roman"/>
          <w:color w:val="000000"/>
          <w:sz w:val="20"/>
          <w:szCs w:val="20"/>
        </w:rPr>
        <w:t>Our principa</w:t>
      </w:r>
      <w:r>
        <w:rPr>
          <w:rFonts w:eastAsia="Times New Roman"/>
          <w:color w:val="000000"/>
          <w:sz w:val="20"/>
          <w:szCs w:val="20"/>
        </w:rPr>
        <w:t xml:space="preserve">l sources of liquidity are our existing cash, cash equivalents and marketable securities, cash generated from operations and cash provided by our debt programs, which we believe will satisfy our working and other capital requirements for at least the next </w:t>
      </w:r>
      <w:r>
        <w:rPr>
          <w:rFonts w:eastAsia="Times New Roman"/>
          <w:color w:val="000000"/>
          <w:sz w:val="20"/>
          <w:szCs w:val="20"/>
        </w:rPr>
        <w:t xml:space="preserve">12 months based on our current business plans. </w:t>
      </w:r>
    </w:p>
    <w:p w:rsidR="00000000" w:rsidRDefault="008931E1">
      <w:pPr>
        <w:ind w:firstLine="360"/>
        <w:divId w:val="183788524"/>
        <w:rPr>
          <w:rFonts w:eastAsia="Times New Roman"/>
        </w:rPr>
      </w:pPr>
      <w:r>
        <w:rPr>
          <w:rFonts w:eastAsia="Times New Roman"/>
          <w:color w:val="000000"/>
          <w:sz w:val="20"/>
          <w:szCs w:val="20"/>
        </w:rPr>
        <w:t>The following table presents selected financial information related to our liquidity as of and for the years ended September 24, 2023 and September 25, 2022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000"/>
        <w:gridCol w:w="36"/>
        <w:gridCol w:w="111"/>
        <w:gridCol w:w="857"/>
        <w:gridCol w:w="36"/>
        <w:gridCol w:w="36"/>
        <w:gridCol w:w="36"/>
        <w:gridCol w:w="36"/>
        <w:gridCol w:w="111"/>
        <w:gridCol w:w="823"/>
        <w:gridCol w:w="36"/>
        <w:gridCol w:w="36"/>
        <w:gridCol w:w="36"/>
        <w:gridCol w:w="36"/>
        <w:gridCol w:w="111"/>
        <w:gridCol w:w="823"/>
        <w:gridCol w:w="36"/>
        <w:gridCol w:w="36"/>
        <w:gridCol w:w="36"/>
      </w:tblGrid>
      <w:tr w:rsidR="00000000">
        <w:trPr>
          <w:divId w:val="1028750732"/>
        </w:trPr>
        <w:tc>
          <w:tcPr>
            <w:tcW w:w="50" w:type="pct"/>
            <w:vAlign w:val="center"/>
            <w:hideMark/>
          </w:tcPr>
          <w:p w:rsidR="00000000" w:rsidRDefault="008931E1">
            <w:pPr>
              <w:ind w:firstLine="360"/>
              <w:rPr>
                <w:rFonts w:eastAsia="Times New Roman"/>
              </w:rPr>
            </w:pPr>
          </w:p>
        </w:tc>
        <w:tc>
          <w:tcPr>
            <w:tcW w:w="306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028750732"/>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Change</w:t>
            </w:r>
          </w:p>
        </w:tc>
        <w:tc>
          <w:tcPr>
            <w:tcW w:w="0" w:type="auto"/>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r>
      <w:tr w:rsidR="00000000">
        <w:trPr>
          <w:divId w:val="102875073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Cash and cash equivalents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8,450 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5,677 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02875073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2,874 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3,609 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(735)</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02875073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r>
              <w:rPr>
                <w:rFonts w:eastAsia="Times New Roman"/>
                <w:color w:val="000000"/>
                <w:sz w:val="18"/>
                <w:szCs w:val="18"/>
              </w:rPr>
              <w:t>Cash, cash equivalents and marketable securities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11,324 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6,382 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4,942 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bl>
    <w:p w:rsidR="00000000" w:rsidRDefault="008931E1">
      <w:pPr>
        <w:divId w:val="330526495"/>
        <w:rPr>
          <w:rFonts w:eastAsia="Times New Roman"/>
        </w:rPr>
      </w:pPr>
      <w:r>
        <w:rPr>
          <w:rFonts w:eastAsia="Times New Roman"/>
          <w:color w:val="000000"/>
          <w:sz w:val="18"/>
          <w:szCs w:val="18"/>
        </w:rPr>
        <w:t>(1) Excludes $77 million and $326 million of cash and cash equivalents classified as held for sale (included in other current assets) at September 24, 2023 and September 25, 2022, respectively.</w:t>
      </w:r>
    </w:p>
    <w:tbl>
      <w:tblPr>
        <w:tblW w:w="5000" w:type="pct"/>
        <w:tblCellMar>
          <w:top w:w="15" w:type="dxa"/>
          <w:left w:w="15" w:type="dxa"/>
          <w:bottom w:w="15" w:type="dxa"/>
          <w:right w:w="15" w:type="dxa"/>
        </w:tblCellMar>
        <w:tblLook w:val="04A0" w:firstRow="1" w:lastRow="0" w:firstColumn="1" w:lastColumn="0" w:noHBand="0" w:noVBand="1"/>
      </w:tblPr>
      <w:tblGrid>
        <w:gridCol w:w="39"/>
        <w:gridCol w:w="5046"/>
        <w:gridCol w:w="36"/>
        <w:gridCol w:w="110"/>
        <w:gridCol w:w="866"/>
        <w:gridCol w:w="36"/>
        <w:gridCol w:w="36"/>
        <w:gridCol w:w="36"/>
        <w:gridCol w:w="36"/>
        <w:gridCol w:w="110"/>
        <w:gridCol w:w="832"/>
        <w:gridCol w:w="36"/>
        <w:gridCol w:w="36"/>
        <w:gridCol w:w="36"/>
        <w:gridCol w:w="36"/>
        <w:gridCol w:w="111"/>
        <w:gridCol w:w="832"/>
        <w:gridCol w:w="36"/>
      </w:tblGrid>
      <w:tr w:rsidR="00000000">
        <w:trPr>
          <w:divId w:val="376391486"/>
        </w:trPr>
        <w:tc>
          <w:tcPr>
            <w:tcW w:w="50" w:type="pct"/>
            <w:vAlign w:val="center"/>
            <w:hideMark/>
          </w:tcPr>
          <w:p w:rsidR="00000000" w:rsidRDefault="008931E1">
            <w:pPr>
              <w:rPr>
                <w:rFonts w:eastAsia="Times New Roman"/>
              </w:rPr>
            </w:pPr>
          </w:p>
        </w:tc>
        <w:tc>
          <w:tcPr>
            <w:tcW w:w="306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376391486"/>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Change</w:t>
            </w:r>
          </w:p>
        </w:tc>
      </w:tr>
      <w:tr w:rsidR="00000000">
        <w:trPr>
          <w:divId w:val="376391486"/>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76391486"/>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770855671"/>
              <w:rPr>
                <w:rFonts w:eastAsia="Times New Roman"/>
              </w:rPr>
            </w:pPr>
            <w:r>
              <w:rPr>
                <w:rFonts w:eastAsia="Times New Roman"/>
                <w:color w:val="000000"/>
                <w:sz w:val="18"/>
                <w:szCs w:val="18"/>
              </w:rPr>
              <w:t>Net cash provided (used) by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762 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(5,804)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6,566 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76391486"/>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cash used by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(6,663)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(7,196)</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533 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firstLine="360"/>
        <w:divId w:val="724641339"/>
        <w:rPr>
          <w:rFonts w:eastAsia="Times New Roman"/>
        </w:rPr>
      </w:pPr>
      <w:r>
        <w:rPr>
          <w:rFonts w:eastAsia="Times New Roman"/>
          <w:b/>
          <w:bCs/>
          <w:i/>
          <w:iCs/>
          <w:color w:val="000000"/>
          <w:sz w:val="20"/>
          <w:szCs w:val="20"/>
        </w:rPr>
        <w:t xml:space="preserve">Cash, cash equivalents and marketable securities. </w:t>
      </w:r>
      <w:r>
        <w:rPr>
          <w:rFonts w:eastAsia="Times New Roman"/>
          <w:color w:val="000000"/>
          <w:sz w:val="20"/>
          <w:szCs w:val="20"/>
        </w:rPr>
        <w:t>The net increase in cash, cash equivalents and marketable securities was primarily due to net cash provided by operating activities, the issuance of $1.9 billion of unsecured fixed-rate notes, $1.5 billion in net cash proceeds from the sale of the Active S</w:t>
      </w:r>
      <w:r>
        <w:rPr>
          <w:rFonts w:eastAsia="Times New Roman"/>
          <w:color w:val="000000"/>
          <w:sz w:val="20"/>
          <w:szCs w:val="20"/>
        </w:rPr>
        <w:t>afety business and $434 million in proceeds from the issuance of common stock (primarily under our Employee Stock Purchase Plan), partially offset by $3.5 billion in cash dividends paid, $3.0 billion in payments to repurchase shares of our common stock, $1</w:t>
      </w:r>
      <w:r>
        <w:rPr>
          <w:rFonts w:eastAsia="Times New Roman"/>
          <w:color w:val="000000"/>
          <w:sz w:val="20"/>
          <w:szCs w:val="20"/>
        </w:rPr>
        <w:t xml:space="preserve">.5 billion in capital expenditures, $1.4 billion repayments of notes that matured in January 2023, $521 million in payments of tax withholdings related to the vesting of share-based awards and $498 million in net repayments of commercial paper. </w:t>
      </w:r>
    </w:p>
    <w:p w:rsidR="00000000" w:rsidRDefault="008931E1">
      <w:pPr>
        <w:ind w:firstLine="360"/>
        <w:divId w:val="1077019579"/>
        <w:rPr>
          <w:rFonts w:eastAsia="Times New Roman"/>
        </w:rPr>
      </w:pPr>
      <w:r>
        <w:rPr>
          <w:rFonts w:eastAsia="Times New Roman"/>
          <w:color w:val="000000"/>
          <w:sz w:val="20"/>
          <w:szCs w:val="20"/>
        </w:rPr>
        <w:t xml:space="preserve">Net changes in our operating assets and liabilities positively impacted our operating cash flows primarily from a decrease in accounts receivable as a result of lower revenues and a decrease in other assets primarily driven by utilization of prior </w:t>
      </w:r>
    </w:p>
    <w:p w:rsidR="00000000" w:rsidRDefault="008931E1">
      <w:pPr>
        <w:jc w:val="center"/>
        <w:divId w:val="327095450"/>
        <w:rPr>
          <w:rFonts w:eastAsia="Times New Roman"/>
        </w:rPr>
      </w:pPr>
      <w:r>
        <w:rPr>
          <w:rFonts w:eastAsia="Times New Roman"/>
          <w:color w:val="000000"/>
          <w:sz w:val="20"/>
          <w:szCs w:val="20"/>
        </w:rPr>
        <w:t>45</w:t>
      </w:r>
    </w:p>
    <w:p w:rsidR="00000000" w:rsidRDefault="008931E1">
      <w:pPr>
        <w:rPr>
          <w:rFonts w:eastAsia="Times New Roman"/>
        </w:rPr>
      </w:pPr>
      <w:r>
        <w:rPr>
          <w:rFonts w:eastAsia="Times New Roman"/>
        </w:rPr>
        <w:pict>
          <v:rect id="_x0000_i1069" style="width:0;height:1.5pt" o:hralign="center" o:hrstd="t" o:hr="t" fillcolor="#a0a0a0" stroked="f"/>
        </w:pict>
      </w:r>
    </w:p>
    <w:p w:rsidR="00000000" w:rsidRDefault="008931E1">
      <w:pPr>
        <w:divId w:val="289627539"/>
        <w:rPr>
          <w:rFonts w:eastAsia="Times New Roman"/>
        </w:rPr>
      </w:pPr>
    </w:p>
    <w:p w:rsidR="00000000" w:rsidRDefault="008931E1">
      <w:pPr>
        <w:divId w:val="1154639996"/>
        <w:rPr>
          <w:rFonts w:eastAsia="Times New Roman"/>
        </w:rPr>
      </w:pPr>
      <w:r>
        <w:rPr>
          <w:rFonts w:eastAsia="Times New Roman"/>
          <w:color w:val="000000"/>
          <w:sz w:val="20"/>
          <w:szCs w:val="20"/>
        </w:rPr>
        <w:t>advanced supply agreement payments (which payments were primarily made during 2022 and 2021) and certain settlement payments received associated with our forward starting interest rate swaps, partially offset by lower oper</w:t>
      </w:r>
      <w:r>
        <w:rPr>
          <w:rFonts w:eastAsia="Times New Roman"/>
          <w:color w:val="000000"/>
          <w:sz w:val="20"/>
          <w:szCs w:val="20"/>
        </w:rPr>
        <w:t>ating liabilities resulting from lower purchases due to lower customer demand.</w:t>
      </w:r>
    </w:p>
    <w:p w:rsidR="00000000" w:rsidRDefault="008931E1">
      <w:pPr>
        <w:ind w:firstLine="360"/>
        <w:divId w:val="43455842"/>
        <w:rPr>
          <w:rFonts w:eastAsia="Times New Roman"/>
        </w:rPr>
      </w:pPr>
      <w:r>
        <w:rPr>
          <w:rFonts w:eastAsia="Times New Roman"/>
          <w:b/>
          <w:bCs/>
          <w:i/>
          <w:iCs/>
          <w:color w:val="000000"/>
          <w:sz w:val="20"/>
          <w:szCs w:val="20"/>
        </w:rPr>
        <w:t>Debt.</w:t>
      </w:r>
      <w:r>
        <w:rPr>
          <w:rFonts w:eastAsia="Times New Roman"/>
          <w:color w:val="000000"/>
          <w:sz w:val="20"/>
          <w:szCs w:val="20"/>
        </w:rPr>
        <w:t xml:space="preserve"> In the first quarter of fiscal 2023, we issued</w:t>
      </w:r>
      <w:r>
        <w:rPr>
          <w:rFonts w:eastAsia="Times New Roman"/>
          <w:color w:val="EE2724"/>
          <w:sz w:val="20"/>
          <w:szCs w:val="20"/>
        </w:rPr>
        <w:t xml:space="preserve"> </w:t>
      </w:r>
      <w:r>
        <w:rPr>
          <w:rFonts w:eastAsia="Times New Roman"/>
          <w:color w:val="000000"/>
          <w:sz w:val="20"/>
          <w:szCs w:val="20"/>
        </w:rPr>
        <w:t xml:space="preserve">unsecured fixed-rate notes, consisting of $700 million of fixed-rate 5.40% notes and $1.2 billion of fixed-rate 6.00% notes </w:t>
      </w:r>
      <w:r>
        <w:rPr>
          <w:rFonts w:eastAsia="Times New Roman"/>
          <w:color w:val="000000"/>
          <w:sz w:val="20"/>
          <w:szCs w:val="20"/>
        </w:rPr>
        <w:t>(collectively, November 2022 Notes) that mature on May 20, 2033 and May 20, 2053, respectively. The net proceeds from the November 2022 Notes were used to repay $946 million of fixed-rate notes and $500 million of floating-rate notes that matured in Januar</w:t>
      </w:r>
      <w:r>
        <w:rPr>
          <w:rFonts w:eastAsia="Times New Roman"/>
          <w:color w:val="000000"/>
          <w:sz w:val="20"/>
          <w:szCs w:val="20"/>
        </w:rPr>
        <w:t xml:space="preserve">y 2023 and the excess was used for general corporate purposes. </w:t>
      </w:r>
      <w:r>
        <w:rPr>
          <w:rFonts w:eastAsia="Times New Roman"/>
          <w:color w:val="212529"/>
          <w:sz w:val="20"/>
          <w:szCs w:val="20"/>
        </w:rPr>
        <w:t>At September 24, 2023</w:t>
      </w:r>
      <w:r>
        <w:rPr>
          <w:rFonts w:eastAsia="Times New Roman"/>
          <w:color w:val="000000"/>
          <w:sz w:val="20"/>
          <w:szCs w:val="20"/>
        </w:rPr>
        <w:t xml:space="preserve">, we had $15.9 billion of principal fixed-rate notes outstanding, $914 million of which matures in May 2024. The remaining debt has maturity dates in 2025 through 2053. </w:t>
      </w:r>
    </w:p>
    <w:p w:rsidR="00000000" w:rsidRDefault="008931E1">
      <w:pPr>
        <w:ind w:firstLine="360"/>
        <w:divId w:val="1515412670"/>
        <w:rPr>
          <w:rFonts w:eastAsia="Times New Roman"/>
        </w:rPr>
      </w:pPr>
      <w:r>
        <w:rPr>
          <w:rFonts w:eastAsia="Times New Roman"/>
          <w:color w:val="000000"/>
          <w:sz w:val="20"/>
          <w:szCs w:val="20"/>
        </w:rPr>
        <w:t>We</w:t>
      </w:r>
      <w:r>
        <w:rPr>
          <w:rFonts w:eastAsia="Times New Roman"/>
          <w:color w:val="000000"/>
          <w:sz w:val="20"/>
          <w:szCs w:val="20"/>
        </w:rPr>
        <w:t xml:space="preserve"> have an unsecured commercial paper program, which provides for the issuance of up to $4.5 billion of commercial paper. Net proceeds from this program are used for general corporate purposes. At </w:t>
      </w:r>
      <w:r>
        <w:rPr>
          <w:rFonts w:eastAsia="Times New Roman"/>
          <w:color w:val="212529"/>
          <w:sz w:val="20"/>
          <w:szCs w:val="20"/>
        </w:rPr>
        <w:t>September 24, 2023</w:t>
      </w:r>
      <w:r>
        <w:rPr>
          <w:rFonts w:eastAsia="Times New Roman"/>
          <w:color w:val="000000"/>
          <w:sz w:val="20"/>
          <w:szCs w:val="20"/>
        </w:rPr>
        <w:t>, we had no amounts of commercial paper out</w:t>
      </w:r>
      <w:r>
        <w:rPr>
          <w:rFonts w:eastAsia="Times New Roman"/>
          <w:color w:val="000000"/>
          <w:sz w:val="20"/>
          <w:szCs w:val="20"/>
        </w:rPr>
        <w:t xml:space="preserve">standing. We also have a Revolving Credit Facility, which provides for unsecured revolving facility loans, swing line loans and letters of credit in an aggregate amount of up to $4.3 billion, which expires on December 8, 2025. At </w:t>
      </w:r>
      <w:r>
        <w:rPr>
          <w:rFonts w:eastAsia="Times New Roman"/>
          <w:color w:val="212529"/>
          <w:sz w:val="20"/>
          <w:szCs w:val="20"/>
        </w:rPr>
        <w:t>September 24, 2023</w:t>
      </w:r>
      <w:r>
        <w:rPr>
          <w:rFonts w:eastAsia="Times New Roman"/>
          <w:color w:val="000000"/>
          <w:sz w:val="20"/>
          <w:szCs w:val="20"/>
        </w:rPr>
        <w:t>, no amo</w:t>
      </w:r>
      <w:r>
        <w:rPr>
          <w:rFonts w:eastAsia="Times New Roman"/>
          <w:color w:val="000000"/>
          <w:sz w:val="20"/>
          <w:szCs w:val="20"/>
        </w:rPr>
        <w:t xml:space="preserve">unts were outstanding under the Revolving Credit Facility. </w:t>
      </w:r>
    </w:p>
    <w:p w:rsidR="00000000" w:rsidRDefault="008931E1">
      <w:pPr>
        <w:ind w:firstLine="360"/>
        <w:divId w:val="2099717727"/>
        <w:rPr>
          <w:rFonts w:eastAsia="Times New Roman"/>
        </w:rPr>
      </w:pPr>
      <w:r>
        <w:rPr>
          <w:rFonts w:eastAsia="Times New Roman"/>
          <w:color w:val="000000"/>
          <w:sz w:val="20"/>
          <w:szCs w:val="20"/>
        </w:rPr>
        <w:t>We expect to issue new debt in the future. The amount and timing of any such new debt will depend on a number of factors, including but not limited to maturities of our existing debt, acquisitions</w:t>
      </w:r>
      <w:r>
        <w:rPr>
          <w:rFonts w:eastAsia="Times New Roman"/>
          <w:color w:val="000000"/>
          <w:sz w:val="20"/>
          <w:szCs w:val="20"/>
        </w:rPr>
        <w:t xml:space="preserve"> and strategic investments, favorable and/or acceptable interest rates and changes in corporate income tax law. Additional information regarding our outstanding debt at </w:t>
      </w:r>
      <w:r>
        <w:rPr>
          <w:rFonts w:eastAsia="Times New Roman"/>
          <w:color w:val="212529"/>
          <w:sz w:val="20"/>
          <w:szCs w:val="20"/>
        </w:rPr>
        <w:t>September 24, 2023</w:t>
      </w:r>
      <w:r>
        <w:rPr>
          <w:rFonts w:eastAsia="Times New Roman"/>
          <w:color w:val="000000"/>
          <w:sz w:val="20"/>
          <w:szCs w:val="20"/>
        </w:rPr>
        <w:t xml:space="preserve"> is provided in this Annual Report in “Notes to Consolidated Financia</w:t>
      </w:r>
      <w:r>
        <w:rPr>
          <w:rFonts w:eastAsia="Times New Roman"/>
          <w:color w:val="000000"/>
          <w:sz w:val="20"/>
          <w:szCs w:val="20"/>
        </w:rPr>
        <w:t xml:space="preserve">l Statements, Note 6. Debt.” </w:t>
      </w:r>
    </w:p>
    <w:p w:rsidR="00000000" w:rsidRDefault="008931E1">
      <w:pPr>
        <w:ind w:firstLine="360"/>
        <w:divId w:val="193351420"/>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At </w:t>
      </w:r>
      <w:r>
        <w:rPr>
          <w:rFonts w:eastAsia="Times New Roman"/>
          <w:color w:val="212529"/>
          <w:sz w:val="20"/>
          <w:szCs w:val="20"/>
        </w:rPr>
        <w:t>September 24, 2023</w:t>
      </w:r>
      <w:r>
        <w:rPr>
          <w:rFonts w:eastAsia="Times New Roman"/>
          <w:color w:val="000000"/>
          <w:sz w:val="20"/>
          <w:szCs w:val="20"/>
        </w:rPr>
        <w:t>, we estimated remaining future payments of $1.5 billion for a one-time U.S. repatriation tax accrued in fiscal 2018, after application of certain tax credits, which is payable in installment</w:t>
      </w:r>
      <w:r>
        <w:rPr>
          <w:rFonts w:eastAsia="Times New Roman"/>
          <w:color w:val="000000"/>
          <w:sz w:val="20"/>
          <w:szCs w:val="20"/>
        </w:rPr>
        <w:t xml:space="preserve">s over the next three years. At </w:t>
      </w:r>
      <w:r>
        <w:rPr>
          <w:rFonts w:eastAsia="Times New Roman"/>
          <w:color w:val="212529"/>
          <w:sz w:val="20"/>
          <w:szCs w:val="20"/>
        </w:rPr>
        <w:t>September 24, 2023</w:t>
      </w:r>
      <w:r>
        <w:rPr>
          <w:rFonts w:eastAsia="Times New Roman"/>
          <w:color w:val="000000"/>
          <w:sz w:val="20"/>
          <w:szCs w:val="20"/>
          <w:shd w:val="clear" w:color="auto" w:fill="FFFFFF"/>
        </w:rPr>
        <w:t>, other current liabilities included $391 million for the next installment due in January 2024 as well as $1.0 billion rela</w:t>
      </w:r>
      <w:r>
        <w:rPr>
          <w:rFonts w:eastAsia="Times New Roman"/>
          <w:color w:val="000000"/>
          <w:sz w:val="20"/>
          <w:szCs w:val="20"/>
        </w:rPr>
        <w:t>ted to certain postponed U.S. federal income tax-payments from fiscal 2023, which w</w:t>
      </w:r>
      <w:r>
        <w:rPr>
          <w:rFonts w:eastAsia="Times New Roman"/>
          <w:color w:val="000000"/>
          <w:sz w:val="20"/>
          <w:szCs w:val="20"/>
        </w:rPr>
        <w:t>ere paid in October 2023. Beginning in fiscal 2023, for federal income tax purposes, we are required to capitalize and amortize domestic research and development expenditures over five years and foreign research and development expenditures over fifteen ye</w:t>
      </w:r>
      <w:r>
        <w:rPr>
          <w:rFonts w:eastAsia="Times New Roman"/>
          <w:color w:val="000000"/>
          <w:sz w:val="20"/>
          <w:szCs w:val="20"/>
        </w:rPr>
        <w:t>ars (such expenditures were previously deducted as incurred). Our cash flows from operations will be adversely affected due to significantly higher cash tax payments. Additional information regarding our income taxes is provided in this Annual Report in “N</w:t>
      </w:r>
      <w:r>
        <w:rPr>
          <w:rFonts w:eastAsia="Times New Roman"/>
          <w:color w:val="000000"/>
          <w:sz w:val="20"/>
          <w:szCs w:val="20"/>
        </w:rPr>
        <w:t>otes to Consolidated Financial Statements, Note 3. Income Taxes.”</w:t>
      </w:r>
    </w:p>
    <w:p w:rsidR="00000000" w:rsidRDefault="008931E1">
      <w:pPr>
        <w:ind w:firstLine="360"/>
        <w:divId w:val="2128813350"/>
        <w:rPr>
          <w:rFonts w:eastAsia="Times New Roman"/>
        </w:rPr>
      </w:pPr>
      <w:r>
        <w:rPr>
          <w:rFonts w:eastAsia="Times New Roman"/>
          <w:b/>
          <w:bCs/>
          <w:i/>
          <w:iCs/>
          <w:color w:val="000000"/>
          <w:sz w:val="20"/>
          <w:szCs w:val="20"/>
        </w:rPr>
        <w:t xml:space="preserve">Capital Return Program. </w:t>
      </w:r>
      <w:r>
        <w:rPr>
          <w:rFonts w:eastAsia="Times New Roman"/>
          <w:color w:val="000000"/>
          <w:sz w:val="20"/>
          <w:szCs w:val="20"/>
        </w:rPr>
        <w:t>The following table summarizes stock repurchases, before commissions, and dividends paid during fiscal 2023 and 2022 (in millions, except per-share amounts):</w:t>
      </w:r>
    </w:p>
    <w:tbl>
      <w:tblPr>
        <w:tblW w:w="4970" w:type="pct"/>
        <w:tblCellMar>
          <w:top w:w="15" w:type="dxa"/>
          <w:left w:w="15" w:type="dxa"/>
          <w:bottom w:w="15" w:type="dxa"/>
          <w:right w:w="15" w:type="dxa"/>
        </w:tblCellMar>
        <w:tblLook w:val="04A0" w:firstRow="1" w:lastRow="0" w:firstColumn="1" w:lastColumn="0" w:noHBand="0" w:noVBand="1"/>
      </w:tblPr>
      <w:tblGrid>
        <w:gridCol w:w="38"/>
        <w:gridCol w:w="2090"/>
        <w:gridCol w:w="36"/>
        <w:gridCol w:w="36"/>
        <w:gridCol w:w="36"/>
        <w:gridCol w:w="36"/>
        <w:gridCol w:w="52"/>
        <w:gridCol w:w="716"/>
        <w:gridCol w:w="36"/>
        <w:gridCol w:w="36"/>
        <w:gridCol w:w="36"/>
        <w:gridCol w:w="36"/>
        <w:gridCol w:w="110"/>
        <w:gridCol w:w="979"/>
        <w:gridCol w:w="36"/>
        <w:gridCol w:w="36"/>
        <w:gridCol w:w="36"/>
        <w:gridCol w:w="36"/>
        <w:gridCol w:w="111"/>
        <w:gridCol w:w="731"/>
        <w:gridCol w:w="37"/>
        <w:gridCol w:w="36"/>
        <w:gridCol w:w="36"/>
        <w:gridCol w:w="36"/>
        <w:gridCol w:w="110"/>
        <w:gridCol w:w="732"/>
        <w:gridCol w:w="36"/>
        <w:gridCol w:w="36"/>
        <w:gridCol w:w="36"/>
        <w:gridCol w:w="36"/>
        <w:gridCol w:w="111"/>
        <w:gridCol w:w="732"/>
        <w:gridCol w:w="36"/>
        <w:gridCol w:w="36"/>
        <w:gridCol w:w="36"/>
        <w:gridCol w:w="36"/>
        <w:gridCol w:w="111"/>
        <w:gridCol w:w="732"/>
        <w:gridCol w:w="36"/>
      </w:tblGrid>
      <w:tr w:rsidR="00000000">
        <w:trPr>
          <w:divId w:val="2128813350"/>
        </w:trPr>
        <w:tc>
          <w:tcPr>
            <w:tcW w:w="50" w:type="pct"/>
            <w:vAlign w:val="center"/>
            <w:hideMark/>
          </w:tcPr>
          <w:p w:rsidR="00000000" w:rsidRDefault="008931E1">
            <w:pPr>
              <w:ind w:firstLine="360"/>
              <w:rPr>
                <w:rFonts w:eastAsia="Times New Roman"/>
              </w:rPr>
            </w:pPr>
          </w:p>
        </w:tc>
        <w:tc>
          <w:tcPr>
            <w:tcW w:w="129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49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64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49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49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49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49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212881335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Stock Repurchase Program</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Dividends</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Total</w:t>
            </w:r>
          </w:p>
        </w:tc>
      </w:tr>
      <w:tr w:rsidR="00000000">
        <w:trPr>
          <w:divId w:val="2128813350"/>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Average Price Paid Per Share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Per Share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Amount</w:t>
            </w:r>
          </w:p>
        </w:tc>
      </w:tr>
      <w:tr w:rsidR="00000000">
        <w:trPr>
          <w:divId w:val="2128813350"/>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2023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117.93 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2,973 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3,462 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128813350"/>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2022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149.95 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3,129 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3,212 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6,341 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firstLine="360"/>
        <w:divId w:val="1116605403"/>
        <w:rPr>
          <w:rFonts w:eastAsia="Times New Roman"/>
        </w:rPr>
      </w:pPr>
      <w:r>
        <w:rPr>
          <w:rFonts w:eastAsia="Times New Roman"/>
          <w:color w:val="000000"/>
          <w:sz w:val="20"/>
          <w:szCs w:val="20"/>
        </w:rPr>
        <w:t>On October 12, 2021, we announced a $10.0 billion stock r</w:t>
      </w:r>
      <w:r>
        <w:rPr>
          <w:rFonts w:eastAsia="Times New Roman"/>
          <w:color w:val="000000"/>
          <w:sz w:val="20"/>
          <w:szCs w:val="20"/>
        </w:rPr>
        <w:t>epurchase program. The stock repurchase program has no expiration date. At September 24, 2023, $5.1 billion remained authorized for repurchase under our stock repurchase program. Our stock repurchase programs are subject to periodic evaluations to determin</w:t>
      </w:r>
      <w:r>
        <w:rPr>
          <w:rFonts w:eastAsia="Times New Roman"/>
          <w:color w:val="000000"/>
          <w:sz w:val="20"/>
          <w:szCs w:val="20"/>
        </w:rPr>
        <w:t>e when and if repurchases are in the best interests of our stockholders, and we may accelerate, suspend, delay or discontinue repurchases at any time.</w:t>
      </w:r>
    </w:p>
    <w:p w:rsidR="00000000" w:rsidRDefault="008931E1">
      <w:pPr>
        <w:ind w:firstLine="360"/>
        <w:divId w:val="1246307198"/>
        <w:rPr>
          <w:rFonts w:eastAsia="Times New Roman"/>
        </w:rPr>
      </w:pPr>
      <w:r>
        <w:rPr>
          <w:rFonts w:eastAsia="Times New Roman"/>
          <w:color w:val="000000"/>
          <w:sz w:val="20"/>
          <w:szCs w:val="20"/>
        </w:rPr>
        <w:t>On October 13, 2023, we announced a cash dividend of $0.80 per share on our common stock, payable on Dece</w:t>
      </w:r>
      <w:r>
        <w:rPr>
          <w:rFonts w:eastAsia="Times New Roman"/>
          <w:color w:val="000000"/>
          <w:sz w:val="20"/>
          <w:szCs w:val="20"/>
        </w:rPr>
        <w:t>mber 14, 2023 to stockholders of record as of the close of business on November 30, 2023. We currently intend to continue to use cash dividends as a means of returning capital to stockholders, subject to capital availability and our view that cash dividend</w:t>
      </w:r>
      <w:r>
        <w:rPr>
          <w:rFonts w:eastAsia="Times New Roman"/>
          <w:color w:val="000000"/>
          <w:sz w:val="20"/>
          <w:szCs w:val="20"/>
        </w:rPr>
        <w:t>s are in the best interests of our stockholders, among other factors.</w:t>
      </w:r>
    </w:p>
    <w:p w:rsidR="00000000" w:rsidRDefault="008931E1">
      <w:pPr>
        <w:ind w:firstLine="315"/>
        <w:divId w:val="806973724"/>
        <w:rPr>
          <w:rFonts w:eastAsia="Times New Roman"/>
        </w:rPr>
      </w:pPr>
      <w:r>
        <w:rPr>
          <w:rFonts w:eastAsia="Times New Roman"/>
          <w:b/>
          <w:bCs/>
          <w:i/>
          <w:iCs/>
          <w:color w:val="000000"/>
          <w:sz w:val="20"/>
          <w:szCs w:val="20"/>
        </w:rPr>
        <w:t>Additional Capital Requirements</w:t>
      </w:r>
      <w:r>
        <w:rPr>
          <w:rFonts w:eastAsia="Times New Roman"/>
          <w:b/>
          <w:bCs/>
          <w:color w:val="000000"/>
          <w:sz w:val="20"/>
          <w:szCs w:val="20"/>
        </w:rPr>
        <w:t>.</w:t>
      </w:r>
      <w:r>
        <w:rPr>
          <w:rFonts w:eastAsia="Times New Roman"/>
          <w:color w:val="000000"/>
          <w:sz w:val="20"/>
          <w:szCs w:val="20"/>
        </w:rPr>
        <w:t xml:space="preserve"> </w:t>
      </w:r>
      <w:r>
        <w:rPr>
          <w:rFonts w:eastAsia="Times New Roman"/>
          <w:color w:val="000000"/>
          <w:sz w:val="20"/>
          <w:szCs w:val="20"/>
        </w:rPr>
        <w:t>Recent and expected working and other capital requirements, in addition to the above matters, also include the items described below:</w:t>
      </w:r>
    </w:p>
    <w:p w:rsidR="00000000" w:rsidRDefault="008931E1">
      <w:pPr>
        <w:ind w:hanging="360"/>
        <w:divId w:val="1808860204"/>
        <w:rPr>
          <w:rFonts w:eastAsia="Times New Roman"/>
        </w:rPr>
      </w:pPr>
      <w:r>
        <w:rPr>
          <w:rFonts w:eastAsia="Times New Roman"/>
          <w:color w:val="000000"/>
          <w:sz w:val="20"/>
          <w:szCs w:val="20"/>
        </w:rPr>
        <w:t xml:space="preserve">•Our purchase obligations at </w:t>
      </w:r>
      <w:r>
        <w:rPr>
          <w:rFonts w:eastAsia="Times New Roman"/>
          <w:color w:val="212529"/>
          <w:sz w:val="20"/>
          <w:szCs w:val="20"/>
        </w:rPr>
        <w:t>September 24, 2023</w:t>
      </w:r>
      <w:r>
        <w:rPr>
          <w:rFonts w:eastAsia="Times New Roman"/>
          <w:color w:val="000000"/>
          <w:sz w:val="20"/>
          <w:szCs w:val="20"/>
        </w:rPr>
        <w:t xml:space="preserve">, which primarily relate to purchase commitments with certain suppliers of </w:t>
      </w:r>
      <w:r>
        <w:rPr>
          <w:rFonts w:eastAsia="Times New Roman"/>
          <w:color w:val="000000"/>
          <w:sz w:val="20"/>
          <w:szCs w:val="20"/>
        </w:rPr>
        <w:t xml:space="preserve">our integrated circuit products, including those under multi-year capacity commitments, totaled $12.2 billion, of which, $6.8 billion is expected to be paid in the next 12 months. </w:t>
      </w:r>
    </w:p>
    <w:p w:rsidR="00000000" w:rsidRDefault="008931E1">
      <w:pPr>
        <w:ind w:hanging="360"/>
        <w:divId w:val="623968685"/>
        <w:rPr>
          <w:rFonts w:eastAsia="Times New Roman"/>
        </w:rPr>
      </w:pPr>
      <w:r>
        <w:rPr>
          <w:rFonts w:eastAsia="Times New Roman"/>
          <w:color w:val="000000"/>
          <w:sz w:val="20"/>
          <w:szCs w:val="20"/>
        </w:rPr>
        <w:t>•Our research and development expenditures were $8.8 billion in fiscal 2023</w:t>
      </w:r>
      <w:r>
        <w:rPr>
          <w:rFonts w:eastAsia="Times New Roman"/>
          <w:color w:val="000000"/>
          <w:sz w:val="20"/>
          <w:szCs w:val="20"/>
        </w:rPr>
        <w:t xml:space="preserve"> and $8.2 billion in fiscal 2022. </w:t>
      </w:r>
    </w:p>
    <w:p w:rsidR="00000000" w:rsidRDefault="008931E1">
      <w:pPr>
        <w:ind w:hanging="360"/>
        <w:divId w:val="1493763245"/>
        <w:rPr>
          <w:rFonts w:eastAsia="Times New Roman"/>
        </w:rPr>
      </w:pPr>
      <w:r>
        <w:rPr>
          <w:rFonts w:eastAsia="Times New Roman"/>
          <w:color w:val="000000"/>
          <w:sz w:val="20"/>
          <w:szCs w:val="20"/>
        </w:rPr>
        <w:t>•Cash outflows for capital expenditures were $1.5 billion in fiscal 2023 and $2.3 billion in fiscal 2022. We reduced our capital expenditures in fiscal 2023 in response to the weakness in the macroeconomic environment (wh</w:t>
      </w:r>
      <w:r>
        <w:rPr>
          <w:rFonts w:eastAsia="Times New Roman"/>
          <w:color w:val="000000"/>
          <w:sz w:val="20"/>
          <w:szCs w:val="20"/>
        </w:rPr>
        <w:t>ich negatively impacted consumer demand for smartphones and other devices that incorporate our products and technologies).</w:t>
      </w:r>
    </w:p>
    <w:p w:rsidR="00000000" w:rsidRDefault="008931E1">
      <w:pPr>
        <w:ind w:hanging="360"/>
        <w:divId w:val="1621841608"/>
        <w:rPr>
          <w:rFonts w:eastAsia="Times New Roman"/>
        </w:rPr>
      </w:pPr>
      <w:r>
        <w:rPr>
          <w:rFonts w:eastAsia="Times New Roman"/>
          <w:i/>
          <w:iCs/>
          <w:color w:val="212529"/>
          <w:sz w:val="20"/>
          <w:szCs w:val="20"/>
        </w:rPr>
        <w:t>•</w:t>
      </w:r>
      <w:r>
        <w:rPr>
          <w:rFonts w:eastAsia="Times New Roman"/>
          <w:color w:val="000000"/>
          <w:sz w:val="20"/>
          <w:szCs w:val="20"/>
        </w:rPr>
        <w:t xml:space="preserve">Amounts related to future lease payments for operating lease obligations at </w:t>
      </w:r>
      <w:r>
        <w:rPr>
          <w:rFonts w:eastAsia="Times New Roman"/>
          <w:color w:val="212529"/>
          <w:sz w:val="20"/>
          <w:szCs w:val="20"/>
        </w:rPr>
        <w:t>September 24, 2023</w:t>
      </w:r>
      <w:r>
        <w:rPr>
          <w:rFonts w:eastAsia="Times New Roman"/>
          <w:color w:val="000000"/>
          <w:sz w:val="20"/>
          <w:szCs w:val="20"/>
        </w:rPr>
        <w:t xml:space="preserve"> totaled $872 million, with $116 milli</w:t>
      </w:r>
      <w:r>
        <w:rPr>
          <w:rFonts w:eastAsia="Times New Roman"/>
          <w:color w:val="000000"/>
          <w:sz w:val="20"/>
          <w:szCs w:val="20"/>
        </w:rPr>
        <w:t>on expected to be paid within the next 12 months.</w:t>
      </w:r>
    </w:p>
    <w:p w:rsidR="00000000" w:rsidRDefault="008931E1">
      <w:pPr>
        <w:ind w:hanging="360"/>
        <w:divId w:val="1190147655"/>
        <w:rPr>
          <w:rFonts w:eastAsia="Times New Roman"/>
        </w:rPr>
      </w:pPr>
      <w:r>
        <w:rPr>
          <w:rFonts w:eastAsia="Times New Roman"/>
          <w:color w:val="000000"/>
          <w:sz w:val="20"/>
          <w:szCs w:val="20"/>
        </w:rPr>
        <w:t>•In the fourth quarter of fiscal 2023, we accrued $385 million of severance costs, substantially all of which is expected to be paid in the first half of fiscal 2024.</w:t>
      </w:r>
    </w:p>
    <w:p w:rsidR="00000000" w:rsidRDefault="008931E1">
      <w:pPr>
        <w:jc w:val="center"/>
        <w:divId w:val="1799373566"/>
        <w:rPr>
          <w:rFonts w:eastAsia="Times New Roman"/>
        </w:rPr>
      </w:pPr>
      <w:r>
        <w:rPr>
          <w:rFonts w:eastAsia="Times New Roman"/>
          <w:color w:val="000000"/>
          <w:sz w:val="20"/>
          <w:szCs w:val="20"/>
        </w:rPr>
        <w:t>46</w:t>
      </w:r>
    </w:p>
    <w:p w:rsidR="00000000" w:rsidRDefault="008931E1">
      <w:pPr>
        <w:rPr>
          <w:rFonts w:eastAsia="Times New Roman"/>
        </w:rPr>
      </w:pPr>
      <w:r>
        <w:rPr>
          <w:rFonts w:eastAsia="Times New Roman"/>
        </w:rPr>
        <w:pict>
          <v:rect id="_x0000_i1070" style="width:0;height:1.5pt" o:hralign="center" o:hrstd="t" o:hr="t" fillcolor="#a0a0a0" stroked="f"/>
        </w:pict>
      </w:r>
    </w:p>
    <w:p w:rsidR="00000000" w:rsidRDefault="008931E1">
      <w:pPr>
        <w:divId w:val="747920250"/>
        <w:rPr>
          <w:rFonts w:eastAsia="Times New Roman"/>
        </w:rPr>
      </w:pPr>
    </w:p>
    <w:p w:rsidR="00000000" w:rsidRDefault="008931E1">
      <w:pPr>
        <w:ind w:hanging="360"/>
        <w:divId w:val="326786491"/>
        <w:rPr>
          <w:rFonts w:eastAsia="Times New Roman"/>
        </w:rPr>
      </w:pPr>
      <w:r>
        <w:rPr>
          <w:rFonts w:eastAsia="Times New Roman"/>
          <w:color w:val="000000"/>
          <w:sz w:val="20"/>
          <w:szCs w:val="20"/>
        </w:rPr>
        <w:t xml:space="preserve">•We expect to continue making strategic investments and acquisitions, the amounts of which could vary significantly. </w:t>
      </w:r>
    </w:p>
    <w:p w:rsidR="00000000" w:rsidRDefault="008931E1">
      <w:pPr>
        <w:ind w:firstLine="360"/>
        <w:divId w:val="78067580"/>
        <w:rPr>
          <w:rFonts w:eastAsia="Times New Roman"/>
        </w:rPr>
      </w:pPr>
      <w:r>
        <w:rPr>
          <w:rFonts w:eastAsia="Times New Roman"/>
          <w:color w:val="000000"/>
          <w:sz w:val="20"/>
          <w:szCs w:val="20"/>
        </w:rPr>
        <w:t xml:space="preserve">Further, regulatory authorities in certain jurisdictions have investigated our business practices and instituted proceedings against us </w:t>
      </w:r>
      <w:r>
        <w:rPr>
          <w:rFonts w:eastAsia="Times New Roman"/>
          <w:color w:val="000000"/>
          <w:sz w:val="20"/>
          <w:szCs w:val="20"/>
        </w:rPr>
        <w:t>and they or other regulatory authorities may do so in the future. Additionally, certain of our direct and indirect customers and licensees have pursued, and others may in the future pursue, litigation or arbitration against us related to our business. Unfa</w:t>
      </w:r>
      <w:r>
        <w:rPr>
          <w:rFonts w:eastAsia="Times New Roman"/>
          <w:color w:val="000000"/>
          <w:sz w:val="20"/>
          <w:szCs w:val="20"/>
        </w:rPr>
        <w:t xml:space="preserve">vorable resolutions of one or more of these matters have had and could in the future have a material adverse effect on our business, revenues, results of operations, financial condition and cash flows. See “Notes to Consolidated Financial Statements, Note </w:t>
      </w:r>
      <w:r>
        <w:rPr>
          <w:rFonts w:eastAsia="Times New Roman"/>
          <w:color w:val="000000"/>
          <w:sz w:val="20"/>
          <w:szCs w:val="20"/>
        </w:rPr>
        <w:t>7. Commitments and Contingencies” and “Part I, Item 1A. Risk Factors” in this Annual Report.</w:t>
      </w:r>
      <w:r>
        <w:rPr>
          <w:rFonts w:eastAsia="Times New Roman"/>
          <w:color w:val="000000"/>
          <w:sz w:val="18"/>
          <w:szCs w:val="18"/>
        </w:rPr>
        <w:t xml:space="preserve"> </w:t>
      </w:r>
    </w:p>
    <w:p w:rsidR="00000000" w:rsidRDefault="008931E1">
      <w:pPr>
        <w:divId w:val="625697049"/>
        <w:rPr>
          <w:rFonts w:eastAsia="Times New Roman"/>
        </w:rPr>
      </w:pPr>
      <w:r>
        <w:rPr>
          <w:rFonts w:eastAsia="Times New Roman"/>
          <w:b/>
          <w:bCs/>
          <w:color w:val="000000"/>
          <w:sz w:val="20"/>
          <w:szCs w:val="20"/>
        </w:rPr>
        <w:t>Critical Accounting Estimates</w:t>
      </w:r>
    </w:p>
    <w:p w:rsidR="00000000" w:rsidRDefault="008931E1">
      <w:pPr>
        <w:ind w:firstLine="360"/>
        <w:divId w:val="546453221"/>
        <w:rPr>
          <w:rFonts w:eastAsia="Times New Roman"/>
        </w:rPr>
      </w:pPr>
      <w:r>
        <w:rPr>
          <w:rFonts w:eastAsia="Times New Roman"/>
          <w:color w:val="000000"/>
          <w:sz w:val="20"/>
          <w:szCs w:val="20"/>
        </w:rPr>
        <w:t>The preparation of our consolidated financial statements in accordance with accounting principles generally accepted in the United S</w:t>
      </w:r>
      <w:r>
        <w:rPr>
          <w:rFonts w:eastAsia="Times New Roman"/>
          <w:color w:val="000000"/>
          <w:sz w:val="20"/>
          <w:szCs w:val="20"/>
        </w:rPr>
        <w:t>tates requires us to make estimates and judgments that affect the reported amounts of assets, liabilities, revenues and expenses, and disclosure of contingent assets and liabilities. We base our estimates on historical and anticipated results and trends an</w:t>
      </w:r>
      <w:r>
        <w:rPr>
          <w:rFonts w:eastAsia="Times New Roman"/>
          <w:color w:val="000000"/>
          <w:sz w:val="20"/>
          <w:szCs w:val="20"/>
        </w:rPr>
        <w:t>d on various other assumptions that we believe are reasonable under the circumstances, including assumptions as to future events. By their nature, estimates are inherently subject to a degree of uncertainty. Although we believe that our estimates and the a</w:t>
      </w:r>
      <w:r>
        <w:rPr>
          <w:rFonts w:eastAsia="Times New Roman"/>
          <w:color w:val="000000"/>
          <w:sz w:val="20"/>
          <w:szCs w:val="20"/>
        </w:rPr>
        <w:t>ssumptions supporting our assessments are reasonable, actual results could differ materially from our estimates and assumptions, and could be material to our consolidated financial statements.</w:t>
      </w:r>
      <w:r>
        <w:rPr>
          <w:rFonts w:eastAsia="Times New Roman"/>
          <w:color w:val="DBDBDB"/>
          <w:sz w:val="20"/>
          <w:szCs w:val="20"/>
        </w:rPr>
        <w:t xml:space="preserve"> </w:t>
      </w:r>
    </w:p>
    <w:p w:rsidR="00000000" w:rsidRDefault="008931E1">
      <w:pPr>
        <w:ind w:firstLine="360"/>
        <w:divId w:val="189341474"/>
        <w:rPr>
          <w:rFonts w:eastAsia="Times New Roman"/>
        </w:rPr>
      </w:pPr>
      <w:r>
        <w:rPr>
          <w:rFonts w:eastAsia="Times New Roman"/>
          <w:color w:val="000000"/>
          <w:sz w:val="20"/>
          <w:szCs w:val="20"/>
        </w:rPr>
        <w:t xml:space="preserve">In addition to our critical accounting estimates and policies </w:t>
      </w:r>
      <w:r>
        <w:rPr>
          <w:rFonts w:eastAsia="Times New Roman"/>
          <w:color w:val="000000"/>
          <w:sz w:val="20"/>
          <w:szCs w:val="20"/>
        </w:rPr>
        <w:t>below, refer to “Note 1. Significant Accounting Policies” and “Note 2. Composition of Certain Financial Statement Items” included in this Annual Report in “Notes to Consolidated Financial Statements” for further information. If the impact of changes in our</w:t>
      </w:r>
      <w:r>
        <w:rPr>
          <w:rFonts w:eastAsia="Times New Roman"/>
          <w:color w:val="000000"/>
          <w:sz w:val="20"/>
          <w:szCs w:val="20"/>
        </w:rPr>
        <w:t xml:space="preserve"> critical accounting estimates are material or considered necessary to understand our results of operations for the periods presented, then such information is disclosed within this Annual Report in “Item 7. Management’s Discussion and Analysis of Financia</w:t>
      </w:r>
      <w:r>
        <w:rPr>
          <w:rFonts w:eastAsia="Times New Roman"/>
          <w:color w:val="000000"/>
          <w:sz w:val="20"/>
          <w:szCs w:val="20"/>
        </w:rPr>
        <w:t>l Condition and Results of Operations.”</w:t>
      </w:r>
    </w:p>
    <w:p w:rsidR="00000000" w:rsidRDefault="008931E1">
      <w:pPr>
        <w:ind w:firstLine="360"/>
        <w:divId w:val="2129271780"/>
        <w:rPr>
          <w:rFonts w:eastAsia="Times New Roman"/>
        </w:rPr>
      </w:pPr>
      <w:r>
        <w:rPr>
          <w:rFonts w:eastAsia="Times New Roman"/>
          <w:b/>
          <w:bCs/>
          <w:i/>
          <w:iCs/>
          <w:color w:val="000000"/>
          <w:sz w:val="20"/>
          <w:szCs w:val="20"/>
        </w:rPr>
        <w:t>Revenue Recognition</w:t>
      </w:r>
      <w:r>
        <w:rPr>
          <w:rFonts w:eastAsia="Times New Roman"/>
          <w:i/>
          <w:iCs/>
          <w:color w:val="000000"/>
          <w:sz w:val="20"/>
          <w:szCs w:val="20"/>
        </w:rPr>
        <w:t>.</w:t>
      </w:r>
      <w:r>
        <w:rPr>
          <w:rFonts w:eastAsia="Times New Roman"/>
          <w:color w:val="000000"/>
          <w:sz w:val="20"/>
          <w:szCs w:val="20"/>
        </w:rPr>
        <w:t xml:space="preserve"> We grant licenses or otherwise provide rights to use portions of our intellectual property portfolio, which, among other rights, includes certain patent rights essential to and/or useful in the m</w:t>
      </w:r>
      <w:r>
        <w:rPr>
          <w:rFonts w:eastAsia="Times New Roman"/>
          <w:color w:val="000000"/>
          <w:sz w:val="20"/>
          <w:szCs w:val="20"/>
        </w:rPr>
        <w:t>anufacture, sale or use of certain wireless products. We estimate and recognize sales-based royalties on such licensed products in the period in which the licensees’ sales occur, which is based largely on preliminary royalty estimates provided by our licen</w:t>
      </w:r>
      <w:r>
        <w:rPr>
          <w:rFonts w:eastAsia="Times New Roman"/>
          <w:color w:val="000000"/>
          <w:sz w:val="20"/>
          <w:szCs w:val="20"/>
        </w:rPr>
        <w:t>sees. For fiscal 2023 and 2022, actual amounts for sales-based royalties have been materially consistent with such estimates, and no significant reversals of revenues have been required as a result of adjustments to prior period royalty estimates.</w:t>
      </w:r>
    </w:p>
    <w:p w:rsidR="00000000" w:rsidRDefault="008931E1">
      <w:pPr>
        <w:ind w:firstLine="360"/>
        <w:divId w:val="293677470"/>
        <w:rPr>
          <w:rFonts w:eastAsia="Times New Roman"/>
        </w:rPr>
      </w:pPr>
      <w:r>
        <w:rPr>
          <w:rFonts w:eastAsia="Times New Roman"/>
          <w:b/>
          <w:bCs/>
          <w:i/>
          <w:iCs/>
          <w:color w:val="000000"/>
          <w:sz w:val="20"/>
          <w:szCs w:val="20"/>
        </w:rPr>
        <w:t>Impairme</w:t>
      </w:r>
      <w:r>
        <w:rPr>
          <w:rFonts w:eastAsia="Times New Roman"/>
          <w:b/>
          <w:bCs/>
          <w:i/>
          <w:iCs/>
          <w:color w:val="000000"/>
          <w:sz w:val="20"/>
          <w:szCs w:val="20"/>
        </w:rPr>
        <w:t>nt of Non-marketable Equity Investments.</w:t>
      </w:r>
      <w:r>
        <w:rPr>
          <w:rFonts w:eastAsia="Times New Roman"/>
          <w:color w:val="000000"/>
          <w:sz w:val="20"/>
          <w:szCs w:val="20"/>
        </w:rPr>
        <w:t xml:space="preserve"> We monitor our investments for events or circumstances that could indicate impairment, including those that result from observable price adjustments. Key considerations in this assessment include the investee’s fina</w:t>
      </w:r>
      <w:r>
        <w:rPr>
          <w:rFonts w:eastAsia="Times New Roman"/>
          <w:color w:val="000000"/>
          <w:sz w:val="20"/>
          <w:szCs w:val="20"/>
        </w:rPr>
        <w:t>ncial and liquidity position and business forecasts (including their ability to respond to any significant deterioration), industry performance, development and/or market acceptance of the investee’s products or technologies, as well as considering any app</w:t>
      </w:r>
      <w:r>
        <w:rPr>
          <w:rFonts w:eastAsia="Times New Roman"/>
          <w:color w:val="000000"/>
          <w:sz w:val="20"/>
          <w:szCs w:val="20"/>
        </w:rPr>
        <w:t>reciation in fair value that has not been recognized in the carrying values of such investments and other relevant events and factors (such as the effects of the macroeconomic environment in fiscal 2023 and 2022). In fiscal 2023 and 2022, there were no sig</w:t>
      </w:r>
      <w:r>
        <w:rPr>
          <w:rFonts w:eastAsia="Times New Roman"/>
          <w:color w:val="000000"/>
          <w:sz w:val="20"/>
          <w:szCs w:val="20"/>
        </w:rPr>
        <w:t>nificant impairment losses or adjustments to our previous judgments and estimates recorded.</w:t>
      </w:r>
    </w:p>
    <w:p w:rsidR="00000000" w:rsidRDefault="008931E1">
      <w:pPr>
        <w:ind w:firstLine="360"/>
        <w:divId w:val="795489660"/>
        <w:rPr>
          <w:rFonts w:eastAsia="Times New Roman"/>
        </w:rPr>
      </w:pPr>
      <w:r>
        <w:rPr>
          <w:rFonts w:eastAsia="Times New Roman"/>
          <w:b/>
          <w:bCs/>
          <w:i/>
          <w:iCs/>
          <w:color w:val="000000"/>
          <w:sz w:val="20"/>
          <w:szCs w:val="20"/>
        </w:rPr>
        <w:t>Inventories.</w:t>
      </w:r>
      <w:r>
        <w:rPr>
          <w:rFonts w:eastAsia="Times New Roman"/>
          <w:color w:val="000000"/>
          <w:sz w:val="20"/>
          <w:szCs w:val="20"/>
        </w:rPr>
        <w:t xml:space="preserve"> We measure inventory at the lower of cost or net realizable value considering judgments and estimates related to future customer demand and other marke</w:t>
      </w:r>
      <w:r>
        <w:rPr>
          <w:rFonts w:eastAsia="Times New Roman"/>
          <w:color w:val="000000"/>
          <w:sz w:val="20"/>
          <w:szCs w:val="20"/>
        </w:rPr>
        <w:t>t conditions, such as the impact of certain capacity constraints experienced across the semiconductor industry through the third quarter of fiscal 2022, as well as the impact of the macroeconomic environment in fiscal 2022 and 2023, which negatively impact</w:t>
      </w:r>
      <w:r>
        <w:rPr>
          <w:rFonts w:eastAsia="Times New Roman"/>
          <w:color w:val="000000"/>
          <w:sz w:val="20"/>
          <w:szCs w:val="20"/>
        </w:rPr>
        <w:t>ed consumer demand for smartphones and other devices that incorporate our products and technologies. Although we believe these estimates are reasonable, any significant changes in customer demand that are less favorable than our previous estimates may requ</w:t>
      </w:r>
      <w:r>
        <w:rPr>
          <w:rFonts w:eastAsia="Times New Roman"/>
          <w:color w:val="000000"/>
          <w:sz w:val="20"/>
          <w:szCs w:val="20"/>
        </w:rPr>
        <w:t xml:space="preserve">ire additional inventory write-downs and would be reflected in cost of sales resulting in a negative impact to our gross margin in that period. For fiscal 2023 and 2022, the net effect from changes in this estimate and related reserves was less than 2% of </w:t>
      </w:r>
      <w:r>
        <w:rPr>
          <w:rFonts w:eastAsia="Times New Roman"/>
          <w:color w:val="000000"/>
          <w:sz w:val="20"/>
          <w:szCs w:val="20"/>
        </w:rPr>
        <w:t xml:space="preserve">cost of revenues during each period. </w:t>
      </w:r>
    </w:p>
    <w:p w:rsidR="00000000" w:rsidRDefault="008931E1">
      <w:pPr>
        <w:ind w:firstLine="360"/>
        <w:divId w:val="2074963374"/>
        <w:rPr>
          <w:rFonts w:eastAsia="Times New Roman"/>
        </w:rPr>
      </w:pPr>
      <w:r>
        <w:rPr>
          <w:rFonts w:eastAsia="Times New Roman"/>
          <w:b/>
          <w:bCs/>
          <w:i/>
          <w:iCs/>
          <w:color w:val="000000"/>
          <w:sz w:val="20"/>
          <w:szCs w:val="20"/>
        </w:rPr>
        <w:t>Impairment of Goodwill, Other Indefinite-Lived Assets and Long-Lived Assets</w:t>
      </w:r>
      <w:r>
        <w:rPr>
          <w:rFonts w:eastAsia="Times New Roman"/>
          <w:b/>
          <w:bCs/>
          <w:color w:val="000000"/>
          <w:sz w:val="20"/>
          <w:szCs w:val="20"/>
        </w:rPr>
        <w:t>.</w:t>
      </w:r>
      <w:r>
        <w:rPr>
          <w:rFonts w:eastAsia="Times New Roman"/>
          <w:color w:val="000000"/>
          <w:sz w:val="20"/>
          <w:szCs w:val="20"/>
        </w:rPr>
        <w:t xml:space="preserve"> We monitor our goodwill, other indefinite-lived assets and long-lived assets for the existence of impairment indicators and apply judgments i</w:t>
      </w:r>
      <w:r>
        <w:rPr>
          <w:rFonts w:eastAsia="Times New Roman"/>
          <w:color w:val="000000"/>
          <w:sz w:val="20"/>
          <w:szCs w:val="20"/>
        </w:rPr>
        <w:t>n the valuation methods and underlying assumptions utilized in such assessments. During fiscal 2023, we recorded total impairment charges of approximately $400 million related to certain long-lived and other indefinite-lived assets. Such impairments (and t</w:t>
      </w:r>
      <w:r>
        <w:rPr>
          <w:rFonts w:eastAsia="Times New Roman"/>
          <w:color w:val="000000"/>
          <w:sz w:val="20"/>
          <w:szCs w:val="20"/>
        </w:rPr>
        <w:t>he related remaining asset values) were not individually material. During fiscal 2022, there were no material impairment charges for long-lived or indefinite-lived assets. Additionally, the estimated fair values of our QCT and QTL reporting units, based on</w:t>
      </w:r>
      <w:r>
        <w:rPr>
          <w:rFonts w:eastAsia="Times New Roman"/>
          <w:color w:val="000000"/>
          <w:sz w:val="20"/>
          <w:szCs w:val="20"/>
        </w:rPr>
        <w:t xml:space="preserve"> our qualitative assessment, were substantially in excess of their respective carrying values at September 24, 2023. </w:t>
      </w:r>
    </w:p>
    <w:p w:rsidR="00000000" w:rsidRDefault="008931E1">
      <w:pPr>
        <w:ind w:firstLine="360"/>
        <w:divId w:val="1454790193"/>
        <w:rPr>
          <w:rFonts w:eastAsia="Times New Roman"/>
        </w:rPr>
      </w:pPr>
      <w:r>
        <w:rPr>
          <w:rFonts w:eastAsia="Times New Roman"/>
          <w:b/>
          <w:bCs/>
          <w:i/>
          <w:iCs/>
          <w:color w:val="000000"/>
          <w:sz w:val="20"/>
          <w:szCs w:val="20"/>
        </w:rPr>
        <w:t>Legal and Regulatory Proceedings.</w:t>
      </w:r>
      <w:r>
        <w:rPr>
          <w:rFonts w:eastAsia="Times New Roman"/>
          <w:color w:val="000000"/>
          <w:sz w:val="20"/>
          <w:szCs w:val="20"/>
        </w:rPr>
        <w:t xml:space="preserve"> We record our best estimate of a loss related to pending legal and regulatory proceedings when the loss </w:t>
      </w:r>
      <w:r>
        <w:rPr>
          <w:rFonts w:eastAsia="Times New Roman"/>
          <w:color w:val="000000"/>
          <w:sz w:val="20"/>
          <w:szCs w:val="20"/>
        </w:rPr>
        <w:t xml:space="preserve">is considered probable and the amount can be reasonably estimated. We face difficulties in evaluating or estimating likely outcomes or the amount of possible loss in certain legal and regulatory proceedings. </w:t>
      </w:r>
    </w:p>
    <w:p w:rsidR="00000000" w:rsidRDefault="008931E1">
      <w:pPr>
        <w:ind w:firstLine="360"/>
        <w:divId w:val="707684805"/>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We make significant judgments and</w:t>
      </w:r>
      <w:r>
        <w:rPr>
          <w:rFonts w:eastAsia="Times New Roman"/>
          <w:color w:val="000000"/>
          <w:sz w:val="20"/>
          <w:szCs w:val="20"/>
        </w:rPr>
        <w:t xml:space="preserve"> estimates in determining our provision for income taxes, including our assessment of our income tax positions given the uncertainties involved in the interpretation and application of complex tax laws and regulations in various taxing jurisdictions.</w:t>
      </w:r>
    </w:p>
    <w:p w:rsidR="00000000" w:rsidRDefault="008931E1">
      <w:pPr>
        <w:jc w:val="center"/>
        <w:divId w:val="1127971930"/>
        <w:rPr>
          <w:rFonts w:eastAsia="Times New Roman"/>
        </w:rPr>
      </w:pPr>
      <w:r>
        <w:rPr>
          <w:rFonts w:eastAsia="Times New Roman"/>
          <w:color w:val="000000"/>
          <w:sz w:val="20"/>
          <w:szCs w:val="20"/>
        </w:rPr>
        <w:t>47</w:t>
      </w:r>
    </w:p>
    <w:p w:rsidR="00000000" w:rsidRDefault="008931E1">
      <w:pPr>
        <w:rPr>
          <w:rFonts w:eastAsia="Times New Roman"/>
        </w:rPr>
      </w:pPr>
      <w:r>
        <w:rPr>
          <w:rFonts w:eastAsia="Times New Roman"/>
        </w:rPr>
        <w:pict>
          <v:rect id="_x0000_i1071" style="width:0;height:1.5pt" o:hralign="center" o:hrstd="t" o:hr="t" fillcolor="#a0a0a0" stroked="f"/>
        </w:pict>
      </w:r>
    </w:p>
    <w:p w:rsidR="00000000" w:rsidRDefault="008931E1">
      <w:pPr>
        <w:divId w:val="624117456"/>
        <w:rPr>
          <w:rFonts w:eastAsia="Times New Roman"/>
        </w:rPr>
      </w:pPr>
    </w:p>
    <w:p w:rsidR="00000000" w:rsidRDefault="008931E1">
      <w:pPr>
        <w:divId w:val="503010673"/>
        <w:rPr>
          <w:rFonts w:eastAsia="Times New Roman"/>
        </w:rPr>
      </w:pPr>
      <w:r>
        <w:rPr>
          <w:rFonts w:eastAsia="Times New Roman"/>
          <w:b/>
          <w:bCs/>
          <w:color w:val="000000"/>
          <w:sz w:val="20"/>
          <w:szCs w:val="20"/>
        </w:rPr>
        <w:t>Item 7A. Quantitative and Qualitative Disclosures about Market Risk</w:t>
      </w:r>
    </w:p>
    <w:p w:rsidR="00000000" w:rsidRDefault="008931E1">
      <w:pPr>
        <w:divId w:val="1744638874"/>
        <w:rPr>
          <w:rFonts w:eastAsia="Times New Roman"/>
        </w:rPr>
      </w:pPr>
      <w:r>
        <w:rPr>
          <w:rFonts w:eastAsia="Times New Roman"/>
          <w:b/>
          <w:bCs/>
          <w:color w:val="000000"/>
          <w:sz w:val="20"/>
          <w:szCs w:val="20"/>
        </w:rPr>
        <w:t>Marketable Securities</w:t>
      </w:r>
    </w:p>
    <w:p w:rsidR="00000000" w:rsidRDefault="008931E1">
      <w:pPr>
        <w:ind w:firstLine="360"/>
        <w:divId w:val="370695425"/>
        <w:rPr>
          <w:rFonts w:eastAsia="Times New Roman"/>
        </w:rPr>
      </w:pPr>
      <w:r>
        <w:rPr>
          <w:rFonts w:eastAsia="Times New Roman"/>
          <w:color w:val="000000"/>
          <w:sz w:val="20"/>
          <w:szCs w:val="20"/>
        </w:rPr>
        <w:t>We have made investments in marketable securities of companies of varying size, style, industry and geography and changes in investment allocations may affect the price volatility of our investments.</w:t>
      </w:r>
    </w:p>
    <w:p w:rsidR="00000000" w:rsidRDefault="008931E1">
      <w:pPr>
        <w:ind w:firstLine="360"/>
        <w:divId w:val="588387679"/>
        <w:rPr>
          <w:rFonts w:eastAsia="Times New Roman"/>
        </w:rPr>
      </w:pPr>
      <w:r>
        <w:rPr>
          <w:rFonts w:eastAsia="Times New Roman"/>
          <w:b/>
          <w:bCs/>
          <w:i/>
          <w:iCs/>
          <w:color w:val="000000"/>
          <w:sz w:val="20"/>
          <w:szCs w:val="20"/>
        </w:rPr>
        <w:t xml:space="preserve">Interest Rate Risk. </w:t>
      </w:r>
      <w:r>
        <w:rPr>
          <w:rFonts w:eastAsia="Times New Roman"/>
          <w:color w:val="000000"/>
          <w:sz w:val="20"/>
          <w:szCs w:val="20"/>
        </w:rPr>
        <w:t>We invest a portion of our cash in a</w:t>
      </w:r>
      <w:r>
        <w:rPr>
          <w:rFonts w:eastAsia="Times New Roman"/>
          <w:color w:val="000000"/>
          <w:sz w:val="20"/>
          <w:szCs w:val="20"/>
        </w:rPr>
        <w:t xml:space="preserve"> number of diversified fixed- and floating-rate securities consisting of cash equivalents, marketable debt securities and time and demand deposits that are subject to interest rate risk. At September 24, 2023 and September 25, 2022, a hypothetical increase</w:t>
      </w:r>
      <w:r>
        <w:rPr>
          <w:rFonts w:eastAsia="Times New Roman"/>
          <w:color w:val="000000"/>
          <w:sz w:val="20"/>
          <w:szCs w:val="20"/>
        </w:rPr>
        <w:t xml:space="preserve"> in interest rates of 100 basis points across the entire yield curve on our holdings would have resulted in a decrease of $26 million and $36 million, respectively, in the fair value of our holdings.</w:t>
      </w:r>
    </w:p>
    <w:p w:rsidR="00000000" w:rsidRDefault="008931E1">
      <w:pPr>
        <w:divId w:val="1540314824"/>
        <w:rPr>
          <w:rFonts w:eastAsia="Times New Roman"/>
        </w:rPr>
      </w:pPr>
      <w:r>
        <w:rPr>
          <w:rFonts w:eastAsia="Times New Roman"/>
          <w:b/>
          <w:bCs/>
          <w:color w:val="000000"/>
          <w:sz w:val="20"/>
          <w:szCs w:val="20"/>
        </w:rPr>
        <w:t>Other Investments</w:t>
      </w:r>
    </w:p>
    <w:p w:rsidR="00000000" w:rsidRDefault="008931E1">
      <w:pPr>
        <w:ind w:firstLine="360"/>
        <w:divId w:val="1699505587"/>
        <w:rPr>
          <w:rFonts w:eastAsia="Times New Roman"/>
        </w:rPr>
      </w:pPr>
      <w:r>
        <w:rPr>
          <w:rFonts w:eastAsia="Times New Roman"/>
          <w:b/>
          <w:bCs/>
          <w:i/>
          <w:iCs/>
          <w:color w:val="000000"/>
          <w:sz w:val="20"/>
          <w:szCs w:val="20"/>
        </w:rPr>
        <w:t xml:space="preserve">Equity Price Risk. </w:t>
      </w:r>
      <w:r>
        <w:rPr>
          <w:rFonts w:eastAsia="Times New Roman"/>
          <w:color w:val="000000"/>
          <w:sz w:val="20"/>
          <w:szCs w:val="20"/>
        </w:rPr>
        <w:t>We hold investments</w:t>
      </w:r>
      <w:r>
        <w:rPr>
          <w:rFonts w:eastAsia="Times New Roman"/>
          <w:color w:val="000000"/>
          <w:sz w:val="20"/>
          <w:szCs w:val="20"/>
        </w:rPr>
        <w:t xml:space="preserve"> in non-marketable equity instruments in privately held companies that may be impacted by equity price risks. Volatility in the equity markets and the current macroeconomic environment could negatively affect our investees’ ability to raise additional capi</w:t>
      </w:r>
      <w:r>
        <w:rPr>
          <w:rFonts w:eastAsia="Times New Roman"/>
          <w:color w:val="000000"/>
          <w:sz w:val="20"/>
          <w:szCs w:val="20"/>
        </w:rPr>
        <w:t>tal as well as our ability to realize value from our investments through initial public offerings, mergers or private sales. Consequently, we could incur impairment losses or realized losses on all or part of the values of our non-marketable equity investm</w:t>
      </w:r>
      <w:r>
        <w:rPr>
          <w:rFonts w:eastAsia="Times New Roman"/>
          <w:color w:val="000000"/>
          <w:sz w:val="20"/>
          <w:szCs w:val="20"/>
        </w:rPr>
        <w:t>ents. At September 24, 2023, our non-marketable equity investments (including those accounted for under the equity method) consisted of investments in over 150 companies with an aggregate carrying value included in other assets of $1.2 billion.</w:t>
      </w:r>
    </w:p>
    <w:p w:rsidR="00000000" w:rsidRDefault="008931E1">
      <w:pPr>
        <w:divId w:val="965500466"/>
        <w:rPr>
          <w:rFonts w:eastAsia="Times New Roman"/>
        </w:rPr>
      </w:pPr>
      <w:r>
        <w:rPr>
          <w:rFonts w:eastAsia="Times New Roman"/>
          <w:b/>
          <w:bCs/>
          <w:color w:val="000000"/>
          <w:sz w:val="20"/>
          <w:szCs w:val="20"/>
        </w:rPr>
        <w:t>Debt and In</w:t>
      </w:r>
      <w:r>
        <w:rPr>
          <w:rFonts w:eastAsia="Times New Roman"/>
          <w:b/>
          <w:bCs/>
          <w:color w:val="000000"/>
          <w:sz w:val="20"/>
          <w:szCs w:val="20"/>
        </w:rPr>
        <w:t>terest Rate Swap Agreements</w:t>
      </w:r>
    </w:p>
    <w:p w:rsidR="00000000" w:rsidRDefault="008931E1">
      <w:pPr>
        <w:ind w:firstLine="360"/>
        <w:divId w:val="1399010175"/>
        <w:rPr>
          <w:rFonts w:eastAsia="Times New Roman"/>
        </w:rPr>
      </w:pPr>
      <w:r>
        <w:rPr>
          <w:rFonts w:eastAsia="Times New Roman"/>
          <w:b/>
          <w:bCs/>
          <w:i/>
          <w:iCs/>
          <w:color w:val="000000"/>
          <w:sz w:val="20"/>
          <w:szCs w:val="20"/>
        </w:rPr>
        <w:t>Interest Rate Risk.</w:t>
      </w:r>
      <w:r>
        <w:rPr>
          <w:rFonts w:eastAsia="Times New Roman"/>
          <w:color w:val="000000"/>
          <w:sz w:val="20"/>
          <w:szCs w:val="20"/>
        </w:rPr>
        <w:t xml:space="preserve"> At September 25, 2022, we had an aggregate principal amount of $500 million in unsecured floating-rate notes that matured in January 2023. At September 24, 2023, all of our debt was comprised of unsecured fix</w:t>
      </w:r>
      <w:r>
        <w:rPr>
          <w:rFonts w:eastAsia="Times New Roman"/>
          <w:color w:val="000000"/>
          <w:sz w:val="20"/>
          <w:szCs w:val="20"/>
        </w:rPr>
        <w:t xml:space="preserve">ed-rate notes. From time to time, we issue commercial paper for which our exposure to interest rate risk is negligible based on the original maturities of approximately three months or less. </w:t>
      </w:r>
    </w:p>
    <w:p w:rsidR="00000000" w:rsidRDefault="008931E1">
      <w:pPr>
        <w:ind w:firstLine="360"/>
        <w:divId w:val="843978440"/>
        <w:rPr>
          <w:rFonts w:eastAsia="Times New Roman"/>
        </w:rPr>
      </w:pPr>
      <w:r>
        <w:rPr>
          <w:rFonts w:eastAsia="Times New Roman"/>
          <w:color w:val="000000"/>
          <w:sz w:val="20"/>
          <w:szCs w:val="20"/>
        </w:rPr>
        <w:t>We manage our exposure to certain interest rate risks related to</w:t>
      </w:r>
      <w:r>
        <w:rPr>
          <w:rFonts w:eastAsia="Times New Roman"/>
          <w:color w:val="000000"/>
          <w:sz w:val="20"/>
          <w:szCs w:val="20"/>
        </w:rPr>
        <w:t xml:space="preserve"> our long-term debt through the use of interest rate swaps. We enter into these agreements to manage interest rate risk associated with our cash equivalents and marketable securities, in addition to changes in the fair value of our outstanding debt. At Sep</w:t>
      </w:r>
      <w:r>
        <w:rPr>
          <w:rFonts w:eastAsia="Times New Roman"/>
          <w:color w:val="000000"/>
          <w:sz w:val="20"/>
          <w:szCs w:val="20"/>
        </w:rPr>
        <w:t>tember 24, 2023 and September 25, 2022, we had an aggregate notional amount of $2.1 billion in interest rate swaps that are designated as fair value hedges to effectively convert certain fixed-rate interest payments into floating-rate payments on our outst</w:t>
      </w:r>
      <w:r>
        <w:rPr>
          <w:rFonts w:eastAsia="Times New Roman"/>
          <w:color w:val="000000"/>
          <w:sz w:val="20"/>
          <w:szCs w:val="20"/>
        </w:rPr>
        <w:t>anding debt. At September 24, 2023 and September 25, 2022, a hypothetical increase in interest rates of 100 basis points would not cause a loss as an increase in interest expense related to these interest rate swaps agreements would be offset by an increas</w:t>
      </w:r>
      <w:r>
        <w:rPr>
          <w:rFonts w:eastAsia="Times New Roman"/>
          <w:color w:val="000000"/>
          <w:sz w:val="20"/>
          <w:szCs w:val="20"/>
        </w:rPr>
        <w:t>e in interest income from our cash equivalents and marketable securities portfolio.</w:t>
      </w:r>
    </w:p>
    <w:p w:rsidR="00000000" w:rsidRDefault="008931E1">
      <w:pPr>
        <w:ind w:firstLine="360"/>
        <w:divId w:val="372463007"/>
        <w:rPr>
          <w:rFonts w:eastAsia="Times New Roman"/>
        </w:rPr>
      </w:pPr>
      <w:r>
        <w:rPr>
          <w:rFonts w:eastAsia="Times New Roman"/>
          <w:color w:val="000000"/>
          <w:sz w:val="20"/>
          <w:szCs w:val="20"/>
        </w:rPr>
        <w:t>At September 25, 2022, we had outstanding forward-starting interest rate swaps with an aggregate notional amount of $1.6 billion to hedge the variability of forecasted inte</w:t>
      </w:r>
      <w:r>
        <w:rPr>
          <w:rFonts w:eastAsia="Times New Roman"/>
          <w:color w:val="000000"/>
          <w:sz w:val="20"/>
          <w:szCs w:val="20"/>
        </w:rPr>
        <w:t>rest payments on anticipated debt issuances. During the first quarter of fiscal 2023, in connection with our debt issuance in November 2022, we terminated these swaps.</w:t>
      </w:r>
    </w:p>
    <w:p w:rsidR="00000000" w:rsidRDefault="008931E1">
      <w:pPr>
        <w:divId w:val="1346404189"/>
        <w:rPr>
          <w:rFonts w:eastAsia="Times New Roman"/>
        </w:rPr>
      </w:pPr>
      <w:r>
        <w:rPr>
          <w:rFonts w:eastAsia="Times New Roman"/>
          <w:b/>
          <w:bCs/>
          <w:color w:val="000000"/>
          <w:sz w:val="20"/>
          <w:szCs w:val="20"/>
        </w:rPr>
        <w:t>Foreign Exchange Risk</w:t>
      </w:r>
      <w:r>
        <w:rPr>
          <w:rFonts w:eastAsia="Times New Roman"/>
          <w:color w:val="000000"/>
          <w:sz w:val="20"/>
          <w:szCs w:val="20"/>
        </w:rPr>
        <w:t xml:space="preserve"> </w:t>
      </w:r>
    </w:p>
    <w:p w:rsidR="00000000" w:rsidRDefault="008931E1">
      <w:pPr>
        <w:ind w:firstLine="360"/>
        <w:divId w:val="1206020073"/>
        <w:rPr>
          <w:rFonts w:eastAsia="Times New Roman"/>
        </w:rPr>
      </w:pPr>
      <w:r>
        <w:rPr>
          <w:rFonts w:eastAsia="Times New Roman"/>
          <w:color w:val="000000"/>
          <w:sz w:val="20"/>
          <w:szCs w:val="20"/>
        </w:rPr>
        <w:t>We manage our exposure to foreign exchange market risks, when dee</w:t>
      </w:r>
      <w:r>
        <w:rPr>
          <w:rFonts w:eastAsia="Times New Roman"/>
          <w:color w:val="000000"/>
          <w:sz w:val="20"/>
          <w:szCs w:val="20"/>
        </w:rPr>
        <w:t>med appropriate, through the use of derivative and non-derivative financial instruments, including foreign currency forward and option contracts with financial counterparties and net investment hedges. We utilize such derivative financial instruments for h</w:t>
      </w:r>
      <w:r>
        <w:rPr>
          <w:rFonts w:eastAsia="Times New Roman"/>
          <w:color w:val="000000"/>
          <w:sz w:val="20"/>
          <w:szCs w:val="20"/>
        </w:rPr>
        <w:t>edging or risk management purposes rather than for speculative purposes. Counterparties to these derivative contracts are all major banking institutions. In the event of the financial insolvency or distress of a counterparty to our derivative financial ins</w:t>
      </w:r>
      <w:r>
        <w:rPr>
          <w:rFonts w:eastAsia="Times New Roman"/>
          <w:color w:val="000000"/>
          <w:sz w:val="20"/>
          <w:szCs w:val="20"/>
        </w:rPr>
        <w:t>truments, we may be unable to settle transactions if the counterparty does not provide us with sufficient collateral to secure its net settlement obligations to us, which could have a negative impact on our results.</w:t>
      </w:r>
    </w:p>
    <w:p w:rsidR="00000000" w:rsidRDefault="008931E1">
      <w:pPr>
        <w:ind w:firstLine="360"/>
        <w:divId w:val="1853563962"/>
        <w:rPr>
          <w:rFonts w:eastAsia="Times New Roman"/>
        </w:rPr>
      </w:pPr>
      <w:r>
        <w:rPr>
          <w:rFonts w:eastAsia="Times New Roman"/>
          <w:color w:val="000000"/>
          <w:sz w:val="20"/>
          <w:szCs w:val="20"/>
        </w:rPr>
        <w:t>Gains or losses on hedged foreign curren</w:t>
      </w:r>
      <w:r>
        <w:rPr>
          <w:rFonts w:eastAsia="Times New Roman"/>
          <w:color w:val="000000"/>
          <w:sz w:val="20"/>
          <w:szCs w:val="20"/>
        </w:rPr>
        <w:t>cy transactions and investments, including certain royalties earned from licensees, operating expenses and net investments in foreign subsidiaries, are generally offset by corresponding losses or gains on the related hedging instrument.</w:t>
      </w:r>
    </w:p>
    <w:p w:rsidR="00000000" w:rsidRDefault="008931E1">
      <w:pPr>
        <w:ind w:firstLine="360"/>
        <w:divId w:val="1764035851"/>
        <w:rPr>
          <w:rFonts w:eastAsia="Times New Roman"/>
        </w:rPr>
      </w:pPr>
      <w:r>
        <w:rPr>
          <w:rFonts w:eastAsia="Times New Roman"/>
          <w:b/>
          <w:bCs/>
          <w:i/>
          <w:iCs/>
          <w:color w:val="000000"/>
          <w:sz w:val="20"/>
          <w:szCs w:val="20"/>
        </w:rPr>
        <w:t>Functional Currency</w:t>
      </w:r>
      <w:r>
        <w:rPr>
          <w:rFonts w:eastAsia="Times New Roman"/>
          <w:b/>
          <w:bCs/>
          <w:i/>
          <w:iCs/>
          <w:color w:val="000000"/>
          <w:sz w:val="20"/>
          <w:szCs w:val="20"/>
        </w:rPr>
        <w:t xml:space="preserve">. </w:t>
      </w:r>
      <w:r>
        <w:rPr>
          <w:rFonts w:eastAsia="Times New Roman"/>
          <w:color w:val="000000"/>
          <w:sz w:val="20"/>
          <w:szCs w:val="20"/>
        </w:rPr>
        <w:t>Financial assets and liabilities held by consolidated subsidiaries that are not denominated in the functional currency of those entities are subject to the effects of currency fluctuations and may affect reported earnings. As a global company, we face ex</w:t>
      </w:r>
      <w:r>
        <w:rPr>
          <w:rFonts w:eastAsia="Times New Roman"/>
          <w:color w:val="000000"/>
          <w:sz w:val="20"/>
          <w:szCs w:val="20"/>
        </w:rPr>
        <w:t>posure to adverse movements in foreign currency exchange rates. We may hedge currency exposures associated with certain assets and liabilities denominated in nonfunctional currencies and certain anticipated nonfunctional currency transactions. As a result,</w:t>
      </w:r>
      <w:r>
        <w:rPr>
          <w:rFonts w:eastAsia="Times New Roman"/>
          <w:color w:val="000000"/>
          <w:sz w:val="20"/>
          <w:szCs w:val="20"/>
        </w:rPr>
        <w:t xml:space="preserve"> we could experience unanticipated gains or losses on anticipated foreign currency cash flows, as well as economic loss with respect to the recoverability of investments. While we may hedge certain transactions with non-U.S. customers, declines in currency</w:t>
      </w:r>
      <w:r>
        <w:rPr>
          <w:rFonts w:eastAsia="Times New Roman"/>
          <w:color w:val="000000"/>
          <w:sz w:val="20"/>
          <w:szCs w:val="20"/>
        </w:rPr>
        <w:t xml:space="preserve"> values in certain regions may, if not reversed, adversely affect future product sales because our products may become more expensive to purchase in the countries of the affected currencies.</w:t>
      </w:r>
    </w:p>
    <w:p w:rsidR="00000000" w:rsidRDefault="008931E1">
      <w:pPr>
        <w:ind w:firstLine="360"/>
        <w:divId w:val="1960338010"/>
        <w:rPr>
          <w:rFonts w:eastAsia="Times New Roman"/>
        </w:rPr>
      </w:pPr>
      <w:r>
        <w:rPr>
          <w:rFonts w:eastAsia="Times New Roman"/>
          <w:color w:val="000000"/>
          <w:sz w:val="20"/>
          <w:szCs w:val="20"/>
        </w:rPr>
        <w:t>Our analysis methods used to assess and mitigate the risks discus</w:t>
      </w:r>
      <w:r>
        <w:rPr>
          <w:rFonts w:eastAsia="Times New Roman"/>
          <w:color w:val="000000"/>
          <w:sz w:val="20"/>
          <w:szCs w:val="20"/>
        </w:rPr>
        <w:t>sed above should not be considered projections of future risks. Additional information regarding the financial instruments mentioned above is provided in this Annual Report in “Notes to Consolidated Financial Statements, Note 1. Significant Accounting Poli</w:t>
      </w:r>
      <w:r>
        <w:rPr>
          <w:rFonts w:eastAsia="Times New Roman"/>
          <w:color w:val="000000"/>
          <w:sz w:val="20"/>
          <w:szCs w:val="20"/>
        </w:rPr>
        <w:t xml:space="preserve">cies,” “Notes to Consolidated Financial </w:t>
      </w:r>
    </w:p>
    <w:p w:rsidR="00000000" w:rsidRDefault="008931E1">
      <w:pPr>
        <w:jc w:val="center"/>
        <w:divId w:val="1183209679"/>
        <w:rPr>
          <w:rFonts w:eastAsia="Times New Roman"/>
        </w:rPr>
      </w:pPr>
      <w:r>
        <w:rPr>
          <w:rFonts w:eastAsia="Times New Roman"/>
          <w:color w:val="000000"/>
          <w:sz w:val="20"/>
          <w:szCs w:val="20"/>
        </w:rPr>
        <w:t>48</w:t>
      </w:r>
    </w:p>
    <w:p w:rsidR="00000000" w:rsidRDefault="008931E1">
      <w:pPr>
        <w:rPr>
          <w:rFonts w:eastAsia="Times New Roman"/>
        </w:rPr>
      </w:pPr>
      <w:r>
        <w:rPr>
          <w:rFonts w:eastAsia="Times New Roman"/>
        </w:rPr>
        <w:pict>
          <v:rect id="_x0000_i1072" style="width:0;height:1.5pt" o:hralign="center" o:hrstd="t" o:hr="t" fillcolor="#a0a0a0" stroked="f"/>
        </w:pict>
      </w:r>
    </w:p>
    <w:p w:rsidR="00000000" w:rsidRDefault="008931E1">
      <w:pPr>
        <w:divId w:val="1017925630"/>
        <w:rPr>
          <w:rFonts w:eastAsia="Times New Roman"/>
        </w:rPr>
      </w:pPr>
    </w:p>
    <w:p w:rsidR="00000000" w:rsidRDefault="008931E1">
      <w:pPr>
        <w:divId w:val="68383093"/>
        <w:rPr>
          <w:rFonts w:eastAsia="Times New Roman"/>
        </w:rPr>
      </w:pPr>
      <w:r>
        <w:rPr>
          <w:rFonts w:eastAsia="Times New Roman"/>
          <w:color w:val="000000"/>
          <w:sz w:val="20"/>
          <w:szCs w:val="20"/>
        </w:rPr>
        <w:t>Statements, Note 2. Composition of Certain Financial Statement Items,” “Notes to Consolidated Financial Statements, Note 6. Debt,” “Notes to Consolidated Financial Statements</w:t>
      </w:r>
      <w:r>
        <w:rPr>
          <w:rFonts w:eastAsia="Times New Roman"/>
          <w:color w:val="000000"/>
          <w:sz w:val="20"/>
          <w:szCs w:val="20"/>
        </w:rPr>
        <w:t>, Note 10. Fair Value Measurements and Marketable Securities.”</w:t>
      </w:r>
    </w:p>
    <w:p w:rsidR="00000000" w:rsidRDefault="008931E1">
      <w:pPr>
        <w:divId w:val="1043285293"/>
        <w:rPr>
          <w:rFonts w:eastAsia="Times New Roman"/>
        </w:rPr>
      </w:pPr>
      <w:r>
        <w:rPr>
          <w:rFonts w:eastAsia="Times New Roman"/>
          <w:b/>
          <w:bCs/>
          <w:color w:val="000000"/>
          <w:sz w:val="20"/>
          <w:szCs w:val="20"/>
        </w:rPr>
        <w:t>Item 8. Financial Statements and Supplementary Data</w:t>
      </w:r>
    </w:p>
    <w:p w:rsidR="00000000" w:rsidRDefault="008931E1">
      <w:pPr>
        <w:ind w:firstLine="360"/>
        <w:divId w:val="1858227727"/>
        <w:rPr>
          <w:rFonts w:eastAsia="Times New Roman"/>
        </w:rPr>
      </w:pPr>
      <w:r>
        <w:rPr>
          <w:rFonts w:eastAsia="Times New Roman"/>
          <w:color w:val="000000"/>
          <w:sz w:val="20"/>
          <w:szCs w:val="20"/>
        </w:rPr>
        <w:t>The information required by this item is included in this Annual Report on pages F-1 through F-29.</w:t>
      </w:r>
    </w:p>
    <w:p w:rsidR="00000000" w:rsidRDefault="008931E1">
      <w:pPr>
        <w:divId w:val="564995880"/>
        <w:rPr>
          <w:rFonts w:eastAsia="Times New Roman"/>
        </w:rPr>
      </w:pPr>
      <w:r>
        <w:rPr>
          <w:rFonts w:eastAsia="Times New Roman"/>
          <w:b/>
          <w:bCs/>
          <w:color w:val="000000"/>
          <w:sz w:val="20"/>
          <w:szCs w:val="20"/>
        </w:rPr>
        <w:t xml:space="preserve">Item 9. Changes in and Disagreements with </w:t>
      </w:r>
      <w:r>
        <w:rPr>
          <w:rFonts w:eastAsia="Times New Roman"/>
          <w:b/>
          <w:bCs/>
          <w:color w:val="000000"/>
          <w:sz w:val="20"/>
          <w:szCs w:val="20"/>
        </w:rPr>
        <w:t>Accountants on Accounting and Financial Disclosure</w:t>
      </w:r>
    </w:p>
    <w:p w:rsidR="00000000" w:rsidRDefault="008931E1">
      <w:pPr>
        <w:ind w:firstLine="360"/>
        <w:divId w:val="1133715941"/>
        <w:rPr>
          <w:rFonts w:eastAsia="Times New Roman"/>
        </w:rPr>
      </w:pPr>
      <w:r>
        <w:rPr>
          <w:rFonts w:eastAsia="Times New Roman"/>
          <w:color w:val="000000"/>
          <w:sz w:val="20"/>
          <w:szCs w:val="20"/>
        </w:rPr>
        <w:t>None.</w:t>
      </w:r>
    </w:p>
    <w:p w:rsidR="00000000" w:rsidRDefault="008931E1">
      <w:pPr>
        <w:divId w:val="1508326385"/>
        <w:rPr>
          <w:rFonts w:eastAsia="Times New Roman"/>
        </w:rPr>
      </w:pPr>
      <w:r>
        <w:rPr>
          <w:rFonts w:eastAsia="Times New Roman"/>
          <w:b/>
          <w:bCs/>
          <w:color w:val="000000"/>
          <w:sz w:val="20"/>
          <w:szCs w:val="20"/>
        </w:rPr>
        <w:t>Item 9A. Controls and Procedures</w:t>
      </w:r>
    </w:p>
    <w:p w:rsidR="00000000" w:rsidRDefault="008931E1">
      <w:pPr>
        <w:divId w:val="521627813"/>
        <w:rPr>
          <w:rFonts w:eastAsia="Times New Roman"/>
        </w:rPr>
      </w:pPr>
      <w:r>
        <w:rPr>
          <w:rFonts w:eastAsia="Times New Roman"/>
          <w:b/>
          <w:bCs/>
          <w:color w:val="000000"/>
          <w:sz w:val="20"/>
          <w:szCs w:val="20"/>
        </w:rPr>
        <w:t>Conclusion Regarding the Effectiveness of Disclosure Controls and Procedures</w:t>
      </w:r>
    </w:p>
    <w:p w:rsidR="00000000" w:rsidRDefault="008931E1">
      <w:pPr>
        <w:ind w:firstLine="360"/>
        <w:divId w:val="786388051"/>
        <w:rPr>
          <w:rFonts w:eastAsia="Times New Roman"/>
        </w:rPr>
      </w:pPr>
      <w:r>
        <w:rPr>
          <w:rFonts w:eastAsia="Times New Roman"/>
          <w:color w:val="000000"/>
          <w:sz w:val="20"/>
          <w:szCs w:val="20"/>
        </w:rPr>
        <w:t>Under the supervision and with the participation of our management, including our princip</w:t>
      </w:r>
      <w:r>
        <w:rPr>
          <w:rFonts w:eastAsia="Times New Roman"/>
          <w:color w:val="000000"/>
          <w:sz w:val="20"/>
          <w:szCs w:val="20"/>
        </w:rPr>
        <w:t>al executive officer and our principal financial officer, we conducted an evaluation of our disclosure controls and procedures, as such terms are defined under Rule 13a-15(e) promulgated under the Securities Exchange Act of 1934, as amended (the Exchange A</w:t>
      </w:r>
      <w:r>
        <w:rPr>
          <w:rFonts w:eastAsia="Times New Roman"/>
          <w:color w:val="000000"/>
          <w:sz w:val="20"/>
          <w:szCs w:val="20"/>
        </w:rPr>
        <w:t>ct). Based on this evaluation, our principal executive officer and our principal financial officer concluded that our disclosure controls and procedures were effective as of the end of the period covered by this Annual Report.</w:t>
      </w:r>
    </w:p>
    <w:p w:rsidR="00000000" w:rsidRDefault="008931E1">
      <w:pPr>
        <w:divId w:val="506486492"/>
        <w:rPr>
          <w:rFonts w:eastAsia="Times New Roman"/>
        </w:rPr>
      </w:pPr>
      <w:r>
        <w:rPr>
          <w:rFonts w:eastAsia="Times New Roman"/>
          <w:b/>
          <w:bCs/>
          <w:color w:val="000000"/>
          <w:sz w:val="20"/>
          <w:szCs w:val="20"/>
        </w:rPr>
        <w:t>Management’s Report on Intern</w:t>
      </w:r>
      <w:r>
        <w:rPr>
          <w:rFonts w:eastAsia="Times New Roman"/>
          <w:b/>
          <w:bCs/>
          <w:color w:val="000000"/>
          <w:sz w:val="20"/>
          <w:szCs w:val="20"/>
        </w:rPr>
        <w:t>al Control over Financial Reporting</w:t>
      </w:r>
    </w:p>
    <w:p w:rsidR="00000000" w:rsidRDefault="008931E1">
      <w:pPr>
        <w:ind w:firstLine="360"/>
        <w:divId w:val="1083602121"/>
        <w:rPr>
          <w:rFonts w:eastAsia="Times New Roman"/>
        </w:rPr>
      </w:pPr>
      <w:r>
        <w:rPr>
          <w:rFonts w:eastAsia="Times New Roman"/>
          <w:color w:val="000000"/>
          <w:sz w:val="20"/>
          <w:szCs w:val="20"/>
        </w:rPr>
        <w:t>Our management is responsible for establishing and maintaining adequate internal control over financial reporting, as such term is defined in Exchange Act Rule 13a-15(f). Under the supervision and with the participation of our management, including our pri</w:t>
      </w:r>
      <w:r>
        <w:rPr>
          <w:rFonts w:eastAsia="Times New Roman"/>
          <w:color w:val="000000"/>
          <w:sz w:val="20"/>
          <w:szCs w:val="20"/>
        </w:rPr>
        <w:t xml:space="preserve">ncipal executive officer and our principal financial officer, we conducted an evaluation of the effectiveness of our internal control over financial reporting based on the framework 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Committee </w:t>
      </w:r>
      <w:r>
        <w:rPr>
          <w:rFonts w:eastAsia="Times New Roman"/>
          <w:color w:val="000000"/>
          <w:sz w:val="20"/>
          <w:szCs w:val="20"/>
        </w:rPr>
        <w:t>of Sponsoring Organizations of the Treadway Commission. Based on our evaluation under this framework, our management concluded that our internal control over financial reporting was effective as of September 24, 2023.</w:t>
      </w:r>
    </w:p>
    <w:p w:rsidR="00000000" w:rsidRDefault="008931E1">
      <w:pPr>
        <w:ind w:firstLine="360"/>
        <w:divId w:val="1895040756"/>
        <w:rPr>
          <w:rFonts w:eastAsia="Times New Roman"/>
        </w:rPr>
      </w:pPr>
      <w:r>
        <w:rPr>
          <w:rFonts w:eastAsia="Times New Roman"/>
          <w:color w:val="000000"/>
          <w:sz w:val="20"/>
          <w:szCs w:val="20"/>
        </w:rPr>
        <w:t>PricewaterhouseCoopers LLP, the indepe</w:t>
      </w:r>
      <w:r>
        <w:rPr>
          <w:rFonts w:eastAsia="Times New Roman"/>
          <w:color w:val="000000"/>
          <w:sz w:val="20"/>
          <w:szCs w:val="20"/>
        </w:rPr>
        <w:t>ndent registered public accounting firm that audited our consolidated financial statements included in this Annual Report, has also audited the effectiveness of our internal control over financial reporting as of September 24, 2023, as stated in its report</w:t>
      </w:r>
      <w:r>
        <w:rPr>
          <w:rFonts w:eastAsia="Times New Roman"/>
          <w:color w:val="000000"/>
          <w:sz w:val="20"/>
          <w:szCs w:val="20"/>
        </w:rPr>
        <w:t xml:space="preserve"> which appears on pages F-1 through F-2 in this Annual Report.</w:t>
      </w:r>
    </w:p>
    <w:p w:rsidR="00000000" w:rsidRDefault="008931E1">
      <w:pPr>
        <w:divId w:val="993413975"/>
        <w:rPr>
          <w:rFonts w:eastAsia="Times New Roman"/>
        </w:rPr>
      </w:pPr>
      <w:r>
        <w:rPr>
          <w:rFonts w:eastAsia="Times New Roman"/>
          <w:b/>
          <w:bCs/>
          <w:color w:val="000000"/>
          <w:sz w:val="20"/>
          <w:szCs w:val="20"/>
        </w:rPr>
        <w:t>Inherent Limitations over Internal Controls</w:t>
      </w:r>
    </w:p>
    <w:p w:rsidR="00000000" w:rsidRDefault="008931E1">
      <w:pPr>
        <w:ind w:firstLine="360"/>
        <w:divId w:val="1465655543"/>
        <w:rPr>
          <w:rFonts w:eastAsia="Times New Roman"/>
        </w:rPr>
      </w:pPr>
      <w:r>
        <w:rPr>
          <w:rFonts w:eastAsia="Times New Roman"/>
          <w:color w:val="000000"/>
          <w:sz w:val="20"/>
          <w:szCs w:val="20"/>
        </w:rPr>
        <w:t>Our internal control over financial reporting is designed to provide reasonable assurance regarding the reliability of financial reporting and the pr</w:t>
      </w:r>
      <w:r>
        <w:rPr>
          <w:rFonts w:eastAsia="Times New Roman"/>
          <w:color w:val="000000"/>
          <w:sz w:val="20"/>
          <w:szCs w:val="20"/>
        </w:rPr>
        <w:t>eparation of consolidated financial statements for external purposes in accordance with generally accepted accounting principles. Our internal control over financial reporting includes those policies and procedures that:</w:t>
      </w:r>
    </w:p>
    <w:p w:rsidR="00000000" w:rsidRDefault="008931E1">
      <w:pPr>
        <w:ind w:hanging="360"/>
        <w:divId w:val="595940536"/>
        <w:rPr>
          <w:rFonts w:eastAsia="Times New Roman"/>
        </w:rPr>
      </w:pPr>
      <w:r>
        <w:rPr>
          <w:rFonts w:eastAsia="Times New Roman"/>
          <w:color w:val="000000"/>
          <w:sz w:val="20"/>
          <w:szCs w:val="20"/>
        </w:rPr>
        <w:t>i.pertain to the maintenance of rec</w:t>
      </w:r>
      <w:r>
        <w:rPr>
          <w:rFonts w:eastAsia="Times New Roman"/>
          <w:color w:val="000000"/>
          <w:sz w:val="20"/>
          <w:szCs w:val="20"/>
        </w:rPr>
        <w:t>ords that, in reasonable detail, accurately and fairly reflect the transactions and dispositions of our assets;</w:t>
      </w:r>
    </w:p>
    <w:p w:rsidR="00000000" w:rsidRDefault="008931E1">
      <w:pPr>
        <w:ind w:hanging="360"/>
        <w:divId w:val="784689051"/>
        <w:rPr>
          <w:rFonts w:eastAsia="Times New Roman"/>
        </w:rPr>
      </w:pPr>
      <w:r>
        <w:rPr>
          <w:rFonts w:eastAsia="Times New Roman"/>
          <w:color w:val="000000"/>
          <w:sz w:val="20"/>
          <w:szCs w:val="20"/>
        </w:rPr>
        <w:t>ii.</w:t>
      </w:r>
      <w:r>
        <w:rPr>
          <w:rFonts w:eastAsia="Times New Roman"/>
          <w:color w:val="000000"/>
          <w:sz w:val="20"/>
          <w:szCs w:val="20"/>
        </w:rPr>
        <w:t>provide reasonable assurance that transactions are recorded as necessary to permit preparation of consolidated financial statements in accordance with generally accepted accounting principles, and that our receipts and expenditures are being made only in a</w:t>
      </w:r>
      <w:r>
        <w:rPr>
          <w:rFonts w:eastAsia="Times New Roman"/>
          <w:color w:val="000000"/>
          <w:sz w:val="20"/>
          <w:szCs w:val="20"/>
        </w:rPr>
        <w:t>ccordance with authorizations of our management and directors; and</w:t>
      </w:r>
    </w:p>
    <w:p w:rsidR="00000000" w:rsidRDefault="008931E1">
      <w:pPr>
        <w:ind w:hanging="360"/>
        <w:divId w:val="1012032337"/>
        <w:rPr>
          <w:rFonts w:eastAsia="Times New Roman"/>
        </w:rPr>
      </w:pPr>
      <w:r>
        <w:rPr>
          <w:rFonts w:eastAsia="Times New Roman"/>
          <w:color w:val="000000"/>
          <w:sz w:val="20"/>
          <w:szCs w:val="20"/>
        </w:rPr>
        <w:t>iii.provide reasonable assurance regarding prevention or timely detection of unauthorized acquisition, use or disposition of our assets that could have a material effect on the consolidated</w:t>
      </w:r>
      <w:r>
        <w:rPr>
          <w:rFonts w:eastAsia="Times New Roman"/>
          <w:color w:val="000000"/>
          <w:sz w:val="20"/>
          <w:szCs w:val="20"/>
        </w:rPr>
        <w:t xml:space="preserve"> financial statements.</w:t>
      </w:r>
    </w:p>
    <w:p w:rsidR="00000000" w:rsidRDefault="008931E1">
      <w:pPr>
        <w:ind w:firstLine="360"/>
        <w:divId w:val="910697818"/>
        <w:rPr>
          <w:rFonts w:eastAsia="Times New Roman"/>
        </w:rPr>
      </w:pPr>
      <w:r>
        <w:rPr>
          <w:rFonts w:eastAsia="Times New Roman"/>
          <w:color w:val="000000"/>
          <w:sz w:val="20"/>
          <w:szCs w:val="20"/>
        </w:rPr>
        <w:t>Internal control over financial reporting cannot provide absolute assurance of achieving financial reporting objectives because of its inherent limitations, including the possibility of human error and circumvention by collusion or o</w:t>
      </w:r>
      <w:r>
        <w:rPr>
          <w:rFonts w:eastAsia="Times New Roman"/>
          <w:color w:val="000000"/>
          <w:sz w:val="20"/>
          <w:szCs w:val="20"/>
        </w:rPr>
        <w:t>verriding of controls. Accordingly, even an effective internal control system may not prevent or detect material misstatements on a timely basis. Also, projections of any evaluation of effectiveness to future periods are subject to the risk that controls m</w:t>
      </w:r>
      <w:r>
        <w:rPr>
          <w:rFonts w:eastAsia="Times New Roman"/>
          <w:color w:val="000000"/>
          <w:sz w:val="20"/>
          <w:szCs w:val="20"/>
        </w:rPr>
        <w:t>ay become inadequate because of changes in conditions or that the degree of compliance with the policies or procedures may deteriorate.</w:t>
      </w:r>
    </w:p>
    <w:p w:rsidR="00000000" w:rsidRDefault="008931E1">
      <w:pPr>
        <w:divId w:val="321545241"/>
        <w:rPr>
          <w:rFonts w:eastAsia="Times New Roman"/>
        </w:rPr>
      </w:pPr>
      <w:r>
        <w:rPr>
          <w:rFonts w:eastAsia="Times New Roman"/>
          <w:b/>
          <w:bCs/>
          <w:color w:val="000000"/>
          <w:sz w:val="20"/>
          <w:szCs w:val="20"/>
        </w:rPr>
        <w:t>Changes in Internal Control over Financial Reporting</w:t>
      </w:r>
    </w:p>
    <w:p w:rsidR="00000000" w:rsidRDefault="008931E1">
      <w:pPr>
        <w:ind w:firstLine="360"/>
        <w:divId w:val="682628908"/>
        <w:rPr>
          <w:rFonts w:eastAsia="Times New Roman"/>
        </w:rPr>
      </w:pPr>
      <w:r>
        <w:rPr>
          <w:rFonts w:eastAsia="Times New Roman"/>
          <w:color w:val="000000"/>
          <w:sz w:val="20"/>
          <w:szCs w:val="20"/>
        </w:rPr>
        <w:t>There were no changes in our internal control over financial report</w:t>
      </w:r>
      <w:r>
        <w:rPr>
          <w:rFonts w:eastAsia="Times New Roman"/>
          <w:color w:val="000000"/>
          <w:sz w:val="20"/>
          <w:szCs w:val="20"/>
        </w:rPr>
        <w:t>ing during the fourth quarter of fiscal 2023 that have materially affected, or are reasonably likely to materially affect, our internal control over financial reporting.</w:t>
      </w:r>
    </w:p>
    <w:p w:rsidR="00000000" w:rsidRDefault="008931E1">
      <w:pPr>
        <w:divId w:val="230502805"/>
        <w:rPr>
          <w:rFonts w:eastAsia="Times New Roman"/>
        </w:rPr>
      </w:pPr>
      <w:r>
        <w:rPr>
          <w:rFonts w:eastAsia="Times New Roman"/>
          <w:b/>
          <w:bCs/>
          <w:color w:val="000000"/>
          <w:sz w:val="20"/>
          <w:szCs w:val="20"/>
        </w:rPr>
        <w:t>Item 9B. Other Information</w:t>
      </w:r>
    </w:p>
    <w:p w:rsidR="00000000" w:rsidRDefault="008931E1">
      <w:pPr>
        <w:ind w:firstLine="360"/>
        <w:divId w:val="1202285159"/>
        <w:rPr>
          <w:rFonts w:eastAsia="Times New Roman"/>
        </w:rPr>
      </w:pPr>
      <w:r>
        <w:rPr>
          <w:rFonts w:eastAsia="Times New Roman"/>
          <w:color w:val="000000"/>
          <w:sz w:val="20"/>
          <w:szCs w:val="20"/>
        </w:rPr>
        <w:t>During the quarter ended September 24, 2023, none of our di</w:t>
      </w:r>
      <w:r>
        <w:rPr>
          <w:rFonts w:eastAsia="Times New Roman"/>
          <w:color w:val="000000"/>
          <w:sz w:val="20"/>
          <w:szCs w:val="20"/>
        </w:rPr>
        <w:t>rectors or officers (as defined in Rule 16a-1(f) of the Exchange Act) adopted or terminated a “Rule 10b5-1 trading arrangement” or “non-Rule 10b5-1 trading arrangement,” as each term is defined in Item 408 of Regulation S-K.</w:t>
      </w:r>
    </w:p>
    <w:p w:rsidR="00000000" w:rsidRDefault="008931E1">
      <w:pPr>
        <w:divId w:val="505242852"/>
        <w:rPr>
          <w:rFonts w:eastAsia="Times New Roman"/>
        </w:rPr>
      </w:pPr>
      <w:r>
        <w:rPr>
          <w:rFonts w:eastAsia="Times New Roman"/>
          <w:b/>
          <w:bCs/>
          <w:color w:val="000000"/>
          <w:sz w:val="20"/>
          <w:szCs w:val="20"/>
        </w:rPr>
        <w:t>Item 9C. Disclosure Regarding F</w:t>
      </w:r>
      <w:r>
        <w:rPr>
          <w:rFonts w:eastAsia="Times New Roman"/>
          <w:b/>
          <w:bCs/>
          <w:color w:val="000000"/>
          <w:sz w:val="20"/>
          <w:szCs w:val="20"/>
        </w:rPr>
        <w:t>oreign Jurisdictions that Prevent Inspections</w:t>
      </w:r>
    </w:p>
    <w:p w:rsidR="00000000" w:rsidRDefault="008931E1">
      <w:pPr>
        <w:ind w:firstLine="360"/>
        <w:divId w:val="616529197"/>
        <w:rPr>
          <w:rFonts w:eastAsia="Times New Roman"/>
        </w:rPr>
      </w:pPr>
      <w:r>
        <w:rPr>
          <w:rFonts w:eastAsia="Times New Roman"/>
          <w:color w:val="000000"/>
          <w:sz w:val="20"/>
          <w:szCs w:val="20"/>
        </w:rPr>
        <w:t>Not applicable.</w:t>
      </w:r>
    </w:p>
    <w:p w:rsidR="00000000" w:rsidRDefault="008931E1">
      <w:pPr>
        <w:jc w:val="center"/>
        <w:divId w:val="1140417633"/>
        <w:rPr>
          <w:rFonts w:eastAsia="Times New Roman"/>
        </w:rPr>
      </w:pPr>
      <w:r>
        <w:rPr>
          <w:rFonts w:eastAsia="Times New Roman"/>
          <w:color w:val="000000"/>
          <w:sz w:val="20"/>
          <w:szCs w:val="20"/>
        </w:rPr>
        <w:t>49</w:t>
      </w:r>
    </w:p>
    <w:p w:rsidR="00000000" w:rsidRDefault="008931E1">
      <w:pPr>
        <w:rPr>
          <w:rFonts w:eastAsia="Times New Roman"/>
        </w:rPr>
      </w:pPr>
      <w:r>
        <w:rPr>
          <w:rFonts w:eastAsia="Times New Roman"/>
        </w:rPr>
        <w:pict>
          <v:rect id="_x0000_i1073" style="width:0;height:1.5pt" o:hralign="center" o:hrstd="t" o:hr="t" fillcolor="#a0a0a0" stroked="f"/>
        </w:pict>
      </w:r>
    </w:p>
    <w:p w:rsidR="00000000" w:rsidRDefault="008931E1">
      <w:pPr>
        <w:divId w:val="37243436"/>
        <w:rPr>
          <w:rFonts w:eastAsia="Times New Roman"/>
        </w:rPr>
      </w:pPr>
    </w:p>
    <w:p w:rsidR="00000000" w:rsidRDefault="008931E1">
      <w:pPr>
        <w:jc w:val="center"/>
        <w:divId w:val="1920794675"/>
        <w:rPr>
          <w:rFonts w:eastAsia="Times New Roman"/>
        </w:rPr>
      </w:pPr>
      <w:r>
        <w:rPr>
          <w:rFonts w:eastAsia="Times New Roman"/>
          <w:b/>
          <w:bCs/>
          <w:color w:val="000000"/>
          <w:sz w:val="20"/>
          <w:szCs w:val="20"/>
        </w:rPr>
        <w:t>PART III</w:t>
      </w:r>
    </w:p>
    <w:p w:rsidR="00000000" w:rsidRDefault="008931E1">
      <w:pPr>
        <w:divId w:val="918712256"/>
        <w:rPr>
          <w:rFonts w:eastAsia="Times New Roman"/>
        </w:rPr>
      </w:pPr>
      <w:r>
        <w:rPr>
          <w:rFonts w:eastAsia="Times New Roman"/>
          <w:b/>
          <w:bCs/>
          <w:color w:val="000000"/>
          <w:sz w:val="20"/>
          <w:szCs w:val="20"/>
        </w:rPr>
        <w:t>Item 10. Directors, Executive Officers and Corporate Governance</w:t>
      </w:r>
    </w:p>
    <w:p w:rsidR="00000000" w:rsidRDefault="008931E1">
      <w:pPr>
        <w:ind w:firstLine="360"/>
        <w:divId w:val="1371343947"/>
        <w:rPr>
          <w:rFonts w:eastAsia="Times New Roman"/>
        </w:rPr>
      </w:pPr>
      <w:r>
        <w:rPr>
          <w:rFonts w:eastAsia="Times New Roman"/>
          <w:color w:val="000000"/>
          <w:sz w:val="20"/>
          <w:szCs w:val="20"/>
        </w:rPr>
        <w:t>The information required by this item regarding directors is incorporated by re</w:t>
      </w:r>
      <w:r>
        <w:rPr>
          <w:rFonts w:eastAsia="Times New Roman"/>
          <w:color w:val="000000"/>
          <w:sz w:val="20"/>
          <w:szCs w:val="20"/>
        </w:rPr>
        <w:t>ference to our 2024 Proxy Statement to be filed with the SEC in connection with our 2024 Annual Meeting of Stockholders (2024 Proxy Statement) in “Proposal 1: Election of Directors” under the heading “Nominees for Election.” Certain information required by</w:t>
      </w:r>
      <w:r>
        <w:rPr>
          <w:rFonts w:eastAsia="Times New Roman"/>
          <w:color w:val="000000"/>
          <w:sz w:val="20"/>
          <w:szCs w:val="20"/>
        </w:rPr>
        <w:t xml:space="preserve"> this item regarding executive officers is set forth in Item 1 of Part I of this Annual Report under the heading “Information about our Executive Officers.” The information required by this item regarding corporate governance is incorporated by reference t</w:t>
      </w:r>
      <w:r>
        <w:rPr>
          <w:rFonts w:eastAsia="Times New Roman"/>
          <w:color w:val="000000"/>
          <w:sz w:val="20"/>
          <w:szCs w:val="20"/>
        </w:rPr>
        <w:t>o our 2024 Proxy Statement in the section titled “Corporate Governance” under the headings “Code of Ethics and Corporate Governance Principles and Practices” and “Board Meetings, Committees and Attendance.”</w:t>
      </w:r>
    </w:p>
    <w:p w:rsidR="00000000" w:rsidRDefault="008931E1">
      <w:pPr>
        <w:divId w:val="622735570"/>
        <w:rPr>
          <w:rFonts w:eastAsia="Times New Roman"/>
        </w:rPr>
      </w:pPr>
      <w:r>
        <w:rPr>
          <w:rFonts w:eastAsia="Times New Roman"/>
          <w:b/>
          <w:bCs/>
          <w:color w:val="000000"/>
          <w:sz w:val="20"/>
          <w:szCs w:val="20"/>
        </w:rPr>
        <w:t>Item 11. Executive Compensation</w:t>
      </w:r>
    </w:p>
    <w:p w:rsidR="00000000" w:rsidRDefault="008931E1">
      <w:pPr>
        <w:ind w:firstLine="360"/>
        <w:divId w:val="1882862508"/>
        <w:rPr>
          <w:rFonts w:eastAsia="Times New Roman"/>
        </w:rPr>
      </w:pPr>
      <w:r>
        <w:rPr>
          <w:rFonts w:eastAsia="Times New Roman"/>
          <w:color w:val="000000"/>
          <w:sz w:val="20"/>
          <w:szCs w:val="20"/>
        </w:rPr>
        <w:t>The information r</w:t>
      </w:r>
      <w:r>
        <w:rPr>
          <w:rFonts w:eastAsia="Times New Roman"/>
          <w:color w:val="000000"/>
          <w:sz w:val="20"/>
          <w:szCs w:val="20"/>
        </w:rPr>
        <w:t>equired by this item is incorporated by reference to our 2024 Proxy Statement in the section titled “Executive Compensation and Related Information” under the heading “Compensation Discussion and Analysis,” in the sections titled “HR and Compensation Commi</w:t>
      </w:r>
      <w:r>
        <w:rPr>
          <w:rFonts w:eastAsia="Times New Roman"/>
          <w:color w:val="000000"/>
          <w:sz w:val="20"/>
          <w:szCs w:val="20"/>
        </w:rPr>
        <w:t>ttee Report,” “Compensation Tables and Narrative Disclosures” and “Director Compensation,” and in the section titled “Stock Ownership of Certain Beneficial Owners and Management” under the heading “Compensation Committee Interlocks and Insider Participatio</w:t>
      </w:r>
      <w:r>
        <w:rPr>
          <w:rFonts w:eastAsia="Times New Roman"/>
          <w:color w:val="000000"/>
          <w:sz w:val="20"/>
          <w:szCs w:val="20"/>
        </w:rPr>
        <w:t xml:space="preserve">n.” </w:t>
      </w:r>
    </w:p>
    <w:p w:rsidR="00000000" w:rsidRDefault="008931E1">
      <w:pPr>
        <w:divId w:val="1453671532"/>
        <w:rPr>
          <w:rFonts w:eastAsia="Times New Roman"/>
        </w:rPr>
      </w:pPr>
      <w:r>
        <w:rPr>
          <w:rFonts w:eastAsia="Times New Roman"/>
          <w:b/>
          <w:bCs/>
          <w:color w:val="000000"/>
          <w:sz w:val="20"/>
          <w:szCs w:val="20"/>
        </w:rPr>
        <w:t>Item 12. Security Ownership of Certain Beneficial Owners and Management and Related Stockholder Matters</w:t>
      </w:r>
    </w:p>
    <w:p w:rsidR="00000000" w:rsidRDefault="008931E1">
      <w:pPr>
        <w:ind w:firstLine="360"/>
        <w:divId w:val="98305686"/>
        <w:rPr>
          <w:rFonts w:eastAsia="Times New Roman"/>
        </w:rPr>
      </w:pPr>
      <w:r>
        <w:rPr>
          <w:rFonts w:eastAsia="Times New Roman"/>
          <w:color w:val="000000"/>
          <w:sz w:val="20"/>
          <w:szCs w:val="20"/>
        </w:rPr>
        <w:t>The information required by this item is incorporated by reference to our 2024 Proxy Statement in the section titled “Stock Ownership of Certain Be</w:t>
      </w:r>
      <w:r>
        <w:rPr>
          <w:rFonts w:eastAsia="Times New Roman"/>
          <w:color w:val="000000"/>
          <w:sz w:val="20"/>
          <w:szCs w:val="20"/>
        </w:rPr>
        <w:t>neficial Owners and Management” and in “Proposal 4” under the heading “Equity Compensation Plan Information.”</w:t>
      </w:r>
    </w:p>
    <w:p w:rsidR="00000000" w:rsidRDefault="008931E1">
      <w:pPr>
        <w:divId w:val="1037046810"/>
        <w:rPr>
          <w:rFonts w:eastAsia="Times New Roman"/>
        </w:rPr>
      </w:pPr>
      <w:r>
        <w:rPr>
          <w:rFonts w:eastAsia="Times New Roman"/>
          <w:b/>
          <w:bCs/>
          <w:color w:val="000000"/>
          <w:sz w:val="20"/>
          <w:szCs w:val="20"/>
        </w:rPr>
        <w:t>Item 13. Certain Relationships and Related Transactions, and Director Independence</w:t>
      </w:r>
    </w:p>
    <w:p w:rsidR="00000000" w:rsidRDefault="008931E1">
      <w:pPr>
        <w:ind w:firstLine="360"/>
        <w:divId w:val="670572559"/>
        <w:rPr>
          <w:rFonts w:eastAsia="Times New Roman"/>
        </w:rPr>
      </w:pPr>
      <w:r>
        <w:rPr>
          <w:rFonts w:eastAsia="Times New Roman"/>
          <w:color w:val="000000"/>
          <w:sz w:val="20"/>
          <w:szCs w:val="20"/>
        </w:rPr>
        <w:t>The information required by this item is incorporated by refere</w:t>
      </w:r>
      <w:r>
        <w:rPr>
          <w:rFonts w:eastAsia="Times New Roman"/>
          <w:color w:val="000000"/>
          <w:sz w:val="20"/>
          <w:szCs w:val="20"/>
        </w:rPr>
        <w:t>nce to our 2024 Proxy Statement in the section titled “Certain Relationships and Related-Person Transactions” and in the section titled “Corporate Governance” under the headings “Director Independence” and “Board Meetings, Committees and Attendance.”</w:t>
      </w:r>
    </w:p>
    <w:p w:rsidR="00000000" w:rsidRDefault="008931E1">
      <w:pPr>
        <w:divId w:val="1669672679"/>
        <w:rPr>
          <w:rFonts w:eastAsia="Times New Roman"/>
        </w:rPr>
      </w:pPr>
      <w:r>
        <w:rPr>
          <w:rFonts w:eastAsia="Times New Roman"/>
          <w:b/>
          <w:bCs/>
          <w:color w:val="000000"/>
          <w:sz w:val="20"/>
          <w:szCs w:val="20"/>
        </w:rPr>
        <w:t xml:space="preserve">Item </w:t>
      </w:r>
      <w:r>
        <w:rPr>
          <w:rFonts w:eastAsia="Times New Roman"/>
          <w:b/>
          <w:bCs/>
          <w:color w:val="000000"/>
          <w:sz w:val="20"/>
          <w:szCs w:val="20"/>
        </w:rPr>
        <w:t>14. Principal Accounting Fees and Services</w:t>
      </w:r>
    </w:p>
    <w:p w:rsidR="00000000" w:rsidRDefault="008931E1">
      <w:pPr>
        <w:ind w:firstLine="360"/>
        <w:divId w:val="2054501973"/>
        <w:rPr>
          <w:rFonts w:eastAsia="Times New Roman"/>
        </w:rPr>
      </w:pPr>
      <w:r>
        <w:rPr>
          <w:rFonts w:eastAsia="Times New Roman"/>
          <w:color w:val="000000"/>
          <w:sz w:val="20"/>
          <w:szCs w:val="20"/>
        </w:rPr>
        <w:t>The information required by this item is incorporated by reference to our 2024 Proxy Statement in “</w:t>
      </w:r>
      <w:r>
        <w:rPr>
          <w:rFonts w:eastAsia="Times New Roman"/>
          <w:color w:val="000000"/>
          <w:sz w:val="20"/>
          <w:szCs w:val="20"/>
        </w:rPr>
        <w:t>Proposal 2: Ratification of Selection of Independent Public Accountants.”</w:t>
      </w:r>
    </w:p>
    <w:p w:rsidR="00000000" w:rsidRDefault="008931E1">
      <w:pPr>
        <w:jc w:val="center"/>
        <w:divId w:val="2008244682"/>
        <w:rPr>
          <w:rFonts w:eastAsia="Times New Roman"/>
        </w:rPr>
      </w:pPr>
      <w:r>
        <w:rPr>
          <w:rFonts w:eastAsia="Times New Roman"/>
          <w:b/>
          <w:bCs/>
          <w:color w:val="000000"/>
          <w:sz w:val="20"/>
          <w:szCs w:val="20"/>
        </w:rPr>
        <w:t>PART IV</w:t>
      </w:r>
    </w:p>
    <w:p w:rsidR="00000000" w:rsidRDefault="008931E1">
      <w:pPr>
        <w:divId w:val="613174563"/>
        <w:rPr>
          <w:rFonts w:eastAsia="Times New Roman"/>
        </w:rPr>
      </w:pPr>
      <w:r>
        <w:rPr>
          <w:rFonts w:eastAsia="Times New Roman"/>
          <w:b/>
          <w:bCs/>
          <w:color w:val="000000"/>
          <w:sz w:val="20"/>
          <w:szCs w:val="20"/>
        </w:rPr>
        <w:t>Item 15. Exhibits and Financial Statement Schedules</w:t>
      </w:r>
    </w:p>
    <w:p w:rsidR="00000000" w:rsidRDefault="008931E1">
      <w:pPr>
        <w:ind w:firstLine="360"/>
        <w:divId w:val="1704205062"/>
        <w:rPr>
          <w:rFonts w:eastAsia="Times New Roman"/>
        </w:rPr>
      </w:pPr>
      <w:r>
        <w:rPr>
          <w:rFonts w:eastAsia="Times New Roman"/>
          <w:color w:val="000000"/>
          <w:sz w:val="20"/>
          <w:szCs w:val="20"/>
        </w:rPr>
        <w:t>The following documents are filed as part of this report:</w:t>
      </w:r>
    </w:p>
    <w:p w:rsidR="00000000" w:rsidRDefault="008931E1">
      <w:pPr>
        <w:divId w:val="382558329"/>
        <w:rPr>
          <w:rFonts w:eastAsia="Times New Roman"/>
        </w:rPr>
      </w:pPr>
      <w:r>
        <w:rPr>
          <w:rFonts w:eastAsia="Times New Roman"/>
          <w:color w:val="000000"/>
          <w:sz w:val="20"/>
          <w:szCs w:val="20"/>
        </w:rPr>
        <w:t>(a)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58"/>
        <w:gridCol w:w="6538"/>
        <w:gridCol w:w="39"/>
        <w:gridCol w:w="58"/>
        <w:gridCol w:w="463"/>
        <w:gridCol w:w="36"/>
        <w:gridCol w:w="38"/>
        <w:gridCol w:w="209"/>
        <w:gridCol w:w="38"/>
        <w:gridCol w:w="76"/>
        <w:gridCol w:w="444"/>
        <w:gridCol w:w="36"/>
        <w:gridCol w:w="36"/>
        <w:gridCol w:w="201"/>
        <w:gridCol w:w="36"/>
      </w:tblGrid>
      <w:tr w:rsidR="00000000">
        <w:trPr>
          <w:divId w:val="382558329"/>
        </w:trPr>
        <w:tc>
          <w:tcPr>
            <w:tcW w:w="50" w:type="pct"/>
            <w:vAlign w:val="center"/>
            <w:hideMark/>
          </w:tcPr>
          <w:p w:rsidR="00000000" w:rsidRDefault="008931E1">
            <w:pPr>
              <w:rPr>
                <w:rFonts w:eastAsia="Times New Roman"/>
              </w:rPr>
            </w:pPr>
          </w:p>
        </w:tc>
        <w:tc>
          <w:tcPr>
            <w:tcW w:w="39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294"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13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294"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13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382558329"/>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20"/>
                <w:szCs w:val="20"/>
              </w:rPr>
              <w:t>Page</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r>
      <w:tr w:rsidR="00000000">
        <w:trPr>
          <w:divId w:val="382558329"/>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c>
          <w:tcPr>
            <w:tcW w:w="0" w:type="auto"/>
            <w:gridSpan w:val="6"/>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20"/>
                <w:szCs w:val="20"/>
              </w:rPr>
              <w:t>Number</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r>
      <w:tr w:rsidR="00000000">
        <w:trPr>
          <w:divId w:val="382558329"/>
        </w:trPr>
        <w:tc>
          <w:tcPr>
            <w:tcW w:w="0" w:type="auto"/>
            <w:gridSpan w:val="3"/>
            <w:tcMar>
              <w:top w:w="30" w:type="dxa"/>
              <w:left w:w="20" w:type="dxa"/>
              <w:bottom w:w="30" w:type="dxa"/>
              <w:right w:w="20" w:type="dxa"/>
            </w:tcMar>
            <w:vAlign w:val="bottom"/>
            <w:hideMark/>
          </w:tcPr>
          <w:p w:rsidR="00000000" w:rsidRDefault="008931E1">
            <w:pPr>
              <w:spacing w:after="100"/>
              <w:divId w:val="1330208500"/>
              <w:rPr>
                <w:rFonts w:eastAsia="Times New Roman"/>
              </w:rPr>
            </w:pPr>
            <w:r>
              <w:rPr>
                <w:rFonts w:eastAsia="Times New Roman"/>
                <w:color w:val="000000"/>
                <w:sz w:val="20"/>
                <w:szCs w:val="20"/>
              </w:rPr>
              <w:t>(1) Report of Independent Registered Public Accounting Firm (PCAOB ID: 238)</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c>
          <w:tcPr>
            <w:tcW w:w="0" w:type="auto"/>
            <w:gridSpan w:val="6"/>
            <w:tcBorders>
              <w:top w:val="single" w:sz="8" w:space="0" w:color="000000"/>
            </w:tcBorders>
            <w:tcMar>
              <w:top w:w="30" w:type="dxa"/>
              <w:left w:w="20" w:type="dxa"/>
              <w:bottom w:w="30" w:type="dxa"/>
              <w:right w:w="20" w:type="dxa"/>
            </w:tcMar>
            <w:hideMark/>
          </w:tcPr>
          <w:p w:rsidR="00000000" w:rsidRDefault="008931E1">
            <w:pPr>
              <w:spacing w:after="100"/>
              <w:jc w:val="center"/>
              <w:rPr>
                <w:rFonts w:eastAsia="Times New Roman"/>
              </w:rPr>
            </w:pPr>
            <w:hyperlink w:anchor="i57f6c49b29cd4e6996f8c5a8c66d5d80_181" w:history="1">
              <w:r>
                <w:rPr>
                  <w:rStyle w:val="a3"/>
                  <w:rFonts w:eastAsia="Times New Roman"/>
                  <w:sz w:val="20"/>
                  <w:szCs w:val="20"/>
                </w:rPr>
                <w:t>F-1</w:t>
              </w:r>
            </w:hyperlink>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r>
      <w:tr w:rsidR="00000000">
        <w:trPr>
          <w:divId w:val="382558329"/>
        </w:trPr>
        <w:tc>
          <w:tcPr>
            <w:tcW w:w="0" w:type="auto"/>
            <w:gridSpan w:val="3"/>
            <w:tcMar>
              <w:top w:w="30" w:type="dxa"/>
              <w:left w:w="20" w:type="dxa"/>
              <w:bottom w:w="30" w:type="dxa"/>
              <w:right w:w="20" w:type="dxa"/>
            </w:tcMar>
            <w:vAlign w:val="bottom"/>
            <w:hideMark/>
          </w:tcPr>
          <w:p w:rsidR="00000000" w:rsidRDefault="008931E1">
            <w:pPr>
              <w:spacing w:after="100"/>
              <w:divId w:val="1271933956"/>
              <w:rPr>
                <w:rFonts w:eastAsia="Times New Roman"/>
              </w:rPr>
            </w:pPr>
            <w:r>
              <w:rPr>
                <w:rFonts w:eastAsia="Times New Roman"/>
                <w:color w:val="000000"/>
                <w:sz w:val="20"/>
                <w:szCs w:val="20"/>
              </w:rPr>
              <w:t>Consolidated Balance Sheets at September 24, 2023 and September 25, 2022</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8931E1">
            <w:pPr>
              <w:spacing w:after="100"/>
              <w:jc w:val="center"/>
              <w:rPr>
                <w:rFonts w:eastAsia="Times New Roman"/>
              </w:rPr>
            </w:pPr>
            <w:hyperlink w:anchor="i57f6c49b29cd4e6996f8c5a8c66d5d80_184" w:history="1">
              <w:r>
                <w:rPr>
                  <w:rStyle w:val="a3"/>
                  <w:rFonts w:eastAsia="Times New Roman"/>
                  <w:color w:val="0E32E1"/>
                  <w:sz w:val="20"/>
                  <w:szCs w:val="20"/>
                </w:rPr>
                <w:t>F-</w:t>
              </w:r>
            </w:hyperlink>
            <w:r>
              <w:rPr>
                <w:rFonts w:eastAsia="Times New Roman"/>
                <w:color w:val="0E32E1"/>
                <w:sz w:val="20"/>
                <w:szCs w:val="20"/>
                <w:u w:val="single"/>
              </w:rPr>
              <w:t>3</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r>
      <w:tr w:rsidR="00000000">
        <w:trPr>
          <w:divId w:val="382558329"/>
        </w:trPr>
        <w:tc>
          <w:tcPr>
            <w:tcW w:w="0" w:type="auto"/>
            <w:gridSpan w:val="3"/>
            <w:tcMar>
              <w:top w:w="30" w:type="dxa"/>
              <w:left w:w="20" w:type="dxa"/>
              <w:bottom w:w="30" w:type="dxa"/>
              <w:right w:w="20" w:type="dxa"/>
            </w:tcMar>
            <w:vAlign w:val="bottom"/>
            <w:hideMark/>
          </w:tcPr>
          <w:p w:rsidR="00000000" w:rsidRDefault="008931E1">
            <w:pPr>
              <w:spacing w:after="100"/>
              <w:divId w:val="979773263"/>
              <w:rPr>
                <w:rFonts w:eastAsia="Times New Roman"/>
              </w:rPr>
            </w:pPr>
            <w:r>
              <w:rPr>
                <w:rFonts w:eastAsia="Times New Roman"/>
                <w:color w:val="000000"/>
                <w:sz w:val="20"/>
                <w:szCs w:val="20"/>
              </w:rPr>
              <w:t>Consolidated Statements of Operations for Fiscal 2023, 2022 and 2021</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8931E1">
            <w:pPr>
              <w:spacing w:after="100"/>
              <w:jc w:val="center"/>
              <w:rPr>
                <w:rFonts w:eastAsia="Times New Roman"/>
              </w:rPr>
            </w:pPr>
            <w:hyperlink w:anchor="i57f6c49b29cd4e6996f8c5a8c66d5d80_187" w:history="1">
              <w:r>
                <w:rPr>
                  <w:rStyle w:val="a3"/>
                  <w:rFonts w:eastAsia="Times New Roman"/>
                  <w:color w:val="0E32E1"/>
                  <w:sz w:val="20"/>
                  <w:szCs w:val="20"/>
                </w:rPr>
                <w:t>F-</w:t>
              </w:r>
            </w:hyperlink>
            <w:r>
              <w:rPr>
                <w:rFonts w:eastAsia="Times New Roman"/>
                <w:color w:val="0E32E1"/>
                <w:sz w:val="20"/>
                <w:szCs w:val="20"/>
                <w:u w:val="single"/>
              </w:rPr>
              <w:t>4</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r>
      <w:tr w:rsidR="00000000">
        <w:trPr>
          <w:divId w:val="382558329"/>
        </w:trPr>
        <w:tc>
          <w:tcPr>
            <w:tcW w:w="0" w:type="auto"/>
            <w:gridSpan w:val="3"/>
            <w:tcMar>
              <w:top w:w="30" w:type="dxa"/>
              <w:left w:w="20" w:type="dxa"/>
              <w:bottom w:w="30" w:type="dxa"/>
              <w:right w:w="20" w:type="dxa"/>
            </w:tcMar>
            <w:vAlign w:val="bottom"/>
            <w:hideMark/>
          </w:tcPr>
          <w:p w:rsidR="00000000" w:rsidRDefault="008931E1">
            <w:pPr>
              <w:spacing w:after="100"/>
              <w:divId w:val="452099662"/>
              <w:rPr>
                <w:rFonts w:eastAsia="Times New Roman"/>
              </w:rPr>
            </w:pPr>
            <w:r>
              <w:rPr>
                <w:rFonts w:eastAsia="Times New Roman"/>
                <w:color w:val="000000"/>
                <w:sz w:val="20"/>
                <w:szCs w:val="20"/>
              </w:rPr>
              <w:t>Consolidated Statements of Comprehensive Income for Fiscal 2023, 2022 and 2021</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8931E1">
            <w:pPr>
              <w:spacing w:after="100"/>
              <w:jc w:val="center"/>
              <w:rPr>
                <w:rFonts w:eastAsia="Times New Roman"/>
              </w:rPr>
            </w:pPr>
            <w:hyperlink w:anchor="i57f6c49b29cd4e6996f8c5a8c66d5d80_190" w:history="1">
              <w:r>
                <w:rPr>
                  <w:rStyle w:val="a3"/>
                  <w:rFonts w:eastAsia="Times New Roman"/>
                  <w:color w:val="0E32E1"/>
                  <w:sz w:val="20"/>
                  <w:szCs w:val="20"/>
                </w:rPr>
                <w:t>F-</w:t>
              </w:r>
            </w:hyperlink>
            <w:r>
              <w:rPr>
                <w:rFonts w:eastAsia="Times New Roman"/>
                <w:color w:val="0E32E1"/>
                <w:sz w:val="20"/>
                <w:szCs w:val="20"/>
                <w:u w:val="single"/>
              </w:rPr>
              <w:t>5</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r>
      <w:tr w:rsidR="00000000">
        <w:trPr>
          <w:divId w:val="382558329"/>
        </w:trPr>
        <w:tc>
          <w:tcPr>
            <w:tcW w:w="0" w:type="auto"/>
            <w:gridSpan w:val="3"/>
            <w:tcMar>
              <w:top w:w="30" w:type="dxa"/>
              <w:left w:w="20" w:type="dxa"/>
              <w:bottom w:w="30" w:type="dxa"/>
              <w:right w:w="20" w:type="dxa"/>
            </w:tcMar>
            <w:vAlign w:val="bottom"/>
            <w:hideMark/>
          </w:tcPr>
          <w:p w:rsidR="00000000" w:rsidRDefault="008931E1">
            <w:pPr>
              <w:spacing w:after="100"/>
              <w:divId w:val="441532944"/>
              <w:rPr>
                <w:rFonts w:eastAsia="Times New Roman"/>
              </w:rPr>
            </w:pPr>
            <w:r>
              <w:rPr>
                <w:rFonts w:eastAsia="Times New Roman"/>
                <w:color w:val="000000"/>
                <w:sz w:val="20"/>
                <w:szCs w:val="20"/>
              </w:rPr>
              <w:t>Consolidated Statements of Cash Flows for Fiscal 2023, 2022 and 2021</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8931E1">
            <w:pPr>
              <w:spacing w:after="100"/>
              <w:jc w:val="center"/>
              <w:rPr>
                <w:rFonts w:eastAsia="Times New Roman"/>
              </w:rPr>
            </w:pPr>
            <w:hyperlink w:anchor="i57f6c49b29cd4e6996f8c5a8c66d5d80_193" w:history="1">
              <w:r>
                <w:rPr>
                  <w:rStyle w:val="a3"/>
                  <w:rFonts w:eastAsia="Times New Roman"/>
                  <w:color w:val="0E32E1"/>
                  <w:sz w:val="20"/>
                  <w:szCs w:val="20"/>
                </w:rPr>
                <w:t>F-</w:t>
              </w:r>
            </w:hyperlink>
            <w:r>
              <w:rPr>
                <w:rFonts w:eastAsia="Times New Roman"/>
                <w:color w:val="0E32E1"/>
                <w:sz w:val="20"/>
                <w:szCs w:val="20"/>
                <w:u w:val="single"/>
              </w:rPr>
              <w:t>6</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r>
      <w:tr w:rsidR="00000000">
        <w:trPr>
          <w:divId w:val="382558329"/>
        </w:trPr>
        <w:tc>
          <w:tcPr>
            <w:tcW w:w="0" w:type="auto"/>
            <w:gridSpan w:val="3"/>
            <w:tcMar>
              <w:top w:w="30" w:type="dxa"/>
              <w:left w:w="20" w:type="dxa"/>
              <w:bottom w:w="30" w:type="dxa"/>
              <w:right w:w="20" w:type="dxa"/>
            </w:tcMar>
            <w:vAlign w:val="bottom"/>
            <w:hideMark/>
          </w:tcPr>
          <w:p w:rsidR="00000000" w:rsidRDefault="008931E1">
            <w:pPr>
              <w:spacing w:after="100"/>
              <w:divId w:val="40400889"/>
              <w:rPr>
                <w:rFonts w:eastAsia="Times New Roman"/>
              </w:rPr>
            </w:pPr>
            <w:r>
              <w:rPr>
                <w:rFonts w:eastAsia="Times New Roman"/>
                <w:color w:val="000000"/>
                <w:sz w:val="20"/>
                <w:szCs w:val="20"/>
              </w:rPr>
              <w:t>Consolidated Statements of Stockholders’ Equity for Fiscal 2023, 2022 and 2021</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8931E1">
            <w:pPr>
              <w:spacing w:after="100"/>
              <w:jc w:val="center"/>
              <w:rPr>
                <w:rFonts w:eastAsia="Times New Roman"/>
              </w:rPr>
            </w:pPr>
            <w:hyperlink w:anchor="i57f6c49b29cd4e6996f8c5a8c66d5d80_199" w:history="1">
              <w:r>
                <w:rPr>
                  <w:rStyle w:val="a3"/>
                  <w:rFonts w:eastAsia="Times New Roman"/>
                  <w:color w:val="0E32E1"/>
                  <w:sz w:val="20"/>
                  <w:szCs w:val="20"/>
                </w:rPr>
                <w:t>F-</w:t>
              </w:r>
            </w:hyperlink>
            <w:r>
              <w:rPr>
                <w:rFonts w:eastAsia="Times New Roman"/>
                <w:color w:val="0E32E1"/>
                <w:sz w:val="20"/>
                <w:szCs w:val="20"/>
                <w:u w:val="single"/>
              </w:rPr>
              <w:t>7</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r>
      <w:tr w:rsidR="00000000">
        <w:trPr>
          <w:divId w:val="382558329"/>
        </w:trPr>
        <w:tc>
          <w:tcPr>
            <w:tcW w:w="0" w:type="auto"/>
            <w:gridSpan w:val="3"/>
            <w:tcMar>
              <w:top w:w="30" w:type="dxa"/>
              <w:left w:w="515"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Notes to Consolidated Financial Statements</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8931E1">
            <w:pPr>
              <w:spacing w:after="100"/>
              <w:jc w:val="center"/>
              <w:rPr>
                <w:rFonts w:eastAsia="Times New Roman"/>
              </w:rPr>
            </w:pPr>
            <w:hyperlink w:anchor="i57f6c49b29cd4e6996f8c5a8c66d5d80_202" w:history="1">
              <w:r>
                <w:rPr>
                  <w:rStyle w:val="a3"/>
                  <w:rFonts w:eastAsia="Times New Roman"/>
                  <w:color w:val="0E32E1"/>
                  <w:sz w:val="20"/>
                  <w:szCs w:val="20"/>
                </w:rPr>
                <w:t>F-</w:t>
              </w:r>
            </w:hyperlink>
            <w:r>
              <w:rPr>
                <w:rFonts w:eastAsia="Times New Roman"/>
                <w:color w:val="0E32E1"/>
                <w:sz w:val="20"/>
                <w:szCs w:val="20"/>
                <w:u w:val="single"/>
              </w:rPr>
              <w:t>8</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r>
      <w:tr w:rsidR="00000000">
        <w:trPr>
          <w:divId w:val="382558329"/>
        </w:trPr>
        <w:tc>
          <w:tcPr>
            <w:tcW w:w="0" w:type="auto"/>
            <w:gridSpan w:val="3"/>
            <w:tcMar>
              <w:top w:w="30" w:type="dxa"/>
              <w:left w:w="20" w:type="dxa"/>
              <w:bottom w:w="30" w:type="dxa"/>
              <w:right w:w="20" w:type="dxa"/>
            </w:tcMar>
            <w:vAlign w:val="bottom"/>
            <w:hideMark/>
          </w:tcPr>
          <w:p w:rsidR="00000000" w:rsidRDefault="008931E1">
            <w:pPr>
              <w:spacing w:after="100"/>
              <w:divId w:val="806706711"/>
              <w:rPr>
                <w:rFonts w:eastAsia="Times New Roman"/>
              </w:rPr>
            </w:pPr>
            <w:r>
              <w:rPr>
                <w:rFonts w:eastAsia="Times New Roman"/>
                <w:color w:val="000000"/>
                <w:sz w:val="20"/>
                <w:szCs w:val="20"/>
              </w:rPr>
              <w:t>(2) Schedule II - Valuation and Qualifying Accounts for Fiscal 2023, 2022 and 2021</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8931E1">
            <w:pPr>
              <w:spacing w:after="100"/>
              <w:jc w:val="center"/>
              <w:rPr>
                <w:rFonts w:eastAsia="Times New Roman"/>
              </w:rPr>
            </w:pPr>
            <w:hyperlink w:anchor="i57f6c49b29cd4e6996f8c5a8c66d5d80_253" w:history="1">
              <w:r>
                <w:rPr>
                  <w:rStyle w:val="a3"/>
                  <w:rFonts w:eastAsia="Times New Roman"/>
                  <w:sz w:val="20"/>
                  <w:szCs w:val="20"/>
                </w:rPr>
                <w:t>S-1</w:t>
              </w:r>
            </w:hyperlink>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 </w:t>
            </w:r>
          </w:p>
        </w:tc>
      </w:tr>
    </w:tbl>
    <w:p w:rsidR="00000000" w:rsidRDefault="008931E1">
      <w:pPr>
        <w:ind w:firstLine="360"/>
        <w:divId w:val="864749666"/>
        <w:rPr>
          <w:rFonts w:eastAsia="Times New Roman"/>
        </w:rPr>
      </w:pPr>
      <w:r>
        <w:rPr>
          <w:rFonts w:eastAsia="Times New Roman"/>
          <w:color w:val="000000"/>
          <w:sz w:val="20"/>
          <w:szCs w:val="20"/>
        </w:rPr>
        <w:t>Financial statement schedules other than those listed above have been omitted because they are either not required, not applicable or the information is otherwise included in the notes to the consolidated financial statements.</w:t>
      </w:r>
    </w:p>
    <w:p w:rsidR="00000000" w:rsidRDefault="008931E1">
      <w:pPr>
        <w:jc w:val="center"/>
        <w:divId w:val="475534007"/>
        <w:rPr>
          <w:rFonts w:eastAsia="Times New Roman"/>
        </w:rPr>
      </w:pPr>
      <w:r>
        <w:rPr>
          <w:rFonts w:eastAsia="Times New Roman"/>
          <w:color w:val="000000"/>
          <w:sz w:val="20"/>
          <w:szCs w:val="20"/>
        </w:rPr>
        <w:t>50</w:t>
      </w:r>
    </w:p>
    <w:p w:rsidR="00000000" w:rsidRDefault="008931E1">
      <w:pPr>
        <w:rPr>
          <w:rFonts w:eastAsia="Times New Roman"/>
        </w:rPr>
      </w:pPr>
      <w:r>
        <w:rPr>
          <w:rFonts w:eastAsia="Times New Roman"/>
        </w:rPr>
        <w:pict>
          <v:rect id="_x0000_i1074" style="width:0;height:1.5pt" o:hralign="center" o:hrstd="t" o:hr="t" fillcolor="#a0a0a0" stroked="f"/>
        </w:pict>
      </w:r>
    </w:p>
    <w:p w:rsidR="00000000" w:rsidRDefault="008931E1">
      <w:pPr>
        <w:divId w:val="2010669907"/>
        <w:rPr>
          <w:rFonts w:eastAsia="Times New Roman"/>
        </w:rPr>
      </w:pPr>
    </w:p>
    <w:p w:rsidR="00000000" w:rsidRDefault="008931E1">
      <w:pPr>
        <w:divId w:val="262617588"/>
        <w:rPr>
          <w:rFonts w:eastAsia="Times New Roman"/>
        </w:rPr>
      </w:pPr>
      <w:r>
        <w:rPr>
          <w:rFonts w:eastAsia="Times New Roman"/>
          <w:color w:val="000000"/>
          <w:sz w:val="20"/>
          <w:szCs w:val="20"/>
        </w:rPr>
        <w:t>(b) Exhibits</w:t>
      </w:r>
    </w:p>
    <w:tbl>
      <w:tblPr>
        <w:tblW w:w="5000" w:type="pct"/>
        <w:tblCellMar>
          <w:top w:w="15" w:type="dxa"/>
          <w:left w:w="15" w:type="dxa"/>
          <w:bottom w:w="15" w:type="dxa"/>
          <w:right w:w="15" w:type="dxa"/>
        </w:tblCellMar>
        <w:tblLook w:val="04A0" w:firstRow="1" w:lastRow="0" w:firstColumn="1" w:lastColumn="0" w:noHBand="0" w:noVBand="1"/>
      </w:tblPr>
      <w:tblGrid>
        <w:gridCol w:w="87"/>
        <w:gridCol w:w="585"/>
        <w:gridCol w:w="36"/>
        <w:gridCol w:w="36"/>
        <w:gridCol w:w="36"/>
        <w:gridCol w:w="36"/>
        <w:gridCol w:w="38"/>
        <w:gridCol w:w="4186"/>
        <w:gridCol w:w="37"/>
        <w:gridCol w:w="36"/>
        <w:gridCol w:w="36"/>
        <w:gridCol w:w="36"/>
        <w:gridCol w:w="80"/>
        <w:gridCol w:w="383"/>
        <w:gridCol w:w="36"/>
        <w:gridCol w:w="36"/>
        <w:gridCol w:w="36"/>
        <w:gridCol w:w="36"/>
        <w:gridCol w:w="76"/>
        <w:gridCol w:w="689"/>
        <w:gridCol w:w="37"/>
        <w:gridCol w:w="36"/>
        <w:gridCol w:w="36"/>
        <w:gridCol w:w="36"/>
        <w:gridCol w:w="82"/>
        <w:gridCol w:w="590"/>
        <w:gridCol w:w="36"/>
        <w:gridCol w:w="36"/>
        <w:gridCol w:w="36"/>
        <w:gridCol w:w="36"/>
        <w:gridCol w:w="87"/>
        <w:gridCol w:w="665"/>
        <w:gridCol w:w="36"/>
      </w:tblGrid>
      <w:tr w:rsidR="00000000">
        <w:trPr>
          <w:divId w:val="504518344"/>
        </w:trPr>
        <w:tc>
          <w:tcPr>
            <w:tcW w:w="50" w:type="pct"/>
            <w:vAlign w:val="center"/>
            <w:hideMark/>
          </w:tcPr>
          <w:p w:rsidR="00000000" w:rsidRDefault="008931E1">
            <w:pPr>
              <w:rPr>
                <w:rFonts w:eastAsia="Times New Roman"/>
              </w:rPr>
            </w:pPr>
          </w:p>
        </w:tc>
        <w:tc>
          <w:tcPr>
            <w:tcW w:w="33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269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24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45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36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384"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tcBorders>
              <w:bottom w:val="single" w:sz="8" w:space="0" w:color="000000"/>
            </w:tcBorders>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b/>
                <w:bCs/>
                <w:color w:val="000000"/>
                <w:sz w:val="18"/>
                <w:szCs w:val="18"/>
              </w:rPr>
              <w:t xml:space="preserve">Exhibit </w:t>
            </w:r>
            <w:r>
              <w:rPr>
                <w:rFonts w:eastAsia="Times New Roman"/>
                <w:b/>
                <w:bCs/>
                <w:color w:val="000000"/>
                <w:sz w:val="18"/>
                <w:szCs w:val="18"/>
              </w:rPr>
              <w:br/>
              <w:t>Number</w:t>
            </w:r>
          </w:p>
        </w:tc>
        <w:tc>
          <w:tcPr>
            <w:tcW w:w="0" w:type="auto"/>
            <w:gridSpan w:val="3"/>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Exhibit Description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Form</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Date of First Filing</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Exhibit Number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Filed Herewith</w:t>
            </w:r>
          </w:p>
        </w:tc>
      </w:tr>
      <w:tr w:rsidR="00000000">
        <w:trPr>
          <w:divId w:val="504518344"/>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8931E1">
            <w:pPr>
              <w:spacing w:after="100"/>
              <w:divId w:val="1839348943"/>
              <w:rPr>
                <w:rFonts w:eastAsia="Times New Roman"/>
              </w:rPr>
            </w:pPr>
            <w:hyperlink r:id="rId5" w:history="1">
              <w:r>
                <w:rPr>
                  <w:rStyle w:val="a3"/>
                  <w:rFonts w:eastAsia="Times New Roman"/>
                  <w:sz w:val="18"/>
                  <w:szCs w:val="18"/>
                </w:rPr>
                <w:t>Agreement and Plan of Merger, dated as of October 4, 2021, by and among QUALCOMM Incorporated, SSW HoldCo LP, SSW Merger Sub Corp and Veoneer, Inc. (1)</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10/4/2021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3.1</w:t>
            </w:r>
          </w:p>
        </w:tc>
        <w:tc>
          <w:tcPr>
            <w:tcW w:w="0" w:type="auto"/>
            <w:gridSpan w:val="3"/>
            <w:shd w:val="clear" w:color="auto" w:fill="FFFFFF"/>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hideMark/>
          </w:tcPr>
          <w:p w:rsidR="00000000" w:rsidRDefault="008931E1">
            <w:pPr>
              <w:spacing w:after="100"/>
              <w:divId w:val="2089691297"/>
              <w:rPr>
                <w:rFonts w:eastAsia="Times New Roman"/>
              </w:rPr>
            </w:pPr>
            <w:hyperlink r:id="rId6" w:history="1">
              <w:r>
                <w:rPr>
                  <w:rStyle w:val="a3"/>
                  <w:rFonts w:eastAsia="Times New Roman"/>
                  <w:sz w:val="18"/>
                  <w:szCs w:val="18"/>
                </w:rPr>
                <w:t>Amended and Restated Certificate of Incorporation</w:t>
              </w:r>
            </w:hyperlink>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4/20/2018</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3.1</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3.2</w:t>
            </w:r>
          </w:p>
        </w:tc>
        <w:tc>
          <w:tcPr>
            <w:tcW w:w="0" w:type="auto"/>
            <w:gridSpan w:val="3"/>
            <w:shd w:val="clear" w:color="auto" w:fill="CCEEFF"/>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8931E1">
            <w:pPr>
              <w:spacing w:after="100"/>
              <w:divId w:val="1261334376"/>
              <w:rPr>
                <w:rFonts w:eastAsia="Times New Roman"/>
              </w:rPr>
            </w:pPr>
            <w:hyperlink r:id="rId7" w:history="1">
              <w:r>
                <w:rPr>
                  <w:rStyle w:val="a3"/>
                  <w:rFonts w:eastAsia="Times New Roman"/>
                  <w:sz w:val="18"/>
                  <w:szCs w:val="18"/>
                </w:rPr>
                <w:t>Amended and Restated Bylaws.</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7/21/2023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3.2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307173675"/>
              <w:rPr>
                <w:rFonts w:eastAsia="Times New Roman"/>
              </w:rPr>
            </w:pPr>
            <w:hyperlink r:id="rId8" w:history="1">
              <w:r>
                <w:rPr>
                  <w:rStyle w:val="a3"/>
                  <w:rFonts w:eastAsia="Times New Roman"/>
                  <w:sz w:val="18"/>
                  <w:szCs w:val="18"/>
                </w:rPr>
                <w:t>Indenture, dated May 20, 2015, between the Company and U.S. Bank Trust Company, National Association (as successor in interest to U.S. Bank, National Associat</w:t>
              </w:r>
              <w:r>
                <w:rPr>
                  <w:rStyle w:val="a3"/>
                  <w:rFonts w:eastAsia="Times New Roman"/>
                  <w:sz w:val="18"/>
                  <w:szCs w:val="18"/>
                </w:rPr>
                <w:t xml:space="preserve">ion), as trustee. </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5/21/2015</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243801133"/>
              <w:rPr>
                <w:rFonts w:eastAsia="Times New Roman"/>
              </w:rPr>
            </w:pPr>
            <w:hyperlink r:id="rId9" w:history="1">
              <w:r>
                <w:rPr>
                  <w:rStyle w:val="a3"/>
                  <w:rFonts w:eastAsia="Times New Roman"/>
                  <w:sz w:val="18"/>
                  <w:szCs w:val="18"/>
                </w:rPr>
                <w:t xml:space="preserve">Officers’ </w:t>
              </w:r>
              <w:r>
                <w:rPr>
                  <w:rStyle w:val="a3"/>
                  <w:rFonts w:eastAsia="Times New Roman"/>
                  <w:sz w:val="18"/>
                  <w:szCs w:val="18"/>
                </w:rPr>
                <w:t>Certificate, dated May 20, 2015, for the Floating Rate Notes due 2018, the Floating Rate Notes due 2020, the 1.400% Notes due 2018, the 2.250% Notes due 2020, the 3.000% Notes due 2022, the 3.450% Notes due 2025, the 4.650% Notes due 2035 and the 4.800% No</w:t>
              </w:r>
              <w:r>
                <w:rPr>
                  <w:rStyle w:val="a3"/>
                  <w:rFonts w:eastAsia="Times New Roman"/>
                  <w:sz w:val="18"/>
                  <w:szCs w:val="18"/>
                </w:rPr>
                <w:t xml:space="preserve">tes due 2045. </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5/21/2015</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4.3</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869680615"/>
              <w:rPr>
                <w:rFonts w:eastAsia="Times New Roman"/>
              </w:rPr>
            </w:pPr>
            <w:hyperlink r:id="rId10" w:history="1">
              <w:r>
                <w:rPr>
                  <w:rStyle w:val="a3"/>
                  <w:rFonts w:eastAsia="Times New Roman"/>
                  <w:sz w:val="18"/>
                  <w:szCs w:val="18"/>
                </w:rPr>
                <w:t xml:space="preserve">Form of 3.450% Notes due 2025. </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5/21/2015</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4.8</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4.4</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590898164"/>
              <w:rPr>
                <w:rFonts w:eastAsia="Times New Roman"/>
              </w:rPr>
            </w:pPr>
            <w:hyperlink r:id="rId11" w:history="1">
              <w:r>
                <w:rPr>
                  <w:rStyle w:val="a3"/>
                  <w:rFonts w:eastAsia="Times New Roman"/>
                  <w:sz w:val="18"/>
                  <w:szCs w:val="18"/>
                </w:rPr>
                <w:t xml:space="preserve">Form of 4.650% Notes due 2035. </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5/21/2015</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4.9</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4.5</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609438358"/>
              <w:rPr>
                <w:rFonts w:eastAsia="Times New Roman"/>
              </w:rPr>
            </w:pPr>
            <w:hyperlink r:id="rId12" w:history="1">
              <w:r>
                <w:rPr>
                  <w:rStyle w:val="a3"/>
                  <w:rFonts w:eastAsia="Times New Roman"/>
                  <w:sz w:val="18"/>
                  <w:szCs w:val="18"/>
                </w:rPr>
                <w:t xml:space="preserve">Form of 4.800% Notes due 2045. </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5/21/2015</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4.10</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4.6</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2131043361"/>
              <w:rPr>
                <w:rFonts w:eastAsia="Times New Roman"/>
              </w:rPr>
            </w:pPr>
            <w:hyperlink r:id="rId13" w:history="1">
              <w:r>
                <w:rPr>
                  <w:rStyle w:val="a3"/>
                  <w:rFonts w:eastAsia="Times New Roman"/>
                  <w:sz w:val="18"/>
                  <w:szCs w:val="18"/>
                </w:rPr>
                <w:t>Officers’ Certificate, dated May 26, 2017, for the Floating Rate Notes due 2019, the Floating Rate Notes due 2020, the Floating Rate Notes due 2023, the 1.850</w:t>
              </w:r>
              <w:r>
                <w:rPr>
                  <w:rStyle w:val="a3"/>
                  <w:rFonts w:eastAsia="Times New Roman"/>
                  <w:sz w:val="18"/>
                  <w:szCs w:val="18"/>
                </w:rPr>
                <w:t xml:space="preserve">% Notes due 2019, the 2.100% Notes due 2020, the 2.600% Notes due 2023, the 2.900% Notes due 2024, the 3.250% Notes due 2027 and the 4.300% Notes due 2047. </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5/31/2017</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4.7</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609896233"/>
              <w:rPr>
                <w:rFonts w:eastAsia="Times New Roman"/>
              </w:rPr>
            </w:pPr>
            <w:hyperlink r:id="rId14" w:history="1">
              <w:r>
                <w:rPr>
                  <w:rStyle w:val="a3"/>
                  <w:rFonts w:eastAsia="Times New Roman"/>
                  <w:sz w:val="18"/>
                  <w:szCs w:val="18"/>
                </w:rPr>
                <w:t>Form of 2.900% Notes due 2024.</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5/31/2017</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4.9</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4.8</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335152190"/>
              <w:rPr>
                <w:rFonts w:eastAsia="Times New Roman"/>
              </w:rPr>
            </w:pPr>
            <w:hyperlink r:id="rId15" w:history="1">
              <w:r>
                <w:rPr>
                  <w:rStyle w:val="a3"/>
                  <w:rFonts w:eastAsia="Times New Roman"/>
                  <w:sz w:val="18"/>
                  <w:szCs w:val="18"/>
                </w:rPr>
                <w:t>Form of 3.250% Notes due 2027.</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5/31/2017</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4.10</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4.9</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406299918"/>
              <w:rPr>
                <w:rFonts w:eastAsia="Times New Roman"/>
              </w:rPr>
            </w:pPr>
            <w:hyperlink r:id="rId16" w:history="1">
              <w:r>
                <w:rPr>
                  <w:rStyle w:val="a3"/>
                  <w:rFonts w:eastAsia="Times New Roman"/>
                  <w:sz w:val="18"/>
                  <w:szCs w:val="18"/>
                </w:rPr>
                <w:t>Form of 4.300% Notes due 2047.</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5/31/2017</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4.11</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4.10</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526603325"/>
              <w:rPr>
                <w:rFonts w:eastAsia="Times New Roman"/>
              </w:rPr>
            </w:pPr>
            <w:hyperlink r:id="rId17" w:history="1">
              <w:r>
                <w:rPr>
                  <w:rStyle w:val="a3"/>
                  <w:rFonts w:eastAsia="Times New Roman"/>
                  <w:sz w:val="18"/>
                  <w:szCs w:val="18"/>
                </w:rPr>
                <w:t>Officers’ Certificate, dated May 8, 2020, for the 2.150% Notes due 2030 and the 3.250% Notes due 2050.</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5/11/2020</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4.11</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085421390"/>
              <w:rPr>
                <w:rFonts w:eastAsia="Times New Roman"/>
              </w:rPr>
            </w:pPr>
            <w:hyperlink r:id="rId18" w:history="1">
              <w:r>
                <w:rPr>
                  <w:rStyle w:val="a3"/>
                  <w:rFonts w:eastAsia="Times New Roman"/>
                  <w:sz w:val="18"/>
                  <w:szCs w:val="18"/>
                </w:rPr>
                <w:t>Form of 2.150% Notes due 2030.</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5/11/2020</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4.3</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1108622053"/>
              <w:rPr>
                <w:rFonts w:eastAsia="Times New Roman"/>
              </w:rPr>
            </w:pPr>
            <w:hyperlink r:id="rId19" w:history="1">
              <w:r>
                <w:rPr>
                  <w:rStyle w:val="a3"/>
                  <w:rFonts w:eastAsia="Times New Roman"/>
                  <w:sz w:val="18"/>
                  <w:szCs w:val="18"/>
                </w:rPr>
                <w:t>Form of 3.250% Notes due 2050.</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5/11/2020</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4.4</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4.13</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47483956"/>
              <w:rPr>
                <w:rFonts w:eastAsia="Times New Roman"/>
              </w:rPr>
            </w:pPr>
            <w:hyperlink r:id="rId20" w:history="1">
              <w:r>
                <w:rPr>
                  <w:rStyle w:val="a3"/>
                  <w:rFonts w:eastAsia="Times New Roman"/>
                  <w:sz w:val="18"/>
                  <w:szCs w:val="18"/>
                </w:rPr>
                <w:t>Officers’ Certificate, dated August 14, 2020, for the 1.300% Notes due 2028 and the 1.650% Notes due 2032.</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8/18/2020</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4.14</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76362452"/>
              <w:rPr>
                <w:rFonts w:eastAsia="Times New Roman"/>
              </w:rPr>
            </w:pPr>
            <w:hyperlink r:id="rId21" w:history="1">
              <w:r>
                <w:rPr>
                  <w:rStyle w:val="a3"/>
                  <w:rFonts w:eastAsia="Times New Roman"/>
                  <w:sz w:val="18"/>
                  <w:szCs w:val="18"/>
                </w:rPr>
                <w:t>Form of 1.300% Rule 144A Global Notes due 2028.</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8/18/2020</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4.15</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229507116"/>
              <w:rPr>
                <w:rFonts w:eastAsia="Times New Roman"/>
              </w:rPr>
            </w:pPr>
            <w:hyperlink r:id="rId22" w:history="1">
              <w:r>
                <w:rPr>
                  <w:rStyle w:val="a3"/>
                  <w:rFonts w:eastAsia="Times New Roman"/>
                  <w:sz w:val="18"/>
                  <w:szCs w:val="18"/>
                </w:rPr>
                <w:t>Form of 1.650% Rule 144A Global Notes due 2032.</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8/18/2020</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4.5</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4.16</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580481827"/>
              <w:rPr>
                <w:rFonts w:eastAsia="Times New Roman"/>
              </w:rPr>
            </w:pPr>
            <w:hyperlink r:id="rId23" w:history="1">
              <w:r>
                <w:rPr>
                  <w:rStyle w:val="a3"/>
                  <w:rFonts w:eastAsia="Times New Roman"/>
                  <w:sz w:val="18"/>
                  <w:szCs w:val="18"/>
                </w:rPr>
                <w:t>Officers’ Certificate, dated January 6, 2021, for the 1.300% Notes due 2028 and the 1.650% Notes due 2032.</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2/3/2021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4.17</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700084309"/>
              <w:rPr>
                <w:rFonts w:eastAsia="Times New Roman"/>
              </w:rPr>
            </w:pPr>
            <w:hyperlink r:id="rId24" w:history="1">
              <w:r>
                <w:rPr>
                  <w:rStyle w:val="a3"/>
                  <w:rFonts w:eastAsia="Times New Roman"/>
                  <w:sz w:val="18"/>
                  <w:szCs w:val="18"/>
                </w:rPr>
                <w:t>Form of 1.300% Notes due 2028.</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2/3/2021</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4.24</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4.18</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489102548"/>
              <w:rPr>
                <w:rFonts w:eastAsia="Times New Roman"/>
              </w:rPr>
            </w:pPr>
            <w:hyperlink r:id="rId25" w:history="1">
              <w:r>
                <w:rPr>
                  <w:rStyle w:val="a3"/>
                  <w:rFonts w:eastAsia="Times New Roman"/>
                  <w:sz w:val="18"/>
                  <w:szCs w:val="18"/>
                </w:rPr>
                <w:t>Form of 1.650% Notes due 2032.</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2/3/2021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4.25</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4.19</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988704591"/>
              <w:rPr>
                <w:rFonts w:eastAsia="Times New Roman"/>
              </w:rPr>
            </w:pPr>
            <w:hyperlink r:id="rId26" w:history="1">
              <w:r>
                <w:rPr>
                  <w:rStyle w:val="a3"/>
                  <w:rFonts w:eastAsia="Times New Roman"/>
                  <w:sz w:val="18"/>
                  <w:szCs w:val="18"/>
                </w:rPr>
                <w:t xml:space="preserve">Officers’ </w:t>
              </w:r>
              <w:r>
                <w:rPr>
                  <w:rStyle w:val="a3"/>
                  <w:rFonts w:eastAsia="Times New Roman"/>
                  <w:sz w:val="18"/>
                  <w:szCs w:val="18"/>
                </w:rPr>
                <w:t>Certificate, dated May 9, 2022, for the 4.250% Notes due 2032 and the 4.500% Notes due 2052.</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5/9/2022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4.20</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574584602"/>
              <w:rPr>
                <w:rFonts w:eastAsia="Times New Roman"/>
              </w:rPr>
            </w:pPr>
            <w:hyperlink r:id="rId27" w:history="1">
              <w:r>
                <w:rPr>
                  <w:rStyle w:val="a3"/>
                  <w:rFonts w:eastAsia="Times New Roman"/>
                  <w:sz w:val="18"/>
                  <w:szCs w:val="18"/>
                </w:rPr>
                <w:t>Form of 4.250% Notes due 2032.</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5/9/2022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504518344"/>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4.21</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424953172"/>
              <w:rPr>
                <w:rFonts w:eastAsia="Times New Roman"/>
              </w:rPr>
            </w:pPr>
            <w:hyperlink r:id="rId28" w:history="1">
              <w:r>
                <w:rPr>
                  <w:rStyle w:val="a3"/>
                  <w:rFonts w:eastAsia="Times New Roman"/>
                  <w:sz w:val="18"/>
                  <w:szCs w:val="18"/>
                </w:rPr>
                <w:t>Form of 4.500% Notes due 2052.</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5/9/2022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4.4</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bl>
    <w:p w:rsidR="00000000" w:rsidRDefault="008931E1">
      <w:pPr>
        <w:jc w:val="center"/>
        <w:divId w:val="1716655882"/>
        <w:rPr>
          <w:rFonts w:eastAsia="Times New Roman"/>
        </w:rPr>
      </w:pPr>
      <w:r>
        <w:rPr>
          <w:rFonts w:eastAsia="Times New Roman"/>
          <w:color w:val="000000"/>
          <w:sz w:val="20"/>
          <w:szCs w:val="20"/>
        </w:rPr>
        <w:t>51</w:t>
      </w:r>
    </w:p>
    <w:p w:rsidR="00000000" w:rsidRDefault="008931E1">
      <w:pPr>
        <w:rPr>
          <w:rFonts w:eastAsia="Times New Roman"/>
        </w:rPr>
      </w:pPr>
      <w:r>
        <w:rPr>
          <w:rFonts w:eastAsia="Times New Roman"/>
        </w:rPr>
        <w:pict>
          <v:rect id="_x0000_i1075" style="width:0;height:1.5pt" o:hralign="center" o:hrstd="t" o:hr="t" fillcolor="#a0a0a0" stroked="f"/>
        </w:pict>
      </w:r>
    </w:p>
    <w:p w:rsidR="00000000" w:rsidRDefault="008931E1">
      <w:pPr>
        <w:divId w:val="65209947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7"/>
        <w:gridCol w:w="585"/>
        <w:gridCol w:w="36"/>
        <w:gridCol w:w="36"/>
        <w:gridCol w:w="36"/>
        <w:gridCol w:w="36"/>
        <w:gridCol w:w="38"/>
        <w:gridCol w:w="4186"/>
        <w:gridCol w:w="37"/>
        <w:gridCol w:w="36"/>
        <w:gridCol w:w="36"/>
        <w:gridCol w:w="36"/>
        <w:gridCol w:w="80"/>
        <w:gridCol w:w="383"/>
        <w:gridCol w:w="36"/>
        <w:gridCol w:w="36"/>
        <w:gridCol w:w="36"/>
        <w:gridCol w:w="36"/>
        <w:gridCol w:w="76"/>
        <w:gridCol w:w="689"/>
        <w:gridCol w:w="37"/>
        <w:gridCol w:w="36"/>
        <w:gridCol w:w="36"/>
        <w:gridCol w:w="36"/>
        <w:gridCol w:w="82"/>
        <w:gridCol w:w="590"/>
        <w:gridCol w:w="36"/>
        <w:gridCol w:w="36"/>
        <w:gridCol w:w="36"/>
        <w:gridCol w:w="36"/>
        <w:gridCol w:w="87"/>
        <w:gridCol w:w="665"/>
        <w:gridCol w:w="36"/>
      </w:tblGrid>
      <w:tr w:rsidR="00000000">
        <w:trPr>
          <w:divId w:val="393740933"/>
        </w:trPr>
        <w:tc>
          <w:tcPr>
            <w:tcW w:w="50" w:type="pct"/>
            <w:vAlign w:val="center"/>
            <w:hideMark/>
          </w:tcPr>
          <w:p w:rsidR="00000000" w:rsidRDefault="008931E1">
            <w:pPr>
              <w:rPr>
                <w:rFonts w:eastAsia="Times New Roman"/>
              </w:rPr>
            </w:pPr>
          </w:p>
        </w:tc>
        <w:tc>
          <w:tcPr>
            <w:tcW w:w="33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269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24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45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36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384"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tcBorders>
              <w:bottom w:val="single" w:sz="8" w:space="0" w:color="000000"/>
            </w:tcBorders>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b/>
                <w:bCs/>
                <w:color w:val="000000"/>
                <w:sz w:val="18"/>
                <w:szCs w:val="18"/>
              </w:rPr>
              <w:t xml:space="preserve">Exhibit </w:t>
            </w:r>
            <w:r>
              <w:rPr>
                <w:rFonts w:eastAsia="Times New Roman"/>
                <w:b/>
                <w:bCs/>
                <w:color w:val="000000"/>
                <w:sz w:val="18"/>
                <w:szCs w:val="18"/>
              </w:rPr>
              <w:br/>
              <w:t>Number</w:t>
            </w:r>
          </w:p>
        </w:tc>
        <w:tc>
          <w:tcPr>
            <w:tcW w:w="0" w:type="auto"/>
            <w:gridSpan w:val="3"/>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Exhibit Description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Form</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Date of First Filing</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Exhibit Number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Filed Herewith</w:t>
            </w:r>
          </w:p>
        </w:tc>
      </w:tr>
      <w:tr w:rsidR="00000000">
        <w:trPr>
          <w:divId w:val="393740933"/>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1988632122"/>
              <w:rPr>
                <w:rFonts w:eastAsia="Times New Roman"/>
              </w:rPr>
            </w:pPr>
            <w:hyperlink r:id="rId29" w:history="1">
              <w:r>
                <w:rPr>
                  <w:rStyle w:val="a3"/>
                  <w:rFonts w:eastAsia="Times New Roman"/>
                  <w:sz w:val="18"/>
                  <w:szCs w:val="18"/>
                </w:rPr>
                <w:t>Officers’ Certificate, dated November 9, 2022, for the 5.400% Notes due 2033 and the 6.000% Notes due 2053.</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11/9/2022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4.23</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867835474"/>
              <w:rPr>
                <w:rFonts w:eastAsia="Times New Roman"/>
              </w:rPr>
            </w:pPr>
            <w:hyperlink r:id="rId30" w:history="1">
              <w:r>
                <w:rPr>
                  <w:rStyle w:val="a3"/>
                  <w:rFonts w:eastAsia="Times New Roman"/>
                  <w:sz w:val="18"/>
                  <w:szCs w:val="18"/>
                </w:rPr>
                <w:t>Form of 5.400% Notes due 2033.</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11/9/2022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4.3</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4.24</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1215392264"/>
              <w:rPr>
                <w:rFonts w:eastAsia="Times New Roman"/>
              </w:rPr>
            </w:pPr>
            <w:hyperlink r:id="rId31" w:history="1">
              <w:r>
                <w:rPr>
                  <w:rStyle w:val="a3"/>
                  <w:rFonts w:eastAsia="Times New Roman"/>
                  <w:sz w:val="18"/>
                  <w:szCs w:val="18"/>
                </w:rPr>
                <w:t>Form of 6.000% Notes due 2053.</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8-K</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11/9/2022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4.4</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4.25</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732459535"/>
              <w:rPr>
                <w:rFonts w:eastAsia="Times New Roman"/>
              </w:rPr>
            </w:pPr>
            <w:hyperlink r:id="rId32" w:history="1">
              <w:r>
                <w:rPr>
                  <w:rStyle w:val="a3"/>
                  <w:rFonts w:eastAsia="Times New Roman"/>
                  <w:sz w:val="18"/>
                  <w:szCs w:val="18"/>
                </w:rPr>
                <w:t>Description of registrant’s securities.</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11/6/2019</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4.15</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555899325"/>
              <w:rPr>
                <w:rFonts w:eastAsia="Times New Roman"/>
              </w:rPr>
            </w:pPr>
            <w:hyperlink r:id="rId33" w:history="1">
              <w:r>
                <w:rPr>
                  <w:rStyle w:val="a3"/>
                  <w:rFonts w:eastAsia="Times New Roman"/>
                  <w:sz w:val="18"/>
                  <w:szCs w:val="18"/>
                </w:rPr>
                <w:t>Credit Agreement, dated as of December 8, 2020, among QUALCOMM Incorporated, the lenders party thereto, the letter of credit issuers party thereto and Bank</w:t>
              </w:r>
              <w:r>
                <w:rPr>
                  <w:rStyle w:val="a3"/>
                  <w:rFonts w:eastAsia="Times New Roman"/>
                  <w:sz w:val="18"/>
                  <w:szCs w:val="18"/>
                </w:rPr>
                <w:t xml:space="preserve"> of America, N.A., as administrative agent, swing line lender and a letter of credit issuer (as amended by the LIBOR Transition Amendment dated as of December 21, 2021 and as further amended by Amendment No. 2 dated as of March 10, 2023).</w:t>
              </w:r>
            </w:hyperlink>
          </w:p>
          <w:p w:rsidR="00000000" w:rsidRDefault="008931E1">
            <w:pPr>
              <w:spacing w:after="100"/>
              <w:divId w:val="1454249658"/>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5/3/2023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646735821"/>
              <w:rPr>
                <w:rFonts w:eastAsia="Times New Roman"/>
              </w:rPr>
            </w:pPr>
            <w:hyperlink r:id="rId34" w:history="1">
              <w:r>
                <w:rPr>
                  <w:rStyle w:val="a3"/>
                  <w:rFonts w:eastAsia="Times New Roman"/>
                  <w:sz w:val="18"/>
                  <w:szCs w:val="18"/>
                </w:rPr>
                <w:t>Form of Indemnity Agreement between the Company and its directors and officers. (2)</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11/4/2015</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315304472"/>
              <w:rPr>
                <w:rFonts w:eastAsia="Times New Roman"/>
              </w:rPr>
            </w:pPr>
            <w:hyperlink r:id="rId35" w:history="1">
              <w:r>
                <w:rPr>
                  <w:rStyle w:val="a3"/>
                  <w:rFonts w:eastAsia="Times New Roman"/>
                  <w:sz w:val="18"/>
                  <w:szCs w:val="18"/>
                </w:rPr>
                <w:t>Amended and Restated 2016 Long-Term Incentive Plan. (2)</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4/29/2020</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10.7</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878157758"/>
              <w:rPr>
                <w:rFonts w:eastAsia="Times New Roman"/>
              </w:rPr>
            </w:pPr>
            <w:hyperlink r:id="rId36" w:history="1">
              <w:r>
                <w:rPr>
                  <w:rStyle w:val="a3"/>
                  <w:rFonts w:eastAsia="Times New Roman"/>
                  <w:sz w:val="18"/>
                  <w:szCs w:val="18"/>
                </w:rPr>
                <w:t>Amended and Restated QUALCOMM Incorporated 2001 Employee Stock Purchase Plan, as amended. (2)</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4/25/2018</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10.62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10.5</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1480271826"/>
              <w:rPr>
                <w:rFonts w:eastAsia="Times New Roman"/>
              </w:rPr>
            </w:pPr>
            <w:hyperlink r:id="rId37" w:history="1">
              <w:r>
                <w:rPr>
                  <w:rStyle w:val="a3"/>
                  <w:rFonts w:eastAsia="Times New Roman"/>
                  <w:sz w:val="18"/>
                  <w:szCs w:val="18"/>
                </w:rPr>
                <w:t>QUALCOMM Incorporated 2023 Long-Term Incentive Plan</w:t>
              </w:r>
            </w:hyperlink>
            <w:hyperlink r:id="rId38" w:history="1">
              <w:r>
                <w:rPr>
                  <w:rStyle w:val="a3"/>
                  <w:rFonts w:eastAsia="Times New Roman"/>
                  <w:sz w:val="18"/>
                  <w:szCs w:val="18"/>
                </w:rPr>
                <w:t>.</w:t>
              </w:r>
            </w:hyperlink>
            <w:hyperlink r:id="rId39" w:history="1">
              <w:r>
                <w:rPr>
                  <w:rStyle w:val="a3"/>
                  <w:rFonts w:eastAsia="Times New Roman"/>
                  <w:sz w:val="18"/>
                  <w:szCs w:val="18"/>
                </w:rPr>
                <w:t xml:space="preserve"> (2)</w:t>
              </w:r>
            </w:hyperlink>
          </w:p>
          <w:p w:rsidR="00000000" w:rsidRDefault="008931E1">
            <w:pPr>
              <w:spacing w:after="100"/>
              <w:divId w:val="60484866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05/3/2023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10.26</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10.6</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249462619"/>
              <w:rPr>
                <w:rFonts w:eastAsia="Times New Roman"/>
              </w:rPr>
            </w:pPr>
            <w:hyperlink r:id="rId40" w:history="1">
              <w:r>
                <w:rPr>
                  <w:rStyle w:val="a3"/>
                  <w:rFonts w:eastAsia="Times New Roman"/>
                  <w:sz w:val="18"/>
                  <w:szCs w:val="18"/>
                </w:rPr>
                <w:t>Form of Qualcomm Incorporated 2016 Long-Term Incentive Plan Executive Performance Stock Unit Award Grant Notice and Executive Performance Stock Unit Award</w:t>
              </w:r>
              <w:r>
                <w:rPr>
                  <w:rStyle w:val="a3"/>
                  <w:rFonts w:eastAsia="Times New Roman"/>
                  <w:sz w:val="18"/>
                  <w:szCs w:val="18"/>
                </w:rPr>
                <w:t xml:space="preserve"> Agreement (2020 Form). (2)</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11/4/2020</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10.21</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10.7</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1913540756"/>
              <w:rPr>
                <w:rFonts w:eastAsia="Times New Roman"/>
              </w:rPr>
            </w:pPr>
            <w:hyperlink r:id="rId41" w:history="1">
              <w:r>
                <w:rPr>
                  <w:rStyle w:val="a3"/>
                  <w:rFonts w:eastAsia="Times New Roman"/>
                  <w:sz w:val="18"/>
                  <w:szCs w:val="18"/>
                </w:rPr>
                <w:t>Form of Qualcomm Incorporated 2016 Long-Term Incentive Plan Executive Restricted Stock Unit Grant Notice and Executive Restricted Stock Unit Agreement (20</w:t>
              </w:r>
              <w:r>
                <w:rPr>
                  <w:rStyle w:val="a3"/>
                  <w:rFonts w:eastAsia="Times New Roman"/>
                  <w:sz w:val="18"/>
                  <w:szCs w:val="18"/>
                </w:rPr>
                <w:t>20 Form). (2)</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2/3/2021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10.20</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10.8</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635523318"/>
              <w:rPr>
                <w:rFonts w:eastAsia="Times New Roman"/>
              </w:rPr>
            </w:pPr>
            <w:hyperlink r:id="rId42" w:history="1">
              <w:r>
                <w:rPr>
                  <w:rStyle w:val="a3"/>
                  <w:rFonts w:eastAsia="Times New Roman"/>
                  <w:sz w:val="18"/>
                  <w:szCs w:val="18"/>
                </w:rPr>
                <w:t>Form of Qualcomm Incorporated 2016 Long-Term Incentive Plan Executive Performance Stock Unit Award Grant Notices and Executive Performance Stock Unit Awar</w:t>
              </w:r>
              <w:r>
                <w:rPr>
                  <w:rStyle w:val="a3"/>
                  <w:rFonts w:eastAsia="Times New Roman"/>
                  <w:sz w:val="18"/>
                  <w:szCs w:val="18"/>
                </w:rPr>
                <w:t>d Agreement (2021 Form). (2)</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11/3/2021</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10.9</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1666855186"/>
              <w:rPr>
                <w:rFonts w:eastAsia="Times New Roman"/>
              </w:rPr>
            </w:pPr>
            <w:hyperlink r:id="rId43" w:history="1">
              <w:r>
                <w:rPr>
                  <w:rStyle w:val="a3"/>
                  <w:rFonts w:eastAsia="Times New Roman"/>
                  <w:sz w:val="18"/>
                  <w:szCs w:val="18"/>
                </w:rPr>
                <w:t>Form of Qualcomm Incorporated 2016 Long-Term Incentive Plan Executive Restricted Stock Unit Award Grant Notice and Executive Restricted Stock Unit Award A</w:t>
              </w:r>
              <w:r>
                <w:rPr>
                  <w:rStyle w:val="a3"/>
                  <w:rFonts w:eastAsia="Times New Roman"/>
                  <w:sz w:val="18"/>
                  <w:szCs w:val="18"/>
                </w:rPr>
                <w:t>greement (2021 Form). (2)</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10-K</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11/3/2021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10.10</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56175952"/>
              <w:rPr>
                <w:rFonts w:eastAsia="Times New Roman"/>
              </w:rPr>
            </w:pPr>
            <w:hyperlink r:id="rId44" w:history="1">
              <w:r>
                <w:rPr>
                  <w:rStyle w:val="a3"/>
                  <w:rFonts w:eastAsia="Times New Roman"/>
                  <w:sz w:val="18"/>
                  <w:szCs w:val="18"/>
                </w:rPr>
                <w:t>Form of Qualcomm Incorporated 2016 Long-Term Incentive Plan Executive Performance Stock Unit Award Grant Notice and Executive Performance Stock Unit Award</w:t>
              </w:r>
              <w:r>
                <w:rPr>
                  <w:rStyle w:val="a3"/>
                  <w:rFonts w:eastAsia="Times New Roman"/>
                  <w:sz w:val="18"/>
                  <w:szCs w:val="18"/>
                </w:rPr>
                <w:t xml:space="preserve"> Agreement (2022 Form). (2)</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2/2/2023</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10.23</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1494493496"/>
              <w:rPr>
                <w:rFonts w:eastAsia="Times New Roman"/>
              </w:rPr>
            </w:pPr>
            <w:hyperlink r:id="rId45" w:history="1">
              <w:r>
                <w:rPr>
                  <w:rStyle w:val="a3"/>
                  <w:rFonts w:eastAsia="Times New Roman"/>
                  <w:sz w:val="18"/>
                  <w:szCs w:val="18"/>
                </w:rPr>
                <w:t>Form of Qualcomm Incorporated 2016 Long-Term Incentive Plan Executive Restricted Stock Unit Award Grant Notice and Executive Restricted Stock Unit Award A</w:t>
              </w:r>
              <w:r>
                <w:rPr>
                  <w:rStyle w:val="a3"/>
                  <w:rFonts w:eastAsia="Times New Roman"/>
                  <w:sz w:val="18"/>
                  <w:szCs w:val="18"/>
                </w:rPr>
                <w:t>greement (2022 Form). (2)</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2/2/2023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10.24</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399206989"/>
              <w:rPr>
                <w:rFonts w:eastAsia="Times New Roman"/>
              </w:rPr>
            </w:pPr>
            <w:hyperlink r:id="rId46" w:history="1">
              <w:r>
                <w:rPr>
                  <w:rStyle w:val="a3"/>
                  <w:rFonts w:eastAsia="Times New Roman"/>
                  <w:sz w:val="18"/>
                  <w:szCs w:val="18"/>
                </w:rPr>
                <w:t xml:space="preserve">Form of </w:t>
              </w:r>
            </w:hyperlink>
            <w:hyperlink r:id="rId47" w:history="1">
              <w:r>
                <w:rPr>
                  <w:rStyle w:val="a3"/>
                  <w:rFonts w:eastAsia="Times New Roman"/>
                  <w:sz w:val="18"/>
                  <w:szCs w:val="18"/>
                </w:rPr>
                <w:t>20</w:t>
              </w:r>
            </w:hyperlink>
            <w:hyperlink r:id="rId48" w:history="1">
              <w:r>
                <w:rPr>
                  <w:rStyle w:val="a3"/>
                  <w:rFonts w:eastAsia="Times New Roman"/>
                  <w:sz w:val="18"/>
                  <w:szCs w:val="18"/>
                </w:rPr>
                <w:t>23</w:t>
              </w:r>
            </w:hyperlink>
            <w:hyperlink r:id="rId49" w:history="1">
              <w:r>
                <w:rPr>
                  <w:rStyle w:val="a3"/>
                  <w:rFonts w:eastAsia="Times New Roman"/>
                  <w:sz w:val="18"/>
                  <w:szCs w:val="18"/>
                </w:rPr>
                <w:t xml:space="preserve"> Annual </w:t>
              </w:r>
            </w:hyperlink>
            <w:hyperlink r:id="rId50" w:history="1">
              <w:r>
                <w:rPr>
                  <w:rStyle w:val="a3"/>
                  <w:rFonts w:eastAsia="Times New Roman"/>
                  <w:sz w:val="18"/>
                  <w:szCs w:val="18"/>
                </w:rPr>
                <w:t>Cash Incentive Plan Performance Unit Agreement</w:t>
              </w:r>
            </w:hyperlink>
            <w:hyperlink r:id="rId51" w:history="1">
              <w:r>
                <w:rPr>
                  <w:rStyle w:val="a3"/>
                  <w:rFonts w:eastAsia="Times New Roman"/>
                  <w:sz w:val="18"/>
                  <w:szCs w:val="18"/>
                </w:rPr>
                <w:t>.</w:t>
              </w:r>
            </w:hyperlink>
            <w:hyperlink r:id="rId52" w:history="1">
              <w:r>
                <w:rPr>
                  <w:rStyle w:val="a3"/>
                  <w:rFonts w:eastAsia="Times New Roman"/>
                  <w:sz w:val="18"/>
                  <w:szCs w:val="18"/>
                </w:rPr>
                <w:t>(2)</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2/2/2023</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10.25</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32388140"/>
              <w:rPr>
                <w:rFonts w:eastAsia="Times New Roman"/>
              </w:rPr>
            </w:pPr>
            <w:hyperlink r:id="rId53" w:history="1">
              <w:r>
                <w:rPr>
                  <w:rStyle w:val="a3"/>
                  <w:rFonts w:eastAsia="Times New Roman"/>
                  <w:sz w:val="18"/>
                  <w:szCs w:val="18"/>
                </w:rPr>
                <w:t>Qualcomm Incorporated Executive Officer Change in Control Severance Plan (as amended and restated). (2)</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5/3/2023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10.14</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10.14</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531767969"/>
              <w:rPr>
                <w:rFonts w:eastAsia="Times New Roman"/>
              </w:rPr>
            </w:pPr>
            <w:hyperlink r:id="rId54" w:history="1">
              <w:r>
                <w:rPr>
                  <w:rStyle w:val="a3"/>
                  <w:rFonts w:eastAsia="Times New Roman"/>
                  <w:sz w:val="18"/>
                  <w:szCs w:val="18"/>
                </w:rPr>
                <w:t>Qualcomm Incorporated Executive Officer Severance Plan (as amended and restated). (2)</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5/3/2023</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10.15</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10.15</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261762793"/>
              <w:rPr>
                <w:rFonts w:eastAsia="Times New Roman"/>
              </w:rPr>
            </w:pPr>
            <w:hyperlink r:id="rId55" w:history="1">
              <w:r>
                <w:rPr>
                  <w:rStyle w:val="a3"/>
                  <w:rFonts w:eastAsia="Times New Roman"/>
                  <w:sz w:val="18"/>
                  <w:szCs w:val="18"/>
                </w:rPr>
                <w:t>Qualcomm Incorporated Non-Executive Officer Change in Control Severance Plan (as amended and restated).</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5/3/2023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10.16</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10.16</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110705049"/>
              <w:rPr>
                <w:rFonts w:eastAsia="Times New Roman"/>
              </w:rPr>
            </w:pPr>
            <w:hyperlink r:id="rId56" w:history="1">
              <w:r>
                <w:rPr>
                  <w:rStyle w:val="a3"/>
                  <w:rFonts w:eastAsia="Times New Roman"/>
                  <w:sz w:val="18"/>
                  <w:szCs w:val="18"/>
                </w:rPr>
                <w:t>QUALCOMM Incorporated Non-Qualified Deferred Compensation Plan, as amended and restated effective January 1, 2021. (2)</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2/3/2021</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10.16</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393740933"/>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10.17</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450588565"/>
              <w:rPr>
                <w:rFonts w:eastAsia="Times New Roman"/>
              </w:rPr>
            </w:pPr>
            <w:hyperlink r:id="rId57" w:history="1">
              <w:r>
                <w:rPr>
                  <w:rStyle w:val="a3"/>
                  <w:rFonts w:eastAsia="Times New Roman"/>
                  <w:sz w:val="18"/>
                  <w:szCs w:val="18"/>
                </w:rPr>
                <w:t>A</w:t>
              </w:r>
            </w:hyperlink>
            <w:hyperlink r:id="rId58" w:history="1">
              <w:r>
                <w:rPr>
                  <w:rStyle w:val="a3"/>
                  <w:rFonts w:eastAsia="Times New Roman"/>
                  <w:sz w:val="18"/>
                  <w:szCs w:val="18"/>
                </w:rPr>
                <w:t>mendment No. 1 to the Qualcomm Incorporated Non-Qualified Deferred Compensation Plan</w:t>
              </w:r>
            </w:hyperlink>
            <w:hyperlink r:id="rId59" w:history="1">
              <w:r>
                <w:rPr>
                  <w:rStyle w:val="a3"/>
                  <w:rFonts w:eastAsia="Times New Roman"/>
                  <w:sz w:val="18"/>
                  <w:szCs w:val="18"/>
                </w:rPr>
                <w:t>. (2)</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bl>
    <w:p w:rsidR="00000000" w:rsidRDefault="008931E1">
      <w:pPr>
        <w:jc w:val="center"/>
        <w:divId w:val="1128862997"/>
        <w:rPr>
          <w:rFonts w:eastAsia="Times New Roman"/>
        </w:rPr>
      </w:pPr>
      <w:r>
        <w:rPr>
          <w:rFonts w:eastAsia="Times New Roman"/>
          <w:color w:val="000000"/>
          <w:sz w:val="20"/>
          <w:szCs w:val="20"/>
        </w:rPr>
        <w:t>52</w:t>
      </w:r>
    </w:p>
    <w:p w:rsidR="00000000" w:rsidRDefault="008931E1">
      <w:pPr>
        <w:rPr>
          <w:rFonts w:eastAsia="Times New Roman"/>
        </w:rPr>
      </w:pPr>
      <w:r>
        <w:rPr>
          <w:rFonts w:eastAsia="Times New Roman"/>
        </w:rPr>
        <w:pict>
          <v:rect id="_x0000_i1076" style="width:0;height:1.5pt" o:hralign="center" o:hrstd="t" o:hr="t" fillcolor="#a0a0a0" stroked="f"/>
        </w:pict>
      </w:r>
    </w:p>
    <w:p w:rsidR="00000000" w:rsidRDefault="008931E1">
      <w:pPr>
        <w:divId w:val="169372636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1"/>
        <w:gridCol w:w="615"/>
        <w:gridCol w:w="36"/>
        <w:gridCol w:w="36"/>
        <w:gridCol w:w="36"/>
        <w:gridCol w:w="36"/>
        <w:gridCol w:w="39"/>
        <w:gridCol w:w="4150"/>
        <w:gridCol w:w="38"/>
        <w:gridCol w:w="36"/>
        <w:gridCol w:w="36"/>
        <w:gridCol w:w="36"/>
        <w:gridCol w:w="80"/>
        <w:gridCol w:w="383"/>
        <w:gridCol w:w="36"/>
        <w:gridCol w:w="36"/>
        <w:gridCol w:w="36"/>
        <w:gridCol w:w="36"/>
        <w:gridCol w:w="76"/>
        <w:gridCol w:w="689"/>
        <w:gridCol w:w="37"/>
        <w:gridCol w:w="36"/>
        <w:gridCol w:w="36"/>
        <w:gridCol w:w="36"/>
        <w:gridCol w:w="82"/>
        <w:gridCol w:w="590"/>
        <w:gridCol w:w="36"/>
        <w:gridCol w:w="36"/>
        <w:gridCol w:w="36"/>
        <w:gridCol w:w="36"/>
        <w:gridCol w:w="87"/>
        <w:gridCol w:w="665"/>
        <w:gridCol w:w="36"/>
      </w:tblGrid>
      <w:tr w:rsidR="00000000">
        <w:trPr>
          <w:divId w:val="968587826"/>
        </w:trPr>
        <w:tc>
          <w:tcPr>
            <w:tcW w:w="50" w:type="pct"/>
            <w:vAlign w:val="center"/>
            <w:hideMark/>
          </w:tcPr>
          <w:p w:rsidR="00000000" w:rsidRDefault="008931E1">
            <w:pPr>
              <w:rPr>
                <w:rFonts w:eastAsia="Times New Roman"/>
              </w:rPr>
            </w:pPr>
          </w:p>
        </w:tc>
        <w:tc>
          <w:tcPr>
            <w:tcW w:w="33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269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24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45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36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384"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968587826"/>
        </w:trPr>
        <w:tc>
          <w:tcPr>
            <w:tcW w:w="0" w:type="auto"/>
            <w:gridSpan w:val="3"/>
            <w:tcBorders>
              <w:bottom w:val="single" w:sz="8" w:space="0" w:color="000000"/>
            </w:tcBorders>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b/>
                <w:bCs/>
                <w:color w:val="000000"/>
                <w:sz w:val="18"/>
                <w:szCs w:val="18"/>
              </w:rPr>
              <w:t xml:space="preserve">Exhibit </w:t>
            </w:r>
            <w:r>
              <w:rPr>
                <w:rFonts w:eastAsia="Times New Roman"/>
                <w:b/>
                <w:bCs/>
                <w:color w:val="000000"/>
                <w:sz w:val="18"/>
                <w:szCs w:val="18"/>
              </w:rPr>
              <w:br/>
              <w:t>Number</w:t>
            </w:r>
          </w:p>
        </w:tc>
        <w:tc>
          <w:tcPr>
            <w:tcW w:w="0" w:type="auto"/>
            <w:gridSpan w:val="3"/>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Exhibit Description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Form</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Date of First Filing</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Exhibit Number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Filed Herewith</w:t>
            </w:r>
          </w:p>
        </w:tc>
      </w:tr>
      <w:tr w:rsidR="00000000">
        <w:trPr>
          <w:divId w:val="968587826"/>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10.18</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198347903"/>
              <w:rPr>
                <w:rFonts w:eastAsia="Times New Roman"/>
              </w:rPr>
            </w:pPr>
            <w:hyperlink r:id="rId60" w:history="1">
              <w:r>
                <w:rPr>
                  <w:rStyle w:val="a3"/>
                  <w:rFonts w:eastAsia="Times New Roman"/>
                  <w:sz w:val="18"/>
                  <w:szCs w:val="18"/>
                </w:rPr>
                <w:t>Qualcomm Incorporated 202</w:t>
              </w:r>
            </w:hyperlink>
            <w:hyperlink r:id="rId61" w:history="1">
              <w:r>
                <w:rPr>
                  <w:rStyle w:val="a3"/>
                  <w:rFonts w:eastAsia="Times New Roman"/>
                  <w:sz w:val="18"/>
                  <w:szCs w:val="18"/>
                </w:rPr>
                <w:t>3</w:t>
              </w:r>
            </w:hyperlink>
            <w:hyperlink r:id="rId62" w:history="1">
              <w:r>
                <w:rPr>
                  <w:rStyle w:val="a3"/>
                  <w:rFonts w:eastAsia="Times New Roman"/>
                  <w:sz w:val="18"/>
                  <w:szCs w:val="18"/>
                </w:rPr>
                <w:t xml:space="preserve"> Director Compensation Plan. (2)</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10-K</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11/2/2022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10.19</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968587826"/>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10.19</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1984120687"/>
              <w:rPr>
                <w:rFonts w:eastAsia="Times New Roman"/>
              </w:rPr>
            </w:pPr>
            <w:hyperlink r:id="rId63" w:history="1">
              <w:r>
                <w:rPr>
                  <w:rStyle w:val="a3"/>
                  <w:rFonts w:eastAsia="Times New Roman"/>
                  <w:sz w:val="18"/>
                  <w:szCs w:val="18"/>
                </w:rPr>
                <w:t>Qualcomm Incorporated 202</w:t>
              </w:r>
            </w:hyperlink>
            <w:hyperlink r:id="rId64" w:history="1">
              <w:r>
                <w:rPr>
                  <w:rStyle w:val="a3"/>
                  <w:rFonts w:eastAsia="Times New Roman"/>
                  <w:sz w:val="18"/>
                  <w:szCs w:val="18"/>
                </w:rPr>
                <w:t>4</w:t>
              </w:r>
            </w:hyperlink>
            <w:hyperlink r:id="rId65" w:history="1">
              <w:r>
                <w:rPr>
                  <w:rStyle w:val="a3"/>
                  <w:rFonts w:eastAsia="Times New Roman"/>
                  <w:sz w:val="18"/>
                  <w:szCs w:val="18"/>
                </w:rPr>
                <w:t xml:space="preserve"> Director Compensation Plan. (2)</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10.20</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6199784"/>
              <w:rPr>
                <w:rFonts w:eastAsia="Times New Roman"/>
              </w:rPr>
            </w:pPr>
            <w:hyperlink r:id="rId66" w:history="1">
              <w:r>
                <w:rPr>
                  <w:rStyle w:val="a3"/>
                  <w:rFonts w:eastAsia="Times New Roman"/>
                  <w:sz w:val="18"/>
                  <w:szCs w:val="18"/>
                </w:rPr>
                <w:t>Form</w:t>
              </w:r>
            </w:hyperlink>
            <w:hyperlink r:id="rId67" w:history="1">
              <w:r>
                <w:rPr>
                  <w:rStyle w:val="a3"/>
                  <w:rFonts w:eastAsia="Times New Roman"/>
                  <w:sz w:val="18"/>
                  <w:szCs w:val="18"/>
                </w:rPr>
                <w:t>s</w:t>
              </w:r>
            </w:hyperlink>
            <w:hyperlink r:id="rId68" w:history="1">
              <w:r>
                <w:rPr>
                  <w:rStyle w:val="a3"/>
                  <w:rFonts w:eastAsia="Times New Roman"/>
                  <w:sz w:val="18"/>
                  <w:szCs w:val="18"/>
                </w:rPr>
                <w:t xml:space="preserve"> of 2016 Long-Term Incentive Plan Non-Employee Director Deferred Stock Unit Grant Notice</w:t>
              </w:r>
            </w:hyperlink>
            <w:hyperlink r:id="rId69" w:history="1">
              <w:r>
                <w:rPr>
                  <w:rStyle w:val="a3"/>
                  <w:rFonts w:eastAsia="Times New Roman"/>
                  <w:sz w:val="18"/>
                  <w:szCs w:val="18"/>
                </w:rPr>
                <w:t>s</w:t>
              </w:r>
            </w:hyperlink>
            <w:hyperlink r:id="rId70" w:history="1">
              <w:r>
                <w:rPr>
                  <w:rStyle w:val="a3"/>
                  <w:rFonts w:eastAsia="Times New Roman"/>
                  <w:sz w:val="18"/>
                  <w:szCs w:val="18"/>
                </w:rPr>
                <w:t xml:space="preserve"> and Non-Employee Director Deferred Stock Unit Agreement</w:t>
              </w:r>
            </w:hyperlink>
            <w:hyperlink r:id="rId71" w:history="1">
              <w:r>
                <w:rPr>
                  <w:rStyle w:val="a3"/>
                  <w:rFonts w:eastAsia="Times New Roman"/>
                  <w:sz w:val="18"/>
                  <w:szCs w:val="18"/>
                </w:rPr>
                <w:t>s</w:t>
              </w:r>
            </w:hyperlink>
            <w:hyperlink r:id="rId72" w:history="1">
              <w:r>
                <w:rPr>
                  <w:rStyle w:val="a3"/>
                  <w:rFonts w:eastAsia="Times New Roman"/>
                  <w:sz w:val="18"/>
                  <w:szCs w:val="18"/>
                </w:rPr>
                <w:t xml:space="preserve">. (2) </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4/25/2018</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10.60</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968587826"/>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250284324"/>
              <w:rPr>
                <w:rFonts w:eastAsia="Times New Roman"/>
              </w:rPr>
            </w:pPr>
            <w:hyperlink r:id="rId73" w:history="1">
              <w:r>
                <w:rPr>
                  <w:rStyle w:val="a3"/>
                  <w:rFonts w:eastAsia="Times New Roman"/>
                  <w:sz w:val="18"/>
                  <w:szCs w:val="18"/>
                </w:rPr>
                <w:t>Forms of Non-Employee Director Deferred Stock Unit Grant Notices and Non-Employee Director Deferred Stock Unit Agreements under the 2016 Long-Term Incentiv</w:t>
              </w:r>
              <w:r>
                <w:rPr>
                  <w:rStyle w:val="a3"/>
                  <w:rFonts w:eastAsia="Times New Roman"/>
                  <w:sz w:val="18"/>
                  <w:szCs w:val="18"/>
                </w:rPr>
                <w:t>e Plan for Non-Employee Directors in Hong Kong. (2)</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4/28/21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10.4</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968587826"/>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063409841"/>
              <w:rPr>
                <w:rFonts w:eastAsia="Times New Roman"/>
              </w:rPr>
            </w:pPr>
            <w:hyperlink r:id="rId74" w:history="1">
              <w:r>
                <w:rPr>
                  <w:rStyle w:val="a3"/>
                  <w:rFonts w:eastAsia="Times New Roman"/>
                  <w:sz w:val="18"/>
                  <w:szCs w:val="18"/>
                </w:rPr>
                <w:t>Forms of Non-Employee Director Deferred Stock Unit Grant Notices and Non-Employee Director Deferred Stock Unit Agreements under the 2023 Long-Term Incenti</w:t>
              </w:r>
              <w:r>
                <w:rPr>
                  <w:rStyle w:val="a3"/>
                  <w:rFonts w:eastAsia="Times New Roman"/>
                  <w:sz w:val="18"/>
                  <w:szCs w:val="18"/>
                </w:rPr>
                <w:t>ve Plan for Non-Employee Directors in the United States. (2)</w:t>
              </w:r>
            </w:hyperlink>
          </w:p>
          <w:p w:rsidR="00000000" w:rsidRDefault="008931E1">
            <w:pPr>
              <w:spacing w:after="100"/>
              <w:divId w:val="861670555"/>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5/3/2023</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10.27</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968587826"/>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390737717"/>
              <w:rPr>
                <w:rFonts w:eastAsia="Times New Roman"/>
              </w:rPr>
            </w:pPr>
            <w:hyperlink r:id="rId75" w:history="1">
              <w:r>
                <w:rPr>
                  <w:rStyle w:val="a3"/>
                  <w:rFonts w:eastAsia="Times New Roman"/>
                  <w:sz w:val="18"/>
                  <w:szCs w:val="18"/>
                </w:rPr>
                <w:t>Forms of Non-Employee Director Deferred Stock Unit Grant Notices and Non-Employee Director Deferred Stock Unit Agreements under the 2023 Long-Term Incenti</w:t>
              </w:r>
              <w:r>
                <w:rPr>
                  <w:rStyle w:val="a3"/>
                  <w:rFonts w:eastAsia="Times New Roman"/>
                  <w:sz w:val="18"/>
                  <w:szCs w:val="18"/>
                </w:rPr>
                <w:t>ve Plan for Non-Employee Directors in Hong Kong. (2)</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10-Q</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5/3/2023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10.28</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968587826"/>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21</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517888221"/>
              <w:rPr>
                <w:rFonts w:eastAsia="Times New Roman"/>
              </w:rPr>
            </w:pPr>
            <w:hyperlink r:id="rId76" w:history="1">
              <w:r>
                <w:rPr>
                  <w:rStyle w:val="a3"/>
                  <w:rFonts w:eastAsia="Times New Roman"/>
                  <w:sz w:val="18"/>
                  <w:szCs w:val="18"/>
                </w:rPr>
                <w:t>Subsidiaries of the Company.</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23.1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divId w:val="1109004926"/>
              <w:rPr>
                <w:rFonts w:eastAsia="Times New Roman"/>
              </w:rPr>
            </w:pPr>
            <w:hyperlink r:id="rId77" w:history="1">
              <w:r>
                <w:rPr>
                  <w:rStyle w:val="a3"/>
                  <w:rFonts w:eastAsia="Times New Roman"/>
                  <w:sz w:val="18"/>
                  <w:szCs w:val="18"/>
                </w:rPr>
                <w:t>Consent of Independent Registered Public Accounting Firm.</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31.1</w:t>
            </w:r>
          </w:p>
        </w:tc>
        <w:tc>
          <w:tcPr>
            <w:tcW w:w="0" w:type="auto"/>
            <w:gridSpan w:val="3"/>
            <w:shd w:val="clear" w:color="auto" w:fill="FFFFFF"/>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hideMark/>
          </w:tcPr>
          <w:p w:rsidR="00000000" w:rsidRDefault="008931E1">
            <w:pPr>
              <w:spacing w:after="100"/>
              <w:divId w:val="2060087394"/>
              <w:rPr>
                <w:rFonts w:eastAsia="Times New Roman"/>
              </w:rPr>
            </w:pPr>
            <w:hyperlink r:id="rId78" w:history="1">
              <w:r>
                <w:rPr>
                  <w:rStyle w:val="a3"/>
                  <w:rFonts w:eastAsia="Times New Roman"/>
                  <w:sz w:val="18"/>
                  <w:szCs w:val="18"/>
                </w:rPr>
                <w:t>Certification pursuant to Section </w:t>
              </w:r>
              <w:r>
                <w:rPr>
                  <w:rStyle w:val="a3"/>
                  <w:rFonts w:eastAsia="Times New Roman"/>
                  <w:sz w:val="18"/>
                  <w:szCs w:val="18"/>
                </w:rPr>
                <w:t>302 of the Sarbanes-Oxley Act of 2002 for Cristiano R. Amon.</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31.2</w:t>
            </w:r>
          </w:p>
        </w:tc>
        <w:tc>
          <w:tcPr>
            <w:tcW w:w="0" w:type="auto"/>
            <w:gridSpan w:val="3"/>
            <w:shd w:val="clear" w:color="auto" w:fill="CCEEFF"/>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8931E1">
            <w:pPr>
              <w:spacing w:after="100"/>
              <w:divId w:val="227107748"/>
              <w:rPr>
                <w:rFonts w:eastAsia="Times New Roman"/>
              </w:rPr>
            </w:pPr>
            <w:hyperlink r:id="rId79" w:history="1">
              <w:r>
                <w:rPr>
                  <w:rStyle w:val="a3"/>
                  <w:rFonts w:eastAsia="Times New Roman"/>
                  <w:sz w:val="18"/>
                  <w:szCs w:val="18"/>
                </w:rPr>
                <w:t>Certification pursuant to Section </w:t>
              </w:r>
              <w:r>
                <w:rPr>
                  <w:rStyle w:val="a3"/>
                  <w:rFonts w:eastAsia="Times New Roman"/>
                  <w:sz w:val="18"/>
                  <w:szCs w:val="18"/>
                </w:rPr>
                <w:t>302 of the Sarbanes-Oxley Act of 2002 for Akash Palkhiwala.</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32.1</w:t>
            </w:r>
          </w:p>
        </w:tc>
        <w:tc>
          <w:tcPr>
            <w:tcW w:w="0" w:type="auto"/>
            <w:gridSpan w:val="3"/>
            <w:shd w:val="clear" w:color="auto" w:fill="FFFFFF"/>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hideMark/>
          </w:tcPr>
          <w:p w:rsidR="00000000" w:rsidRDefault="008931E1">
            <w:pPr>
              <w:spacing w:after="100"/>
              <w:divId w:val="824318320"/>
              <w:rPr>
                <w:rFonts w:eastAsia="Times New Roman"/>
              </w:rPr>
            </w:pPr>
            <w:hyperlink r:id="rId80" w:history="1">
              <w:r>
                <w:rPr>
                  <w:rStyle w:val="a3"/>
                  <w:rFonts w:eastAsia="Times New Roman"/>
                  <w:sz w:val="18"/>
                  <w:szCs w:val="18"/>
                </w:rPr>
                <w:t>Certification pursuant to 18 U.S.C. Section 1350, as adopted pursuant to Section </w:t>
              </w:r>
              <w:r>
                <w:rPr>
                  <w:rStyle w:val="a3"/>
                  <w:rFonts w:eastAsia="Times New Roman"/>
                  <w:sz w:val="18"/>
                  <w:szCs w:val="18"/>
                </w:rPr>
                <w:t>906 of the Sarbanes-Oxley Act of 2002, for Cristiano R. Amon.</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32.2</w:t>
            </w:r>
          </w:p>
        </w:tc>
        <w:tc>
          <w:tcPr>
            <w:tcW w:w="0" w:type="auto"/>
            <w:gridSpan w:val="3"/>
            <w:shd w:val="clear" w:color="auto" w:fill="CCEEFF"/>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8931E1">
            <w:pPr>
              <w:spacing w:after="100"/>
              <w:divId w:val="2061202154"/>
              <w:rPr>
                <w:rFonts w:eastAsia="Times New Roman"/>
              </w:rPr>
            </w:pPr>
            <w:hyperlink r:id="rId81" w:history="1">
              <w:r>
                <w:rPr>
                  <w:rStyle w:val="a3"/>
                  <w:rFonts w:eastAsia="Times New Roman"/>
                  <w:sz w:val="18"/>
                  <w:szCs w:val="18"/>
                </w:rPr>
                <w:t>Certification pursuant to 18 U.S.C. Section 1350, as adopted pursuant to Section </w:t>
              </w:r>
              <w:r>
                <w:rPr>
                  <w:rStyle w:val="a3"/>
                  <w:rFonts w:eastAsia="Times New Roman"/>
                  <w:sz w:val="18"/>
                  <w:szCs w:val="18"/>
                </w:rPr>
                <w:t>906 of the Sarbanes-Oxley Act of 2002, for Akash Palkhiwala.</w:t>
              </w:r>
            </w:hyperlink>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97</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931E1">
            <w:pPr>
              <w:spacing w:after="100"/>
              <w:divId w:val="463471182"/>
              <w:rPr>
                <w:rFonts w:eastAsia="Times New Roman"/>
              </w:rPr>
            </w:pPr>
            <w:hyperlink r:id="rId82" w:history="1">
              <w:r>
                <w:rPr>
                  <w:rStyle w:val="a3"/>
                  <w:rFonts w:eastAsia="Times New Roman"/>
                  <w:sz w:val="18"/>
                  <w:szCs w:val="18"/>
                </w:rPr>
                <w:t>Incentive Compensation Repaymen</w:t>
              </w:r>
            </w:hyperlink>
            <w:hyperlink r:id="rId83" w:history="1">
              <w:r>
                <w:rPr>
                  <w:rStyle w:val="a3"/>
                  <w:rFonts w:eastAsia="Times New Roman"/>
                  <w:sz w:val="18"/>
                  <w:szCs w:val="18"/>
                </w:rPr>
                <w:t>t Policy (</w:t>
              </w:r>
            </w:hyperlink>
            <w:hyperlink r:id="rId84" w:history="1">
              <w:r>
                <w:rPr>
                  <w:rStyle w:val="a3"/>
                  <w:rFonts w:eastAsia="Times New Roman"/>
                  <w:sz w:val="18"/>
                  <w:szCs w:val="18"/>
                </w:rPr>
                <w:t>Policy Relating to Recovery of Erroneously Awarded Compensation</w:t>
              </w:r>
            </w:hyperlink>
            <w:hyperlink r:id="rId85" w:history="1">
              <w:r>
                <w:rPr>
                  <w:rStyle w:val="a3"/>
                  <w:rFonts w:eastAsia="Times New Roman"/>
                  <w:sz w:val="18"/>
                  <w:szCs w:val="18"/>
                </w:rPr>
                <w:t>)</w:t>
              </w:r>
            </w:hyperlink>
            <w:hyperlink r:id="rId86" w:history="1">
              <w:r>
                <w:rPr>
                  <w:rStyle w:val="a3"/>
                  <w:rFonts w:eastAsia="Times New Roman"/>
                  <w:sz w:val="18"/>
                  <w:szCs w:val="18"/>
                </w:rPr>
                <w:t>.</w:t>
              </w:r>
            </w:hyperlink>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101.INS</w:t>
            </w:r>
          </w:p>
        </w:tc>
        <w:tc>
          <w:tcPr>
            <w:tcW w:w="0" w:type="auto"/>
            <w:gridSpan w:val="3"/>
            <w:shd w:val="clear" w:color="auto" w:fill="CCEEFF"/>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8931E1">
            <w:pPr>
              <w:spacing w:after="100"/>
              <w:divId w:val="2053990698"/>
              <w:rPr>
                <w:rFonts w:eastAsia="Times New Roman"/>
              </w:rPr>
            </w:pPr>
            <w:r>
              <w:rPr>
                <w:rFonts w:eastAsia="Times New Roman"/>
                <w:color w:val="000000"/>
                <w:sz w:val="20"/>
                <w:szCs w:val="20"/>
              </w:rPr>
              <w:t xml:space="preserve">Inline </w:t>
            </w:r>
            <w:r>
              <w:rPr>
                <w:rFonts w:eastAsia="Times New Roman"/>
                <w:color w:val="000000"/>
                <w:sz w:val="18"/>
                <w:szCs w:val="18"/>
              </w:rPr>
              <w:t>XBRL Instance Document.</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101.SCH</w:t>
            </w:r>
          </w:p>
        </w:tc>
        <w:tc>
          <w:tcPr>
            <w:tcW w:w="0" w:type="auto"/>
            <w:gridSpan w:val="3"/>
            <w:shd w:val="clear" w:color="auto" w:fill="FFFFFF"/>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hideMark/>
          </w:tcPr>
          <w:p w:rsidR="00000000" w:rsidRDefault="008931E1">
            <w:pPr>
              <w:spacing w:after="100"/>
              <w:divId w:val="284890869"/>
              <w:rPr>
                <w:rFonts w:eastAsia="Times New Roman"/>
              </w:rPr>
            </w:pPr>
            <w:r>
              <w:rPr>
                <w:rFonts w:eastAsia="Times New Roman"/>
                <w:color w:val="000000"/>
                <w:sz w:val="20"/>
                <w:szCs w:val="20"/>
              </w:rPr>
              <w:t xml:space="preserve">Inline </w:t>
            </w:r>
            <w:r>
              <w:rPr>
                <w:rFonts w:eastAsia="Times New Roman"/>
                <w:color w:val="000000"/>
                <w:sz w:val="18"/>
                <w:szCs w:val="18"/>
              </w:rPr>
              <w:t>XBRL Taxonomy Extension Schema.</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101.CAL</w:t>
            </w:r>
          </w:p>
        </w:tc>
        <w:tc>
          <w:tcPr>
            <w:tcW w:w="0" w:type="auto"/>
            <w:gridSpan w:val="3"/>
            <w:shd w:val="clear" w:color="auto" w:fill="CCEEFF"/>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8931E1">
            <w:pPr>
              <w:spacing w:after="100"/>
              <w:divId w:val="896011051"/>
              <w:rPr>
                <w:rFonts w:eastAsia="Times New Roman"/>
              </w:rPr>
            </w:pPr>
            <w:r>
              <w:rPr>
                <w:rFonts w:eastAsia="Times New Roman"/>
                <w:color w:val="000000"/>
                <w:sz w:val="20"/>
                <w:szCs w:val="20"/>
              </w:rPr>
              <w:t xml:space="preserve">Inline </w:t>
            </w:r>
            <w:r>
              <w:rPr>
                <w:rFonts w:eastAsia="Times New Roman"/>
                <w:color w:val="000000"/>
                <w:sz w:val="18"/>
                <w:szCs w:val="18"/>
              </w:rPr>
              <w:t>XBRL Taxonomy Extension Calculation Linkbase.</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101.LAB</w:t>
            </w:r>
          </w:p>
        </w:tc>
        <w:tc>
          <w:tcPr>
            <w:tcW w:w="0" w:type="auto"/>
            <w:gridSpan w:val="3"/>
            <w:shd w:val="clear" w:color="auto" w:fill="FFFFFF"/>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997686352"/>
              <w:rPr>
                <w:rFonts w:eastAsia="Times New Roman"/>
              </w:rPr>
            </w:pPr>
            <w:r>
              <w:rPr>
                <w:rFonts w:eastAsia="Times New Roman"/>
                <w:color w:val="000000"/>
                <w:sz w:val="20"/>
                <w:szCs w:val="20"/>
              </w:rPr>
              <w:t xml:space="preserve">Inline </w:t>
            </w:r>
            <w:r>
              <w:rPr>
                <w:rFonts w:eastAsia="Times New Roman"/>
                <w:color w:val="000000"/>
                <w:sz w:val="18"/>
                <w:szCs w:val="18"/>
              </w:rPr>
              <w:t>XBRL Taxonomy Extension Labels Linkbase.</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101.PRE</w:t>
            </w:r>
          </w:p>
        </w:tc>
        <w:tc>
          <w:tcPr>
            <w:tcW w:w="0" w:type="auto"/>
            <w:gridSpan w:val="3"/>
            <w:shd w:val="clear" w:color="auto" w:fill="CCEEFF"/>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hideMark/>
          </w:tcPr>
          <w:p w:rsidR="00000000" w:rsidRDefault="008931E1">
            <w:pPr>
              <w:spacing w:after="100"/>
              <w:divId w:val="2079591013"/>
              <w:rPr>
                <w:rFonts w:eastAsia="Times New Roman"/>
              </w:rPr>
            </w:pPr>
            <w:r>
              <w:rPr>
                <w:rFonts w:eastAsia="Times New Roman"/>
                <w:color w:val="000000"/>
                <w:sz w:val="20"/>
                <w:szCs w:val="20"/>
              </w:rPr>
              <w:t xml:space="preserve">Inline </w:t>
            </w:r>
            <w:r>
              <w:rPr>
                <w:rFonts w:eastAsia="Times New Roman"/>
                <w:color w:val="000000"/>
                <w:sz w:val="18"/>
                <w:szCs w:val="18"/>
              </w:rPr>
              <w:t>XBRL Taxonomy Extension Presentation Linkbase.</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101.DEF</w:t>
            </w:r>
          </w:p>
        </w:tc>
        <w:tc>
          <w:tcPr>
            <w:tcW w:w="0" w:type="auto"/>
            <w:gridSpan w:val="3"/>
            <w:shd w:val="clear" w:color="auto" w:fill="FFFFFF"/>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hideMark/>
          </w:tcPr>
          <w:p w:rsidR="00000000" w:rsidRDefault="008931E1">
            <w:pPr>
              <w:spacing w:after="100"/>
              <w:divId w:val="1143234380"/>
              <w:rPr>
                <w:rFonts w:eastAsia="Times New Roman"/>
              </w:rPr>
            </w:pPr>
            <w:r>
              <w:rPr>
                <w:rFonts w:eastAsia="Times New Roman"/>
                <w:color w:val="000000"/>
                <w:sz w:val="20"/>
                <w:szCs w:val="20"/>
              </w:rPr>
              <w:t xml:space="preserve">Inline </w:t>
            </w:r>
            <w:r>
              <w:rPr>
                <w:rFonts w:eastAsia="Times New Roman"/>
                <w:color w:val="000000"/>
                <w:sz w:val="18"/>
                <w:szCs w:val="18"/>
              </w:rPr>
              <w:t>XBRL Taxonomy Extension Definition Linkbase.</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X</w:t>
            </w:r>
          </w:p>
        </w:tc>
      </w:tr>
      <w:tr w:rsidR="00000000">
        <w:trPr>
          <w:divId w:val="968587826"/>
        </w:trPr>
        <w:tc>
          <w:tcPr>
            <w:tcW w:w="0" w:type="auto"/>
            <w:gridSpan w:val="3"/>
            <w:shd w:val="clear" w:color="auto" w:fill="CCEEFF"/>
            <w:tcMar>
              <w:top w:w="30" w:type="dxa"/>
              <w:left w:w="20" w:type="dxa"/>
              <w:bottom w:w="30" w:type="dxa"/>
              <w:right w:w="20" w:type="dxa"/>
            </w:tcMar>
            <w:hideMark/>
          </w:tcPr>
          <w:p w:rsidR="00000000" w:rsidRDefault="008931E1">
            <w:pPr>
              <w:spacing w:after="100"/>
              <w:jc w:val="center"/>
              <w:rPr>
                <w:rFonts w:eastAsia="Times New Roman"/>
              </w:rPr>
            </w:pPr>
            <w:r>
              <w:rPr>
                <w:rFonts w:eastAsia="Times New Roman"/>
                <w:color w:val="000000"/>
                <w:sz w:val="18"/>
                <w:szCs w:val="18"/>
              </w:rPr>
              <w:t>104</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18"/>
                <w:szCs w:val="18"/>
              </w:rPr>
              <w:t>Cover Page Interactive Data File (formatted as Inline XBRL and contained in Exhibit 101).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bl>
    <w:p w:rsidR="00000000" w:rsidRDefault="008931E1">
      <w:pPr>
        <w:ind w:hanging="270"/>
        <w:divId w:val="33165298"/>
        <w:rPr>
          <w:rFonts w:eastAsia="Times New Roman"/>
        </w:rPr>
      </w:pPr>
      <w:r>
        <w:rPr>
          <w:rFonts w:eastAsia="Times New Roman"/>
          <w:color w:val="000000"/>
          <w:sz w:val="18"/>
          <w:szCs w:val="18"/>
        </w:rPr>
        <w:t>(1) We shall furnish supplementally a copy of any omitted schedule to the Commission upon request.</w:t>
      </w:r>
    </w:p>
    <w:p w:rsidR="00000000" w:rsidRDefault="008931E1">
      <w:pPr>
        <w:ind w:hanging="270"/>
        <w:divId w:val="1133868651"/>
        <w:rPr>
          <w:rFonts w:eastAsia="Times New Roman"/>
        </w:rPr>
      </w:pPr>
      <w:r>
        <w:rPr>
          <w:rFonts w:eastAsia="Times New Roman"/>
          <w:color w:val="000000"/>
          <w:sz w:val="18"/>
          <w:szCs w:val="18"/>
        </w:rPr>
        <w:t>(2) Indicates management contract or compensatory plan or arrangement required to be identified pursuant to Item 15(a).</w:t>
      </w:r>
    </w:p>
    <w:p w:rsidR="00000000" w:rsidRDefault="008931E1">
      <w:pPr>
        <w:divId w:val="207449749"/>
        <w:rPr>
          <w:rFonts w:eastAsia="Times New Roman"/>
        </w:rPr>
      </w:pPr>
      <w:r>
        <w:rPr>
          <w:rFonts w:eastAsia="Times New Roman"/>
          <w:b/>
          <w:bCs/>
          <w:color w:val="000000"/>
          <w:sz w:val="20"/>
          <w:szCs w:val="20"/>
        </w:rPr>
        <w:t>Item 16. Form 10-K Summary</w:t>
      </w:r>
    </w:p>
    <w:p w:rsidR="00000000" w:rsidRDefault="008931E1">
      <w:pPr>
        <w:ind w:firstLine="360"/>
        <w:divId w:val="1812751078"/>
        <w:rPr>
          <w:rFonts w:eastAsia="Times New Roman"/>
        </w:rPr>
      </w:pPr>
      <w:r>
        <w:rPr>
          <w:rFonts w:eastAsia="Times New Roman"/>
          <w:color w:val="000000"/>
          <w:sz w:val="20"/>
          <w:szCs w:val="20"/>
        </w:rPr>
        <w:t>None.</w:t>
      </w:r>
    </w:p>
    <w:p w:rsidR="00000000" w:rsidRDefault="008931E1">
      <w:pPr>
        <w:jc w:val="center"/>
        <w:divId w:val="801273102"/>
        <w:rPr>
          <w:rFonts w:eastAsia="Times New Roman"/>
        </w:rPr>
      </w:pPr>
      <w:r>
        <w:rPr>
          <w:rFonts w:eastAsia="Times New Roman"/>
          <w:color w:val="000000"/>
          <w:sz w:val="20"/>
          <w:szCs w:val="20"/>
        </w:rPr>
        <w:t>53</w:t>
      </w:r>
    </w:p>
    <w:p w:rsidR="00000000" w:rsidRDefault="008931E1">
      <w:pPr>
        <w:rPr>
          <w:rFonts w:eastAsia="Times New Roman"/>
        </w:rPr>
      </w:pPr>
      <w:r>
        <w:rPr>
          <w:rFonts w:eastAsia="Times New Roman"/>
        </w:rPr>
        <w:pict>
          <v:rect id="_x0000_i1077" style="width:0;height:1.5pt" o:hralign="center" o:hrstd="t" o:hr="t" fillcolor="#a0a0a0" stroked="f"/>
        </w:pict>
      </w:r>
    </w:p>
    <w:p w:rsidR="00000000" w:rsidRDefault="008931E1">
      <w:pPr>
        <w:divId w:val="381179808"/>
        <w:rPr>
          <w:rFonts w:eastAsia="Times New Roman"/>
        </w:rPr>
      </w:pPr>
    </w:p>
    <w:p w:rsidR="00000000" w:rsidRDefault="008931E1">
      <w:pPr>
        <w:jc w:val="center"/>
        <w:divId w:val="1648318105"/>
        <w:rPr>
          <w:rFonts w:eastAsia="Times New Roman"/>
        </w:rPr>
      </w:pPr>
      <w:r>
        <w:rPr>
          <w:rFonts w:eastAsia="Times New Roman"/>
          <w:b/>
          <w:bCs/>
          <w:color w:val="000000"/>
          <w:sz w:val="20"/>
          <w:szCs w:val="20"/>
        </w:rPr>
        <w:t>SIGNATURES</w:t>
      </w:r>
    </w:p>
    <w:p w:rsidR="00000000" w:rsidRDefault="008931E1">
      <w:pPr>
        <w:ind w:firstLine="360"/>
        <w:divId w:val="1056928715"/>
        <w:rPr>
          <w:rFonts w:eastAsia="Times New Roman"/>
        </w:rPr>
      </w:pPr>
      <w:r>
        <w:rPr>
          <w:rFonts w:eastAsia="Times New Roman"/>
          <w:color w:val="000000"/>
          <w:sz w:val="20"/>
          <w:szCs w:val="20"/>
        </w:rPr>
        <w:t>Pursuant to the requirements of Section </w:t>
      </w:r>
      <w:r>
        <w:rPr>
          <w:rFonts w:eastAsia="Times New Roman"/>
          <w:color w:val="000000"/>
          <w:sz w:val="20"/>
          <w:szCs w:val="20"/>
        </w:rPr>
        <w:t>13 or 15(d)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9"/>
        <w:gridCol w:w="4579"/>
        <w:gridCol w:w="36"/>
        <w:gridCol w:w="69"/>
        <w:gridCol w:w="290"/>
        <w:gridCol w:w="38"/>
        <w:gridCol w:w="69"/>
        <w:gridCol w:w="1328"/>
        <w:gridCol w:w="36"/>
        <w:gridCol w:w="69"/>
        <w:gridCol w:w="1687"/>
        <w:gridCol w:w="36"/>
      </w:tblGrid>
      <w:tr w:rsidR="00000000">
        <w:trPr>
          <w:divId w:val="989942213"/>
        </w:trPr>
        <w:tc>
          <w:tcPr>
            <w:tcW w:w="50" w:type="pct"/>
            <w:vAlign w:val="center"/>
            <w:hideMark/>
          </w:tcPr>
          <w:p w:rsidR="00000000" w:rsidRDefault="008931E1">
            <w:pPr>
              <w:ind w:firstLine="360"/>
              <w:rPr>
                <w:rFonts w:eastAsia="Times New Roman"/>
              </w:rPr>
            </w:pPr>
          </w:p>
        </w:tc>
        <w:tc>
          <w:tcPr>
            <w:tcW w:w="2764"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183"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80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1024"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989942213"/>
          <w:trHeight w:val="30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989942213"/>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QUALCOMM Incorporated</w:t>
            </w:r>
          </w:p>
        </w:tc>
      </w:tr>
      <w:tr w:rsidR="00000000">
        <w:trPr>
          <w:divId w:val="989942213"/>
          <w:trHeight w:val="30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989942213"/>
        </w:trPr>
        <w:tc>
          <w:tcPr>
            <w:tcW w:w="0" w:type="auto"/>
            <w:gridSpan w:val="3"/>
            <w:tcMar>
              <w:top w:w="30" w:type="dxa"/>
              <w:left w:w="20" w:type="dxa"/>
              <w:bottom w:w="30" w:type="dxa"/>
              <w:right w:w="20" w:type="dxa"/>
            </w:tcMar>
            <w:vAlign w:val="bottom"/>
            <w:hideMark/>
          </w:tcPr>
          <w:p w:rsidR="00000000" w:rsidRDefault="008931E1">
            <w:pPr>
              <w:spacing w:after="100"/>
              <w:divId w:val="1816289203"/>
              <w:rPr>
                <w:rFonts w:eastAsia="Times New Roman"/>
              </w:rPr>
            </w:pPr>
            <w:r>
              <w:rPr>
                <w:rFonts w:eastAsia="Times New Roman"/>
                <w:color w:val="000000"/>
                <w:sz w:val="20"/>
                <w:szCs w:val="20"/>
              </w:rPr>
              <w:t>November 1, 2023</w:t>
            </w:r>
          </w:p>
        </w:tc>
        <w:tc>
          <w:tcPr>
            <w:tcW w:w="0" w:type="auto"/>
            <w:gridSpan w:val="3"/>
            <w:tcMar>
              <w:top w:w="30" w:type="dxa"/>
              <w:left w:w="20" w:type="dxa"/>
              <w:bottom w:w="30" w:type="dxa"/>
              <w:right w:w="20" w:type="dxa"/>
            </w:tcMar>
            <w:hideMark/>
          </w:tcPr>
          <w:p w:rsidR="00000000" w:rsidRDefault="008931E1">
            <w:pPr>
              <w:spacing w:after="100"/>
              <w:rPr>
                <w:rFonts w:eastAsia="Times New Roman"/>
              </w:rPr>
            </w:pPr>
            <w:r>
              <w:rPr>
                <w:rFonts w:eastAsia="Times New Roman"/>
                <w:color w:val="000000"/>
                <w:sz w:val="20"/>
                <w:szCs w:val="20"/>
              </w:rPr>
              <w:t>By</w:t>
            </w:r>
          </w:p>
        </w:tc>
        <w:tc>
          <w:tcPr>
            <w:tcW w:w="0" w:type="auto"/>
            <w:gridSpan w:val="6"/>
            <w:tcBorders>
              <w:bottom w:val="single" w:sz="8" w:space="0" w:color="000000"/>
            </w:tcBorders>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/s/ Cristiano R. Amon</w:t>
            </w:r>
          </w:p>
        </w:tc>
      </w:tr>
      <w:tr w:rsidR="00000000">
        <w:trPr>
          <w:divId w:val="989942213"/>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Cristiano R. Amon</w:t>
            </w:r>
          </w:p>
        </w:tc>
      </w:tr>
      <w:tr w:rsidR="00000000">
        <w:trPr>
          <w:divId w:val="989942213"/>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20"/>
                <w:szCs w:val="20"/>
              </w:rPr>
              <w:t>President and Chief Executive Officer</w:t>
            </w:r>
          </w:p>
        </w:tc>
      </w:tr>
    </w:tbl>
    <w:p w:rsidR="00000000" w:rsidRDefault="008931E1">
      <w:pPr>
        <w:divId w:val="206645688"/>
        <w:rPr>
          <w:rFonts w:eastAsia="Times New Roman"/>
        </w:rPr>
      </w:pPr>
    </w:p>
    <w:p w:rsidR="00000000" w:rsidRDefault="008931E1">
      <w:pPr>
        <w:jc w:val="center"/>
        <w:divId w:val="515507932"/>
        <w:rPr>
          <w:rFonts w:eastAsia="Times New Roman"/>
        </w:rPr>
      </w:pPr>
      <w:r>
        <w:rPr>
          <w:rFonts w:eastAsia="Times New Roman"/>
          <w:color w:val="000000"/>
          <w:sz w:val="20"/>
          <w:szCs w:val="20"/>
        </w:rPr>
        <w:t>54</w:t>
      </w:r>
    </w:p>
    <w:p w:rsidR="00000000" w:rsidRDefault="008931E1">
      <w:pPr>
        <w:rPr>
          <w:rFonts w:eastAsia="Times New Roman"/>
        </w:rPr>
      </w:pPr>
      <w:r>
        <w:rPr>
          <w:rFonts w:eastAsia="Times New Roman"/>
        </w:rPr>
        <w:pict>
          <v:rect id="_x0000_i1078" style="width:0;height:1.5pt" o:hralign="center" o:hrstd="t" o:hr="t" fillcolor="#a0a0a0" stroked="f"/>
        </w:pict>
      </w:r>
    </w:p>
    <w:p w:rsidR="00000000" w:rsidRDefault="008931E1">
      <w:pPr>
        <w:divId w:val="1701122605"/>
        <w:rPr>
          <w:rFonts w:eastAsia="Times New Roman"/>
        </w:rPr>
      </w:pPr>
    </w:p>
    <w:p w:rsidR="00000000" w:rsidRDefault="008931E1">
      <w:pPr>
        <w:ind w:firstLine="360"/>
        <w:divId w:val="2048794092"/>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tbl>
      <w:tblPr>
        <w:tblW w:w="4813" w:type="pct"/>
        <w:tblCellMar>
          <w:top w:w="15" w:type="dxa"/>
          <w:left w:w="15" w:type="dxa"/>
          <w:bottom w:w="15" w:type="dxa"/>
          <w:right w:w="15" w:type="dxa"/>
        </w:tblCellMar>
        <w:tblLook w:val="04A0" w:firstRow="1" w:lastRow="0" w:firstColumn="1" w:lastColumn="0" w:noHBand="0" w:noVBand="1"/>
      </w:tblPr>
      <w:tblGrid>
        <w:gridCol w:w="55"/>
        <w:gridCol w:w="1863"/>
        <w:gridCol w:w="38"/>
        <w:gridCol w:w="36"/>
        <w:gridCol w:w="156"/>
        <w:gridCol w:w="36"/>
        <w:gridCol w:w="55"/>
        <w:gridCol w:w="3657"/>
        <w:gridCol w:w="37"/>
        <w:gridCol w:w="36"/>
        <w:gridCol w:w="169"/>
        <w:gridCol w:w="36"/>
        <w:gridCol w:w="56"/>
        <w:gridCol w:w="1729"/>
        <w:gridCol w:w="36"/>
      </w:tblGrid>
      <w:tr w:rsidR="00000000">
        <w:trPr>
          <w:divId w:val="2048794092"/>
        </w:trPr>
        <w:tc>
          <w:tcPr>
            <w:tcW w:w="50" w:type="pct"/>
            <w:vAlign w:val="center"/>
            <w:hideMark/>
          </w:tcPr>
          <w:p w:rsidR="00000000" w:rsidRDefault="008931E1">
            <w:pPr>
              <w:ind w:firstLine="360"/>
              <w:rPr>
                <w:rFonts w:eastAsia="Times New Roman"/>
              </w:rPr>
            </w:pPr>
          </w:p>
        </w:tc>
        <w:tc>
          <w:tcPr>
            <w:tcW w:w="118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113"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230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12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109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2048794092"/>
          <w:trHeight w:val="12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Signature</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Title</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Date</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Cristiano R. Amon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President and Chief Executive Officer, and Director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Cristiano R. Amon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(Principal Executive Officer)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Akash Palkhiwala</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Chief Financial Officer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Akash Palkhiwala</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(Principal Financial Officer)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Neil Martin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Senior Vice President, Finance and Chief Accounting Officer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Neil Martin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(Principal Accounting Officer)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Height w:val="18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Sylvia Acevedo</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Sylvia Acevedo</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Height w:val="24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Mark Fields</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Mark Fields</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Jeffrey W. Henderson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Jeffrey W. Henderson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Height w:val="24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Gregory N. Johnson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Gregory N. Johnson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Ann M. Livermore</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Ann M. Livermore</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Height w:val="24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Mark D. McLaughlin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Chair of the Board</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Mark D. McLaughlin</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Height w:val="24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Jamie S. Miller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Jamie S. Miller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Irene B. Rosenfeld</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Irene B. Rosenfeld</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Height w:val="24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Kornelis (Neil) Smit</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Kornelis (Neil) Smit</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Height w:val="24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Jean-Pascal Tricoire</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Jean-Pascal Tricoire</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w:t>
            </w:r>
          </w:p>
        </w:tc>
      </w:tr>
      <w:tr w:rsidR="00000000">
        <w:trPr>
          <w:divId w:val="2048794092"/>
        </w:trPr>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/s/ Anthony J. Vinciquerra</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November 1, 2023</w:t>
            </w:r>
          </w:p>
        </w:tc>
      </w:tr>
      <w:tr w:rsidR="00000000">
        <w:trPr>
          <w:divId w:val="204879409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Anthony J. Vinciquerra</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Height w:val="24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Height w:val="24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Height w:val="24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Height w:val="24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Height w:val="24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048794092"/>
          <w:trHeight w:val="24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bl>
    <w:p w:rsidR="00000000" w:rsidRDefault="008931E1">
      <w:pPr>
        <w:jc w:val="center"/>
        <w:divId w:val="1963420885"/>
        <w:rPr>
          <w:rFonts w:eastAsia="Times New Roman"/>
        </w:rPr>
      </w:pPr>
      <w:r>
        <w:rPr>
          <w:rFonts w:eastAsia="Times New Roman"/>
          <w:color w:val="000000"/>
          <w:sz w:val="20"/>
          <w:szCs w:val="20"/>
        </w:rPr>
        <w:t>55</w:t>
      </w:r>
    </w:p>
    <w:p w:rsidR="00000000" w:rsidRDefault="008931E1">
      <w:pPr>
        <w:rPr>
          <w:rFonts w:eastAsia="Times New Roman"/>
        </w:rPr>
      </w:pPr>
      <w:r>
        <w:rPr>
          <w:rFonts w:eastAsia="Times New Roman"/>
        </w:rPr>
        <w:pict>
          <v:rect id="_x0000_i1079" style="width:0;height:1.5pt" o:hralign="center" o:hrstd="t" o:hr="t" fillcolor="#a0a0a0" stroked="f"/>
        </w:pict>
      </w:r>
    </w:p>
    <w:p w:rsidR="00000000" w:rsidRDefault="008931E1">
      <w:pPr>
        <w:divId w:val="872494464"/>
        <w:rPr>
          <w:rFonts w:eastAsia="Times New Roman"/>
        </w:rPr>
      </w:pPr>
    </w:p>
    <w:p w:rsidR="00000000" w:rsidRDefault="008931E1">
      <w:pPr>
        <w:ind w:firstLine="720"/>
        <w:jc w:val="center"/>
        <w:rPr>
          <w:rFonts w:eastAsia="Times New Roman"/>
        </w:rPr>
      </w:pPr>
      <w:r>
        <w:rPr>
          <w:rFonts w:eastAsia="Times New Roman"/>
          <w:b/>
          <w:bCs/>
          <w:color w:val="000000"/>
          <w:sz w:val="20"/>
          <w:szCs w:val="20"/>
        </w:rPr>
        <w:t>Report of Independent Registered Public Accounting Firm</w:t>
      </w:r>
    </w:p>
    <w:p w:rsidR="00000000" w:rsidRDefault="008931E1">
      <w:pPr>
        <w:divId w:val="832793620"/>
        <w:rPr>
          <w:rFonts w:eastAsia="Times New Roman"/>
        </w:rPr>
      </w:pPr>
    </w:p>
    <w:p w:rsidR="00000000" w:rsidRDefault="008931E1">
      <w:pPr>
        <w:divId w:val="1496066916"/>
        <w:rPr>
          <w:rFonts w:eastAsia="Times New Roman"/>
        </w:rPr>
      </w:pPr>
      <w:r>
        <w:rPr>
          <w:rFonts w:eastAsia="Times New Roman"/>
          <w:color w:val="000000"/>
          <w:sz w:val="20"/>
          <w:szCs w:val="20"/>
        </w:rPr>
        <w:t>To the Board of Directors and Stockholders of QUALCOMM Incorporated</w:t>
      </w:r>
    </w:p>
    <w:p w:rsidR="00000000" w:rsidRDefault="008931E1">
      <w:pPr>
        <w:divId w:val="1037512134"/>
        <w:rPr>
          <w:rFonts w:eastAsia="Times New Roman"/>
        </w:rPr>
      </w:pPr>
      <w:r>
        <w:rPr>
          <w:rFonts w:eastAsia="Times New Roman"/>
          <w:b/>
          <w:bCs/>
          <w:i/>
          <w:iCs/>
          <w:color w:val="000000"/>
          <w:sz w:val="20"/>
          <w:szCs w:val="20"/>
        </w:rPr>
        <w:t>Opinions on the Financial Statements and Internal Control over Financial Reporting</w:t>
      </w:r>
    </w:p>
    <w:p w:rsidR="00000000" w:rsidRDefault="008931E1">
      <w:pPr>
        <w:divId w:val="764618727"/>
        <w:rPr>
          <w:rFonts w:eastAsia="Times New Roman"/>
        </w:rPr>
      </w:pPr>
      <w:r>
        <w:rPr>
          <w:rFonts w:eastAsia="Times New Roman"/>
          <w:color w:val="000000"/>
          <w:sz w:val="20"/>
          <w:szCs w:val="20"/>
        </w:rPr>
        <w:t>We have a</w:t>
      </w:r>
      <w:r>
        <w:rPr>
          <w:rFonts w:eastAsia="Times New Roman"/>
          <w:color w:val="000000"/>
          <w:sz w:val="20"/>
          <w:szCs w:val="20"/>
        </w:rPr>
        <w:t>udited the accompanying consolidated balance sheets of QUALCOMM Incorporated and its subsidiaries (the “Company”) as of September 24, 2023 and September 25, 2022, and the related consolidated statements of operations, comprehensive income, stockholders’ eq</w:t>
      </w:r>
      <w:r>
        <w:rPr>
          <w:rFonts w:eastAsia="Times New Roman"/>
          <w:color w:val="000000"/>
          <w:sz w:val="20"/>
          <w:szCs w:val="20"/>
        </w:rPr>
        <w:t xml:space="preserve">uity and cash flows for each of the three years in the period ended September 24, 2023, including the related notes and financial statement schedule listed in the index appearing under Item 15(a)(2) (collectively referred to as the “consolidated financial </w:t>
      </w:r>
      <w:r>
        <w:rPr>
          <w:rFonts w:eastAsia="Times New Roman"/>
          <w:color w:val="000000"/>
          <w:sz w:val="20"/>
          <w:szCs w:val="20"/>
        </w:rPr>
        <w:t xml:space="preserve">statements”). We also have audited the Company's internal control over financial reporting as of September 24, 2023, based on criteria established in </w:t>
      </w:r>
      <w:r>
        <w:rPr>
          <w:rFonts w:eastAsia="Times New Roman"/>
          <w:i/>
          <w:iCs/>
          <w:color w:val="000000"/>
          <w:sz w:val="20"/>
          <w:szCs w:val="20"/>
        </w:rPr>
        <w:t>Internal Control - Integrated Framework</w:t>
      </w:r>
      <w:r>
        <w:rPr>
          <w:rFonts w:eastAsia="Times New Roman"/>
          <w:color w:val="000000"/>
          <w:sz w:val="20"/>
          <w:szCs w:val="20"/>
        </w:rPr>
        <w:t xml:space="preserve"> (2013) issued by the Committee of Sponsoring Organizations of the </w:t>
      </w:r>
      <w:r>
        <w:rPr>
          <w:rFonts w:eastAsia="Times New Roman"/>
          <w:color w:val="000000"/>
          <w:sz w:val="20"/>
          <w:szCs w:val="20"/>
        </w:rPr>
        <w:t>Treadway Commission (COSO).</w:t>
      </w:r>
    </w:p>
    <w:p w:rsidR="00000000" w:rsidRDefault="008931E1">
      <w:pPr>
        <w:divId w:val="1371103542"/>
        <w:rPr>
          <w:rFonts w:eastAsia="Times New Roman"/>
        </w:rPr>
      </w:pPr>
      <w:r>
        <w:rPr>
          <w:rFonts w:eastAsia="Times New Roman"/>
          <w:color w:val="000000"/>
          <w:sz w:val="20"/>
          <w:szCs w:val="20"/>
        </w:rPr>
        <w:t>In our opinion, the consolidated financial statements referred to above present fairly, in all material respects, the financial position of the Company as of September 24, 2023 and September 25, 2022, and the results of its operations and its cash flows fo</w:t>
      </w:r>
      <w:r>
        <w:rPr>
          <w:rFonts w:eastAsia="Times New Roman"/>
          <w:color w:val="000000"/>
          <w:sz w:val="20"/>
          <w:szCs w:val="20"/>
        </w:rPr>
        <w:t xml:space="preserve">r each of the three years in the period ended September 24, 2023 in conformity with accounting principles generally accepted in the United States of America. Also in our opinion, the Company maintained, in all material respects, effective internal control </w:t>
      </w:r>
      <w:r>
        <w:rPr>
          <w:rFonts w:eastAsia="Times New Roman"/>
          <w:color w:val="000000"/>
          <w:sz w:val="20"/>
          <w:szCs w:val="20"/>
        </w:rPr>
        <w:t xml:space="preserve">over financial reporting as of September 24, 2023, based on criteria established in </w:t>
      </w:r>
      <w:r>
        <w:rPr>
          <w:rFonts w:eastAsia="Times New Roman"/>
          <w:i/>
          <w:iCs/>
          <w:color w:val="000000"/>
          <w:sz w:val="20"/>
          <w:szCs w:val="20"/>
        </w:rPr>
        <w:t>Internal Control - Integrated Framework</w:t>
      </w:r>
      <w:r>
        <w:rPr>
          <w:rFonts w:eastAsia="Times New Roman"/>
          <w:color w:val="000000"/>
          <w:sz w:val="20"/>
          <w:szCs w:val="20"/>
        </w:rPr>
        <w:t xml:space="preserve"> (2013) issued by the COSO.</w:t>
      </w:r>
    </w:p>
    <w:p w:rsidR="00000000" w:rsidRDefault="008931E1">
      <w:pPr>
        <w:divId w:val="2146505912"/>
        <w:rPr>
          <w:rFonts w:eastAsia="Times New Roman"/>
        </w:rPr>
      </w:pPr>
      <w:r>
        <w:rPr>
          <w:rFonts w:eastAsia="Times New Roman"/>
          <w:b/>
          <w:bCs/>
          <w:i/>
          <w:iCs/>
          <w:color w:val="000000"/>
          <w:sz w:val="20"/>
          <w:szCs w:val="20"/>
        </w:rPr>
        <w:t>Basis for Opinions</w:t>
      </w:r>
    </w:p>
    <w:p w:rsidR="00000000" w:rsidRDefault="008931E1">
      <w:pPr>
        <w:divId w:val="1538618444"/>
        <w:rPr>
          <w:rFonts w:eastAsia="Times New Roman"/>
        </w:rPr>
      </w:pPr>
      <w:r>
        <w:rPr>
          <w:rFonts w:eastAsia="Times New Roman"/>
          <w:color w:val="000000"/>
          <w:sz w:val="20"/>
          <w:szCs w:val="20"/>
        </w:rPr>
        <w:t>The Company's management is responsible for these consolidated financial statements, f</w:t>
      </w:r>
      <w:r>
        <w:rPr>
          <w:rFonts w:eastAsia="Times New Roman"/>
          <w:color w:val="000000"/>
          <w:sz w:val="20"/>
          <w:szCs w:val="20"/>
        </w:rPr>
        <w:t xml:space="preserve">or maintaining effective internal control over financial reporting, and for its assessment of the effectiveness of internal control over financial reporting, included in Management’s Report on Internal Control over Financial Reporting appearing under Item </w:t>
      </w:r>
      <w:r>
        <w:rPr>
          <w:rFonts w:eastAsia="Times New Roman"/>
          <w:color w:val="000000"/>
          <w:sz w:val="20"/>
          <w:szCs w:val="20"/>
        </w:rPr>
        <w:t>9A. Our responsibility is to express opinions on the Company’s consolidated financial statements and on the Company's internal control over financial reporting based on our audits. We are a public accounting firm registered with the Public Company Accounti</w:t>
      </w:r>
      <w:r>
        <w:rPr>
          <w:rFonts w:eastAsia="Times New Roman"/>
          <w:color w:val="000000"/>
          <w:sz w:val="20"/>
          <w:szCs w:val="20"/>
        </w:rPr>
        <w:t>ng Oversight Board (United States) (PCAOB) and are required to be independent with respect to the Company in accordance with the U.S. federal securities laws and the applicable rules and regulations of the Securities and Exchange Commission and the PCAOB.</w:t>
      </w:r>
    </w:p>
    <w:p w:rsidR="00000000" w:rsidRDefault="008931E1">
      <w:pPr>
        <w:divId w:val="1131361887"/>
        <w:rPr>
          <w:rFonts w:eastAsia="Times New Roman"/>
        </w:rPr>
      </w:pPr>
      <w:r>
        <w:rPr>
          <w:rFonts w:eastAsia="Times New Roman"/>
          <w:color w:val="000000"/>
          <w:sz w:val="20"/>
          <w:szCs w:val="20"/>
        </w:rPr>
        <w:t>We conducted our audits in accordance with the standards of the PCAOB. Those standards require that we plan and perform the audits to obtain reasonable assurance about whether the consolidated financial statements are free of material misstatement, whether</w:t>
      </w:r>
      <w:r>
        <w:rPr>
          <w:rFonts w:eastAsia="Times New Roman"/>
          <w:color w:val="000000"/>
          <w:sz w:val="20"/>
          <w:szCs w:val="20"/>
        </w:rPr>
        <w:t xml:space="preserve"> due to error or fraud, and whether effective internal control over financial reporting was maintained in all material respects.</w:t>
      </w:r>
    </w:p>
    <w:p w:rsidR="00000000" w:rsidRDefault="008931E1">
      <w:pPr>
        <w:divId w:val="2122187037"/>
        <w:rPr>
          <w:rFonts w:eastAsia="Times New Roman"/>
        </w:rPr>
      </w:pPr>
      <w:r>
        <w:rPr>
          <w:rFonts w:eastAsia="Times New Roman"/>
          <w:color w:val="000000"/>
          <w:sz w:val="20"/>
          <w:szCs w:val="20"/>
        </w:rPr>
        <w:t>Our audits of the consolidated financial statements included performing procedures to assess the risks of material misstatement</w:t>
      </w:r>
      <w:r>
        <w:rPr>
          <w:rFonts w:eastAsia="Times New Roman"/>
          <w:color w:val="000000"/>
          <w:sz w:val="20"/>
          <w:szCs w:val="20"/>
        </w:rPr>
        <w:t xml:space="preserve"> of the consolidated financial statements, whether due to error or fraud, and performing procedures that respond to those risks. Such procedures included examining, on a test basis, evidence regarding the amounts and disclosures in the consolidated financi</w:t>
      </w:r>
      <w:r>
        <w:rPr>
          <w:rFonts w:eastAsia="Times New Roman"/>
          <w:color w:val="000000"/>
          <w:sz w:val="20"/>
          <w:szCs w:val="20"/>
        </w:rPr>
        <w:t>al statements. Our audits also included evaluating the accounting principles used and significant estimates made by management, as well as evaluating the overall presentation of the consolidated financial statements. Our audit of internal control over fina</w:t>
      </w:r>
      <w:r>
        <w:rPr>
          <w:rFonts w:eastAsia="Times New Roman"/>
          <w:color w:val="000000"/>
          <w:sz w:val="20"/>
          <w:szCs w:val="20"/>
        </w:rPr>
        <w:t>ncial reporting included obtaining an understanding of internal control over financial reporting, assessing the risk that a material weakness exists, and testing and evaluating the design and operating effectiveness of internal control based on the assesse</w:t>
      </w:r>
      <w:r>
        <w:rPr>
          <w:rFonts w:eastAsia="Times New Roman"/>
          <w:color w:val="000000"/>
          <w:sz w:val="20"/>
          <w:szCs w:val="20"/>
        </w:rPr>
        <w:t>d risk. Our audits also included performing such other procedures as we considered necessary in the circumstances. We believe that our audits provide a reasonable basis for our opinions.</w:t>
      </w:r>
    </w:p>
    <w:p w:rsidR="00000000" w:rsidRDefault="008931E1">
      <w:pPr>
        <w:divId w:val="1068920914"/>
        <w:rPr>
          <w:rFonts w:eastAsia="Times New Roman"/>
        </w:rPr>
      </w:pPr>
      <w:r>
        <w:rPr>
          <w:rFonts w:eastAsia="Times New Roman"/>
          <w:b/>
          <w:bCs/>
          <w:i/>
          <w:iCs/>
          <w:color w:val="000000"/>
          <w:sz w:val="20"/>
          <w:szCs w:val="20"/>
        </w:rPr>
        <w:t>Definition and Limitations of Internal Control over Financial Reporti</w:t>
      </w:r>
      <w:r>
        <w:rPr>
          <w:rFonts w:eastAsia="Times New Roman"/>
          <w:b/>
          <w:bCs/>
          <w:i/>
          <w:iCs/>
          <w:color w:val="000000"/>
          <w:sz w:val="20"/>
          <w:szCs w:val="20"/>
        </w:rPr>
        <w:t>ng</w:t>
      </w:r>
    </w:p>
    <w:p w:rsidR="00000000" w:rsidRDefault="008931E1">
      <w:pPr>
        <w:divId w:val="302122082"/>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financial statements for external purposes in accordance with generally a</w:t>
      </w:r>
      <w:r>
        <w:rPr>
          <w:rFonts w:eastAsia="Times New Roman"/>
          <w:color w:val="000000"/>
          <w:sz w:val="20"/>
          <w:szCs w:val="20"/>
        </w:rPr>
        <w:t>ccepted accounting principles. A company’s internal control over financial reporting includes those policies and procedures that (i) pertain to the maintenance of records that, in reasonable detail, accurately and fairly reflect the transactions and dispos</w:t>
      </w:r>
      <w:r>
        <w:rPr>
          <w:rFonts w:eastAsia="Times New Roman"/>
          <w:color w:val="000000"/>
          <w:sz w:val="20"/>
          <w:szCs w:val="20"/>
        </w:rPr>
        <w:t>itions of the assets of the company; (ii) provide reasonable assurance that transactions are recorded as necessary to permit preparation of financial statements in accordance with generally accepted accounting principles, and that receipts and expenditures</w:t>
      </w:r>
      <w:r>
        <w:rPr>
          <w:rFonts w:eastAsia="Times New Roman"/>
          <w:color w:val="000000"/>
          <w:sz w:val="20"/>
          <w:szCs w:val="20"/>
        </w:rPr>
        <w:t xml:space="preserve"> of the company are being made only in accordance with authorizations of management and directors of the company; and (iii) provide reasonable assurance regarding prevention or timely detection of unauthorized acquisition, use, or disposition of the compan</w:t>
      </w:r>
      <w:r>
        <w:rPr>
          <w:rFonts w:eastAsia="Times New Roman"/>
          <w:color w:val="000000"/>
          <w:sz w:val="20"/>
          <w:szCs w:val="20"/>
        </w:rPr>
        <w:t>y’s assets that could have a material effect on the financial statements.</w:t>
      </w:r>
    </w:p>
    <w:p w:rsidR="00000000" w:rsidRDefault="008931E1">
      <w:pPr>
        <w:divId w:val="888953560"/>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w:t>
      </w:r>
      <w:r>
        <w:rPr>
          <w:rFonts w:eastAsia="Times New Roman"/>
          <w:color w:val="000000"/>
          <w:sz w:val="20"/>
          <w:szCs w:val="20"/>
        </w:rPr>
        <w:t>se of changes in conditions, or that the degree of compliance with the policies or procedures may deteriorate.</w:t>
      </w:r>
    </w:p>
    <w:p w:rsidR="00000000" w:rsidRDefault="008931E1">
      <w:pPr>
        <w:divId w:val="1042513252"/>
        <w:rPr>
          <w:rFonts w:eastAsia="Times New Roman"/>
        </w:rPr>
      </w:pPr>
      <w:r>
        <w:rPr>
          <w:rFonts w:eastAsia="Times New Roman"/>
          <w:b/>
          <w:bCs/>
          <w:i/>
          <w:iCs/>
          <w:color w:val="000000"/>
          <w:sz w:val="20"/>
          <w:szCs w:val="20"/>
        </w:rPr>
        <w:t>Critical Audit Matters</w:t>
      </w:r>
    </w:p>
    <w:p w:rsidR="00000000" w:rsidRDefault="008931E1">
      <w:pPr>
        <w:divId w:val="45838441"/>
        <w:rPr>
          <w:rFonts w:eastAsia="Times New Roman"/>
        </w:rPr>
      </w:pPr>
      <w:r>
        <w:rPr>
          <w:rFonts w:eastAsia="Times New Roman"/>
          <w:color w:val="000000"/>
          <w:sz w:val="20"/>
          <w:szCs w:val="20"/>
        </w:rPr>
        <w:t>The critical audit matter communicated below is a matter arising from the current period audit of the consolidated financi</w:t>
      </w:r>
      <w:r>
        <w:rPr>
          <w:rFonts w:eastAsia="Times New Roman"/>
          <w:color w:val="000000"/>
          <w:sz w:val="20"/>
          <w:szCs w:val="20"/>
        </w:rPr>
        <w:t>al statements that was communicated or required to be communicated to the audit committee and that (i) relates to accounts or disclosures that are material to the consolidated financial statements and (ii) involved our especially challenging, subjective, o</w:t>
      </w:r>
      <w:r>
        <w:rPr>
          <w:rFonts w:eastAsia="Times New Roman"/>
          <w:color w:val="000000"/>
          <w:sz w:val="20"/>
          <w:szCs w:val="20"/>
        </w:rPr>
        <w:t xml:space="preserve">r complex judgments. The communication of critical audit matters does not alter in any way our opinion on the consolidated </w:t>
      </w:r>
    </w:p>
    <w:p w:rsidR="00000000" w:rsidRDefault="008931E1">
      <w:pPr>
        <w:jc w:val="center"/>
        <w:divId w:val="265697366"/>
        <w:rPr>
          <w:rFonts w:eastAsia="Times New Roman"/>
        </w:rPr>
      </w:pPr>
      <w:r>
        <w:rPr>
          <w:rFonts w:eastAsia="Times New Roman"/>
          <w:color w:val="000000"/>
          <w:sz w:val="20"/>
          <w:szCs w:val="20"/>
        </w:rPr>
        <w:t>F-1</w:t>
      </w:r>
    </w:p>
    <w:p w:rsidR="00000000" w:rsidRDefault="008931E1">
      <w:pPr>
        <w:rPr>
          <w:rFonts w:eastAsia="Times New Roman"/>
        </w:rPr>
      </w:pPr>
      <w:r>
        <w:rPr>
          <w:rFonts w:eastAsia="Times New Roman"/>
        </w:rPr>
        <w:pict>
          <v:rect id="_x0000_i1080" style="width:0;height:1.5pt" o:hralign="center" o:hrstd="t" o:hr="t" fillcolor="#a0a0a0" stroked="f"/>
        </w:pict>
      </w:r>
    </w:p>
    <w:p w:rsidR="00000000" w:rsidRDefault="008931E1">
      <w:pPr>
        <w:divId w:val="2049184411"/>
        <w:rPr>
          <w:rFonts w:eastAsia="Times New Roman"/>
        </w:rPr>
      </w:pPr>
    </w:p>
    <w:p w:rsidR="00000000" w:rsidRDefault="008931E1">
      <w:pPr>
        <w:divId w:val="1515804804"/>
        <w:rPr>
          <w:rFonts w:eastAsia="Times New Roman"/>
        </w:rPr>
      </w:pPr>
      <w:r>
        <w:rPr>
          <w:rFonts w:eastAsia="Times New Roman"/>
          <w:color w:val="000000"/>
          <w:sz w:val="20"/>
          <w:szCs w:val="20"/>
        </w:rPr>
        <w:t>financial statements, taken as a whole, and we are not, by communicating the critical audi</w:t>
      </w:r>
      <w:r>
        <w:rPr>
          <w:rFonts w:eastAsia="Times New Roman"/>
          <w:color w:val="000000"/>
          <w:sz w:val="20"/>
          <w:szCs w:val="20"/>
        </w:rPr>
        <w:t>t matter below, providing a separate opinion on the critical audit matter or on the accounts or disclosures to which it relates.</w:t>
      </w:r>
    </w:p>
    <w:p w:rsidR="00000000" w:rsidRDefault="008931E1">
      <w:pPr>
        <w:divId w:val="1538353327"/>
        <w:rPr>
          <w:rFonts w:eastAsia="Times New Roman"/>
        </w:rPr>
      </w:pPr>
      <w:r>
        <w:rPr>
          <w:rFonts w:eastAsia="Times New Roman"/>
          <w:i/>
          <w:iCs/>
          <w:color w:val="000000"/>
          <w:sz w:val="20"/>
          <w:szCs w:val="20"/>
        </w:rPr>
        <w:t>Revenue Recognition – Qualcomm CDMA Technologies (QCT) Customer Incentive Arrangements</w:t>
      </w:r>
    </w:p>
    <w:p w:rsidR="00000000" w:rsidRDefault="008931E1">
      <w:pPr>
        <w:divId w:val="675351616"/>
        <w:rPr>
          <w:rFonts w:eastAsia="Times New Roman"/>
        </w:rPr>
      </w:pPr>
      <w:r>
        <w:rPr>
          <w:rFonts w:eastAsia="Times New Roman"/>
          <w:color w:val="000000"/>
          <w:sz w:val="20"/>
          <w:szCs w:val="20"/>
        </w:rPr>
        <w:t>As described in Notes 1 and 2 to the con</w:t>
      </w:r>
      <w:r>
        <w:rPr>
          <w:rFonts w:eastAsia="Times New Roman"/>
          <w:color w:val="000000"/>
          <w:sz w:val="20"/>
          <w:szCs w:val="20"/>
        </w:rPr>
        <w:t>solidated financial statements, the Company’s QCT segment, which recorded revenues of $30.4 billion in fiscal 2023, records reductions to revenues for customer incentive arrangements, including volume-related and other pricing rebates and cost reimbursemen</w:t>
      </w:r>
      <w:r>
        <w:rPr>
          <w:rFonts w:eastAsia="Times New Roman"/>
          <w:color w:val="000000"/>
          <w:sz w:val="20"/>
          <w:szCs w:val="20"/>
        </w:rPr>
        <w:t>ts for marketing and other activities involving certain products and technologies, in the period that the related revenues are earned. For certain QCT customer incentive arrangements, there is complexity in applying certain contractual terms to determine t</w:t>
      </w:r>
      <w:r>
        <w:rPr>
          <w:rFonts w:eastAsia="Times New Roman"/>
          <w:color w:val="000000"/>
          <w:sz w:val="20"/>
          <w:szCs w:val="20"/>
        </w:rPr>
        <w:t>he amount recorded as a reduction to revenues. The amounts accrued for customer incentive arrangements are recorded as a reduction to accounts receivable, net or as other current liabilities based on whether the Company has the intent and contractual right</w:t>
      </w:r>
      <w:r>
        <w:rPr>
          <w:rFonts w:eastAsia="Times New Roman"/>
          <w:color w:val="000000"/>
          <w:sz w:val="20"/>
          <w:szCs w:val="20"/>
        </w:rPr>
        <w:t xml:space="preserve"> of offset. Certain amounts recorded as a reduction to revenues for customer incentive arrangements are considered variable consideration and are included in the transaction price primarily based on estimating the most likely amount expected to be provided</w:t>
      </w:r>
      <w:r>
        <w:rPr>
          <w:rFonts w:eastAsia="Times New Roman"/>
          <w:color w:val="000000"/>
          <w:sz w:val="20"/>
          <w:szCs w:val="20"/>
        </w:rPr>
        <w:t xml:space="preserve"> to the customer.</w:t>
      </w:r>
    </w:p>
    <w:p w:rsidR="00000000" w:rsidRDefault="008931E1">
      <w:pPr>
        <w:divId w:val="1817136843"/>
        <w:rPr>
          <w:rFonts w:eastAsia="Times New Roman"/>
        </w:rPr>
      </w:pPr>
      <w:r>
        <w:rPr>
          <w:rFonts w:eastAsia="Times New Roman"/>
          <w:color w:val="000000"/>
          <w:sz w:val="20"/>
          <w:szCs w:val="20"/>
        </w:rPr>
        <w:t>The principal considerations for our determination that performing procedures relating to revenue recognition of QCT customer incentive arrangements is a critical audit matter are a high degree of auditor effort in performing procedures a</w:t>
      </w:r>
      <w:r>
        <w:rPr>
          <w:rFonts w:eastAsia="Times New Roman"/>
          <w:color w:val="000000"/>
          <w:sz w:val="20"/>
          <w:szCs w:val="20"/>
        </w:rPr>
        <w:t>nd evaluating audit evidence obtained related to the completeness and accuracy of reductions to revenues and accruals for QCT customer incentives arrangements recorded in the consolidated financial statements.</w:t>
      </w:r>
    </w:p>
    <w:p w:rsidR="00000000" w:rsidRDefault="008931E1">
      <w:pPr>
        <w:divId w:val="1709643132"/>
        <w:rPr>
          <w:rFonts w:eastAsia="Times New Roman"/>
        </w:rPr>
      </w:pPr>
      <w:r>
        <w:rPr>
          <w:rFonts w:eastAsia="Times New Roman"/>
          <w:color w:val="000000"/>
          <w:sz w:val="20"/>
          <w:szCs w:val="20"/>
        </w:rPr>
        <w:t>Addressing the matter involved performing proc</w:t>
      </w:r>
      <w:r>
        <w:rPr>
          <w:rFonts w:eastAsia="Times New Roman"/>
          <w:color w:val="000000"/>
          <w:sz w:val="20"/>
          <w:szCs w:val="20"/>
        </w:rPr>
        <w:t>edures and evaluating audit evidence in connection with forming our overall opinion on the consolidated financial statements. These procedures included testing the effectiveness of controls relating to management’s review of and accounting for QCT customer</w:t>
      </w:r>
      <w:r>
        <w:rPr>
          <w:rFonts w:eastAsia="Times New Roman"/>
          <w:color w:val="000000"/>
          <w:sz w:val="20"/>
          <w:szCs w:val="20"/>
        </w:rPr>
        <w:t xml:space="preserve"> incentive arrangements as well as controls relating to management’s review over the completeness and accuracy of reductions to revenues in fiscal 2023 and accruals for QCT customer incentive arrangements as of the balance sheet date. These procedures also</w:t>
      </w:r>
      <w:r>
        <w:rPr>
          <w:rFonts w:eastAsia="Times New Roman"/>
          <w:color w:val="000000"/>
          <w:sz w:val="20"/>
          <w:szCs w:val="20"/>
        </w:rPr>
        <w:t xml:space="preserve"> included, among others, testing the completeness and accuracy of reductions to revenues and accruals for QCT customer incentive arrangements recorded in the consolidated financial statements, and recalculating, on a test basis, reductions to revenues and </w:t>
      </w:r>
      <w:r>
        <w:rPr>
          <w:rFonts w:eastAsia="Times New Roman"/>
          <w:color w:val="000000"/>
          <w:sz w:val="20"/>
          <w:szCs w:val="20"/>
        </w:rPr>
        <w:t>accruals for QCT customer incentive arrangements based upon customer-specific contractual terms.</w:t>
      </w:r>
    </w:p>
    <w:p w:rsidR="00000000" w:rsidRDefault="008931E1">
      <w:pPr>
        <w:divId w:val="948701915"/>
        <w:rPr>
          <w:rFonts w:eastAsia="Times New Roman"/>
        </w:rPr>
      </w:pPr>
    </w:p>
    <w:p w:rsidR="00000000" w:rsidRDefault="008931E1">
      <w:pPr>
        <w:divId w:val="207226253"/>
        <w:rPr>
          <w:rFonts w:eastAsia="Times New Roman"/>
        </w:rPr>
      </w:pPr>
    </w:p>
    <w:p w:rsidR="00000000" w:rsidRDefault="008931E1">
      <w:pPr>
        <w:divId w:val="182211102"/>
        <w:rPr>
          <w:rFonts w:eastAsia="Times New Roman"/>
        </w:rPr>
      </w:pPr>
      <w:r>
        <w:rPr>
          <w:rFonts w:eastAsia="Times New Roman"/>
          <w:color w:val="000000"/>
          <w:sz w:val="20"/>
          <w:szCs w:val="20"/>
        </w:rPr>
        <w:t>/s/ PricewaterhouseCoopers LLP</w:t>
      </w:r>
    </w:p>
    <w:p w:rsidR="00000000" w:rsidRDefault="008931E1">
      <w:pPr>
        <w:divId w:val="1816294180"/>
        <w:rPr>
          <w:rFonts w:eastAsia="Times New Roman"/>
        </w:rPr>
      </w:pPr>
    </w:p>
    <w:p w:rsidR="00000000" w:rsidRDefault="008931E1">
      <w:pPr>
        <w:divId w:val="1770009195"/>
        <w:rPr>
          <w:rFonts w:eastAsia="Times New Roman"/>
        </w:rPr>
      </w:pPr>
      <w:r>
        <w:rPr>
          <w:rFonts w:eastAsia="Times New Roman"/>
          <w:color w:val="000000"/>
          <w:sz w:val="20"/>
          <w:szCs w:val="20"/>
        </w:rPr>
        <w:t>San Diego, California</w:t>
      </w:r>
    </w:p>
    <w:p w:rsidR="00000000" w:rsidRDefault="008931E1">
      <w:pPr>
        <w:divId w:val="1324625101"/>
        <w:rPr>
          <w:rFonts w:eastAsia="Times New Roman"/>
        </w:rPr>
      </w:pPr>
      <w:r>
        <w:rPr>
          <w:rFonts w:eastAsia="Times New Roman"/>
          <w:color w:val="000000"/>
          <w:sz w:val="20"/>
          <w:szCs w:val="20"/>
        </w:rPr>
        <w:t>November 1, 2023</w:t>
      </w:r>
    </w:p>
    <w:p w:rsidR="00000000" w:rsidRDefault="008931E1">
      <w:pPr>
        <w:divId w:val="1099640668"/>
        <w:rPr>
          <w:rFonts w:eastAsia="Times New Roman"/>
        </w:rPr>
      </w:pPr>
      <w:r>
        <w:rPr>
          <w:rFonts w:eastAsia="Times New Roman"/>
          <w:color w:val="000000"/>
          <w:sz w:val="20"/>
          <w:szCs w:val="20"/>
        </w:rPr>
        <w:t>We have served as the Company’s auditor since 1985.</w:t>
      </w:r>
    </w:p>
    <w:p w:rsidR="00000000" w:rsidRDefault="008931E1">
      <w:pPr>
        <w:jc w:val="center"/>
        <w:divId w:val="1849175387"/>
        <w:rPr>
          <w:rFonts w:eastAsia="Times New Roman"/>
        </w:rPr>
      </w:pPr>
      <w:r>
        <w:rPr>
          <w:rFonts w:eastAsia="Times New Roman"/>
          <w:color w:val="000000"/>
          <w:sz w:val="20"/>
          <w:szCs w:val="20"/>
        </w:rPr>
        <w:t>F-2</w:t>
      </w:r>
    </w:p>
    <w:p w:rsidR="00000000" w:rsidRDefault="008931E1">
      <w:pPr>
        <w:rPr>
          <w:rFonts w:eastAsia="Times New Roman"/>
        </w:rPr>
      </w:pPr>
      <w:r>
        <w:rPr>
          <w:rFonts w:eastAsia="Times New Roman"/>
        </w:rPr>
        <w:pict>
          <v:rect id="_x0000_i1081" style="width:0;height:1.5pt" o:hralign="center" o:hrstd="t" o:hr="t" fillcolor="#a0a0a0" stroked="f"/>
        </w:pict>
      </w:r>
    </w:p>
    <w:p w:rsidR="00000000" w:rsidRDefault="008931E1">
      <w:pPr>
        <w:divId w:val="1692535310"/>
        <w:rPr>
          <w:rFonts w:eastAsia="Times New Roman"/>
        </w:rPr>
      </w:pPr>
    </w:p>
    <w:p w:rsidR="00000000" w:rsidRDefault="008931E1">
      <w:pPr>
        <w:jc w:val="center"/>
        <w:rPr>
          <w:rFonts w:eastAsia="Times New Roman"/>
        </w:rPr>
      </w:pPr>
      <w:r>
        <w:rPr>
          <w:rFonts w:eastAsia="Times New Roman"/>
          <w:b/>
          <w:bCs/>
          <w:color w:val="000000"/>
          <w:sz w:val="18"/>
          <w:szCs w:val="18"/>
        </w:rPr>
        <w:t>QUALCOMM Incorporated</w:t>
      </w:r>
    </w:p>
    <w:p w:rsidR="00000000" w:rsidRDefault="008931E1">
      <w:pPr>
        <w:jc w:val="center"/>
        <w:rPr>
          <w:rFonts w:eastAsia="Times New Roman"/>
        </w:rPr>
      </w:pPr>
      <w:r>
        <w:rPr>
          <w:rFonts w:eastAsia="Times New Roman"/>
          <w:b/>
          <w:bCs/>
          <w:color w:val="000000"/>
          <w:sz w:val="18"/>
          <w:szCs w:val="18"/>
        </w:rPr>
        <w:t xml:space="preserve">CONSOLIDATED BALANCE SHEETS </w:t>
      </w:r>
    </w:p>
    <w:p w:rsidR="00000000" w:rsidRDefault="008931E1">
      <w:pPr>
        <w:jc w:val="center"/>
        <w:rPr>
          <w:rFonts w:eastAsia="Times New Roman"/>
        </w:rPr>
      </w:pPr>
      <w:r>
        <w:rPr>
          <w:rFonts w:eastAsia="Times New Roman"/>
          <w:b/>
          <w:bCs/>
          <w:color w:val="000000"/>
          <w:sz w:val="18"/>
          <w:szCs w:val="18"/>
        </w:rPr>
        <w:t>(In millions, except par value amounts)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6098"/>
        <w:gridCol w:w="40"/>
        <w:gridCol w:w="111"/>
        <w:gridCol w:w="870"/>
        <w:gridCol w:w="36"/>
        <w:gridCol w:w="36"/>
        <w:gridCol w:w="36"/>
        <w:gridCol w:w="36"/>
        <w:gridCol w:w="111"/>
        <w:gridCol w:w="840"/>
        <w:gridCol w:w="36"/>
      </w:tblGrid>
      <w:tr w:rsidR="00000000">
        <w:trPr>
          <w:jc w:val="center"/>
        </w:trPr>
        <w:tc>
          <w:tcPr>
            <w:tcW w:w="50" w:type="pct"/>
            <w:vAlign w:val="center"/>
            <w:hideMark/>
          </w:tcPr>
          <w:p w:rsidR="00000000" w:rsidRDefault="008931E1">
            <w:pPr>
              <w:jc w:val="center"/>
              <w:rPr>
                <w:rFonts w:eastAsia="Times New Roman"/>
              </w:rPr>
            </w:pPr>
          </w:p>
        </w:tc>
        <w:tc>
          <w:tcPr>
            <w:tcW w:w="370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r>
      <w:tr w:rsidR="00000000">
        <w:trPr>
          <w:jc w:val="center"/>
        </w:trPr>
        <w:tc>
          <w:tcPr>
            <w:tcW w:w="0" w:type="auto"/>
            <w:gridSpan w:val="12"/>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ASSETS</w:t>
            </w:r>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Current assets:</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8,450 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2,773 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2,874 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3,609 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3,183 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5,643 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6,422 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6,341 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Held for sale assets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341 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733 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current assets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1,194 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1,625 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Deferred tax assets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3,310 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1,803 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Property, plant and equipment, net</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5,042 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5,168 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Goodwill</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10,642 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10,508 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1,408 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1,882 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Held for sale assets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1,200 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8,086 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7,729 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51,040 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49,014 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12"/>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LIABILITIES AND STOCKHOLDERS’ EQUITY</w:t>
            </w:r>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Current liabilities:</w:t>
            </w: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Trade accounts payable</w:t>
            </w: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1,912 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3,796 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Payroll and other benefits related liabilities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1,685 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1,486 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Unearned revenues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293 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Short-term debt</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914 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1,945 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Held for sale liabilities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581 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4,491 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3,689 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9,628 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Unearned revenues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1,080 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1,472 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Long-term debt</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14,484 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13,537 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Held for sale liabilities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liabilities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4,130 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3,863 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29,459 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Commitments and contingencies (Note 7)</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1249655823"/>
              <w:rPr>
                <w:rFonts w:eastAsia="Times New Roman"/>
              </w:rPr>
            </w:pPr>
            <w:r>
              <w:rPr>
                <w:rFonts w:eastAsia="Times New Roman"/>
                <w:color w:val="000000"/>
                <w:sz w:val="18"/>
                <w:szCs w:val="18"/>
              </w:rPr>
              <w:t>Preferred stock, $0.0001 par value; 8 shares authorized; none outstanding</w:t>
            </w:r>
          </w:p>
        </w:tc>
        <w:tc>
          <w:tcPr>
            <w:tcW w:w="0" w:type="auto"/>
            <w:gridSpan w:val="2"/>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761268298"/>
              <w:rPr>
                <w:rFonts w:eastAsia="Times New Roman"/>
              </w:rPr>
            </w:pPr>
            <w:r>
              <w:rPr>
                <w:rFonts w:eastAsia="Times New Roman"/>
                <w:color w:val="000000"/>
                <w:sz w:val="18"/>
                <w:szCs w:val="18"/>
              </w:rPr>
              <w:t>Common stock and paid-in capital, $0.0001 par value; 6,000 shares authorized; 1,114 and 1,121 shares issued and outstanding, respectively</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490 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Retained earnings</w:t>
            </w:r>
          </w:p>
        </w:tc>
        <w:tc>
          <w:tcPr>
            <w:tcW w:w="0" w:type="auto"/>
            <w:gridSpan w:val="2"/>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20,733 </w:t>
            </w:r>
          </w:p>
        </w:tc>
        <w:tc>
          <w:tcPr>
            <w:tcW w:w="0" w:type="auto"/>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17,840 </w:t>
            </w:r>
          </w:p>
        </w:tc>
        <w:tc>
          <w:tcPr>
            <w:tcW w:w="0" w:type="auto"/>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42680831"/>
              <w:rPr>
                <w:rFonts w:eastAsia="Times New Roman"/>
              </w:rPr>
            </w:pPr>
            <w:r>
              <w:rPr>
                <w:rFonts w:eastAsia="Times New Roman"/>
                <w:color w:val="000000"/>
                <w:sz w:val="18"/>
                <w:szCs w:val="18"/>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21,581 </w:t>
            </w:r>
          </w:p>
        </w:tc>
        <w:tc>
          <w:tcPr>
            <w:tcW w:w="0" w:type="auto"/>
            <w:tcBorders>
              <w:top w:val="single" w:sz="8" w:space="0" w:color="000000"/>
            </w:tcBorders>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18,013 </w:t>
            </w:r>
          </w:p>
        </w:tc>
        <w:tc>
          <w:tcPr>
            <w:tcW w:w="0" w:type="auto"/>
            <w:tcBorders>
              <w:top w:val="single" w:sz="8" w:space="0" w:color="000000"/>
            </w:tcBorders>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51,040 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49,014 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jc w:val="center"/>
        <w:rPr>
          <w:rFonts w:eastAsia="Times New Roman"/>
        </w:rPr>
      </w:pPr>
    </w:p>
    <w:p w:rsidR="00000000" w:rsidRDefault="008931E1">
      <w:pPr>
        <w:jc w:val="center"/>
        <w:rPr>
          <w:rFonts w:eastAsia="Times New Roman"/>
        </w:rPr>
      </w:pPr>
      <w:r>
        <w:rPr>
          <w:rFonts w:eastAsia="Times New Roman"/>
          <w:color w:val="000000"/>
          <w:sz w:val="18"/>
          <w:szCs w:val="18"/>
        </w:rPr>
        <w:t>See accompanying notes.</w:t>
      </w:r>
    </w:p>
    <w:p w:rsidR="00000000" w:rsidRDefault="008931E1">
      <w:pPr>
        <w:jc w:val="center"/>
        <w:divId w:val="1610238800"/>
        <w:rPr>
          <w:rFonts w:eastAsia="Times New Roman"/>
        </w:rPr>
      </w:pPr>
      <w:r>
        <w:rPr>
          <w:rFonts w:eastAsia="Times New Roman"/>
          <w:color w:val="000000"/>
          <w:sz w:val="20"/>
          <w:szCs w:val="20"/>
        </w:rPr>
        <w:t>F-3</w:t>
      </w:r>
    </w:p>
    <w:p w:rsidR="00000000" w:rsidRDefault="008931E1">
      <w:pPr>
        <w:rPr>
          <w:rFonts w:eastAsia="Times New Roman"/>
        </w:rPr>
      </w:pPr>
      <w:r>
        <w:rPr>
          <w:rFonts w:eastAsia="Times New Roman"/>
        </w:rPr>
        <w:pict>
          <v:rect id="_x0000_i1082" style="width:0;height:1.5pt" o:hralign="center" o:hrstd="t" o:hr="t" fillcolor="#a0a0a0" stroked="f"/>
        </w:pict>
      </w:r>
    </w:p>
    <w:p w:rsidR="00000000" w:rsidRDefault="008931E1">
      <w:pPr>
        <w:divId w:val="647786341"/>
        <w:rPr>
          <w:rFonts w:eastAsia="Times New Roman"/>
        </w:rPr>
      </w:pPr>
    </w:p>
    <w:p w:rsidR="00000000" w:rsidRDefault="008931E1">
      <w:pPr>
        <w:jc w:val="center"/>
        <w:rPr>
          <w:rFonts w:eastAsia="Times New Roman"/>
        </w:rPr>
      </w:pPr>
      <w:r>
        <w:rPr>
          <w:rFonts w:eastAsia="Times New Roman"/>
          <w:b/>
          <w:bCs/>
          <w:color w:val="000000"/>
          <w:sz w:val="18"/>
          <w:szCs w:val="18"/>
        </w:rPr>
        <w:t>QUALCOMM Incorporated</w:t>
      </w:r>
    </w:p>
    <w:p w:rsidR="00000000" w:rsidRDefault="008931E1">
      <w:pPr>
        <w:jc w:val="center"/>
        <w:rPr>
          <w:rFonts w:eastAsia="Times New Roman"/>
        </w:rPr>
      </w:pPr>
      <w:r>
        <w:rPr>
          <w:rFonts w:eastAsia="Times New Roman"/>
          <w:b/>
          <w:bCs/>
          <w:color w:val="000000"/>
          <w:sz w:val="18"/>
          <w:szCs w:val="18"/>
        </w:rPr>
        <w:t xml:space="preserve">CONSOLIDATED STATEMENTS OF OPERATIONS </w:t>
      </w:r>
    </w:p>
    <w:p w:rsidR="00000000" w:rsidRDefault="008931E1">
      <w:pPr>
        <w:jc w:val="center"/>
        <w:rPr>
          <w:rFonts w:eastAsia="Times New Roman"/>
        </w:rPr>
      </w:pPr>
      <w:r>
        <w:rPr>
          <w:rFonts w:eastAsia="Times New Roman"/>
          <w:b/>
          <w:bCs/>
          <w:color w:val="000000"/>
          <w:sz w:val="18"/>
          <w:szCs w:val="18"/>
        </w:rPr>
        <w:t>(In millions, except per share data)</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4859"/>
        <w:gridCol w:w="39"/>
        <w:gridCol w:w="36"/>
        <w:gridCol w:w="36"/>
        <w:gridCol w:w="36"/>
        <w:gridCol w:w="36"/>
        <w:gridCol w:w="36"/>
        <w:gridCol w:w="36"/>
        <w:gridCol w:w="36"/>
        <w:gridCol w:w="111"/>
        <w:gridCol w:w="837"/>
        <w:gridCol w:w="36"/>
        <w:gridCol w:w="36"/>
        <w:gridCol w:w="36"/>
        <w:gridCol w:w="36"/>
        <w:gridCol w:w="111"/>
        <w:gridCol w:w="798"/>
        <w:gridCol w:w="36"/>
        <w:gridCol w:w="36"/>
        <w:gridCol w:w="36"/>
        <w:gridCol w:w="36"/>
        <w:gridCol w:w="111"/>
        <w:gridCol w:w="798"/>
        <w:gridCol w:w="36"/>
      </w:tblGrid>
      <w:tr w:rsidR="00000000">
        <w:trPr>
          <w:jc w:val="center"/>
        </w:trPr>
        <w:tc>
          <w:tcPr>
            <w:tcW w:w="50" w:type="pct"/>
            <w:vAlign w:val="center"/>
            <w:hideMark/>
          </w:tcPr>
          <w:p w:rsidR="00000000" w:rsidRDefault="008931E1">
            <w:pPr>
              <w:jc w:val="center"/>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Year Ended</w:t>
            </w: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Revenues: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Equipment and services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30,028 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37,171 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26,741 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Licensing</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5,792 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7,029 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6,825 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revenues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44,200 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Costs and expenses: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Cost of revenues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15,869 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18,635 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14,262 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Research and development</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8,818 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8,194 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7,176 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Selling, general and administrative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2,483 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2,570 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2,339 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941034522"/>
              <w:rPr>
                <w:rFonts w:eastAsia="Times New Roman"/>
              </w:rPr>
            </w:pPr>
            <w:r>
              <w:rPr>
                <w:rFonts w:eastAsia="Times New Roman"/>
                <w:color w:val="000000"/>
                <w:sz w:val="18"/>
                <w:szCs w:val="18"/>
              </w:rPr>
              <w:t>Other (Note 2)</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862 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(1,059)</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costs and expenses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23,777 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Operating income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7,788 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15,860 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9,789 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Interest expense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(694)</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(490)</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(559)</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divId w:val="991064720"/>
              <w:rPr>
                <w:rFonts w:eastAsia="Times New Roman"/>
              </w:rPr>
            </w:pPr>
            <w:r>
              <w:rPr>
                <w:rFonts w:eastAsia="Times New Roman"/>
                <w:color w:val="000000"/>
                <w:sz w:val="18"/>
                <w:szCs w:val="18"/>
              </w:rPr>
              <w:t>Investment and other income (expense), net</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349 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(372)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1,044 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Income from continuing operations before income taxes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7,443 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14,998 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10,274 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xml:space="preserve">Income tax expense </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w:t>
            </w:r>
            <w:r>
              <w:rPr>
                <w:rFonts w:eastAsia="Times New Roman"/>
                <w:color w:val="000000"/>
                <w:sz w:val="18"/>
                <w:szCs w:val="18"/>
              </w:rPr>
              <w:t>104)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(2,012)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(1,231)</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Income from continuing operations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7,339 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12,986 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xml:space="preserve">Discontinued operations, net of income taxes </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(107)</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(50)</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income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12,936 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522984787"/>
              <w:rPr>
                <w:rFonts w:eastAsia="Times New Roman"/>
              </w:rPr>
            </w:pPr>
            <w:r>
              <w:rPr>
                <w:rFonts w:eastAsia="Times New Roman"/>
                <w:color w:val="000000"/>
                <w:sz w:val="18"/>
                <w:szCs w:val="18"/>
              </w:rPr>
              <w:t>Basic earnings (loss) per share: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Continuing operations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6.57 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11.56 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7.99 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Discontinued operations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(0.10)</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(0.04)</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income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23471778"/>
              <w:rPr>
                <w:rFonts w:eastAsia="Times New Roman"/>
              </w:rPr>
            </w:pPr>
            <w:r>
              <w:rPr>
                <w:rFonts w:eastAsia="Times New Roman"/>
                <w:color w:val="000000"/>
                <w:sz w:val="18"/>
                <w:szCs w:val="18"/>
              </w:rPr>
              <w:t>Diluted earnings (loss) per share: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Continuing operations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6.52 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11.41 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7.87 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Discontinued operations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(0.10)</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(0.04)</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income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Shares used in per share calculations: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Basic</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1,117 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1,123 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1,131 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Diluted</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1,126 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1,137 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1,149 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bl>
    <w:p w:rsidR="00000000" w:rsidRDefault="008931E1">
      <w:pPr>
        <w:divId w:val="791675271"/>
        <w:rPr>
          <w:rFonts w:eastAsia="Times New Roman"/>
        </w:rPr>
      </w:pPr>
    </w:p>
    <w:p w:rsidR="00000000" w:rsidRDefault="008931E1">
      <w:pPr>
        <w:jc w:val="center"/>
        <w:rPr>
          <w:rFonts w:eastAsia="Times New Roman"/>
        </w:rPr>
      </w:pPr>
      <w:r>
        <w:rPr>
          <w:rFonts w:eastAsia="Times New Roman"/>
          <w:color w:val="000000"/>
          <w:sz w:val="18"/>
          <w:szCs w:val="18"/>
        </w:rPr>
        <w:t>See accompanying notes.</w:t>
      </w:r>
    </w:p>
    <w:p w:rsidR="00000000" w:rsidRDefault="008931E1">
      <w:pPr>
        <w:jc w:val="center"/>
        <w:divId w:val="360057959"/>
        <w:rPr>
          <w:rFonts w:eastAsia="Times New Roman"/>
        </w:rPr>
      </w:pPr>
      <w:r>
        <w:rPr>
          <w:rFonts w:eastAsia="Times New Roman"/>
          <w:color w:val="000000"/>
          <w:sz w:val="20"/>
          <w:szCs w:val="20"/>
        </w:rPr>
        <w:t>F-4</w:t>
      </w:r>
    </w:p>
    <w:p w:rsidR="00000000" w:rsidRDefault="008931E1">
      <w:pPr>
        <w:rPr>
          <w:rFonts w:eastAsia="Times New Roman"/>
        </w:rPr>
      </w:pPr>
      <w:r>
        <w:rPr>
          <w:rFonts w:eastAsia="Times New Roman"/>
        </w:rPr>
        <w:pict>
          <v:rect id="_x0000_i1083" style="width:0;height:1.5pt" o:hralign="center" o:hrstd="t" o:hr="t" fillcolor="#a0a0a0" stroked="f"/>
        </w:pict>
      </w:r>
    </w:p>
    <w:p w:rsidR="00000000" w:rsidRDefault="008931E1">
      <w:pPr>
        <w:divId w:val="25328485"/>
        <w:rPr>
          <w:rFonts w:eastAsia="Times New Roman"/>
        </w:rPr>
      </w:pPr>
    </w:p>
    <w:p w:rsidR="00000000" w:rsidRDefault="008931E1">
      <w:pPr>
        <w:jc w:val="center"/>
        <w:rPr>
          <w:rFonts w:eastAsia="Times New Roman"/>
        </w:rPr>
      </w:pPr>
      <w:r>
        <w:rPr>
          <w:rFonts w:eastAsia="Times New Roman"/>
          <w:b/>
          <w:bCs/>
          <w:color w:val="000000"/>
          <w:sz w:val="18"/>
          <w:szCs w:val="18"/>
        </w:rPr>
        <w:t>QUALCOMM Incorporated</w:t>
      </w:r>
    </w:p>
    <w:p w:rsidR="00000000" w:rsidRDefault="008931E1">
      <w:pPr>
        <w:jc w:val="center"/>
        <w:rPr>
          <w:rFonts w:eastAsia="Times New Roman"/>
        </w:rPr>
      </w:pPr>
      <w:r>
        <w:rPr>
          <w:rFonts w:eastAsia="Times New Roman"/>
          <w:b/>
          <w:bCs/>
          <w:color w:val="000000"/>
          <w:sz w:val="18"/>
          <w:szCs w:val="18"/>
        </w:rPr>
        <w:t>CONSOLIDATED STATEMENTS OF COMPREHENSIVE INCOME</w:t>
      </w:r>
    </w:p>
    <w:p w:rsidR="00000000" w:rsidRDefault="008931E1">
      <w:pPr>
        <w:jc w:val="center"/>
        <w:rPr>
          <w:rFonts w:eastAsia="Times New Roman"/>
        </w:rPr>
      </w:pPr>
      <w:r>
        <w:rPr>
          <w:rFonts w:eastAsia="Times New Roman"/>
          <w:b/>
          <w:bCs/>
          <w:color w:val="000000"/>
          <w:sz w:val="18"/>
          <w:szCs w:val="18"/>
        </w:rPr>
        <w:t>(In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861"/>
        <w:gridCol w:w="37"/>
        <w:gridCol w:w="36"/>
        <w:gridCol w:w="36"/>
        <w:gridCol w:w="36"/>
        <w:gridCol w:w="36"/>
        <w:gridCol w:w="36"/>
        <w:gridCol w:w="36"/>
        <w:gridCol w:w="36"/>
        <w:gridCol w:w="111"/>
        <w:gridCol w:w="837"/>
        <w:gridCol w:w="36"/>
        <w:gridCol w:w="36"/>
        <w:gridCol w:w="36"/>
        <w:gridCol w:w="36"/>
        <w:gridCol w:w="111"/>
        <w:gridCol w:w="798"/>
        <w:gridCol w:w="36"/>
        <w:gridCol w:w="36"/>
        <w:gridCol w:w="36"/>
        <w:gridCol w:w="36"/>
        <w:gridCol w:w="111"/>
        <w:gridCol w:w="800"/>
        <w:gridCol w:w="36"/>
      </w:tblGrid>
      <w:tr w:rsidR="00000000">
        <w:trPr>
          <w:divId w:val="1346977253"/>
        </w:trPr>
        <w:tc>
          <w:tcPr>
            <w:tcW w:w="50" w:type="pct"/>
            <w:vAlign w:val="center"/>
            <w:hideMark/>
          </w:tcPr>
          <w:p w:rsidR="00000000" w:rsidRDefault="008931E1">
            <w:pPr>
              <w:jc w:val="center"/>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346977253"/>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Year Ended</w:t>
            </w: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346977253"/>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trPr>
          <w:divId w:val="1346977253"/>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income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12,936 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6977253"/>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comprehensive income (loss), net of income taxes: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346977253"/>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814837659"/>
              <w:rPr>
                <w:rFonts w:eastAsia="Times New Roman"/>
              </w:rPr>
            </w:pPr>
            <w:r>
              <w:rPr>
                <w:rFonts w:eastAsia="Times New Roman"/>
                <w:color w:val="000000"/>
                <w:sz w:val="18"/>
                <w:szCs w:val="18"/>
              </w:rPr>
              <w:t xml:space="preserve">Foreign currency translation gains (losses) </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(433)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6977253"/>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unrealized gains (losses) on certain available-for-sale debt securities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(113)</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6977253"/>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881745990"/>
              <w:rPr>
                <w:rFonts w:eastAsia="Times New Roman"/>
              </w:rPr>
            </w:pPr>
            <w:r>
              <w:rPr>
                <w:rFonts w:eastAsia="Times New Roman"/>
                <w:color w:val="000000"/>
                <w:sz w:val="18"/>
                <w:szCs w:val="18"/>
              </w:rPr>
              <w:t>Net unrealized gains (losses) on derivative instruments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6977253"/>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gains (losses)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6977253"/>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reclassifications included in net income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(59)</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6977253"/>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213392611"/>
              <w:rPr>
                <w:rFonts w:eastAsia="Times New Roman"/>
              </w:rPr>
            </w:pPr>
            <w:r>
              <w:rPr>
                <w:rFonts w:eastAsia="Times New Roman"/>
                <w:color w:val="000000"/>
                <w:sz w:val="18"/>
                <w:szCs w:val="18"/>
              </w:rPr>
              <w:t>     Total other comprehensive income (loss)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6977253"/>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Comprehensive income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7,612 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12,786 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8,964 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divId w:val="65734895"/>
        <w:rPr>
          <w:rFonts w:eastAsia="Times New Roman"/>
        </w:rPr>
      </w:pPr>
    </w:p>
    <w:p w:rsidR="00000000" w:rsidRDefault="008931E1">
      <w:pPr>
        <w:jc w:val="center"/>
        <w:rPr>
          <w:rFonts w:eastAsia="Times New Roman"/>
        </w:rPr>
      </w:pPr>
      <w:r>
        <w:rPr>
          <w:rFonts w:eastAsia="Times New Roman"/>
          <w:color w:val="000000"/>
          <w:sz w:val="18"/>
          <w:szCs w:val="18"/>
        </w:rPr>
        <w:t>See accompanying notes.</w:t>
      </w:r>
    </w:p>
    <w:p w:rsidR="00000000" w:rsidRDefault="008931E1">
      <w:pPr>
        <w:jc w:val="center"/>
        <w:divId w:val="994913174"/>
        <w:rPr>
          <w:rFonts w:eastAsia="Times New Roman"/>
        </w:rPr>
      </w:pPr>
      <w:r>
        <w:rPr>
          <w:rFonts w:eastAsia="Times New Roman"/>
          <w:color w:val="000000"/>
          <w:sz w:val="20"/>
          <w:szCs w:val="20"/>
        </w:rPr>
        <w:t>F-5</w:t>
      </w:r>
    </w:p>
    <w:p w:rsidR="00000000" w:rsidRDefault="008931E1">
      <w:pPr>
        <w:rPr>
          <w:rFonts w:eastAsia="Times New Roman"/>
        </w:rPr>
      </w:pPr>
      <w:r>
        <w:rPr>
          <w:rFonts w:eastAsia="Times New Roman"/>
        </w:rPr>
        <w:pict>
          <v:rect id="_x0000_i1084" style="width:0;height:1.5pt" o:hralign="center" o:hrstd="t" o:hr="t" fillcolor="#a0a0a0" stroked="f"/>
        </w:pict>
      </w:r>
    </w:p>
    <w:p w:rsidR="00000000" w:rsidRDefault="008931E1">
      <w:pPr>
        <w:divId w:val="830632988"/>
        <w:rPr>
          <w:rFonts w:eastAsia="Times New Roman"/>
        </w:rPr>
      </w:pPr>
    </w:p>
    <w:p w:rsidR="00000000" w:rsidRDefault="008931E1">
      <w:pPr>
        <w:jc w:val="center"/>
        <w:rPr>
          <w:rFonts w:eastAsia="Times New Roman"/>
        </w:rPr>
      </w:pPr>
      <w:r>
        <w:rPr>
          <w:rFonts w:eastAsia="Times New Roman"/>
          <w:b/>
          <w:bCs/>
          <w:color w:val="000000"/>
          <w:sz w:val="18"/>
          <w:szCs w:val="18"/>
        </w:rPr>
        <w:t>QUALCOMM Incorporated</w:t>
      </w:r>
    </w:p>
    <w:p w:rsidR="00000000" w:rsidRDefault="008931E1">
      <w:pPr>
        <w:jc w:val="center"/>
        <w:rPr>
          <w:rFonts w:eastAsia="Times New Roman"/>
        </w:rPr>
      </w:pPr>
      <w:r>
        <w:rPr>
          <w:rFonts w:eastAsia="Times New Roman"/>
          <w:b/>
          <w:bCs/>
          <w:color w:val="000000"/>
          <w:sz w:val="18"/>
          <w:szCs w:val="18"/>
        </w:rPr>
        <w:t xml:space="preserve">CONSOLIDATED STATEMENTS OF CASH FLOWS </w:t>
      </w:r>
    </w:p>
    <w:p w:rsidR="00000000" w:rsidRDefault="008931E1">
      <w:pPr>
        <w:jc w:val="center"/>
        <w:rPr>
          <w:rFonts w:eastAsia="Times New Roman"/>
        </w:rPr>
      </w:pPr>
      <w:r>
        <w:rPr>
          <w:rFonts w:eastAsia="Times New Roman"/>
          <w:b/>
          <w:bCs/>
          <w:color w:val="000000"/>
          <w:sz w:val="18"/>
          <w:szCs w:val="18"/>
        </w:rPr>
        <w:t>(In m</w:t>
      </w:r>
      <w:r>
        <w:rPr>
          <w:rFonts w:eastAsia="Times New Roman"/>
          <w:b/>
          <w:bCs/>
          <w:color w:val="000000"/>
          <w:sz w:val="18"/>
          <w:szCs w:val="18"/>
        </w:rPr>
        <w:t>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020"/>
        <w:gridCol w:w="39"/>
        <w:gridCol w:w="111"/>
        <w:gridCol w:w="865"/>
        <w:gridCol w:w="36"/>
        <w:gridCol w:w="36"/>
        <w:gridCol w:w="36"/>
        <w:gridCol w:w="36"/>
        <w:gridCol w:w="111"/>
        <w:gridCol w:w="830"/>
        <w:gridCol w:w="36"/>
        <w:gridCol w:w="36"/>
        <w:gridCol w:w="36"/>
        <w:gridCol w:w="36"/>
        <w:gridCol w:w="111"/>
        <w:gridCol w:w="830"/>
        <w:gridCol w:w="36"/>
      </w:tblGrid>
      <w:tr w:rsidR="00000000">
        <w:trPr>
          <w:jc w:val="center"/>
        </w:trPr>
        <w:tc>
          <w:tcPr>
            <w:tcW w:w="50" w:type="pct"/>
            <w:vAlign w:val="center"/>
            <w:hideMark/>
          </w:tcPr>
          <w:p w:rsidR="00000000" w:rsidRDefault="008931E1">
            <w:pPr>
              <w:jc w:val="center"/>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Year Ended</w:t>
            </w:r>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trPr>
          <w:jc w:val="center"/>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Operating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income from continuing operations</w:t>
            </w: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7,339 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12,986 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9,043 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6"/>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Adjustments to reconcile net income to net cash provided by operating activities:</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Depreciation and amortization expense</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1,809 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1,762 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1,582 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97402686"/>
              <w:rPr>
                <w:rFonts w:eastAsia="Times New Roman"/>
              </w:rPr>
            </w:pPr>
            <w:r>
              <w:rPr>
                <w:rFonts w:eastAsia="Times New Roman"/>
                <w:color w:val="000000"/>
                <w:sz w:val="18"/>
                <w:szCs w:val="18"/>
              </w:rPr>
              <w:t>Indefinite and long-lived asset impairment charges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Income tax provision less than income tax payments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(1,269)</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(138)</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(245)</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2,484 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2,031 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1,663 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952593329"/>
              <w:rPr>
                <w:rFonts w:eastAsia="Times New Roman"/>
              </w:rPr>
            </w:pPr>
            <w:r>
              <w:rPr>
                <w:rFonts w:eastAsia="Times New Roman"/>
                <w:color w:val="000000"/>
                <w:sz w:val="18"/>
                <w:szCs w:val="18"/>
              </w:rPr>
              <w:t>Net (gains) losses on marketable securities and other investments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(152)</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432 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(1,002)</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825124915"/>
              <w:rPr>
                <w:rFonts w:eastAsia="Times New Roman"/>
              </w:rPr>
            </w:pPr>
            <w:r>
              <w:rPr>
                <w:rFonts w:eastAsia="Times New Roman"/>
                <w:color w:val="000000"/>
                <w:sz w:val="18"/>
                <w:szCs w:val="18"/>
              </w:rPr>
              <w:t>Impairment losses on other investments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items, net</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w:t>
            </w:r>
            <w:r>
              <w:rPr>
                <w:rFonts w:eastAsia="Times New Roman"/>
                <w:color w:val="000000"/>
                <w:sz w:val="18"/>
                <w:szCs w:val="18"/>
              </w:rPr>
              <w:t>56)</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(82)</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Changes in assets and liabilities:</w:t>
            </w: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2,472 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(2,066)</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426 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(3,137)</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(622)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603 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(2,266)</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(1,649)</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Trade accounts payable</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(1,880)</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1,036 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495 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Payroll, benefits and other liabilities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(1,043)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1,091 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Unearned revenues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(56)</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(324)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cash used by operating activities from 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(399)</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(170)</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11,299 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9,096 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10,536 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(1,450)</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(2,262)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(1,888)</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Purchases of debt and equity 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(668)</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(1,414)</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(5,907)</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Proceeds from sales and maturities of debt and equity 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1,566 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2,622 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5,555 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Acquisitions and other investments, net of cash acquired</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(235)</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(4,912)</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(1,377)</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947687044"/>
              <w:rPr>
                <w:rFonts w:eastAsia="Times New Roman"/>
              </w:rPr>
            </w:pPr>
            <w:r>
              <w:rPr>
                <w:rFonts w:eastAsia="Times New Roman"/>
                <w:color w:val="000000"/>
                <w:sz w:val="18"/>
                <w:szCs w:val="18"/>
              </w:rPr>
              <w:t>Proceeds from sales of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Proceeds from other investments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320 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items, net</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655374924"/>
              <w:rPr>
                <w:rFonts w:eastAsia="Times New Roman"/>
              </w:rPr>
            </w:pPr>
            <w:r>
              <w:rPr>
                <w:rFonts w:eastAsia="Times New Roman"/>
                <w:color w:val="000000"/>
                <w:sz w:val="18"/>
                <w:szCs w:val="18"/>
              </w:rPr>
              <w:t>Net cash provided (used) by investing activities from 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1,383 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659724025"/>
              <w:rPr>
                <w:rFonts w:eastAsia="Times New Roman"/>
              </w:rPr>
            </w:pPr>
            <w:r>
              <w:rPr>
                <w:rFonts w:eastAsia="Times New Roman"/>
                <w:color w:val="000000"/>
                <w:sz w:val="18"/>
                <w:szCs w:val="18"/>
              </w:rPr>
              <w:t>Net cash provided (used) by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(5,804)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Proceeds from short-term debt</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5,068 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7,000 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2,886 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Repayment of short-term debt</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(5,566)</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(7,003)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(2,885)</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Repayment of debt of acquired company</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(349)</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Proceeds from long-term debt</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1,880 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1,477 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Repayment of long-term debt</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(1,446)</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(1,540)</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Proceeds from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434 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347 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Repurchases and retirements of common stock</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(2,973)</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(3,129)</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(3,366)</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Dividends paid</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(3,462)</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(3,212)</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(3,008)</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Payments of tax withholdings related to vesting of share-based awards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(521)</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(766)</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(737)</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items, net</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(34)</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511485859"/>
              <w:rPr>
                <w:rFonts w:eastAsia="Times New Roman"/>
              </w:rPr>
            </w:pPr>
            <w:r>
              <w:rPr>
                <w:rFonts w:eastAsia="Times New Roman"/>
                <w:color w:val="000000"/>
                <w:sz w:val="18"/>
                <w:szCs w:val="18"/>
              </w:rPr>
              <w:t>Net cash (used) provided by financing activities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(58)</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cash used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(6,663)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(7,196)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(6,798)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493490681"/>
              <w:rPr>
                <w:rFonts w:eastAsia="Times New Roman"/>
              </w:rPr>
            </w:pPr>
            <w:r>
              <w:rPr>
                <w:rFonts w:eastAsia="Times New Roman"/>
                <w:b/>
                <w:bCs/>
                <w:color w:val="000000"/>
                <w:sz w:val="18"/>
                <w:szCs w:val="18"/>
              </w:rPr>
              <w:t>Net increase (decrease) in total 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5,428 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(4,017)</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409 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40133771"/>
              <w:rPr>
                <w:rFonts w:eastAsia="Times New Roman"/>
              </w:rPr>
            </w:pPr>
            <w:r>
              <w:rPr>
                <w:rFonts w:eastAsia="Times New Roman"/>
                <w:b/>
                <w:bCs/>
                <w:color w:val="000000"/>
                <w:sz w:val="18"/>
                <w:szCs w:val="18"/>
              </w:rPr>
              <w:t>Total cash and cash equivalents at beginning of period (including $326 classified as held for sale at September 25, 2022)</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3,099 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7,116 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6,707 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269049285"/>
              <w:rPr>
                <w:rFonts w:eastAsia="Times New Roman"/>
              </w:rPr>
            </w:pPr>
            <w:r>
              <w:rPr>
                <w:rFonts w:eastAsia="Times New Roman"/>
                <w:b/>
                <w:bCs/>
                <w:color w:val="000000"/>
                <w:sz w:val="18"/>
                <w:szCs w:val="18"/>
              </w:rPr>
              <w:t>Total cash and cash equivalents at end of period (including $77 and $326 classified as held for sale at September 24, 2023 and September 25, 2022, respectively)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8,527 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7,116 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bl>
    <w:p w:rsidR="00000000" w:rsidRDefault="008931E1">
      <w:pPr>
        <w:jc w:val="center"/>
        <w:rPr>
          <w:rFonts w:eastAsia="Times New Roman"/>
        </w:rPr>
      </w:pPr>
      <w:r>
        <w:rPr>
          <w:rFonts w:eastAsia="Times New Roman"/>
          <w:color w:val="000000"/>
          <w:sz w:val="20"/>
          <w:szCs w:val="20"/>
        </w:rPr>
        <w:t>    </w:t>
      </w:r>
    </w:p>
    <w:p w:rsidR="00000000" w:rsidRDefault="008931E1">
      <w:pPr>
        <w:jc w:val="center"/>
        <w:rPr>
          <w:rFonts w:eastAsia="Times New Roman"/>
        </w:rPr>
      </w:pPr>
    </w:p>
    <w:p w:rsidR="00000000" w:rsidRDefault="008931E1">
      <w:pPr>
        <w:jc w:val="center"/>
        <w:rPr>
          <w:rFonts w:eastAsia="Times New Roman"/>
        </w:rPr>
      </w:pPr>
      <w:r>
        <w:rPr>
          <w:rFonts w:eastAsia="Times New Roman"/>
          <w:color w:val="000000"/>
          <w:sz w:val="18"/>
          <w:szCs w:val="18"/>
        </w:rPr>
        <w:t>See accompanying notes.</w:t>
      </w:r>
    </w:p>
    <w:p w:rsidR="00000000" w:rsidRDefault="008931E1">
      <w:pPr>
        <w:jc w:val="center"/>
        <w:divId w:val="300429816"/>
        <w:rPr>
          <w:rFonts w:eastAsia="Times New Roman"/>
        </w:rPr>
      </w:pPr>
      <w:r>
        <w:rPr>
          <w:rFonts w:eastAsia="Times New Roman"/>
          <w:color w:val="000000"/>
          <w:sz w:val="20"/>
          <w:szCs w:val="20"/>
        </w:rPr>
        <w:t>F-6</w:t>
      </w:r>
    </w:p>
    <w:p w:rsidR="00000000" w:rsidRDefault="008931E1">
      <w:pPr>
        <w:rPr>
          <w:rFonts w:eastAsia="Times New Roman"/>
        </w:rPr>
      </w:pPr>
      <w:r>
        <w:rPr>
          <w:rFonts w:eastAsia="Times New Roman"/>
        </w:rPr>
        <w:pict>
          <v:rect id="_x0000_i1085" style="width:0;height:1.5pt" o:hralign="center" o:hrstd="t" o:hr="t" fillcolor="#a0a0a0" stroked="f"/>
        </w:pict>
      </w:r>
    </w:p>
    <w:p w:rsidR="00000000" w:rsidRDefault="008931E1">
      <w:pPr>
        <w:divId w:val="666330295"/>
        <w:rPr>
          <w:rFonts w:eastAsia="Times New Roman"/>
        </w:rPr>
      </w:pPr>
    </w:p>
    <w:p w:rsidR="00000000" w:rsidRDefault="008931E1">
      <w:pPr>
        <w:jc w:val="center"/>
        <w:rPr>
          <w:rFonts w:eastAsia="Times New Roman"/>
        </w:rPr>
      </w:pPr>
      <w:r>
        <w:rPr>
          <w:rFonts w:eastAsia="Times New Roman"/>
          <w:b/>
          <w:bCs/>
          <w:color w:val="000000"/>
          <w:sz w:val="18"/>
          <w:szCs w:val="18"/>
        </w:rPr>
        <w:t>QUALCOMM Incorporated</w:t>
      </w:r>
    </w:p>
    <w:p w:rsidR="00000000" w:rsidRDefault="008931E1">
      <w:pPr>
        <w:jc w:val="center"/>
        <w:rPr>
          <w:rFonts w:eastAsia="Times New Roman"/>
        </w:rPr>
      </w:pPr>
      <w:r>
        <w:rPr>
          <w:rFonts w:eastAsia="Times New Roman"/>
          <w:b/>
          <w:bCs/>
          <w:color w:val="000000"/>
          <w:sz w:val="18"/>
          <w:szCs w:val="18"/>
        </w:rPr>
        <w:t>CONSOLIDATED STATEMENTS OF STOCKHOLDERS’ EQUITY</w:t>
      </w:r>
    </w:p>
    <w:p w:rsidR="00000000" w:rsidRDefault="008931E1">
      <w:pPr>
        <w:jc w:val="center"/>
        <w:rPr>
          <w:rFonts w:eastAsia="Times New Roman"/>
        </w:rPr>
      </w:pPr>
      <w:r>
        <w:rPr>
          <w:rFonts w:eastAsia="Times New Roman"/>
          <w:b/>
          <w:bCs/>
          <w:color w:val="000000"/>
          <w:sz w:val="18"/>
          <w:szCs w:val="18"/>
        </w:rPr>
        <w:t>(In millions, except per share data)</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021"/>
        <w:gridCol w:w="37"/>
        <w:gridCol w:w="111"/>
        <w:gridCol w:w="865"/>
        <w:gridCol w:w="36"/>
        <w:gridCol w:w="36"/>
        <w:gridCol w:w="36"/>
        <w:gridCol w:w="36"/>
        <w:gridCol w:w="111"/>
        <w:gridCol w:w="830"/>
        <w:gridCol w:w="36"/>
        <w:gridCol w:w="36"/>
        <w:gridCol w:w="36"/>
        <w:gridCol w:w="36"/>
        <w:gridCol w:w="111"/>
        <w:gridCol w:w="832"/>
        <w:gridCol w:w="36"/>
      </w:tblGrid>
      <w:tr w:rsidR="00000000">
        <w:trPr>
          <w:jc w:val="center"/>
        </w:trPr>
        <w:tc>
          <w:tcPr>
            <w:tcW w:w="50" w:type="pct"/>
            <w:vAlign w:val="center"/>
            <w:hideMark/>
          </w:tcPr>
          <w:p w:rsidR="00000000" w:rsidRDefault="008931E1">
            <w:pPr>
              <w:jc w:val="center"/>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Year Ended</w:t>
            </w:r>
          </w:p>
        </w:tc>
      </w:tr>
      <w:tr w:rsidR="00000000">
        <w:trPr>
          <w:jc w:val="center"/>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235700446"/>
              <w:rPr>
                <w:rFonts w:eastAsia="Times New Roman"/>
              </w:rPr>
            </w:pPr>
            <w:r>
              <w:rPr>
                <w:rFonts w:eastAsia="Times New Roman"/>
                <w:b/>
                <w:bCs/>
                <w:color w:val="000000"/>
                <w:sz w:val="18"/>
                <w:szCs w:val="18"/>
              </w:rPr>
              <w:t>Total stockholders’ equity, beginning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18,013 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6,077 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908925377"/>
              <w:rPr>
                <w:rFonts w:eastAsia="Times New Roman"/>
              </w:rPr>
            </w:pPr>
            <w:r>
              <w:rPr>
                <w:rFonts w:eastAsia="Times New Roman"/>
                <w:b/>
                <w:bCs/>
                <w:color w:val="000000"/>
                <w:sz w:val="18"/>
                <w:szCs w:val="18"/>
              </w:rPr>
              <w:t>Common stock and paid-in capital:</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474681817"/>
              <w:rPr>
                <w:rFonts w:eastAsia="Times New Roman"/>
              </w:rPr>
            </w:pPr>
            <w:r>
              <w:rPr>
                <w:rFonts w:eastAsia="Times New Roman"/>
                <w:color w:val="000000"/>
                <w:sz w:val="18"/>
                <w:szCs w:val="18"/>
              </w:rPr>
              <w:t>Balance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20"/>
                <w:szCs w:val="20"/>
              </w:rPr>
              <w:t>586 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xml:space="preserve">Common stock issued under employee benefit plans </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434 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345 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319067384"/>
              <w:rPr>
                <w:rFonts w:eastAsia="Times New Roman"/>
              </w:rPr>
            </w:pPr>
            <w:r>
              <w:rPr>
                <w:rFonts w:eastAsia="Times New Roman"/>
                <w:color w:val="000000"/>
                <w:sz w:val="18"/>
                <w:szCs w:val="18"/>
              </w:rPr>
              <w:t>Repurchases and retirements of common stock</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(2,218)</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(1,514)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(1,958)</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873571538"/>
              <w:rPr>
                <w:rFonts w:eastAsia="Times New Roman"/>
              </w:rPr>
            </w:pPr>
            <w:r>
              <w:rPr>
                <w:rFonts w:eastAsia="Times New Roman"/>
                <w:color w:val="000000"/>
                <w:sz w:val="18"/>
                <w:szCs w:val="18"/>
              </w:rPr>
              <w:t>Share-based compensation</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2,600 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2,119 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1,754 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96554501"/>
              <w:rPr>
                <w:rFonts w:eastAsia="Times New Roman"/>
              </w:rPr>
            </w:pPr>
            <w:r>
              <w:rPr>
                <w:rFonts w:eastAsia="Times New Roman"/>
                <w:color w:val="000000"/>
                <w:sz w:val="18"/>
                <w:szCs w:val="18"/>
              </w:rPr>
              <w:t>Tax withholdings related to vesting of share-based payments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(521)</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(766)</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(737)</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Stock awards assumed in acquisition</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448353476"/>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268663407"/>
              <w:rPr>
                <w:rFonts w:eastAsia="Times New Roman"/>
              </w:rPr>
            </w:pPr>
            <w:r>
              <w:rPr>
                <w:rFonts w:eastAsia="Times New Roman"/>
                <w:b/>
                <w:bCs/>
                <w:color w:val="000000"/>
                <w:sz w:val="18"/>
                <w:szCs w:val="18"/>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2016221790"/>
              <w:rPr>
                <w:rFonts w:eastAsia="Times New Roman"/>
              </w:rPr>
            </w:pPr>
            <w:r>
              <w:rPr>
                <w:rFonts w:eastAsia="Times New Roman"/>
                <w:color w:val="000000"/>
                <w:sz w:val="18"/>
                <w:szCs w:val="18"/>
              </w:rPr>
              <w:t>Balance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17,840 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9,822 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5,284 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7,232 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12,936 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9,043 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228083026"/>
              <w:rPr>
                <w:rFonts w:eastAsia="Times New Roman"/>
              </w:rPr>
            </w:pPr>
            <w:r>
              <w:rPr>
                <w:rFonts w:eastAsia="Times New Roman"/>
                <w:color w:val="000000"/>
                <w:sz w:val="18"/>
                <w:szCs w:val="18"/>
              </w:rPr>
              <w:t>Repurchases and retirements of common stock</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(755)</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(1,615)</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(1,408)</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19806290"/>
              <w:rPr>
                <w:rFonts w:eastAsia="Times New Roman"/>
              </w:rPr>
            </w:pPr>
            <w:r>
              <w:rPr>
                <w:rFonts w:eastAsia="Times New Roman"/>
                <w:color w:val="000000"/>
                <w:sz w:val="18"/>
                <w:szCs w:val="18"/>
              </w:rPr>
              <w:t>Dividends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(3,584)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(3,303)</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(3,097)</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748769270"/>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20,733 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31290733"/>
              <w:rPr>
                <w:rFonts w:eastAsia="Times New Roman"/>
              </w:rPr>
            </w:pPr>
            <w:r>
              <w:rPr>
                <w:rFonts w:eastAsia="Times New Roman"/>
                <w:b/>
                <w:bCs/>
                <w:color w:val="000000"/>
                <w:sz w:val="18"/>
                <w:szCs w:val="18"/>
              </w:rPr>
              <w:t>Accumulated 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744497219"/>
              <w:rPr>
                <w:rFonts w:eastAsia="Times New Roman"/>
              </w:rPr>
            </w:pPr>
            <w:r>
              <w:rPr>
                <w:rFonts w:eastAsia="Times New Roman"/>
                <w:color w:val="000000"/>
                <w:sz w:val="18"/>
                <w:szCs w:val="18"/>
              </w:rPr>
              <w:t>Balance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950091627"/>
              <w:rPr>
                <w:rFonts w:eastAsia="Times New Roman"/>
              </w:rPr>
            </w:pPr>
            <w:r>
              <w:rPr>
                <w:rFonts w:eastAsia="Times New Roman"/>
                <w:color w:val="000000"/>
                <w:sz w:val="18"/>
                <w:szCs w:val="18"/>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380 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(150)</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(79)</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415632285"/>
              <w:rPr>
                <w:rFonts w:eastAsia="Times New Roman"/>
              </w:rPr>
            </w:pPr>
            <w:r>
              <w:rPr>
                <w:rFonts w:eastAsia="Times New Roman"/>
                <w:color w:val="000000"/>
                <w:sz w:val="18"/>
                <w:szCs w:val="18"/>
              </w:rPr>
              <w:t>Balance at 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552430169"/>
              <w:rPr>
                <w:rFonts w:eastAsia="Times New Roman"/>
              </w:rPr>
            </w:pPr>
            <w:r>
              <w:rPr>
                <w:rFonts w:eastAsia="Times New Roman"/>
                <w:b/>
                <w:bCs/>
                <w:color w:val="000000"/>
                <w:sz w:val="18"/>
                <w:szCs w:val="18"/>
              </w:rPr>
              <w:t>Total stockholders’ equity, ending balance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21,581 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18,013 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9,950 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893998294"/>
              <w:rPr>
                <w:rFonts w:eastAsia="Times New Roman"/>
              </w:rPr>
            </w:pPr>
            <w:r>
              <w:rPr>
                <w:rFonts w:eastAsia="Times New Roman"/>
                <w:b/>
                <w:bCs/>
                <w:color w:val="000000"/>
                <w:sz w:val="18"/>
                <w:szCs w:val="18"/>
              </w:rPr>
              <w:t>Dividends per share announced</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2.66 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divId w:val="1693604737"/>
        <w:rPr>
          <w:rFonts w:eastAsia="Times New Roman"/>
        </w:rPr>
      </w:pPr>
    </w:p>
    <w:p w:rsidR="00000000" w:rsidRDefault="008931E1">
      <w:pPr>
        <w:jc w:val="center"/>
        <w:rPr>
          <w:rFonts w:eastAsia="Times New Roman"/>
        </w:rPr>
      </w:pPr>
      <w:r>
        <w:rPr>
          <w:rFonts w:eastAsia="Times New Roman"/>
          <w:color w:val="000000"/>
          <w:sz w:val="18"/>
          <w:szCs w:val="18"/>
        </w:rPr>
        <w:t>See accompanying notes.</w:t>
      </w:r>
    </w:p>
    <w:p w:rsidR="00000000" w:rsidRDefault="008931E1">
      <w:pPr>
        <w:jc w:val="center"/>
        <w:divId w:val="163209929"/>
        <w:rPr>
          <w:rFonts w:eastAsia="Times New Roman"/>
        </w:rPr>
      </w:pPr>
      <w:r>
        <w:rPr>
          <w:rFonts w:eastAsia="Times New Roman"/>
          <w:color w:val="000000"/>
          <w:sz w:val="20"/>
          <w:szCs w:val="20"/>
        </w:rPr>
        <w:t>F-7</w:t>
      </w:r>
    </w:p>
    <w:p w:rsidR="00000000" w:rsidRDefault="008931E1">
      <w:pPr>
        <w:rPr>
          <w:rFonts w:eastAsia="Times New Roman"/>
        </w:rPr>
      </w:pPr>
      <w:r>
        <w:rPr>
          <w:rFonts w:eastAsia="Times New Roman"/>
        </w:rPr>
        <w:pict>
          <v:rect id="_x0000_i1086" style="width:0;height:1.5pt" o:hralign="center" o:hrstd="t" o:hr="t" fillcolor="#a0a0a0" stroked="f"/>
        </w:pict>
      </w:r>
    </w:p>
    <w:p w:rsidR="00000000" w:rsidRDefault="008931E1">
      <w:pPr>
        <w:jc w:val="center"/>
        <w:divId w:val="22753156"/>
        <w:rPr>
          <w:rFonts w:eastAsia="Times New Roman"/>
        </w:rPr>
      </w:pPr>
    </w:p>
    <w:p w:rsidR="00000000" w:rsidRDefault="008931E1">
      <w:pPr>
        <w:jc w:val="center"/>
        <w:divId w:val="22753156"/>
        <w:rPr>
          <w:rFonts w:eastAsia="Times New Roman"/>
        </w:rPr>
      </w:pPr>
      <w:r>
        <w:rPr>
          <w:rFonts w:eastAsia="Times New Roman"/>
          <w:b/>
          <w:bCs/>
          <w:color w:val="000000"/>
          <w:sz w:val="20"/>
          <w:szCs w:val="20"/>
        </w:rPr>
        <w:t>QUALCOMM Incorporated</w:t>
      </w:r>
    </w:p>
    <w:p w:rsidR="00000000" w:rsidRDefault="008931E1">
      <w:pPr>
        <w:jc w:val="center"/>
        <w:divId w:val="22753156"/>
        <w:rPr>
          <w:rFonts w:eastAsia="Times New Roman"/>
        </w:rPr>
      </w:pPr>
      <w:r>
        <w:rPr>
          <w:rFonts w:eastAsia="Times New Roman"/>
          <w:b/>
          <w:bCs/>
          <w:color w:val="000000"/>
          <w:sz w:val="20"/>
          <w:szCs w:val="20"/>
        </w:rPr>
        <w:t>NOTES TO CONSOLIDATED FINANCIAL STATEMENTS</w:t>
      </w:r>
    </w:p>
    <w:p w:rsidR="00000000" w:rsidRDefault="008931E1">
      <w:pPr>
        <w:jc w:val="center"/>
        <w:rPr>
          <w:rFonts w:eastAsia="Times New Roman"/>
        </w:rPr>
      </w:pPr>
    </w:p>
    <w:p w:rsidR="00000000" w:rsidRDefault="008931E1">
      <w:pPr>
        <w:divId w:val="2103530133"/>
        <w:rPr>
          <w:rFonts w:eastAsia="Times New Roman"/>
        </w:rPr>
      </w:pPr>
      <w:r>
        <w:rPr>
          <w:rFonts w:eastAsia="Times New Roman"/>
          <w:b/>
          <w:bCs/>
          <w:color w:val="000000"/>
          <w:sz w:val="20"/>
          <w:szCs w:val="20"/>
        </w:rPr>
        <w:t>Note 1. Significant Accounting Policies</w:t>
      </w:r>
    </w:p>
    <w:p w:rsidR="00000000" w:rsidRDefault="008931E1">
      <w:pPr>
        <w:ind w:firstLine="360"/>
        <w:divId w:val="1030765037"/>
        <w:rPr>
          <w:rFonts w:eastAsia="Times New Roman"/>
        </w:rPr>
      </w:pPr>
      <w:r>
        <w:rPr>
          <w:rFonts w:eastAsia="Times New Roman"/>
          <w:color w:val="000000"/>
          <w:sz w:val="20"/>
          <w:szCs w:val="20"/>
        </w:rPr>
        <w:t>We are a global leader in the</w:t>
      </w:r>
      <w:r>
        <w:rPr>
          <w:rFonts w:eastAsia="Times New Roman"/>
          <w:color w:val="000000"/>
          <w:sz w:val="20"/>
          <w:szCs w:val="20"/>
        </w:rPr>
        <w:t xml:space="preserve"> development and commercialization of foundational technologies for the wireless industry, including 3G, 4G and 5G wireless connectivity, and high-performance and low-power computing including on-device artificial intelligence (AI). Our technologies and pr</w:t>
      </w:r>
      <w:r>
        <w:rPr>
          <w:rFonts w:eastAsia="Times New Roman"/>
          <w:color w:val="000000"/>
          <w:sz w:val="20"/>
          <w:szCs w:val="20"/>
        </w:rPr>
        <w:t xml:space="preserve">oducts are used in mobile devices and other wireless products, including those used in the internet of things (IoT) and automotive systems for connectivity, digital cockpit and advanced driver assistance and automated driving (ADAS/AD). We derive revenues </w:t>
      </w:r>
      <w:r>
        <w:rPr>
          <w:rFonts w:eastAsia="Times New Roman"/>
          <w:color w:val="000000"/>
          <w:sz w:val="20"/>
          <w:szCs w:val="20"/>
        </w:rPr>
        <w:t xml:space="preserve">principally from sales of integrated circuit products and through the licensing of our intellectual property, including patents and other rights. </w:t>
      </w:r>
    </w:p>
    <w:p w:rsidR="00000000" w:rsidRDefault="008931E1">
      <w:pPr>
        <w:ind w:firstLine="360"/>
        <w:divId w:val="1247612413"/>
        <w:rPr>
          <w:rFonts w:eastAsia="Times New Roman"/>
        </w:rPr>
      </w:pPr>
      <w:r>
        <w:rPr>
          <w:rFonts w:eastAsia="Times New Roman"/>
          <w:b/>
          <w:bCs/>
          <w:i/>
          <w:iCs/>
          <w:color w:val="000000"/>
          <w:sz w:val="20"/>
          <w:szCs w:val="20"/>
        </w:rPr>
        <w:t>Principles of Consolidation.</w:t>
      </w:r>
      <w:r>
        <w:rPr>
          <w:rFonts w:eastAsia="Times New Roman"/>
          <w:color w:val="000000"/>
          <w:sz w:val="20"/>
          <w:szCs w:val="20"/>
        </w:rPr>
        <w:t xml:space="preserve"> The consolidated financial statements include the assets, liabilities and operat</w:t>
      </w:r>
      <w:r>
        <w:rPr>
          <w:rFonts w:eastAsia="Times New Roman"/>
          <w:color w:val="000000"/>
          <w:sz w:val="20"/>
          <w:szCs w:val="20"/>
        </w:rPr>
        <w:t>ing results of Qualcomm, its subsidiaries and any variable interest entities for which we are deemed to be the primary beneficiary (Note 9). Intercompany transactions and balances have been eliminated.</w:t>
      </w:r>
    </w:p>
    <w:p w:rsidR="00000000" w:rsidRDefault="008931E1">
      <w:pPr>
        <w:ind w:firstLine="360"/>
        <w:divId w:val="1032804284"/>
        <w:rPr>
          <w:rFonts w:eastAsia="Times New Roman"/>
        </w:rPr>
      </w:pPr>
      <w:r>
        <w:rPr>
          <w:rFonts w:eastAsia="Times New Roman"/>
          <w:b/>
          <w:bCs/>
          <w:i/>
          <w:iCs/>
          <w:color w:val="000000"/>
          <w:sz w:val="20"/>
          <w:szCs w:val="20"/>
        </w:rPr>
        <w:t>Financial Statement Preparation.</w:t>
      </w:r>
      <w:r>
        <w:rPr>
          <w:rFonts w:eastAsia="Times New Roman"/>
          <w:color w:val="000000"/>
          <w:sz w:val="20"/>
          <w:szCs w:val="20"/>
        </w:rPr>
        <w:t xml:space="preserve"> The preparation of fi</w:t>
      </w:r>
      <w:r>
        <w:rPr>
          <w:rFonts w:eastAsia="Times New Roman"/>
          <w:color w:val="000000"/>
          <w:sz w:val="20"/>
          <w:szCs w:val="20"/>
        </w:rPr>
        <w:t>nancial statements in conformity with accounting principles generally accepted in the United States of America (GAAP) requires management to make estimates and assumptions that affect the reported amounts and the disclosure of contingent amounts in our con</w:t>
      </w:r>
      <w:r>
        <w:rPr>
          <w:rFonts w:eastAsia="Times New Roman"/>
          <w:color w:val="000000"/>
          <w:sz w:val="20"/>
          <w:szCs w:val="20"/>
        </w:rPr>
        <w:t>solidated financial statements and the accompanying notes. Examples of our significant accounting estimates and policies that may involve a higher degree of judgment and complexity than others include: the estimation of sales-based royalty revenues; the im</w:t>
      </w:r>
      <w:r>
        <w:rPr>
          <w:rFonts w:eastAsia="Times New Roman"/>
          <w:color w:val="000000"/>
          <w:sz w:val="20"/>
          <w:szCs w:val="20"/>
        </w:rPr>
        <w:t xml:space="preserve">pairment of non-marketable equity investments; the valuation of inventories; the impairment of goodwill, other indefinite-lived assets and long-lived assets; the recognition, measurement and disclosure of loss contingencies related to legal and regulatory </w:t>
      </w:r>
      <w:r>
        <w:rPr>
          <w:rFonts w:eastAsia="Times New Roman"/>
          <w:color w:val="000000"/>
          <w:sz w:val="20"/>
          <w:szCs w:val="20"/>
        </w:rPr>
        <w:t>proceedings; and the calculation of our income tax provision, including the recognition and measurement of uncertain tax positions. Actual results could differ from those estimates. Certain prior year amounts have been reclassified to conform to the curren</w:t>
      </w:r>
      <w:r>
        <w:rPr>
          <w:rFonts w:eastAsia="Times New Roman"/>
          <w:color w:val="000000"/>
          <w:sz w:val="20"/>
          <w:szCs w:val="20"/>
        </w:rPr>
        <w:t>t year presentation.</w:t>
      </w:r>
    </w:p>
    <w:p w:rsidR="00000000" w:rsidRDefault="008931E1">
      <w:pPr>
        <w:ind w:firstLine="360"/>
        <w:divId w:val="1452171281"/>
        <w:rPr>
          <w:rFonts w:eastAsia="Times New Roman"/>
        </w:rPr>
      </w:pPr>
      <w:r>
        <w:rPr>
          <w:rFonts w:eastAsia="Times New Roman"/>
          <w:b/>
          <w:bCs/>
          <w:i/>
          <w:iCs/>
          <w:color w:val="000000"/>
          <w:sz w:val="20"/>
          <w:szCs w:val="20"/>
        </w:rPr>
        <w:t>Fiscal Year.</w:t>
      </w:r>
      <w:r>
        <w:rPr>
          <w:rFonts w:eastAsia="Times New Roman"/>
          <w:color w:val="000000"/>
          <w:sz w:val="20"/>
          <w:szCs w:val="20"/>
        </w:rPr>
        <w:t xml:space="preserve"> </w:t>
      </w:r>
      <w:r>
        <w:rPr>
          <w:rFonts w:eastAsia="Times New Roman"/>
          <w:color w:val="000000"/>
          <w:sz w:val="20"/>
          <w:szCs w:val="20"/>
        </w:rPr>
        <w:t xml:space="preserve">We operate and report using a 52-53 week fiscal year ending on the last Sunday in September. The fiscal years presented each included 52 weeks. </w:t>
      </w:r>
    </w:p>
    <w:p w:rsidR="00000000" w:rsidRDefault="008931E1">
      <w:pPr>
        <w:ind w:firstLine="360"/>
        <w:divId w:val="307173777"/>
        <w:rPr>
          <w:rFonts w:eastAsia="Times New Roman"/>
        </w:rPr>
      </w:pPr>
      <w:r>
        <w:rPr>
          <w:rFonts w:eastAsia="Times New Roman"/>
          <w:b/>
          <w:bCs/>
          <w:i/>
          <w:iCs/>
          <w:color w:val="000000"/>
          <w:sz w:val="20"/>
          <w:szCs w:val="20"/>
        </w:rPr>
        <w:t>Cash Equivalents.</w:t>
      </w:r>
      <w:r>
        <w:rPr>
          <w:rFonts w:eastAsia="Times New Roman"/>
          <w:color w:val="000000"/>
          <w:sz w:val="20"/>
          <w:szCs w:val="20"/>
        </w:rPr>
        <w:t xml:space="preserve"> We consider all highly liquid investments with original maturities of 90 days or less to be c</w:t>
      </w:r>
      <w:r>
        <w:rPr>
          <w:rFonts w:eastAsia="Times New Roman"/>
          <w:color w:val="000000"/>
          <w:sz w:val="20"/>
          <w:szCs w:val="20"/>
        </w:rPr>
        <w:t xml:space="preserve">ash equivalents. Cash equivalents may be comprised of money market funds, certificates of deposit, commercial paper, corporate bonds and notes, certain bank time and demand deposits, U.S. Treasury securities and government-related securities. The carrying </w:t>
      </w:r>
      <w:r>
        <w:rPr>
          <w:rFonts w:eastAsia="Times New Roman"/>
          <w:color w:val="000000"/>
          <w:sz w:val="20"/>
          <w:szCs w:val="20"/>
        </w:rPr>
        <w:t>amounts approximate fair value due to the short maturities of these instruments.</w:t>
      </w:r>
    </w:p>
    <w:p w:rsidR="00000000" w:rsidRDefault="008931E1">
      <w:pPr>
        <w:ind w:firstLine="360"/>
        <w:divId w:val="1869484166"/>
        <w:rPr>
          <w:rFonts w:eastAsia="Times New Roman"/>
        </w:rPr>
      </w:pPr>
      <w:r>
        <w:rPr>
          <w:rFonts w:eastAsia="Times New Roman"/>
          <w:b/>
          <w:bCs/>
          <w:i/>
          <w:iCs/>
          <w:color w:val="000000"/>
          <w:sz w:val="20"/>
          <w:szCs w:val="20"/>
        </w:rPr>
        <w:t>Marketable Securities.</w:t>
      </w:r>
      <w:r>
        <w:rPr>
          <w:rFonts w:eastAsia="Times New Roman"/>
          <w:color w:val="000000"/>
          <w:sz w:val="20"/>
          <w:szCs w:val="20"/>
        </w:rPr>
        <w:t xml:space="preserve"> Marketable securities include marketable equity securities, available-for-sale debt securities and, from time-to-time, certain time deposits. We classif</w:t>
      </w:r>
      <w:r>
        <w:rPr>
          <w:rFonts w:eastAsia="Times New Roman"/>
          <w:color w:val="000000"/>
          <w:sz w:val="20"/>
          <w:szCs w:val="20"/>
        </w:rPr>
        <w:t xml:space="preserve">y marketable securities as current or noncurrent based on the nature of the securities and their availability for use in current operations. Marketable securities are stated at fair value with all realized and unrealized gains and losses on investments in </w:t>
      </w:r>
      <w:r>
        <w:rPr>
          <w:rFonts w:eastAsia="Times New Roman"/>
          <w:color w:val="000000"/>
          <w:sz w:val="20"/>
          <w:szCs w:val="20"/>
        </w:rPr>
        <w:t xml:space="preserve">marketable equity securities and realized gains and losses on available-for-sale debt securities recognized in investment and other income (expense), net. Debt securities are classified as available-for-sale or held-to-maturity at the time of purchase and </w:t>
      </w:r>
      <w:r>
        <w:rPr>
          <w:rFonts w:eastAsia="Times New Roman"/>
          <w:color w:val="000000"/>
          <w:sz w:val="20"/>
          <w:szCs w:val="20"/>
        </w:rPr>
        <w:t>reevaluated at each balance sheet date. The realized and unrealized gains and losses on marketable securities are determined using the specific identification method.</w:t>
      </w:r>
    </w:p>
    <w:p w:rsidR="00000000" w:rsidRDefault="008931E1">
      <w:pPr>
        <w:ind w:firstLine="360"/>
        <w:divId w:val="15934912"/>
        <w:rPr>
          <w:rFonts w:eastAsia="Times New Roman"/>
        </w:rPr>
      </w:pPr>
      <w:r>
        <w:rPr>
          <w:rFonts w:eastAsia="Times New Roman"/>
          <w:color w:val="000000"/>
          <w:sz w:val="20"/>
          <w:szCs w:val="20"/>
        </w:rPr>
        <w:t>If a debt security has an unrealized loss and we either intend to sell the security or it</w:t>
      </w:r>
      <w:r>
        <w:rPr>
          <w:rFonts w:eastAsia="Times New Roman"/>
          <w:color w:val="000000"/>
          <w:sz w:val="20"/>
          <w:szCs w:val="20"/>
        </w:rPr>
        <w:t xml:space="preserve"> is more likely than not that we will be required to sell the security before its anticipated recovery, we record an impairment charge to investment and other income (expense), net for the entire amount of the unrealized loss and adjust the amortized cost </w:t>
      </w:r>
      <w:r>
        <w:rPr>
          <w:rFonts w:eastAsia="Times New Roman"/>
          <w:color w:val="000000"/>
          <w:sz w:val="20"/>
          <w:szCs w:val="20"/>
        </w:rPr>
        <w:t>basis of the security. For the remaining debt securities, if an unrealized loss exists, we separate the impairment into the portion of the loss related to credit factors and the portion of the loss that is not related to credit factors. Unrealized gains or</w:t>
      </w:r>
      <w:r>
        <w:rPr>
          <w:rFonts w:eastAsia="Times New Roman"/>
          <w:color w:val="000000"/>
          <w:sz w:val="20"/>
          <w:szCs w:val="20"/>
        </w:rPr>
        <w:t xml:space="preserve"> unrealized losses that are not related to credit factors on available-for-sale debt securities are recorded as a component of accumulated other comprehensive income (loss), net of income taxes. Unrealized losses that are related to credit loss factors on </w:t>
      </w:r>
      <w:r>
        <w:rPr>
          <w:rFonts w:eastAsia="Times New Roman"/>
          <w:color w:val="000000"/>
          <w:sz w:val="20"/>
          <w:szCs w:val="20"/>
        </w:rPr>
        <w:t>available-for-sale debt securities and subsequent adjustments to the credit loss are recorded as an allowance for credit losses, which is included in investment and other income (expense), net. In evaluating whether a credit loss exists, we consider a vari</w:t>
      </w:r>
      <w:r>
        <w:rPr>
          <w:rFonts w:eastAsia="Times New Roman"/>
          <w:color w:val="000000"/>
          <w:sz w:val="20"/>
          <w:szCs w:val="20"/>
        </w:rPr>
        <w:t>ety of factors, including the significance of the decline in value as compared to the cost basis; underlying factors contributing to a decline in the prices of securities in a single asset class; the security’s relative performance versus its peers, sector</w:t>
      </w:r>
      <w:r>
        <w:rPr>
          <w:rFonts w:eastAsia="Times New Roman"/>
          <w:color w:val="000000"/>
          <w:sz w:val="20"/>
          <w:szCs w:val="20"/>
        </w:rPr>
        <w:t xml:space="preserve"> or asset class; the market and economy in general; views of external investment managers; news or financial information that has been released specific to the investee; and the outlook for the overall industry in which the investee operates.</w:t>
      </w:r>
    </w:p>
    <w:p w:rsidR="00000000" w:rsidRDefault="008931E1">
      <w:pPr>
        <w:ind w:firstLine="360"/>
        <w:divId w:val="1143040747"/>
        <w:rPr>
          <w:rFonts w:eastAsia="Times New Roman"/>
        </w:rPr>
      </w:pPr>
      <w:r>
        <w:rPr>
          <w:rFonts w:eastAsia="Times New Roman"/>
          <w:b/>
          <w:bCs/>
          <w:i/>
          <w:iCs/>
          <w:color w:val="000000"/>
          <w:sz w:val="20"/>
          <w:szCs w:val="20"/>
        </w:rPr>
        <w:t>Equity Method</w:t>
      </w:r>
      <w:r>
        <w:rPr>
          <w:rFonts w:eastAsia="Times New Roman"/>
          <w:b/>
          <w:bCs/>
          <w:i/>
          <w:iCs/>
          <w:color w:val="000000"/>
          <w:sz w:val="20"/>
          <w:szCs w:val="20"/>
        </w:rPr>
        <w:t xml:space="preserve"> and Non-marketable Equity Investments. </w:t>
      </w:r>
      <w:r>
        <w:rPr>
          <w:rFonts w:eastAsia="Times New Roman"/>
          <w:color w:val="000000"/>
          <w:sz w:val="20"/>
          <w:szCs w:val="20"/>
        </w:rPr>
        <w:t xml:space="preserve">Equity investments for which we have significant influence, but not control, over the investee and are not the primary beneficiary of the investee’s activities are accounted for under the equity method. Our share of </w:t>
      </w:r>
      <w:r>
        <w:rPr>
          <w:rFonts w:eastAsia="Times New Roman"/>
          <w:color w:val="000000"/>
          <w:sz w:val="20"/>
          <w:szCs w:val="20"/>
        </w:rPr>
        <w:t>gains and losses in equity method investments are recorded in investment and other income (expense), net. We eliminate unrealized profit or loss related to transactions with equity method investees in relation to our ownership interest in the investee, whi</w:t>
      </w:r>
      <w:r>
        <w:rPr>
          <w:rFonts w:eastAsia="Times New Roman"/>
          <w:color w:val="000000"/>
          <w:sz w:val="20"/>
          <w:szCs w:val="20"/>
        </w:rPr>
        <w:t>ch is recorded as a component of equity in net earnings (losses) in investees in investment and other income (expense), net. Non-marketable equity investments (for which we do not have significant influence or control) are investments without readily deter</w:t>
      </w:r>
      <w:r>
        <w:rPr>
          <w:rFonts w:eastAsia="Times New Roman"/>
          <w:color w:val="000000"/>
          <w:sz w:val="20"/>
          <w:szCs w:val="20"/>
        </w:rPr>
        <w:t>minable fair values that are recorded based on initial cost minus impairment, if any, plus or minus adjustments resulting from observable price changes in orderly transactions for identical or similar securities, if any. All gains and losses on investments</w:t>
      </w:r>
      <w:r>
        <w:rPr>
          <w:rFonts w:eastAsia="Times New Roman"/>
          <w:color w:val="000000"/>
          <w:sz w:val="20"/>
          <w:szCs w:val="20"/>
        </w:rPr>
        <w:t xml:space="preserve"> in non-marketable equity securities, realized and unrealized, are recognized in investment and other income (expense), net. We monitor equity method and non-marketable equity investments for events or circumstances that could indicate the investments are </w:t>
      </w:r>
      <w:r>
        <w:rPr>
          <w:rFonts w:eastAsia="Times New Roman"/>
          <w:color w:val="000000"/>
          <w:sz w:val="20"/>
          <w:szCs w:val="20"/>
        </w:rPr>
        <w:t>impaired, such as a deterioration in the investee’s financial condition and business forecasts and lower valuations in recently completed or anticipated financings, and recognize a charge to investment and other income (expense), net for the difference bet</w:t>
      </w:r>
      <w:r>
        <w:rPr>
          <w:rFonts w:eastAsia="Times New Roman"/>
          <w:color w:val="000000"/>
          <w:sz w:val="20"/>
          <w:szCs w:val="20"/>
        </w:rPr>
        <w:t xml:space="preserve">ween the estimated fair value and the carrying value. For </w:t>
      </w:r>
    </w:p>
    <w:p w:rsidR="00000000" w:rsidRDefault="008931E1">
      <w:pPr>
        <w:jc w:val="center"/>
        <w:divId w:val="1742749416"/>
        <w:rPr>
          <w:rFonts w:eastAsia="Times New Roman"/>
        </w:rPr>
      </w:pPr>
      <w:r>
        <w:rPr>
          <w:rFonts w:eastAsia="Times New Roman"/>
          <w:color w:val="000000"/>
          <w:sz w:val="20"/>
          <w:szCs w:val="20"/>
        </w:rPr>
        <w:t>F-8</w:t>
      </w:r>
    </w:p>
    <w:p w:rsidR="00000000" w:rsidRDefault="008931E1">
      <w:pPr>
        <w:rPr>
          <w:rFonts w:eastAsia="Times New Roman"/>
        </w:rPr>
      </w:pPr>
      <w:r>
        <w:rPr>
          <w:rFonts w:eastAsia="Times New Roman"/>
        </w:rPr>
        <w:pict>
          <v:rect id="_x0000_i1087" style="width:0;height:1.5pt" o:hralign="center" o:hrstd="t" o:hr="t" fillcolor="#a0a0a0" stroked="f"/>
        </w:pict>
      </w:r>
    </w:p>
    <w:p w:rsidR="00000000" w:rsidRDefault="008931E1">
      <w:pPr>
        <w:jc w:val="center"/>
        <w:divId w:val="1952782960"/>
        <w:rPr>
          <w:rFonts w:eastAsia="Times New Roman"/>
        </w:rPr>
      </w:pPr>
    </w:p>
    <w:p w:rsidR="00000000" w:rsidRDefault="008931E1">
      <w:pPr>
        <w:jc w:val="center"/>
        <w:divId w:val="1952782960"/>
        <w:rPr>
          <w:rFonts w:eastAsia="Times New Roman"/>
        </w:rPr>
      </w:pPr>
      <w:r>
        <w:rPr>
          <w:rFonts w:eastAsia="Times New Roman"/>
          <w:b/>
          <w:bCs/>
          <w:color w:val="000000"/>
          <w:sz w:val="20"/>
          <w:szCs w:val="20"/>
        </w:rPr>
        <w:t>QUALCOMM Incorporated</w:t>
      </w:r>
    </w:p>
    <w:p w:rsidR="00000000" w:rsidRDefault="008931E1">
      <w:pPr>
        <w:jc w:val="center"/>
        <w:divId w:val="1952782960"/>
        <w:rPr>
          <w:rFonts w:eastAsia="Times New Roman"/>
        </w:rPr>
      </w:pPr>
      <w:r>
        <w:rPr>
          <w:rFonts w:eastAsia="Times New Roman"/>
          <w:b/>
          <w:bCs/>
          <w:color w:val="000000"/>
          <w:sz w:val="20"/>
          <w:szCs w:val="20"/>
        </w:rPr>
        <w:t>NOTES TO CONSOLIDATED FINANCIAL STATEMENTS</w:t>
      </w:r>
    </w:p>
    <w:p w:rsidR="00000000" w:rsidRDefault="008931E1">
      <w:pPr>
        <w:divId w:val="1458985811"/>
        <w:rPr>
          <w:rFonts w:eastAsia="Times New Roman"/>
        </w:rPr>
      </w:pPr>
      <w:r>
        <w:rPr>
          <w:rFonts w:eastAsia="Times New Roman"/>
          <w:color w:val="000000"/>
          <w:sz w:val="20"/>
          <w:szCs w:val="20"/>
        </w:rPr>
        <w:t xml:space="preserve">equity method investments, we record impairment losses in earnings only when impairments </w:t>
      </w:r>
      <w:r>
        <w:rPr>
          <w:rFonts w:eastAsia="Times New Roman"/>
          <w:color w:val="000000"/>
          <w:sz w:val="20"/>
          <w:szCs w:val="20"/>
        </w:rPr>
        <w:t>are considered other-than-temporary.</w:t>
      </w:r>
    </w:p>
    <w:p w:rsidR="00000000" w:rsidRDefault="008931E1">
      <w:pPr>
        <w:ind w:firstLine="360"/>
        <w:divId w:val="256791169"/>
        <w:rPr>
          <w:rFonts w:eastAsia="Times New Roman"/>
        </w:rPr>
      </w:pPr>
      <w:r>
        <w:rPr>
          <w:rFonts w:eastAsia="Times New Roman"/>
          <w:b/>
          <w:bCs/>
          <w:i/>
          <w:iCs/>
          <w:color w:val="000000"/>
          <w:sz w:val="20"/>
          <w:szCs w:val="20"/>
        </w:rPr>
        <w:t>Derivatives.</w:t>
      </w:r>
      <w:r>
        <w:rPr>
          <w:rFonts w:eastAsia="Times New Roman"/>
          <w:color w:val="000000"/>
          <w:sz w:val="20"/>
          <w:szCs w:val="20"/>
        </w:rPr>
        <w:t xml:space="preserve"> Our primary objectives for holding derivative instruments are to manage foreign exchange risk for certain foreign currency revenues, operating expenses, receivables and payables and to manage interest rate </w:t>
      </w:r>
      <w:r>
        <w:rPr>
          <w:rFonts w:eastAsia="Times New Roman"/>
          <w:color w:val="000000"/>
          <w:sz w:val="20"/>
          <w:szCs w:val="20"/>
        </w:rPr>
        <w:t xml:space="preserve">risk associated with our cash equivalents, marketable securities and long-term debt. Derivative instruments are recorded at fair value and included in other current or noncurrent assets or liabilities based on their maturity dates. Counterparties to these </w:t>
      </w:r>
      <w:r>
        <w:rPr>
          <w:rFonts w:eastAsia="Times New Roman"/>
          <w:color w:val="000000"/>
          <w:sz w:val="20"/>
          <w:szCs w:val="20"/>
        </w:rPr>
        <w:t>derivative instruments are all major banking institutions. At September 24, 2023, the aggregate fair value of our derivative instruments recorded in total assets and in total liabilities were $32 million and $317 million, respectively. At September 25, 202</w:t>
      </w:r>
      <w:r>
        <w:rPr>
          <w:rFonts w:eastAsia="Times New Roman"/>
          <w:color w:val="000000"/>
          <w:sz w:val="20"/>
          <w:szCs w:val="20"/>
        </w:rPr>
        <w:t>2, the aggregate fair value of our derivative instruments recorded in total assets and in total liabilities were $271 million and $346 million, respectively.</w:t>
      </w:r>
    </w:p>
    <w:p w:rsidR="00000000" w:rsidRDefault="008931E1">
      <w:pPr>
        <w:ind w:firstLine="360"/>
        <w:divId w:val="961768415"/>
        <w:rPr>
          <w:rFonts w:eastAsia="Times New Roman"/>
        </w:rPr>
      </w:pPr>
      <w:r>
        <w:rPr>
          <w:rFonts w:eastAsia="Times New Roman"/>
          <w:i/>
          <w:iCs/>
          <w:color w:val="000000"/>
          <w:sz w:val="20"/>
          <w:szCs w:val="20"/>
        </w:rPr>
        <w:t>Foreign Currency Hedges:</w:t>
      </w:r>
      <w:r>
        <w:rPr>
          <w:rFonts w:eastAsia="Times New Roman"/>
          <w:color w:val="000000"/>
          <w:sz w:val="20"/>
          <w:szCs w:val="20"/>
        </w:rPr>
        <w:t xml:space="preserve"> </w:t>
      </w:r>
      <w:r>
        <w:rPr>
          <w:rFonts w:eastAsia="Times New Roman"/>
          <w:color w:val="000000"/>
          <w:sz w:val="20"/>
          <w:szCs w:val="20"/>
        </w:rPr>
        <w:t>We manage our exposure to foreign exchange market risks, when deemed appropriate, through the use of derivative instruments, including foreign currency forward and option contracts with financial counterparties, that may or may not be designated as hedging</w:t>
      </w:r>
      <w:r>
        <w:rPr>
          <w:rFonts w:eastAsia="Times New Roman"/>
          <w:color w:val="000000"/>
          <w:sz w:val="20"/>
          <w:szCs w:val="20"/>
        </w:rPr>
        <w:t xml:space="preserve"> instruments. These derivative instruments generally have maturity dates between</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and 24 months. Gains and losses arising from such contracts that are designated as cash flow hedging instruments are recorded as a component of accumulated other comprehen</w:t>
      </w:r>
      <w:r>
        <w:rPr>
          <w:rFonts w:eastAsia="Times New Roman"/>
          <w:color w:val="000000"/>
          <w:sz w:val="20"/>
          <w:szCs w:val="20"/>
        </w:rPr>
        <w:t>sive income (loss) as gains and losses on derivative instruments, net of income taxes. The hedging gains and losses in accumulated other comprehensive income (loss) are subsequently reclassified to revenues or costs and expenses, as applicable, in the cons</w:t>
      </w:r>
      <w:r>
        <w:rPr>
          <w:rFonts w:eastAsia="Times New Roman"/>
          <w:color w:val="000000"/>
          <w:sz w:val="20"/>
          <w:szCs w:val="20"/>
        </w:rPr>
        <w:t>olidated statements of operations in the same period in which the underlying transactions affect our earnings. For foreign currency forward contracts not designated as hedging instruments, the changes in fair value are recorded in</w:t>
      </w:r>
      <w:r>
        <w:rPr>
          <w:rFonts w:eastAsia="Times New Roman"/>
          <w:color w:val="000000"/>
          <w:sz w:val="20"/>
          <w:szCs w:val="20"/>
        </w:rPr>
        <w:t xml:space="preserve"> </w:t>
      </w:r>
      <w:r>
        <w:rPr>
          <w:rFonts w:eastAsia="Times New Roman"/>
          <w:color w:val="000000"/>
          <w:sz w:val="20"/>
          <w:szCs w:val="20"/>
        </w:rPr>
        <w:t>investment and other inco</w:t>
      </w:r>
      <w:r>
        <w:rPr>
          <w:rFonts w:eastAsia="Times New Roman"/>
          <w:color w:val="000000"/>
          <w:sz w:val="20"/>
          <w:szCs w:val="20"/>
        </w:rPr>
        <w:t>me (expense</w:t>
      </w:r>
      <w:r>
        <w:rPr>
          <w:rFonts w:eastAsia="Times New Roman"/>
          <w:color w:val="000000"/>
          <w:sz w:val="20"/>
          <w:szCs w:val="20"/>
        </w:rPr>
        <w:t>)</w:t>
      </w:r>
      <w:r>
        <w:rPr>
          <w:rFonts w:eastAsia="Times New Roman"/>
          <w:color w:val="000000"/>
          <w:sz w:val="20"/>
          <w:szCs w:val="20"/>
        </w:rPr>
        <w:t xml:space="preserve">, net in the period of change. </w:t>
      </w:r>
    </w:p>
    <w:p w:rsidR="00000000" w:rsidRDefault="008931E1">
      <w:pPr>
        <w:ind w:firstLine="360"/>
        <w:divId w:val="45837880"/>
        <w:rPr>
          <w:rFonts w:eastAsia="Times New Roman"/>
        </w:rPr>
      </w:pPr>
      <w:r>
        <w:rPr>
          <w:rFonts w:eastAsia="Times New Roman"/>
          <w:color w:val="000000"/>
          <w:sz w:val="20"/>
          <w:szCs w:val="20"/>
        </w:rPr>
        <w:t>The cash flows associated with such derivative instruments are classified as cash flows from operating activities in the consolidated statements of cash flows, which is the same category as the hedged transaction</w:t>
      </w:r>
      <w:r>
        <w:rPr>
          <w:rFonts w:eastAsia="Times New Roman"/>
          <w:color w:val="000000"/>
          <w:sz w:val="20"/>
          <w:szCs w:val="20"/>
        </w:rPr>
        <w:t>.</w:t>
      </w:r>
    </w:p>
    <w:p w:rsidR="00000000" w:rsidRDefault="008931E1">
      <w:pPr>
        <w:ind w:firstLine="360"/>
        <w:divId w:val="2010252817"/>
        <w:rPr>
          <w:rFonts w:eastAsia="Times New Roman"/>
        </w:rPr>
      </w:pPr>
      <w:r>
        <w:rPr>
          <w:rFonts w:eastAsia="Times New Roman"/>
          <w:i/>
          <w:iCs/>
          <w:color w:val="000000"/>
          <w:sz w:val="20"/>
          <w:szCs w:val="20"/>
        </w:rPr>
        <w:t>Interest Rate Swaps:</w:t>
      </w:r>
      <w:r>
        <w:rPr>
          <w:rFonts w:eastAsia="Times New Roman"/>
          <w:b/>
          <w:bCs/>
          <w:i/>
          <w:iCs/>
          <w:color w:val="000000"/>
          <w:sz w:val="20"/>
          <w:szCs w:val="20"/>
        </w:rPr>
        <w:t xml:space="preserve"> </w:t>
      </w:r>
      <w:r>
        <w:rPr>
          <w:rFonts w:eastAsia="Times New Roman"/>
          <w:color w:val="000000"/>
          <w:sz w:val="20"/>
          <w:szCs w:val="20"/>
        </w:rPr>
        <w:t>From time to time, we enter into interest rate swap agreements that allow us to effectively convert fixed-rate payments into floating-rate payments on portions of our outstanding long-term debt. We enter into these agreements to mana</w:t>
      </w:r>
      <w:r>
        <w:rPr>
          <w:rFonts w:eastAsia="Times New Roman"/>
          <w:color w:val="000000"/>
          <w:sz w:val="20"/>
          <w:szCs w:val="20"/>
        </w:rPr>
        <w:t>ge interest rate risk associated with our cash equivalents and marketable securities, in addition to changes in the fair value of our outstanding debt. These transactions are designated as fair value hedges, and the gains and losses related to changes in t</w:t>
      </w:r>
      <w:r>
        <w:rPr>
          <w:rFonts w:eastAsia="Times New Roman"/>
          <w:color w:val="000000"/>
          <w:sz w:val="20"/>
          <w:szCs w:val="20"/>
        </w:rPr>
        <w:t>he fair value of the interest rate swaps substantially offset changes in the fair value of the hedged portion of the underlying debt that are attributable to changes in the market interest rates. The net gains and losses on the interest rate swaps, as well</w:t>
      </w:r>
      <w:r>
        <w:rPr>
          <w:rFonts w:eastAsia="Times New Roman"/>
          <w:color w:val="000000"/>
          <w:sz w:val="20"/>
          <w:szCs w:val="20"/>
        </w:rPr>
        <w:t xml:space="preserve"> as the offsetting gains or losses on the related fixed-rate debt attributable to the hedged risks, are recognized as interest expense in the current period. The interest settlement payments associated with the interest rate swap agreements are classified </w:t>
      </w:r>
      <w:r>
        <w:rPr>
          <w:rFonts w:eastAsia="Times New Roman"/>
          <w:color w:val="000000"/>
          <w:sz w:val="20"/>
          <w:szCs w:val="20"/>
        </w:rPr>
        <w:t xml:space="preserve">as cash flows from operating activities in the consolidated statements of cash flows. </w:t>
      </w:r>
    </w:p>
    <w:p w:rsidR="00000000" w:rsidRDefault="008931E1">
      <w:pPr>
        <w:ind w:firstLine="360"/>
        <w:divId w:val="1254628702"/>
        <w:rPr>
          <w:rFonts w:eastAsia="Times New Roman"/>
        </w:rPr>
      </w:pPr>
      <w:r>
        <w:rPr>
          <w:rFonts w:eastAsia="Times New Roman"/>
          <w:color w:val="000000"/>
          <w:sz w:val="20"/>
          <w:szCs w:val="20"/>
        </w:rPr>
        <w:t>From time to time, we also enter into forward-starting interest rate swaps to hedge the variability of forecasted interest payments on certain anticipated debt issuances</w:t>
      </w:r>
      <w:r>
        <w:rPr>
          <w:rFonts w:eastAsia="Times New Roman"/>
          <w:color w:val="000000"/>
          <w:sz w:val="20"/>
          <w:szCs w:val="20"/>
        </w:rPr>
        <w:t>. These swaps are designated as cash flow hedges of forecasted transactions. The gains and losses arising from such contracts are recorded as a component in accumulated other comprehensive income (loss) as gains and losses on derivative instruments. When t</w:t>
      </w:r>
      <w:r>
        <w:rPr>
          <w:rFonts w:eastAsia="Times New Roman"/>
          <w:color w:val="000000"/>
          <w:sz w:val="20"/>
          <w:szCs w:val="20"/>
        </w:rPr>
        <w:t xml:space="preserve">he anticipated debt is issued, any associated swaps are terminated, and the hedging gains and losses in accumulated other comprehensive income (loss) are recorded to interest expense over the term of the hedged portions of the related debt issued. </w:t>
      </w:r>
    </w:p>
    <w:p w:rsidR="00000000" w:rsidRDefault="008931E1">
      <w:pPr>
        <w:ind w:firstLine="360"/>
        <w:divId w:val="1866214091"/>
        <w:rPr>
          <w:rFonts w:eastAsia="Times New Roman"/>
        </w:rPr>
      </w:pPr>
      <w:r>
        <w:rPr>
          <w:rFonts w:eastAsia="Times New Roman"/>
          <w:i/>
          <w:iCs/>
          <w:color w:val="000000"/>
          <w:sz w:val="20"/>
          <w:szCs w:val="20"/>
        </w:rPr>
        <w:t>Gross N</w:t>
      </w:r>
      <w:r>
        <w:rPr>
          <w:rFonts w:eastAsia="Times New Roman"/>
          <w:i/>
          <w:iCs/>
          <w:color w:val="000000"/>
          <w:sz w:val="20"/>
          <w:szCs w:val="20"/>
        </w:rPr>
        <w:t>otional Amounts:</w:t>
      </w:r>
      <w:r>
        <w:rPr>
          <w:rFonts w:eastAsia="Times New Roman"/>
          <w:color w:val="000000"/>
          <w:sz w:val="20"/>
          <w:szCs w:val="20"/>
        </w:rPr>
        <w:t xml:space="preserve"> The gross notional amounts of our foreign currency and interest rate derivatives by instrument type were as follows (in millions):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6"/>
        <w:gridCol w:w="111"/>
        <w:gridCol w:w="870"/>
        <w:gridCol w:w="36"/>
        <w:gridCol w:w="36"/>
        <w:gridCol w:w="36"/>
        <w:gridCol w:w="36"/>
        <w:gridCol w:w="111"/>
        <w:gridCol w:w="842"/>
        <w:gridCol w:w="36"/>
      </w:tblGrid>
      <w:tr w:rsidR="00000000">
        <w:trPr>
          <w:divId w:val="1866214091"/>
        </w:trPr>
        <w:tc>
          <w:tcPr>
            <w:tcW w:w="50" w:type="pct"/>
            <w:vAlign w:val="center"/>
            <w:hideMark/>
          </w:tcPr>
          <w:p w:rsidR="00000000" w:rsidRDefault="008931E1">
            <w:pPr>
              <w:ind w:firstLine="360"/>
              <w:rPr>
                <w:rFonts w:eastAsia="Times New Roman"/>
              </w:rPr>
            </w:pPr>
          </w:p>
        </w:tc>
        <w:tc>
          <w:tcPr>
            <w:tcW w:w="370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866214091"/>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r>
      <w:tr w:rsidR="00000000">
        <w:trPr>
          <w:divId w:val="186621409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Forwards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866214091"/>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86621409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Options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667 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881 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86621409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Swaps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2,050 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3,650 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866214091"/>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866214091"/>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5,149 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7,707 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firstLine="360"/>
        <w:divId w:val="779839641"/>
        <w:rPr>
          <w:rFonts w:eastAsia="Times New Roman"/>
        </w:rPr>
      </w:pPr>
      <w:r>
        <w:rPr>
          <w:rFonts w:eastAsia="Times New Roman"/>
          <w:color w:val="000000"/>
          <w:sz w:val="20"/>
          <w:szCs w:val="20"/>
        </w:rPr>
        <w:t>The gross notional amounts of our derivatives by currency were as follows (in millions):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6"/>
        <w:gridCol w:w="111"/>
        <w:gridCol w:w="870"/>
        <w:gridCol w:w="36"/>
        <w:gridCol w:w="36"/>
        <w:gridCol w:w="36"/>
        <w:gridCol w:w="36"/>
        <w:gridCol w:w="111"/>
        <w:gridCol w:w="842"/>
        <w:gridCol w:w="36"/>
      </w:tblGrid>
      <w:tr w:rsidR="00000000">
        <w:trPr>
          <w:divId w:val="779839641"/>
        </w:trPr>
        <w:tc>
          <w:tcPr>
            <w:tcW w:w="50" w:type="pct"/>
            <w:vAlign w:val="center"/>
            <w:hideMark/>
          </w:tcPr>
          <w:p w:rsidR="00000000" w:rsidRDefault="008931E1">
            <w:pPr>
              <w:ind w:firstLine="360"/>
              <w:rPr>
                <w:rFonts w:eastAsia="Times New Roman"/>
              </w:rPr>
            </w:pPr>
          </w:p>
        </w:tc>
        <w:tc>
          <w:tcPr>
            <w:tcW w:w="370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779839641"/>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r>
      <w:tr w:rsidR="00000000">
        <w:trPr>
          <w:divId w:val="779839641"/>
        </w:trPr>
        <w:tc>
          <w:tcPr>
            <w:tcW w:w="0" w:type="auto"/>
            <w:gridSpan w:val="3"/>
            <w:vAlign w:val="center"/>
            <w:hideMark/>
          </w:tcPr>
          <w:p w:rsidR="00000000" w:rsidRDefault="008931E1">
            <w:pPr>
              <w:spacing w:after="100"/>
              <w:jc w:val="center"/>
              <w:rPr>
                <w:rFonts w:eastAsia="Times New Roman"/>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77983964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Chinese renminbi</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779839641"/>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77983964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Indian rupee</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1,151 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1,657 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779839641"/>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779839641"/>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77983964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United States dollar</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2,181 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3,744 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77983964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484 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386 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779839641"/>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7,707 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divId w:val="1410269905"/>
        <w:rPr>
          <w:rFonts w:eastAsia="Times New Roman"/>
        </w:rPr>
      </w:pPr>
    </w:p>
    <w:p w:rsidR="00000000" w:rsidRDefault="008931E1">
      <w:pPr>
        <w:jc w:val="center"/>
        <w:divId w:val="352150663"/>
        <w:rPr>
          <w:rFonts w:eastAsia="Times New Roman"/>
        </w:rPr>
      </w:pPr>
      <w:r>
        <w:rPr>
          <w:rFonts w:eastAsia="Times New Roman"/>
          <w:color w:val="000000"/>
          <w:sz w:val="20"/>
          <w:szCs w:val="20"/>
        </w:rPr>
        <w:t>F-9</w:t>
      </w:r>
    </w:p>
    <w:p w:rsidR="00000000" w:rsidRDefault="008931E1">
      <w:pPr>
        <w:rPr>
          <w:rFonts w:eastAsia="Times New Roman"/>
        </w:rPr>
      </w:pPr>
      <w:r>
        <w:rPr>
          <w:rFonts w:eastAsia="Times New Roman"/>
        </w:rPr>
        <w:pict>
          <v:rect id="_x0000_i1088" style="width:0;height:1.5pt" o:hralign="center" o:hrstd="t" o:hr="t" fillcolor="#a0a0a0" stroked="f"/>
        </w:pict>
      </w:r>
    </w:p>
    <w:p w:rsidR="00000000" w:rsidRDefault="008931E1">
      <w:pPr>
        <w:jc w:val="center"/>
        <w:divId w:val="2032759230"/>
        <w:rPr>
          <w:rFonts w:eastAsia="Times New Roman"/>
        </w:rPr>
      </w:pPr>
    </w:p>
    <w:p w:rsidR="00000000" w:rsidRDefault="008931E1">
      <w:pPr>
        <w:jc w:val="center"/>
        <w:divId w:val="2032759230"/>
        <w:rPr>
          <w:rFonts w:eastAsia="Times New Roman"/>
        </w:rPr>
      </w:pPr>
      <w:r>
        <w:rPr>
          <w:rFonts w:eastAsia="Times New Roman"/>
          <w:b/>
          <w:bCs/>
          <w:color w:val="000000"/>
          <w:sz w:val="20"/>
          <w:szCs w:val="20"/>
        </w:rPr>
        <w:t>QUALCOMM Incorporated</w:t>
      </w:r>
    </w:p>
    <w:p w:rsidR="00000000" w:rsidRDefault="008931E1">
      <w:pPr>
        <w:jc w:val="center"/>
        <w:divId w:val="2032759230"/>
        <w:rPr>
          <w:rFonts w:eastAsia="Times New Roman"/>
        </w:rPr>
      </w:pPr>
      <w:r>
        <w:rPr>
          <w:rFonts w:eastAsia="Times New Roman"/>
          <w:b/>
          <w:bCs/>
          <w:color w:val="000000"/>
          <w:sz w:val="20"/>
          <w:szCs w:val="20"/>
        </w:rPr>
        <w:t>NOTES TO CONSOLIDATED FINANCIAL STATEMENTS</w:t>
      </w:r>
    </w:p>
    <w:p w:rsidR="00000000" w:rsidRDefault="008931E1">
      <w:pPr>
        <w:ind w:firstLine="360"/>
        <w:divId w:val="613823895"/>
        <w:rPr>
          <w:rFonts w:eastAsia="Times New Roman"/>
        </w:rPr>
      </w:pPr>
      <w:r>
        <w:rPr>
          <w:rFonts w:eastAsia="Times New Roman"/>
          <w:b/>
          <w:bCs/>
          <w:i/>
          <w:iCs/>
          <w:color w:val="000000"/>
          <w:sz w:val="20"/>
          <w:szCs w:val="20"/>
        </w:rPr>
        <w:t xml:space="preserve">Fair Value Measurements. </w:t>
      </w:r>
      <w:r>
        <w:rPr>
          <w:rFonts w:eastAsia="Times New Roman"/>
          <w:color w:val="000000"/>
          <w:sz w:val="20"/>
          <w:szCs w:val="20"/>
        </w:rPr>
        <w:t xml:space="preserve">Fair value is defined as the exchange price that would be received for an asset or paid to transfer a liability (an exit price) </w:t>
      </w:r>
      <w:r>
        <w:rPr>
          <w:rFonts w:eastAsia="Times New Roman"/>
          <w:color w:val="000000"/>
          <w:sz w:val="20"/>
          <w:szCs w:val="20"/>
        </w:rPr>
        <w:t>in the principal or most advantageous market for the asset or liability in an orderly transaction between market participants as of the measurement date. Applicable accounting guidance provides an established hierarchy for inputs used in measuring fair val</w:t>
      </w:r>
      <w:r>
        <w:rPr>
          <w:rFonts w:eastAsia="Times New Roman"/>
          <w:color w:val="000000"/>
          <w:sz w:val="20"/>
          <w:szCs w:val="20"/>
        </w:rPr>
        <w:t>ue that maximizes the use of observable inputs and minimizes the use of unobservable inputs by requiring that the most observable inputs be used when available. Observable inputs are inputs that market participants would use in valuing the asset or liabili</w:t>
      </w:r>
      <w:r>
        <w:rPr>
          <w:rFonts w:eastAsia="Times New Roman"/>
          <w:color w:val="000000"/>
          <w:sz w:val="20"/>
          <w:szCs w:val="20"/>
        </w:rPr>
        <w:t>ty and are developed based on market data obtained from sources independent of us. Unobservable inputs are inputs that reflect our assumptions about the factors that market participants would use in valuing the asset or liability. There are three levels of</w:t>
      </w:r>
      <w:r>
        <w:rPr>
          <w:rFonts w:eastAsia="Times New Roman"/>
          <w:color w:val="000000"/>
          <w:sz w:val="20"/>
          <w:szCs w:val="20"/>
        </w:rPr>
        <w:t xml:space="preserve"> inputs that may be used to measure fair value:</w:t>
      </w:r>
    </w:p>
    <w:p w:rsidR="00000000" w:rsidRDefault="008931E1">
      <w:pPr>
        <w:ind w:hanging="360"/>
        <w:divId w:val="45495147"/>
        <w:rPr>
          <w:rFonts w:eastAsia="Times New Roman"/>
        </w:rPr>
      </w:pPr>
      <w:r>
        <w:rPr>
          <w:rFonts w:eastAsia="Times New Roman"/>
          <w:color w:val="000000"/>
          <w:sz w:val="20"/>
          <w:szCs w:val="20"/>
        </w:rPr>
        <w:t>•Level 1 includes financial instruments for which quoted market prices for identical instruments are available in active markets.</w:t>
      </w:r>
    </w:p>
    <w:p w:rsidR="00000000" w:rsidRDefault="008931E1">
      <w:pPr>
        <w:ind w:hanging="360"/>
        <w:divId w:val="441994135"/>
        <w:rPr>
          <w:rFonts w:eastAsia="Times New Roman"/>
        </w:rPr>
      </w:pPr>
      <w:r>
        <w:rPr>
          <w:rFonts w:eastAsia="Times New Roman"/>
          <w:color w:val="000000"/>
          <w:sz w:val="20"/>
          <w:szCs w:val="20"/>
        </w:rPr>
        <w:t xml:space="preserve">•Level 2 includes financial instruments for which there are inputs other than </w:t>
      </w:r>
      <w:r>
        <w:rPr>
          <w:rFonts w:eastAsia="Times New Roman"/>
          <w:color w:val="000000"/>
          <w:sz w:val="20"/>
          <w:szCs w:val="20"/>
        </w:rPr>
        <w:t>quoted prices included within Level 1 that are observable for the instrument.</w:t>
      </w:r>
    </w:p>
    <w:p w:rsidR="00000000" w:rsidRDefault="008931E1">
      <w:pPr>
        <w:ind w:hanging="360"/>
        <w:divId w:val="1930889530"/>
        <w:rPr>
          <w:rFonts w:eastAsia="Times New Roman"/>
        </w:rPr>
      </w:pPr>
      <w:r>
        <w:rPr>
          <w:rFonts w:eastAsia="Times New Roman"/>
          <w:color w:val="000000"/>
          <w:sz w:val="20"/>
          <w:szCs w:val="20"/>
        </w:rPr>
        <w:t>•Level 3 includes financial instruments for which fair value is derived from valuation techniques in which one or more significant inputs are unobservable, including our own assu</w:t>
      </w:r>
      <w:r>
        <w:rPr>
          <w:rFonts w:eastAsia="Times New Roman"/>
          <w:color w:val="000000"/>
          <w:sz w:val="20"/>
          <w:szCs w:val="20"/>
        </w:rPr>
        <w:t>mptions.</w:t>
      </w:r>
    </w:p>
    <w:p w:rsidR="00000000" w:rsidRDefault="008931E1">
      <w:pPr>
        <w:ind w:firstLine="360"/>
        <w:divId w:val="2082679247"/>
        <w:rPr>
          <w:rFonts w:eastAsia="Times New Roman"/>
        </w:rPr>
      </w:pPr>
      <w:r>
        <w:rPr>
          <w:rFonts w:eastAsia="Times New Roman"/>
          <w:color w:val="000000"/>
          <w:sz w:val="20"/>
          <w:szCs w:val="20"/>
        </w:rPr>
        <w:t>Assets and liabilities measured at fair value are classified based on the lowest level of input that is significant to the fair value measurement. We review the fair value hierarchy classification on a quarterly basis. Changes in the observability</w:t>
      </w:r>
      <w:r>
        <w:rPr>
          <w:rFonts w:eastAsia="Times New Roman"/>
          <w:color w:val="000000"/>
          <w:sz w:val="20"/>
          <w:szCs w:val="20"/>
        </w:rPr>
        <w:t xml:space="preserve"> of valuation inputs may result in a reclassification of levels for certain securities within the fair value hierarchy. We recognize transfers into and out of levels within the fair value hierarchy at the end of the fiscal month in which the actual event o</w:t>
      </w:r>
      <w:r>
        <w:rPr>
          <w:rFonts w:eastAsia="Times New Roman"/>
          <w:color w:val="000000"/>
          <w:sz w:val="20"/>
          <w:szCs w:val="20"/>
        </w:rPr>
        <w:t>r change in circumstances that caused the transfer to occur.</w:t>
      </w:r>
    </w:p>
    <w:p w:rsidR="00000000" w:rsidRDefault="008931E1">
      <w:pPr>
        <w:ind w:firstLine="360"/>
        <w:divId w:val="1977031153"/>
        <w:rPr>
          <w:rFonts w:eastAsia="Times New Roman"/>
        </w:rPr>
      </w:pPr>
      <w:r>
        <w:rPr>
          <w:rFonts w:eastAsia="Times New Roman"/>
          <w:i/>
          <w:iCs/>
          <w:color w:val="000000"/>
          <w:sz w:val="20"/>
          <w:szCs w:val="20"/>
        </w:rPr>
        <w:t xml:space="preserve">Cash Equivalents and Marketable Securities: </w:t>
      </w:r>
      <w:r>
        <w:rPr>
          <w:rFonts w:eastAsia="Times New Roman"/>
          <w:color w:val="000000"/>
          <w:sz w:val="20"/>
          <w:szCs w:val="20"/>
        </w:rPr>
        <w:t>We obtain pricing information from quoted market prices, pricing vendors or quotes from brokers/dealers. We conduct reviews of our primary pricing vendors to determine whether the inputs used in the vendor’s pricing processes are deemed to be observable. C</w:t>
      </w:r>
      <w:r>
        <w:rPr>
          <w:rFonts w:eastAsia="Times New Roman"/>
          <w:color w:val="000000"/>
          <w:sz w:val="20"/>
          <w:szCs w:val="20"/>
        </w:rPr>
        <w:t>ontractual sale restrictions are not considered in measuring the fair value of marketable equity securities. The fair value for interest-bearing securities includes accrued interest. The fair value of U.S. Treasury securities and government-related securit</w:t>
      </w:r>
      <w:r>
        <w:rPr>
          <w:rFonts w:eastAsia="Times New Roman"/>
          <w:color w:val="000000"/>
          <w:sz w:val="20"/>
          <w:szCs w:val="20"/>
        </w:rPr>
        <w:t>ies, corporate bonds and notes and common stock is generally determined using standard observable inputs, including reported trades, market based quotes, matrix pricing, benchmark yields, broker/dealer quotes, issuer spreads, two-sided markets and/or bench</w:t>
      </w:r>
      <w:r>
        <w:rPr>
          <w:rFonts w:eastAsia="Times New Roman"/>
          <w:color w:val="000000"/>
          <w:sz w:val="20"/>
          <w:szCs w:val="20"/>
        </w:rPr>
        <w:t>mark securities. The fair value of mortgage- and asset-backed securities is derived from the use of matrix pricing (prices for similar securities) or, in some cases, cash flow pricing models with observable inputs, such as contractual terms, maturity, cred</w:t>
      </w:r>
      <w:r>
        <w:rPr>
          <w:rFonts w:eastAsia="Times New Roman"/>
          <w:color w:val="000000"/>
          <w:sz w:val="20"/>
          <w:szCs w:val="20"/>
        </w:rPr>
        <w:t>it rating and/or securitization structure to determine the timing and amount of future cash flows.</w:t>
      </w:r>
    </w:p>
    <w:p w:rsidR="00000000" w:rsidRDefault="008931E1">
      <w:pPr>
        <w:ind w:firstLine="360"/>
        <w:divId w:val="1317800499"/>
        <w:rPr>
          <w:rFonts w:eastAsia="Times New Roman"/>
        </w:rPr>
      </w:pPr>
      <w:r>
        <w:rPr>
          <w:rFonts w:eastAsia="Times New Roman"/>
          <w:i/>
          <w:iCs/>
          <w:color w:val="000000"/>
          <w:sz w:val="20"/>
          <w:szCs w:val="20"/>
        </w:rPr>
        <w:t xml:space="preserve">Derivative Instruments: </w:t>
      </w:r>
      <w:r>
        <w:rPr>
          <w:rFonts w:eastAsia="Times New Roman"/>
          <w:color w:val="000000"/>
          <w:sz w:val="20"/>
          <w:szCs w:val="20"/>
        </w:rPr>
        <w:t>Derivative instruments that are traded on an exchange are valued using quoted market prices and are included in Level 1. Derivative i</w:t>
      </w:r>
      <w:r>
        <w:rPr>
          <w:rFonts w:eastAsia="Times New Roman"/>
          <w:color w:val="000000"/>
          <w:sz w:val="20"/>
          <w:szCs w:val="20"/>
        </w:rPr>
        <w:t>nstruments that are not traded on an exchange are valued using conventional calculations/models that are primarily based on observable inputs, such as foreign currency exchange rates, volatilities and interest rates, and therefore, such derivative instrume</w:t>
      </w:r>
      <w:r>
        <w:rPr>
          <w:rFonts w:eastAsia="Times New Roman"/>
          <w:color w:val="000000"/>
          <w:sz w:val="20"/>
          <w:szCs w:val="20"/>
        </w:rPr>
        <w:t>nts are included in Level 2.</w:t>
      </w:r>
    </w:p>
    <w:p w:rsidR="00000000" w:rsidRDefault="008931E1">
      <w:pPr>
        <w:ind w:firstLine="360"/>
        <w:divId w:val="1353451964"/>
        <w:rPr>
          <w:rFonts w:eastAsia="Times New Roman"/>
        </w:rPr>
      </w:pPr>
      <w:r>
        <w:rPr>
          <w:rFonts w:eastAsia="Times New Roman"/>
          <w:i/>
          <w:iCs/>
          <w:color w:val="000000"/>
          <w:sz w:val="20"/>
          <w:szCs w:val="20"/>
        </w:rPr>
        <w:t>Other Investments and Other Liabilities:</w:t>
      </w:r>
      <w:r>
        <w:rPr>
          <w:rFonts w:eastAsia="Times New Roman"/>
          <w:color w:val="000000"/>
          <w:sz w:val="20"/>
          <w:szCs w:val="20"/>
        </w:rPr>
        <w:t xml:space="preserve"> Other investments and other liabilities included in Level 1 are comprised of our deferred compensation plan liabilities and related assets, which consist of mutual funds and are included</w:t>
      </w:r>
      <w:r>
        <w:rPr>
          <w:rFonts w:eastAsia="Times New Roman"/>
          <w:color w:val="000000"/>
          <w:sz w:val="20"/>
          <w:szCs w:val="20"/>
        </w:rPr>
        <w:t xml:space="preserve"> in other current assets and other assets. Gains and losses on the revaluation of our deferred compensation plan assets are recorded in investment and other income (expense), net. Corresponding offsetting amounts related to the revaluation of our deferred </w:t>
      </w:r>
      <w:r>
        <w:rPr>
          <w:rFonts w:eastAsia="Times New Roman"/>
          <w:color w:val="000000"/>
          <w:sz w:val="20"/>
          <w:szCs w:val="20"/>
        </w:rPr>
        <w:t>compensation plan liabilities are included in operating expenses. Other investments included in Level 3 are comprised of convertible debt instruments issued by private companies. The inputs we use to estimate the fair values of these instruments are genera</w:t>
      </w:r>
      <w:r>
        <w:rPr>
          <w:rFonts w:eastAsia="Times New Roman"/>
          <w:color w:val="000000"/>
          <w:sz w:val="20"/>
          <w:szCs w:val="20"/>
        </w:rPr>
        <w:t>lly unobservable, and therefore, they are included in Level 3.</w:t>
      </w:r>
    </w:p>
    <w:p w:rsidR="00000000" w:rsidRDefault="008931E1">
      <w:pPr>
        <w:ind w:firstLine="360"/>
        <w:divId w:val="1956790264"/>
        <w:rPr>
          <w:rFonts w:eastAsia="Times New Roman"/>
        </w:rPr>
      </w:pPr>
      <w:r>
        <w:rPr>
          <w:rFonts w:eastAsia="Times New Roman"/>
          <w:i/>
          <w:iCs/>
          <w:color w:val="000000"/>
          <w:sz w:val="20"/>
          <w:szCs w:val="20"/>
        </w:rPr>
        <w:t xml:space="preserve">Nonrecurring Fair Value Measurements: </w:t>
      </w:r>
      <w:r>
        <w:rPr>
          <w:rFonts w:eastAsia="Times New Roman"/>
          <w:color w:val="000000"/>
          <w:sz w:val="20"/>
          <w:szCs w:val="20"/>
        </w:rPr>
        <w:t>We measure certain assets and liabilities at fair value on a nonrecurring basis. These assets and liabilities include equity method and non-marketable equi</w:t>
      </w:r>
      <w:r>
        <w:rPr>
          <w:rFonts w:eastAsia="Times New Roman"/>
          <w:color w:val="000000"/>
          <w:sz w:val="20"/>
          <w:szCs w:val="20"/>
        </w:rPr>
        <w:t>ty investments, assets acquired and liabilities assumed in an acquisition or in a nonmonetary exchange, and property, plant and equipment and intangible assets that are written down to fair value when they are held for sale or determined to be impaired, al</w:t>
      </w:r>
      <w:r>
        <w:rPr>
          <w:rFonts w:eastAsia="Times New Roman"/>
          <w:color w:val="000000"/>
          <w:sz w:val="20"/>
          <w:szCs w:val="20"/>
        </w:rPr>
        <w:t>l of which are generally measured based on unobservable inputs using an income or market approach.</w:t>
      </w:r>
    </w:p>
    <w:p w:rsidR="00000000" w:rsidRDefault="008931E1">
      <w:pPr>
        <w:ind w:firstLine="360"/>
        <w:divId w:val="685059232"/>
        <w:rPr>
          <w:rFonts w:eastAsia="Times New Roman"/>
        </w:rPr>
      </w:pPr>
      <w:r>
        <w:rPr>
          <w:rFonts w:eastAsia="Times New Roman"/>
          <w:b/>
          <w:bCs/>
          <w:i/>
          <w:iCs/>
          <w:color w:val="000000"/>
          <w:sz w:val="20"/>
          <w:szCs w:val="20"/>
        </w:rPr>
        <w:t>Inventories.</w:t>
      </w:r>
      <w:r>
        <w:rPr>
          <w:rFonts w:eastAsia="Times New Roman"/>
          <w:color w:val="000000"/>
          <w:sz w:val="20"/>
          <w:szCs w:val="20"/>
        </w:rPr>
        <w:t xml:space="preserve"> Inventories are valued at the lower of cost and net realizable value using the first-in, first-out method. Recoverability of inventories is asse</w:t>
      </w:r>
      <w:r>
        <w:rPr>
          <w:rFonts w:eastAsia="Times New Roman"/>
          <w:color w:val="000000"/>
          <w:sz w:val="20"/>
          <w:szCs w:val="20"/>
        </w:rPr>
        <w:t>ssed based on review of future customer demand that considers multiple factors, including committed purchase orders from customers as well as purchase commitment projections provided by customers and our own forecasts of customer demand, among other factor</w:t>
      </w:r>
      <w:r>
        <w:rPr>
          <w:rFonts w:eastAsia="Times New Roman"/>
          <w:color w:val="000000"/>
          <w:sz w:val="20"/>
          <w:szCs w:val="20"/>
        </w:rPr>
        <w:t>s. This valuation also requires us to make judgments and assumptions based on information currently available about market conditions, including competition, anticipated technological changes, internal product life cycle and development plans, product pric</w:t>
      </w:r>
      <w:r>
        <w:rPr>
          <w:rFonts w:eastAsia="Times New Roman"/>
          <w:color w:val="000000"/>
          <w:sz w:val="20"/>
          <w:szCs w:val="20"/>
        </w:rPr>
        <w:t xml:space="preserve">ing and other broader market conditions that may impact customer demand, such as the impact of certain capacity constraints experienced across the semiconductor industry in fiscal 2021 and through the third quarter of fiscal 2022, as well as the impact of </w:t>
      </w:r>
      <w:r>
        <w:rPr>
          <w:rFonts w:eastAsia="Times New Roman"/>
          <w:color w:val="000000"/>
          <w:sz w:val="20"/>
          <w:szCs w:val="20"/>
        </w:rPr>
        <w:t>the macroeconomic environment in fiscal 2022 and 2023. We generally place binding purchase orders with our suppliers in advance of receiving contractually binding forecasts and/or purchase orders from our customers. The time period between placing purchase</w:t>
      </w:r>
      <w:r>
        <w:rPr>
          <w:rFonts w:eastAsia="Times New Roman"/>
          <w:color w:val="000000"/>
          <w:sz w:val="20"/>
          <w:szCs w:val="20"/>
        </w:rPr>
        <w:t xml:space="preserve"> orders with our suppliers and receiving contractually binding forecasts and/or purchase orders from our customers has increased and may continue to increase as a result of extended manufacturing lead-times, driven in part by a continued transition to lead</w:t>
      </w:r>
      <w:r>
        <w:rPr>
          <w:rFonts w:eastAsia="Times New Roman"/>
          <w:color w:val="000000"/>
          <w:sz w:val="20"/>
          <w:szCs w:val="20"/>
        </w:rPr>
        <w:t>ing-edge technologies and/or increased complexity in the manufacturing process of our products. If we overestimate demand for our products, the amount of our loss will be impacted by our ability to reduce inventory purchases from our suppliers. Further, if</w:t>
      </w:r>
      <w:r>
        <w:rPr>
          <w:rFonts w:eastAsia="Times New Roman"/>
          <w:color w:val="000000"/>
          <w:sz w:val="20"/>
          <w:szCs w:val="20"/>
        </w:rPr>
        <w:t xml:space="preserve"> our customers cancel purchase orders or alter forecasts this may result in excess </w:t>
      </w:r>
    </w:p>
    <w:p w:rsidR="00000000" w:rsidRDefault="008931E1">
      <w:pPr>
        <w:jc w:val="center"/>
        <w:divId w:val="2100441082"/>
        <w:rPr>
          <w:rFonts w:eastAsia="Times New Roman"/>
        </w:rPr>
      </w:pPr>
      <w:r>
        <w:rPr>
          <w:rFonts w:eastAsia="Times New Roman"/>
          <w:color w:val="000000"/>
          <w:sz w:val="20"/>
          <w:szCs w:val="20"/>
        </w:rPr>
        <w:t>F-10</w:t>
      </w:r>
    </w:p>
    <w:p w:rsidR="00000000" w:rsidRDefault="008931E1">
      <w:pPr>
        <w:rPr>
          <w:rFonts w:eastAsia="Times New Roman"/>
        </w:rPr>
      </w:pPr>
      <w:r>
        <w:rPr>
          <w:rFonts w:eastAsia="Times New Roman"/>
        </w:rPr>
        <w:pict>
          <v:rect id="_x0000_i1089" style="width:0;height:1.5pt" o:hralign="center" o:hrstd="t" o:hr="t" fillcolor="#a0a0a0" stroked="f"/>
        </w:pict>
      </w:r>
    </w:p>
    <w:p w:rsidR="00000000" w:rsidRDefault="008931E1">
      <w:pPr>
        <w:jc w:val="center"/>
        <w:divId w:val="1773629149"/>
        <w:rPr>
          <w:rFonts w:eastAsia="Times New Roman"/>
        </w:rPr>
      </w:pPr>
    </w:p>
    <w:p w:rsidR="00000000" w:rsidRDefault="008931E1">
      <w:pPr>
        <w:jc w:val="center"/>
        <w:divId w:val="1773629149"/>
        <w:rPr>
          <w:rFonts w:eastAsia="Times New Roman"/>
        </w:rPr>
      </w:pPr>
      <w:r>
        <w:rPr>
          <w:rFonts w:eastAsia="Times New Roman"/>
          <w:b/>
          <w:bCs/>
          <w:color w:val="000000"/>
          <w:sz w:val="20"/>
          <w:szCs w:val="20"/>
        </w:rPr>
        <w:t>QUALCOMM Incorporated</w:t>
      </w:r>
    </w:p>
    <w:p w:rsidR="00000000" w:rsidRDefault="008931E1">
      <w:pPr>
        <w:jc w:val="center"/>
        <w:divId w:val="1773629149"/>
        <w:rPr>
          <w:rFonts w:eastAsia="Times New Roman"/>
        </w:rPr>
      </w:pPr>
      <w:r>
        <w:rPr>
          <w:rFonts w:eastAsia="Times New Roman"/>
          <w:b/>
          <w:bCs/>
          <w:color w:val="000000"/>
          <w:sz w:val="20"/>
          <w:szCs w:val="20"/>
        </w:rPr>
        <w:t>NOTES TO CONSOLIDATED FINANCIAL STATEMENTS</w:t>
      </w:r>
    </w:p>
    <w:p w:rsidR="00000000" w:rsidRDefault="008931E1">
      <w:pPr>
        <w:divId w:val="853112842"/>
        <w:rPr>
          <w:rFonts w:eastAsia="Times New Roman"/>
        </w:rPr>
      </w:pPr>
      <w:r>
        <w:rPr>
          <w:rFonts w:eastAsia="Times New Roman"/>
          <w:color w:val="000000"/>
          <w:sz w:val="20"/>
          <w:szCs w:val="20"/>
        </w:rPr>
        <w:t>inventory on hand. Our assumptions of future product demand are</w:t>
      </w:r>
      <w:r>
        <w:rPr>
          <w:rFonts w:eastAsia="Times New Roman"/>
          <w:color w:val="000000"/>
          <w:sz w:val="20"/>
          <w:szCs w:val="20"/>
        </w:rPr>
        <w:t xml:space="preserve"> inherently uncertain, and changes in our estimates and assumptions may cause us to record additional write-downs in the future if demand forecasted for specific products is greater than actual demand.</w:t>
      </w:r>
    </w:p>
    <w:p w:rsidR="00000000" w:rsidRDefault="008931E1">
      <w:pPr>
        <w:ind w:firstLine="360"/>
        <w:divId w:val="1408071257"/>
        <w:rPr>
          <w:rFonts w:eastAsia="Times New Roman"/>
        </w:rPr>
      </w:pPr>
      <w:r>
        <w:rPr>
          <w:rFonts w:eastAsia="Times New Roman"/>
          <w:b/>
          <w:bCs/>
          <w:i/>
          <w:iCs/>
          <w:color w:val="000000"/>
          <w:sz w:val="20"/>
          <w:szCs w:val="20"/>
        </w:rPr>
        <w:t>Property, Plant and Equipment.</w:t>
      </w:r>
      <w:r>
        <w:rPr>
          <w:rFonts w:eastAsia="Times New Roman"/>
          <w:color w:val="000000"/>
          <w:sz w:val="20"/>
          <w:szCs w:val="20"/>
        </w:rPr>
        <w:t xml:space="preserve"> Property, plant and equ</w:t>
      </w:r>
      <w:r>
        <w:rPr>
          <w:rFonts w:eastAsia="Times New Roman"/>
          <w:color w:val="000000"/>
          <w:sz w:val="20"/>
          <w:szCs w:val="20"/>
        </w:rPr>
        <w:t>ipment are recorded at cost and depreciated or amortized using the straight-line method over their estimated useful lives. Upon the retirement or disposition of property, plant and equipment, the related cost and accumulated depreciation or amortization ar</w:t>
      </w:r>
      <w:r>
        <w:rPr>
          <w:rFonts w:eastAsia="Times New Roman"/>
          <w:color w:val="000000"/>
          <w:sz w:val="20"/>
          <w:szCs w:val="20"/>
        </w:rPr>
        <w:t xml:space="preserve">e removed, and a gain or loss is recorded, when appropriate. Buildings on owned land are depreciated over 30 years, and building improvements are depreciated over 15 years. Leasehold improvements and buildings on leased land are amortized over the shorter </w:t>
      </w:r>
      <w:r>
        <w:rPr>
          <w:rFonts w:eastAsia="Times New Roman"/>
          <w:color w:val="000000"/>
          <w:sz w:val="20"/>
          <w:szCs w:val="20"/>
        </w:rPr>
        <w:t>of their estimated useful lives, not to exceed 15 years and 30 years, respectively, or the remaining term of the related lease. Other property, plant and equipment have useful lives ranging from 2 to 15 years. Maintenance, repairs and minor renewals or bet</w:t>
      </w:r>
      <w:r>
        <w:rPr>
          <w:rFonts w:eastAsia="Times New Roman"/>
          <w:color w:val="000000"/>
          <w:sz w:val="20"/>
          <w:szCs w:val="20"/>
        </w:rPr>
        <w:t xml:space="preserve">terments are charged to expense as incurred. </w:t>
      </w:r>
    </w:p>
    <w:p w:rsidR="00000000" w:rsidRDefault="008931E1">
      <w:pPr>
        <w:ind w:firstLine="360"/>
        <w:divId w:val="1556889017"/>
        <w:rPr>
          <w:rFonts w:eastAsia="Times New Roman"/>
        </w:rPr>
      </w:pPr>
      <w:r>
        <w:rPr>
          <w:rFonts w:eastAsia="Times New Roman"/>
          <w:b/>
          <w:bCs/>
          <w:i/>
          <w:iCs/>
          <w:color w:val="000000"/>
          <w:sz w:val="20"/>
          <w:szCs w:val="20"/>
        </w:rPr>
        <w:t>Operating Leases.</w:t>
      </w:r>
      <w:r>
        <w:rPr>
          <w:rFonts w:eastAsia="Times New Roman"/>
          <w:color w:val="000000"/>
          <w:sz w:val="20"/>
          <w:szCs w:val="20"/>
        </w:rPr>
        <w:t xml:space="preserve"> Operating lease assets and liabilities are recognized for leases with lease terms greater than 12 months based on the present value of the future lease payments over the lease term at the comm</w:t>
      </w:r>
      <w:r>
        <w:rPr>
          <w:rFonts w:eastAsia="Times New Roman"/>
          <w:color w:val="000000"/>
          <w:sz w:val="20"/>
          <w:szCs w:val="20"/>
        </w:rPr>
        <w:t>encement date. Operating leases are included in other assets, other current liabilities and other liabilities on our consolidated balance sheet. Our lease terms may include options to extend or terminate the lease when it is reasonably certain that we will</w:t>
      </w:r>
      <w:r>
        <w:rPr>
          <w:rFonts w:eastAsia="Times New Roman"/>
          <w:color w:val="000000"/>
          <w:sz w:val="20"/>
          <w:szCs w:val="20"/>
        </w:rPr>
        <w:t xml:space="preserve"> exercise such option. We account for substantially all lease and related non-lease components together as a single lease component. Operating lease expense is recognized on a straight-line basis over the lease term.</w:t>
      </w:r>
    </w:p>
    <w:p w:rsidR="00000000" w:rsidRDefault="008931E1">
      <w:pPr>
        <w:ind w:firstLine="360"/>
        <w:divId w:val="1796100380"/>
        <w:rPr>
          <w:rFonts w:eastAsia="Times New Roman"/>
        </w:rPr>
      </w:pPr>
      <w:r>
        <w:rPr>
          <w:rFonts w:eastAsia="Times New Roman"/>
          <w:b/>
          <w:bCs/>
          <w:i/>
          <w:iCs/>
          <w:color w:val="000000"/>
          <w:sz w:val="20"/>
          <w:szCs w:val="20"/>
        </w:rPr>
        <w:t>Goodwill and Other Intangible Assets.</w:t>
      </w:r>
      <w:r>
        <w:rPr>
          <w:rFonts w:eastAsia="Times New Roman"/>
          <w:color w:val="000000"/>
          <w:sz w:val="20"/>
          <w:szCs w:val="20"/>
        </w:rPr>
        <w:t xml:space="preserve"> G</w:t>
      </w:r>
      <w:r>
        <w:rPr>
          <w:rFonts w:eastAsia="Times New Roman"/>
          <w:color w:val="000000"/>
          <w:sz w:val="20"/>
          <w:szCs w:val="20"/>
        </w:rPr>
        <w:t>oodwill represents the excess of purchase price over the value assigned to the net tangible and identifiable intangible assets of businesses acquired. Acquired intangible assets other than goodwill are amortized over their useful lives unless the lives are</w:t>
      </w:r>
      <w:r>
        <w:rPr>
          <w:rFonts w:eastAsia="Times New Roman"/>
          <w:color w:val="000000"/>
          <w:sz w:val="20"/>
          <w:szCs w:val="20"/>
        </w:rPr>
        <w:t xml:space="preserve"> determined to be indefinite. For intangible assets purchased in a business combination, the estimated fair values of the assets acquired are used to establish their recorded values. Valuation techniques consistent with the market approach, income approach</w:t>
      </w:r>
      <w:r>
        <w:rPr>
          <w:rFonts w:eastAsia="Times New Roman"/>
          <w:color w:val="000000"/>
          <w:sz w:val="20"/>
          <w:szCs w:val="20"/>
        </w:rPr>
        <w:t xml:space="preserve"> and/or cost approach are used to measure fair value. An estimate of fair value can be affected by many assumptions that require significant judgment. For example, the income approach generally requires us to use assumptions to estimate future cash flows i</w:t>
      </w:r>
      <w:r>
        <w:rPr>
          <w:rFonts w:eastAsia="Times New Roman"/>
          <w:color w:val="000000"/>
          <w:sz w:val="20"/>
          <w:szCs w:val="20"/>
        </w:rPr>
        <w:t>ncluding those related to total addressable market, pricing and share forecasts, competition, technology obsolescence, future tax rates and discount rates. Our estimate of the fair value of certain assets may differ materially from that determined by other</w:t>
      </w:r>
      <w:r>
        <w:rPr>
          <w:rFonts w:eastAsia="Times New Roman"/>
          <w:color w:val="000000"/>
          <w:sz w:val="20"/>
          <w:szCs w:val="20"/>
        </w:rPr>
        <w:t>s who use different assumptions or utilize different business models and from the future cash flows actually realized.</w:t>
      </w:r>
    </w:p>
    <w:p w:rsidR="00000000" w:rsidRDefault="008931E1">
      <w:pPr>
        <w:ind w:firstLine="360"/>
        <w:divId w:val="1033306993"/>
        <w:rPr>
          <w:rFonts w:eastAsia="Times New Roman"/>
        </w:rPr>
      </w:pPr>
      <w:r>
        <w:rPr>
          <w:rFonts w:eastAsia="Times New Roman"/>
          <w:b/>
          <w:bCs/>
          <w:i/>
          <w:iCs/>
          <w:color w:val="000000"/>
          <w:sz w:val="20"/>
          <w:szCs w:val="20"/>
        </w:rPr>
        <w:t>Impairment of Goodwill, Other Indefinite-Lived Assets and Long-Lived Assets.</w:t>
      </w:r>
      <w:r>
        <w:rPr>
          <w:rFonts w:eastAsia="Times New Roman"/>
          <w:color w:val="000000"/>
          <w:sz w:val="20"/>
          <w:szCs w:val="20"/>
        </w:rPr>
        <w:t xml:space="preserve"> Goodwill and other indefinite-lived intangible assets are te</w:t>
      </w:r>
      <w:r>
        <w:rPr>
          <w:rFonts w:eastAsia="Times New Roman"/>
          <w:color w:val="000000"/>
          <w:sz w:val="20"/>
          <w:szCs w:val="20"/>
        </w:rPr>
        <w:t>sted annually for impairment in the fourth fiscal quarter, and in interim periods if events or changes in circumstances indicate that the assets may be impaired. If a qualitative assessment is used and we determine that the fair value of a reporting unit o</w:t>
      </w:r>
      <w:r>
        <w:rPr>
          <w:rFonts w:eastAsia="Times New Roman"/>
          <w:color w:val="000000"/>
          <w:sz w:val="20"/>
          <w:szCs w:val="20"/>
        </w:rPr>
        <w:t xml:space="preserve">r indefinite-lived intangible asset is more likely than not (i.e., a likelihood of more than 50%) less than its carrying amount, a quantitative impairment test will be performed. If goodwill is quantitatively assessed for impairment and a reporting unit’s </w:t>
      </w:r>
      <w:r>
        <w:rPr>
          <w:rFonts w:eastAsia="Times New Roman"/>
          <w:color w:val="000000"/>
          <w:sz w:val="20"/>
          <w:szCs w:val="20"/>
        </w:rPr>
        <w:t>carrying value exceeds its fair value, the difference is recorded as an impairment. Other indefinite-lived intangible assets are quantitatively assessed for impairment, if necessary, by comparing their estimated fair values to their carrying values. If the</w:t>
      </w:r>
      <w:r>
        <w:rPr>
          <w:rFonts w:eastAsia="Times New Roman"/>
          <w:color w:val="000000"/>
          <w:sz w:val="20"/>
          <w:szCs w:val="20"/>
        </w:rPr>
        <w:t xml:space="preserve"> carrying value exceeds the fair value, the difference is recorded as an impairment. Our judgments regarding the existence of impairment indicators and future cash flows related to goodwill, other indefinite-lived assets and long-lived assets may be based </w:t>
      </w:r>
      <w:r>
        <w:rPr>
          <w:rFonts w:eastAsia="Times New Roman"/>
          <w:color w:val="000000"/>
          <w:sz w:val="20"/>
          <w:szCs w:val="20"/>
        </w:rPr>
        <w:t>on operational performance of our businesses, market conditions, expected selling price and/or other factors. Although there are inherent uncertainties in this assessment process, the estimates and assumptions we use, including estimates of future cash flo</w:t>
      </w:r>
      <w:r>
        <w:rPr>
          <w:rFonts w:eastAsia="Times New Roman"/>
          <w:color w:val="000000"/>
          <w:sz w:val="20"/>
          <w:szCs w:val="20"/>
        </w:rPr>
        <w:t xml:space="preserve">ws and discount rates, are consistent with our internal planning, when appropriate. If these estimates or their related assumptions change in the future, we may be required to record an impairment charge on a portion or all of such assets. Furthermore, we </w:t>
      </w:r>
      <w:r>
        <w:rPr>
          <w:rFonts w:eastAsia="Times New Roman"/>
          <w:color w:val="000000"/>
          <w:sz w:val="20"/>
          <w:szCs w:val="20"/>
        </w:rPr>
        <w:t>cannot predict the occurrence of future impairment-triggering events nor the impact such events might have on our reported asset values.</w:t>
      </w:r>
    </w:p>
    <w:p w:rsidR="00000000" w:rsidRDefault="008931E1">
      <w:pPr>
        <w:ind w:firstLine="360"/>
        <w:divId w:val="28379570"/>
        <w:rPr>
          <w:rFonts w:eastAsia="Times New Roman"/>
        </w:rPr>
      </w:pPr>
      <w:r>
        <w:rPr>
          <w:rFonts w:eastAsia="Times New Roman"/>
          <w:color w:val="000000"/>
          <w:sz w:val="20"/>
          <w:szCs w:val="20"/>
        </w:rPr>
        <w:t>Long-lived assets, such as property, plant and equipment and intangible assets subject to amortization, are reviewed fo</w:t>
      </w:r>
      <w:r>
        <w:rPr>
          <w:rFonts w:eastAsia="Times New Roman"/>
          <w:color w:val="000000"/>
          <w:sz w:val="20"/>
          <w:szCs w:val="20"/>
        </w:rPr>
        <w:t>r impairment when there is evidence that events or changes in circumstances indicate that the carrying amount of an asset or asset group may not be recoverable. Recoverability of assets to be held and used is measured by comparing the carrying amount of an</w:t>
      </w:r>
      <w:r>
        <w:rPr>
          <w:rFonts w:eastAsia="Times New Roman"/>
          <w:color w:val="000000"/>
          <w:sz w:val="20"/>
          <w:szCs w:val="20"/>
        </w:rPr>
        <w:t xml:space="preserve"> asset or asset group to estimated undiscounted future cash flows expected to be generated by the asset or asset group. If the carrying amount of an asset or asset group exceeds its estimated future cash flows, an impairment charge is recognized for the am</w:t>
      </w:r>
      <w:r>
        <w:rPr>
          <w:rFonts w:eastAsia="Times New Roman"/>
          <w:color w:val="000000"/>
          <w:sz w:val="20"/>
          <w:szCs w:val="20"/>
        </w:rPr>
        <w:t xml:space="preserve">ount by which the carrying amount of the asset or asset group exceeds the estimated fair value of the asset or asset group. Long-lived assets to be disposed of by sale are reported at the lower of their carrying amounts or their estimated fair values less </w:t>
      </w:r>
      <w:r>
        <w:rPr>
          <w:rFonts w:eastAsia="Times New Roman"/>
          <w:color w:val="000000"/>
          <w:sz w:val="20"/>
          <w:szCs w:val="20"/>
        </w:rPr>
        <w:t>costs to sell and are not depreciated.</w:t>
      </w:r>
    </w:p>
    <w:p w:rsidR="00000000" w:rsidRDefault="008931E1">
      <w:pPr>
        <w:ind w:firstLine="360"/>
        <w:divId w:val="1930118531"/>
        <w:rPr>
          <w:rFonts w:eastAsia="Times New Roman"/>
        </w:rPr>
      </w:pPr>
      <w:r>
        <w:rPr>
          <w:rFonts w:eastAsia="Times New Roman"/>
          <w:b/>
          <w:bCs/>
          <w:i/>
          <w:iCs/>
          <w:color w:val="000000"/>
          <w:sz w:val="20"/>
          <w:szCs w:val="20"/>
        </w:rPr>
        <w:t>Revenue Recognition.</w:t>
      </w:r>
      <w:r>
        <w:rPr>
          <w:rFonts w:eastAsia="Times New Roman"/>
          <w:color w:val="000000"/>
          <w:sz w:val="20"/>
          <w:szCs w:val="20"/>
        </w:rPr>
        <w:t xml:space="preserve"> We derive revenues principally from sales of integrated circuit products and licensing of our intellectual property. We also generate revenues from licensing system software and by performing deve</w:t>
      </w:r>
      <w:r>
        <w:rPr>
          <w:rFonts w:eastAsia="Times New Roman"/>
          <w:color w:val="000000"/>
          <w:sz w:val="20"/>
          <w:szCs w:val="20"/>
        </w:rPr>
        <w:t xml:space="preserve">lopment and other services and from other product sales. The timing of revenue recognition and the amount of revenue actually recognized in each case depends upon a variety of factors, including the specific terms of each arrangement and the nature of our </w:t>
      </w:r>
      <w:r>
        <w:rPr>
          <w:rFonts w:eastAsia="Times New Roman"/>
          <w:color w:val="000000"/>
          <w:sz w:val="20"/>
          <w:szCs w:val="20"/>
        </w:rPr>
        <w:t xml:space="preserve">performance obligations. </w:t>
      </w:r>
    </w:p>
    <w:p w:rsidR="00000000" w:rsidRDefault="008931E1">
      <w:pPr>
        <w:ind w:firstLine="360"/>
        <w:divId w:val="1578324645"/>
        <w:rPr>
          <w:rFonts w:eastAsia="Times New Roman"/>
        </w:rPr>
      </w:pPr>
      <w:r>
        <w:rPr>
          <w:rFonts w:eastAsia="Times New Roman"/>
          <w:color w:val="000000"/>
          <w:sz w:val="20"/>
          <w:szCs w:val="20"/>
        </w:rPr>
        <w:t>Revenues from sales of our products are recognized upon transfer of control to the customer, which is generally at the time of shipment. Revenues from providing services are typically recognized over time as our performance obliga</w:t>
      </w:r>
      <w:r>
        <w:rPr>
          <w:rFonts w:eastAsia="Times New Roman"/>
          <w:color w:val="000000"/>
          <w:sz w:val="20"/>
          <w:szCs w:val="20"/>
        </w:rPr>
        <w:t xml:space="preserve">tion is </w:t>
      </w:r>
    </w:p>
    <w:p w:rsidR="00000000" w:rsidRDefault="008931E1">
      <w:pPr>
        <w:jc w:val="center"/>
        <w:divId w:val="712967630"/>
        <w:rPr>
          <w:rFonts w:eastAsia="Times New Roman"/>
        </w:rPr>
      </w:pPr>
      <w:r>
        <w:rPr>
          <w:rFonts w:eastAsia="Times New Roman"/>
          <w:color w:val="000000"/>
          <w:sz w:val="20"/>
          <w:szCs w:val="20"/>
        </w:rPr>
        <w:t>F-11</w:t>
      </w:r>
    </w:p>
    <w:p w:rsidR="00000000" w:rsidRDefault="008931E1">
      <w:pPr>
        <w:rPr>
          <w:rFonts w:eastAsia="Times New Roman"/>
        </w:rPr>
      </w:pPr>
      <w:r>
        <w:rPr>
          <w:rFonts w:eastAsia="Times New Roman"/>
        </w:rPr>
        <w:pict>
          <v:rect id="_x0000_i1090" style="width:0;height:1.5pt" o:hralign="center" o:hrstd="t" o:hr="t" fillcolor="#a0a0a0" stroked="f"/>
        </w:pict>
      </w:r>
    </w:p>
    <w:p w:rsidR="00000000" w:rsidRDefault="008931E1">
      <w:pPr>
        <w:jc w:val="center"/>
        <w:divId w:val="363138823"/>
        <w:rPr>
          <w:rFonts w:eastAsia="Times New Roman"/>
        </w:rPr>
      </w:pPr>
    </w:p>
    <w:p w:rsidR="00000000" w:rsidRDefault="008931E1">
      <w:pPr>
        <w:jc w:val="center"/>
        <w:divId w:val="363138823"/>
        <w:rPr>
          <w:rFonts w:eastAsia="Times New Roman"/>
        </w:rPr>
      </w:pPr>
      <w:r>
        <w:rPr>
          <w:rFonts w:eastAsia="Times New Roman"/>
          <w:b/>
          <w:bCs/>
          <w:color w:val="000000"/>
          <w:sz w:val="20"/>
          <w:szCs w:val="20"/>
        </w:rPr>
        <w:t>QUALCOMM Incorporated</w:t>
      </w:r>
    </w:p>
    <w:p w:rsidR="00000000" w:rsidRDefault="008931E1">
      <w:pPr>
        <w:jc w:val="center"/>
        <w:divId w:val="363138823"/>
        <w:rPr>
          <w:rFonts w:eastAsia="Times New Roman"/>
        </w:rPr>
      </w:pPr>
      <w:r>
        <w:rPr>
          <w:rFonts w:eastAsia="Times New Roman"/>
          <w:b/>
          <w:bCs/>
          <w:color w:val="000000"/>
          <w:sz w:val="20"/>
          <w:szCs w:val="20"/>
        </w:rPr>
        <w:t>NOTES TO CONSOLIDATED FINANCIAL STATEMENTS</w:t>
      </w:r>
    </w:p>
    <w:p w:rsidR="00000000" w:rsidRDefault="008931E1">
      <w:pPr>
        <w:divId w:val="2112817550"/>
        <w:rPr>
          <w:rFonts w:eastAsia="Times New Roman"/>
        </w:rPr>
      </w:pPr>
      <w:r>
        <w:rPr>
          <w:rFonts w:eastAsia="Times New Roman"/>
          <w:color w:val="000000"/>
          <w:sz w:val="20"/>
          <w:szCs w:val="20"/>
        </w:rPr>
        <w:t>satisfied. Revenues from providing services and licensing system software were each less than 5% of total revenues for all periods presented.</w:t>
      </w:r>
    </w:p>
    <w:p w:rsidR="00000000" w:rsidRDefault="008931E1">
      <w:pPr>
        <w:ind w:firstLine="360"/>
        <w:divId w:val="259804022"/>
        <w:rPr>
          <w:rFonts w:eastAsia="Times New Roman"/>
        </w:rPr>
      </w:pPr>
      <w:r>
        <w:rPr>
          <w:rFonts w:eastAsia="Times New Roman"/>
          <w:color w:val="000000"/>
          <w:sz w:val="20"/>
          <w:szCs w:val="20"/>
        </w:rPr>
        <w:t>We grant li</w:t>
      </w:r>
      <w:r>
        <w:rPr>
          <w:rFonts w:eastAsia="Times New Roman"/>
          <w:color w:val="000000"/>
          <w:sz w:val="20"/>
          <w:szCs w:val="20"/>
        </w:rPr>
        <w:t>censes or otherwise provide rights to use portions of our intellectual property portfolio, which, among other rights, includes certain patent rights essential to and/or useful in the manufacture, sale or use of certain wireless products. Licensees pay per-</w:t>
      </w:r>
      <w:r>
        <w:rPr>
          <w:rFonts w:eastAsia="Times New Roman"/>
          <w:color w:val="000000"/>
          <w:sz w:val="20"/>
          <w:szCs w:val="20"/>
        </w:rPr>
        <w:t>unit royalties based on their sales of products incorporating or using our licensed intellectual property and, to a lesser extent, lump sum payments (license fees). Per-unit royalties are generally based upon a percentage of the wholesale (i.e., licensee’s</w:t>
      </w:r>
      <w:r>
        <w:rPr>
          <w:rFonts w:eastAsia="Times New Roman"/>
          <w:color w:val="000000"/>
          <w:sz w:val="20"/>
          <w:szCs w:val="20"/>
        </w:rPr>
        <w:t>) selling price of complete licensed products, net of certain permissible deductions (including transportation, insurance, packing costs and other items), with certain products subject to per unit minimums and/or per unit caps. Certain products may also ha</w:t>
      </w:r>
      <w:r>
        <w:rPr>
          <w:rFonts w:eastAsia="Times New Roman"/>
          <w:color w:val="000000"/>
          <w:sz w:val="20"/>
          <w:szCs w:val="20"/>
        </w:rPr>
        <w:t>ve a fixed royalty amount per unit. We estimate and recognize sales-based royalties on such licensed products in the period in which the associated sales occur, considering all relevant information (historical, current and forecasted) that is reasonably av</w:t>
      </w:r>
      <w:r>
        <w:rPr>
          <w:rFonts w:eastAsia="Times New Roman"/>
          <w:color w:val="000000"/>
          <w:sz w:val="20"/>
          <w:szCs w:val="20"/>
        </w:rPr>
        <w:t>ailable to us. Our estimates of sales-based royalties are based largely on preliminary royalty estimates provided by our licensees and, to a lesser extent, an assessment of the volume of devices supplied into the market that incorporate or use our licensed</w:t>
      </w:r>
      <w:r>
        <w:rPr>
          <w:rFonts w:eastAsia="Times New Roman"/>
          <w:color w:val="000000"/>
          <w:sz w:val="20"/>
          <w:szCs w:val="20"/>
        </w:rPr>
        <w:t xml:space="preserve"> intellectual property, combined with an estimate of the mix of such sales on a licensee-by-licensee basis, as well as the licensees’ average wholesale prices of such products. In the periods presented, we have recognized immaterial differences between pre</w:t>
      </w:r>
      <w:r>
        <w:rPr>
          <w:rFonts w:eastAsia="Times New Roman"/>
          <w:color w:val="000000"/>
          <w:sz w:val="20"/>
          <w:szCs w:val="20"/>
        </w:rPr>
        <w:t>liminary royalty estimates provided to us by licensees and actual amounts reported and paid by licensees, which are generally received the following quarter, as licensees have not completed their royalty reporting process at the time estimates are provided</w:t>
      </w:r>
      <w:r>
        <w:rPr>
          <w:rFonts w:eastAsia="Times New Roman"/>
          <w:color w:val="000000"/>
          <w:sz w:val="20"/>
          <w:szCs w:val="20"/>
        </w:rPr>
        <w:t xml:space="preserve"> to us, and in certain cases, they do not provide all necessary information in order for us to calculate an estimate of royalties due, which requires us to independently estimate certain information. We also consider in our estimates of sales-based royalti</w:t>
      </w:r>
      <w:r>
        <w:rPr>
          <w:rFonts w:eastAsia="Times New Roman"/>
          <w:color w:val="000000"/>
          <w:sz w:val="20"/>
          <w:szCs w:val="20"/>
        </w:rPr>
        <w:t>es any changes in pricing we plan or expect to make and certain constraints on our ability to estimate such royalties. As a result of recognizing revenues in the period in which the licensees’ sales occur using estimates, adjustments to revenues are requir</w:t>
      </w:r>
      <w:r>
        <w:rPr>
          <w:rFonts w:eastAsia="Times New Roman"/>
          <w:color w:val="000000"/>
          <w:sz w:val="20"/>
          <w:szCs w:val="20"/>
        </w:rPr>
        <w:t>ed in subsequent periods to reflect changes in estimates as new information becomes available, primarily resulting from actual amounts reported by our licensees.</w:t>
      </w:r>
    </w:p>
    <w:p w:rsidR="00000000" w:rsidRDefault="008931E1">
      <w:pPr>
        <w:ind w:firstLine="360"/>
        <w:divId w:val="2056344769"/>
        <w:rPr>
          <w:rFonts w:eastAsia="Times New Roman"/>
        </w:rPr>
      </w:pPr>
      <w:r>
        <w:rPr>
          <w:rFonts w:eastAsia="Times New Roman"/>
          <w:color w:val="000000"/>
          <w:sz w:val="20"/>
          <w:szCs w:val="20"/>
        </w:rPr>
        <w:t>License agreements that require payment of license fees contain a single performance obligatio</w:t>
      </w:r>
      <w:r>
        <w:rPr>
          <w:rFonts w:eastAsia="Times New Roman"/>
          <w:color w:val="000000"/>
          <w:sz w:val="20"/>
          <w:szCs w:val="20"/>
        </w:rPr>
        <w:t>n that represents ongoing access to a portfolio of intellectual property over the license term since such agreements provide the licensee the right to access a portfolio of intellectual property that exists at inception of the license agreement and to upda</w:t>
      </w:r>
      <w:r>
        <w:rPr>
          <w:rFonts w:eastAsia="Times New Roman"/>
          <w:color w:val="000000"/>
          <w:sz w:val="20"/>
          <w:szCs w:val="20"/>
        </w:rPr>
        <w:t>tes and new intellectual property that is added to the licensed portfolio during the term of the agreement that are highly interdependent or interrelated. Since we expect to expend efforts to develop and transfer updates to our licensed portfolio on an eve</w:t>
      </w:r>
      <w:r>
        <w:rPr>
          <w:rFonts w:eastAsia="Times New Roman"/>
          <w:color w:val="000000"/>
          <w:sz w:val="20"/>
          <w:szCs w:val="20"/>
        </w:rPr>
        <w:t>n basis, license fees are recognized as revenues on a straight-line basis over the estimated period of benefit of the license to the licensee.</w:t>
      </w:r>
    </w:p>
    <w:p w:rsidR="00000000" w:rsidRDefault="008931E1">
      <w:pPr>
        <w:ind w:firstLine="360"/>
        <w:divId w:val="601642646"/>
        <w:rPr>
          <w:rFonts w:eastAsia="Times New Roman"/>
        </w:rPr>
      </w:pPr>
      <w:r>
        <w:rPr>
          <w:rFonts w:eastAsia="Times New Roman"/>
          <w:color w:val="000000"/>
          <w:sz w:val="20"/>
          <w:szCs w:val="20"/>
        </w:rPr>
        <w:t>We account for a contract with a customer/licensee when it is legally enforceable, the parties are committed to p</w:t>
      </w:r>
      <w:r>
        <w:rPr>
          <w:rFonts w:eastAsia="Times New Roman"/>
          <w:color w:val="000000"/>
          <w:sz w:val="20"/>
          <w:szCs w:val="20"/>
        </w:rPr>
        <w:t>erform their respective obligations, the rights of the parties regarding the goods and/or services to be transferred are identified, payment terms are identified, the contract has commercial substance and collectability of substantially all of the consider</w:t>
      </w:r>
      <w:r>
        <w:rPr>
          <w:rFonts w:eastAsia="Times New Roman"/>
          <w:color w:val="000000"/>
          <w:sz w:val="20"/>
          <w:szCs w:val="20"/>
        </w:rPr>
        <w:t xml:space="preserve">ation is probable, which for product sales, is generally when a customer purchase order is executed and for licensing revenues, is generally upon execution of a license agreement. If all such conditions are not met, revenues and any associated receivables </w:t>
      </w:r>
      <w:r>
        <w:rPr>
          <w:rFonts w:eastAsia="Times New Roman"/>
          <w:color w:val="000000"/>
          <w:sz w:val="20"/>
          <w:szCs w:val="20"/>
        </w:rPr>
        <w:t>are generally not recognized until such time that the required conditions are met. Cash collected from customers prior to a contract existing is recorded to other customer-related liabilities in other current liabilities.</w:t>
      </w:r>
    </w:p>
    <w:p w:rsidR="00000000" w:rsidRDefault="008931E1">
      <w:pPr>
        <w:ind w:firstLine="360"/>
        <w:divId w:val="1274822088"/>
        <w:rPr>
          <w:rFonts w:eastAsia="Times New Roman"/>
        </w:rPr>
      </w:pPr>
      <w:r>
        <w:rPr>
          <w:rFonts w:eastAsia="Times New Roman"/>
          <w:color w:val="000000"/>
          <w:sz w:val="20"/>
          <w:szCs w:val="20"/>
        </w:rPr>
        <w:t>From time to time, regulatory auth</w:t>
      </w:r>
      <w:r>
        <w:rPr>
          <w:rFonts w:eastAsia="Times New Roman"/>
          <w:color w:val="000000"/>
          <w:sz w:val="20"/>
          <w:szCs w:val="20"/>
        </w:rPr>
        <w:t>orities investigate our business practices, particularly with respect to our licensing business, and institute proceedings against us. Depending on the matter, various remedies that could result from an unfavorable resolution include, among others, the los</w:t>
      </w:r>
      <w:r>
        <w:rPr>
          <w:rFonts w:eastAsia="Times New Roman"/>
          <w:color w:val="000000"/>
          <w:sz w:val="20"/>
          <w:szCs w:val="20"/>
        </w:rPr>
        <w:t>s of our ability to enforce one or more of our patents; injunctions; monetary damages or fines or other orders to pay money; the issuance of orders to cease certain conduct or modify our business practices, such as requiring us to reduce our royalty rates,</w:t>
      </w:r>
      <w:r>
        <w:rPr>
          <w:rFonts w:eastAsia="Times New Roman"/>
          <w:color w:val="000000"/>
          <w:sz w:val="20"/>
          <w:szCs w:val="20"/>
        </w:rPr>
        <w:t xml:space="preserve"> reduce the base on which our royalties are calculated, grant patent licenses to chipset manufacturers, sell chipsets to unlicensed original equipment manufacturers (OEMs) or modify or renegotiate some or all of our existing license agreements; and determi</w:t>
      </w:r>
      <w:r>
        <w:rPr>
          <w:rFonts w:eastAsia="Times New Roman"/>
          <w:color w:val="000000"/>
          <w:sz w:val="20"/>
          <w:szCs w:val="20"/>
        </w:rPr>
        <w:t>nations that some or all of our license agreements are invalid or unenforceable. Additionally, from time to time, companies initiate various strategies in an attempt to negotiate, renegotiate, reduce and/or eliminate their need to pay royalties to us for t</w:t>
      </w:r>
      <w:r>
        <w:rPr>
          <w:rFonts w:eastAsia="Times New Roman"/>
          <w:color w:val="000000"/>
          <w:sz w:val="20"/>
          <w:szCs w:val="20"/>
        </w:rPr>
        <w:t xml:space="preserve">he use of our intellectual property, which may include disputing, underreporting, underpaying, not reporting and/or not paying royalties owed to us under their license agreements with us, or reporting to us in a manner that is not in compliance with their </w:t>
      </w:r>
      <w:r>
        <w:rPr>
          <w:rFonts w:eastAsia="Times New Roman"/>
          <w:color w:val="000000"/>
          <w:sz w:val="20"/>
          <w:szCs w:val="20"/>
        </w:rPr>
        <w:t>contractual obligations. In such cases, we estimate and recognize licensing revenues only when we have a contract, as defined in the revenue recognition guidance, which includes, among other items, evaluating whether our license agreements remain valid and</w:t>
      </w:r>
      <w:r>
        <w:rPr>
          <w:rFonts w:eastAsia="Times New Roman"/>
          <w:color w:val="000000"/>
          <w:sz w:val="20"/>
          <w:szCs w:val="20"/>
        </w:rPr>
        <w:t xml:space="preserve"> enforceable and evaluating licensees’ conduct and whether they remain committed to perform their respective obligations. We also estimate and recognize licensing revenues only to the extent it is probable that a significant reversal of cumulative revenues</w:t>
      </w:r>
      <w:r>
        <w:rPr>
          <w:rFonts w:eastAsia="Times New Roman"/>
          <w:color w:val="000000"/>
          <w:sz w:val="20"/>
          <w:szCs w:val="20"/>
        </w:rPr>
        <w:t xml:space="preserve"> recognized will not occur, which includes, among other items, determining the expected impact, if any, to revenues of any license agreements that may be renegotiated and/or are newly entered into. We analyze the risk of a significant revenue reversal cons</w:t>
      </w:r>
      <w:r>
        <w:rPr>
          <w:rFonts w:eastAsia="Times New Roman"/>
          <w:color w:val="000000"/>
          <w:sz w:val="20"/>
          <w:szCs w:val="20"/>
        </w:rPr>
        <w:t>idering both the likelihood and magnitude of the reversal and, if necessary, constrain the amount of estimated revenues recognized in order to mitigate this risk, which may result in recognizing revenues less than amounts contractually owed to us. These af</w:t>
      </w:r>
      <w:r>
        <w:rPr>
          <w:rFonts w:eastAsia="Times New Roman"/>
          <w:color w:val="000000"/>
          <w:sz w:val="20"/>
          <w:szCs w:val="20"/>
        </w:rPr>
        <w:t xml:space="preserve">orementioned estimates may require significant judgment. </w:t>
      </w:r>
    </w:p>
    <w:p w:rsidR="00000000" w:rsidRDefault="008931E1">
      <w:pPr>
        <w:ind w:firstLine="360"/>
        <w:divId w:val="1157376806"/>
        <w:rPr>
          <w:rFonts w:eastAsia="Times New Roman"/>
        </w:rPr>
      </w:pPr>
      <w:r>
        <w:rPr>
          <w:rFonts w:eastAsia="Times New Roman"/>
          <w:color w:val="000000"/>
          <w:sz w:val="20"/>
          <w:szCs w:val="20"/>
        </w:rPr>
        <w:t>We measure revenues (including our estimates of sales-based royalties) based on the amount of consideration we expect to receive in exchange for products or services. We record reductions to revenue</w:t>
      </w:r>
      <w:r>
        <w:rPr>
          <w:rFonts w:eastAsia="Times New Roman"/>
          <w:color w:val="000000"/>
          <w:sz w:val="20"/>
          <w:szCs w:val="20"/>
        </w:rPr>
        <w:t>s for customer incentive arrangements, including volume-related and other pricing rebates and cost reimbursements for marketing and other activities involving certain of our products and technologies, in the period that the related revenues are earned. For</w:t>
      </w:r>
      <w:r>
        <w:rPr>
          <w:rFonts w:eastAsia="Times New Roman"/>
          <w:color w:val="000000"/>
          <w:sz w:val="20"/>
          <w:szCs w:val="20"/>
        </w:rPr>
        <w:t xml:space="preserve"> certain QCT (Qualcomm CDMA Technologies) customer incentive arrangements, there is complexity in applying certain contractual terms to determine the amount recorded as a reduction to revenues. For the periods presented, no significant reversals of revenue</w:t>
      </w:r>
      <w:r>
        <w:rPr>
          <w:rFonts w:eastAsia="Times New Roman"/>
          <w:color w:val="000000"/>
          <w:sz w:val="20"/>
          <w:szCs w:val="20"/>
        </w:rPr>
        <w:t xml:space="preserve">s </w:t>
      </w:r>
    </w:p>
    <w:p w:rsidR="00000000" w:rsidRDefault="008931E1">
      <w:pPr>
        <w:jc w:val="center"/>
        <w:divId w:val="1889412172"/>
        <w:rPr>
          <w:rFonts w:eastAsia="Times New Roman"/>
        </w:rPr>
      </w:pPr>
      <w:r>
        <w:rPr>
          <w:rFonts w:eastAsia="Times New Roman"/>
          <w:color w:val="000000"/>
          <w:sz w:val="20"/>
          <w:szCs w:val="20"/>
        </w:rPr>
        <w:t>F-12</w:t>
      </w:r>
    </w:p>
    <w:p w:rsidR="00000000" w:rsidRDefault="008931E1">
      <w:pPr>
        <w:rPr>
          <w:rFonts w:eastAsia="Times New Roman"/>
        </w:rPr>
      </w:pPr>
      <w:r>
        <w:rPr>
          <w:rFonts w:eastAsia="Times New Roman"/>
        </w:rPr>
        <w:pict>
          <v:rect id="_x0000_i1091" style="width:0;height:1.5pt" o:hralign="center" o:hrstd="t" o:hr="t" fillcolor="#a0a0a0" stroked="f"/>
        </w:pict>
      </w:r>
    </w:p>
    <w:p w:rsidR="00000000" w:rsidRDefault="008931E1">
      <w:pPr>
        <w:jc w:val="center"/>
        <w:divId w:val="814565396"/>
        <w:rPr>
          <w:rFonts w:eastAsia="Times New Roman"/>
        </w:rPr>
      </w:pPr>
    </w:p>
    <w:p w:rsidR="00000000" w:rsidRDefault="008931E1">
      <w:pPr>
        <w:jc w:val="center"/>
        <w:divId w:val="814565396"/>
        <w:rPr>
          <w:rFonts w:eastAsia="Times New Roman"/>
        </w:rPr>
      </w:pPr>
      <w:r>
        <w:rPr>
          <w:rFonts w:eastAsia="Times New Roman"/>
          <w:b/>
          <w:bCs/>
          <w:color w:val="000000"/>
          <w:sz w:val="20"/>
          <w:szCs w:val="20"/>
        </w:rPr>
        <w:t>QUALCOMM Incorporated</w:t>
      </w:r>
    </w:p>
    <w:p w:rsidR="00000000" w:rsidRDefault="008931E1">
      <w:pPr>
        <w:jc w:val="center"/>
        <w:divId w:val="814565396"/>
        <w:rPr>
          <w:rFonts w:eastAsia="Times New Roman"/>
        </w:rPr>
      </w:pPr>
      <w:r>
        <w:rPr>
          <w:rFonts w:eastAsia="Times New Roman"/>
          <w:b/>
          <w:bCs/>
          <w:color w:val="000000"/>
          <w:sz w:val="20"/>
          <w:szCs w:val="20"/>
        </w:rPr>
        <w:t>NOTES TO CONSOLIDATED FINANCIAL STATEMENTS</w:t>
      </w:r>
    </w:p>
    <w:p w:rsidR="00000000" w:rsidRDefault="008931E1">
      <w:pPr>
        <w:divId w:val="1401245741"/>
        <w:rPr>
          <w:rFonts w:eastAsia="Times New Roman"/>
        </w:rPr>
      </w:pPr>
      <w:r>
        <w:rPr>
          <w:rFonts w:eastAsia="Times New Roman"/>
          <w:color w:val="000000"/>
          <w:sz w:val="20"/>
          <w:szCs w:val="20"/>
        </w:rPr>
        <w:t xml:space="preserve">have been made related to such amounts previously recorded. The amounts accrued for customer incentive arrangements are recorded as a reduction to accounts receivable, net or as other current liabilities based on whether we have the intent and contractual </w:t>
      </w:r>
      <w:r>
        <w:rPr>
          <w:rFonts w:eastAsia="Times New Roman"/>
          <w:color w:val="000000"/>
          <w:sz w:val="20"/>
          <w:szCs w:val="20"/>
        </w:rPr>
        <w:t>right of offset. Certain amounts recorded as a reduction to revenues for customer incentive arrangements are considered variable consideration and are included in the transaction price primarily based on estimating the most likely amount expected to be pro</w:t>
      </w:r>
      <w:r>
        <w:rPr>
          <w:rFonts w:eastAsia="Times New Roman"/>
          <w:color w:val="000000"/>
          <w:sz w:val="20"/>
          <w:szCs w:val="20"/>
        </w:rPr>
        <w:t xml:space="preserve">vided to the customer/licensee. </w:t>
      </w:r>
    </w:p>
    <w:p w:rsidR="00000000" w:rsidRDefault="008931E1">
      <w:pPr>
        <w:ind w:firstLine="360"/>
        <w:divId w:val="1542009844"/>
        <w:rPr>
          <w:rFonts w:eastAsia="Times New Roman"/>
        </w:rPr>
      </w:pPr>
      <w:r>
        <w:rPr>
          <w:rFonts w:eastAsia="Times New Roman"/>
          <w:color w:val="000000"/>
          <w:sz w:val="20"/>
          <w:szCs w:val="20"/>
        </w:rPr>
        <w:t>Adjustments made to revenues in subsequent periods to reflect changes in estimates as new information becomes available are included in our disclosure of revenues recognized from previously satisfied performance obligations</w:t>
      </w:r>
      <w:r>
        <w:rPr>
          <w:rFonts w:eastAsia="Times New Roman"/>
          <w:color w:val="000000"/>
          <w:sz w:val="20"/>
          <w:szCs w:val="20"/>
        </w:rPr>
        <w:t xml:space="preserve"> (Note 2).</w:t>
      </w:r>
    </w:p>
    <w:p w:rsidR="00000000" w:rsidRDefault="008931E1">
      <w:pPr>
        <w:ind w:firstLine="360"/>
        <w:divId w:val="572667490"/>
        <w:rPr>
          <w:rFonts w:eastAsia="Times New Roman"/>
        </w:rPr>
      </w:pPr>
      <w:r>
        <w:rPr>
          <w:rFonts w:eastAsia="Times New Roman"/>
          <w:color w:val="000000"/>
          <w:sz w:val="20"/>
          <w:szCs w:val="20"/>
        </w:rPr>
        <w:t>Revenues recognized from sales of our products and sales-based royalties are generally included in accounts receivable, net (including unbilled receivables) based on our unconditional right to payment for satisfied or partially satisfied perform</w:t>
      </w:r>
      <w:r>
        <w:rPr>
          <w:rFonts w:eastAsia="Times New Roman"/>
          <w:color w:val="000000"/>
          <w:sz w:val="20"/>
          <w:szCs w:val="20"/>
        </w:rPr>
        <w:t>ance obligations.</w:t>
      </w:r>
    </w:p>
    <w:p w:rsidR="00000000" w:rsidRDefault="008931E1">
      <w:pPr>
        <w:ind w:firstLine="360"/>
        <w:divId w:val="1442528302"/>
        <w:rPr>
          <w:rFonts w:eastAsia="Times New Roman"/>
        </w:rPr>
      </w:pPr>
      <w:r>
        <w:rPr>
          <w:rFonts w:eastAsia="Times New Roman"/>
          <w:b/>
          <w:bCs/>
          <w:i/>
          <w:iCs/>
          <w:color w:val="000000"/>
          <w:sz w:val="20"/>
          <w:szCs w:val="20"/>
        </w:rPr>
        <w:t>Share-Based Compensation.</w:t>
      </w:r>
      <w:r>
        <w:rPr>
          <w:rFonts w:eastAsia="Times New Roman"/>
          <w:color w:val="000000"/>
          <w:sz w:val="20"/>
          <w:szCs w:val="20"/>
        </w:rPr>
        <w:t xml:space="preserve"> Share-based compensation expense for equity-classified awards, principally related to restricted stock units (RSUs), is measured at the grant date, or at the acquisition date for awards assumed in business combin</w:t>
      </w:r>
      <w:r>
        <w:rPr>
          <w:rFonts w:eastAsia="Times New Roman"/>
          <w:color w:val="000000"/>
          <w:sz w:val="20"/>
          <w:szCs w:val="20"/>
        </w:rPr>
        <w:t>ations, based on the estimated fair value of the award and is recognized over the employee’s requisite service period. The fair values of RSUs are estimated based on the fair market values of the underlying stock on the dates of grant or dates the RSUs are</w:t>
      </w:r>
      <w:r>
        <w:rPr>
          <w:rFonts w:eastAsia="Times New Roman"/>
          <w:color w:val="000000"/>
          <w:sz w:val="20"/>
          <w:szCs w:val="20"/>
        </w:rPr>
        <w:t xml:space="preserve"> assumed. Share-based compensation expense is adjusted to exclude amounts related to share-based awards that are expected to be forfeited.</w:t>
      </w:r>
    </w:p>
    <w:p w:rsidR="00000000" w:rsidRDefault="008931E1">
      <w:pPr>
        <w:ind w:firstLine="360"/>
        <w:divId w:val="1462992832"/>
        <w:rPr>
          <w:rFonts w:eastAsia="Times New Roman"/>
        </w:rPr>
      </w:pPr>
      <w:r>
        <w:rPr>
          <w:rFonts w:eastAsia="Times New Roman"/>
          <w:b/>
          <w:bCs/>
          <w:i/>
          <w:iCs/>
          <w:color w:val="000000"/>
          <w:sz w:val="20"/>
          <w:szCs w:val="20"/>
        </w:rPr>
        <w:t>Legal and Regulatory Proceedings.</w:t>
      </w:r>
      <w:r>
        <w:rPr>
          <w:rFonts w:eastAsia="Times New Roman"/>
          <w:color w:val="000000"/>
          <w:sz w:val="20"/>
          <w:szCs w:val="20"/>
        </w:rPr>
        <w:t xml:space="preserve"> We are currently involved in certain legal and regulatory proceedings. Litigation a</w:t>
      </w:r>
      <w:r>
        <w:rPr>
          <w:rFonts w:eastAsia="Times New Roman"/>
          <w:color w:val="000000"/>
          <w:sz w:val="20"/>
          <w:szCs w:val="20"/>
        </w:rPr>
        <w:t>nd investigations are inherently uncertain, and we face difficulties in evaluating or estimating likely outcomes or ranges of possible loss in antitrust and trade regulation investigations in particular. Investigations by antitrust and trade regulation age</w:t>
      </w:r>
      <w:r>
        <w:rPr>
          <w:rFonts w:eastAsia="Times New Roman"/>
          <w:color w:val="000000"/>
          <w:sz w:val="20"/>
          <w:szCs w:val="20"/>
        </w:rPr>
        <w:t>ncies are not conducted in a consistent manner across jurisdictions. Further, each country and agency has different sets of laws, rules and regulations, both substantive and procedural, as well as different legal principles, theories and potential remedies</w:t>
      </w:r>
      <w:r>
        <w:rPr>
          <w:rFonts w:eastAsia="Times New Roman"/>
          <w:color w:val="000000"/>
          <w:sz w:val="20"/>
          <w:szCs w:val="20"/>
        </w:rPr>
        <w:t>, and some agencies may seek to use the investigation to advance domestic policy goals. Depending on the jurisdiction, these investigations can involve non-transparent procedures under which we may not receive access to evidence relied upon by the enforcem</w:t>
      </w:r>
      <w:r>
        <w:rPr>
          <w:rFonts w:eastAsia="Times New Roman"/>
          <w:color w:val="000000"/>
          <w:sz w:val="20"/>
          <w:szCs w:val="20"/>
        </w:rPr>
        <w:t>ent agency or that may be exculpatory and may not be informed of the specific legal theories or evidence considered or relied upon by the agency. Unlike in civil litigation in the United States, in foreign proceedings, we may not be entitled to discovery o</w:t>
      </w:r>
      <w:r>
        <w:rPr>
          <w:rFonts w:eastAsia="Times New Roman"/>
          <w:color w:val="000000"/>
          <w:sz w:val="20"/>
          <w:szCs w:val="20"/>
        </w:rPr>
        <w:t>r depositions, allowed to cross-examine witnesses or confront our accusers. As a result, we may not be aware of, and may not be entitled to know, all allegations against us, or the information or documents provided to, or discovered or prepared by, the age</w:t>
      </w:r>
      <w:r>
        <w:rPr>
          <w:rFonts w:eastAsia="Times New Roman"/>
          <w:color w:val="000000"/>
          <w:sz w:val="20"/>
          <w:szCs w:val="20"/>
        </w:rPr>
        <w:t xml:space="preserve">ncy. Accordingly, we may have little or no idea what an agency’s intent is with respect to liability, penalties or the timing of a decision. In many cases the agencies are given significant discretion, and any available precedent may have limited, if any, </w:t>
      </w:r>
      <w:r>
        <w:rPr>
          <w:rFonts w:eastAsia="Times New Roman"/>
          <w:color w:val="000000"/>
          <w:sz w:val="20"/>
          <w:szCs w:val="20"/>
        </w:rPr>
        <w:t>predictive value in their jurisdictions or other jurisdictions. Accordingly, we cannot predict the outcome of these matters. A broad range of remedies with respect to our business practices that are deemed to violate applicable laws are potentially availab</w:t>
      </w:r>
      <w:r>
        <w:rPr>
          <w:rFonts w:eastAsia="Times New Roman"/>
          <w:color w:val="000000"/>
          <w:sz w:val="20"/>
          <w:szCs w:val="20"/>
        </w:rPr>
        <w:t>le. These remedies may include, among others, injunctions, monetary damages or fines or other orders to pay money and the issuance of orders to cease certain conduct and/or to modify our business practices.</w:t>
      </w:r>
    </w:p>
    <w:p w:rsidR="00000000" w:rsidRDefault="008931E1">
      <w:pPr>
        <w:ind w:firstLine="360"/>
        <w:divId w:val="691955366"/>
        <w:rPr>
          <w:rFonts w:eastAsia="Times New Roman"/>
        </w:rPr>
      </w:pPr>
      <w:r>
        <w:rPr>
          <w:rFonts w:eastAsia="Times New Roman"/>
          <w:color w:val="000000"/>
          <w:sz w:val="20"/>
          <w:szCs w:val="20"/>
        </w:rPr>
        <w:t>If there is at least a reasonable possibility tha</w:t>
      </w:r>
      <w:r>
        <w:rPr>
          <w:rFonts w:eastAsia="Times New Roman"/>
          <w:color w:val="000000"/>
          <w:sz w:val="20"/>
          <w:szCs w:val="20"/>
        </w:rPr>
        <w:t>t a material loss may have been incurred associated with pending legal and regulatory proceedings, we disclose such fact, and if reasonably estimable, we provide an estimate of the possible loss or range of possible loss. We record our best estimate of a l</w:t>
      </w:r>
      <w:r>
        <w:rPr>
          <w:rFonts w:eastAsia="Times New Roman"/>
          <w:color w:val="000000"/>
          <w:sz w:val="20"/>
          <w:szCs w:val="20"/>
        </w:rPr>
        <w:t>oss related to pending legal and regulatory proceedings when the loss is considered probable and the amount can be reasonably estimated. Where a range of loss can be reasonably estimated with no best estimate in the range, we record the minimum estimated l</w:t>
      </w:r>
      <w:r>
        <w:rPr>
          <w:rFonts w:eastAsia="Times New Roman"/>
          <w:color w:val="000000"/>
          <w:sz w:val="20"/>
          <w:szCs w:val="20"/>
        </w:rPr>
        <w:t>iability. As additional information becomes available, we assess the potential liability related to pending legal and regulatory proceedings and revise our estimates and update our disclosures accordingly. Significant judgment is required in both the deter</w:t>
      </w:r>
      <w:r>
        <w:rPr>
          <w:rFonts w:eastAsia="Times New Roman"/>
          <w:color w:val="000000"/>
          <w:sz w:val="20"/>
          <w:szCs w:val="20"/>
        </w:rPr>
        <w:t xml:space="preserve">mination of probability and the determination as to whether a loss is reasonably estimable. Our legal costs associated with defending ourselves are recorded to expense as incurred. </w:t>
      </w:r>
    </w:p>
    <w:p w:rsidR="00000000" w:rsidRDefault="008931E1">
      <w:pPr>
        <w:ind w:firstLine="360"/>
        <w:divId w:val="275987588"/>
        <w:rPr>
          <w:rFonts w:eastAsia="Times New Roman"/>
        </w:rPr>
      </w:pPr>
      <w:r>
        <w:rPr>
          <w:rFonts w:eastAsia="Times New Roman"/>
          <w:b/>
          <w:bCs/>
          <w:i/>
          <w:iCs/>
          <w:color w:val="000000"/>
          <w:sz w:val="20"/>
          <w:szCs w:val="20"/>
        </w:rPr>
        <w:t>Foreign Currency.</w:t>
      </w:r>
      <w:r>
        <w:rPr>
          <w:rFonts w:eastAsia="Times New Roman"/>
          <w:color w:val="000000"/>
          <w:sz w:val="20"/>
          <w:szCs w:val="20"/>
        </w:rPr>
        <w:t xml:space="preserve"> Certain foreign subsidiaries use a local currency as the</w:t>
      </w:r>
      <w:r>
        <w:rPr>
          <w:rFonts w:eastAsia="Times New Roman"/>
          <w:color w:val="000000"/>
          <w:sz w:val="20"/>
          <w:szCs w:val="20"/>
        </w:rPr>
        <w:t xml:space="preserve"> functional currency. Resulting translation gains or losses are recorded as a component of accumulated other comprehensive income (loss). Transaction gains or losses related to balances denominated in a currency other than the functional currency of the en</w:t>
      </w:r>
      <w:r>
        <w:rPr>
          <w:rFonts w:eastAsia="Times New Roman"/>
          <w:color w:val="000000"/>
          <w:sz w:val="20"/>
          <w:szCs w:val="20"/>
        </w:rPr>
        <w:t xml:space="preserve">tity involved are recognized in the consolidated statements of operations. </w:t>
      </w:r>
    </w:p>
    <w:p w:rsidR="00000000" w:rsidRDefault="008931E1">
      <w:pPr>
        <w:ind w:firstLine="360"/>
        <w:divId w:val="695039924"/>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The asset and liability approach is used to recognize deferred tax assets and liabilities for the expected future tax consequences of temporary differences between th</w:t>
      </w:r>
      <w:r>
        <w:rPr>
          <w:rFonts w:eastAsia="Times New Roman"/>
          <w:color w:val="000000"/>
          <w:sz w:val="20"/>
          <w:szCs w:val="20"/>
        </w:rPr>
        <w:t>e carrying amounts and the tax bases of assets and liabilities. Tax law and rate changes are reflected in income in the period such changes are enacted. We record a valuation allowance to reduce deferred tax assets to the amount that is more likely than no</w:t>
      </w:r>
      <w:r>
        <w:rPr>
          <w:rFonts w:eastAsia="Times New Roman"/>
          <w:color w:val="000000"/>
          <w:sz w:val="20"/>
          <w:szCs w:val="20"/>
        </w:rPr>
        <w:t xml:space="preserve">t to be realized. We include interest and penalties related to income taxes, including unrecognized tax benefits, within income tax expense. We classify all deferred tax assets and liabilities as noncurrent in the consolidated balance sheets. We recognize </w:t>
      </w:r>
      <w:r>
        <w:rPr>
          <w:rFonts w:eastAsia="Times New Roman"/>
          <w:color w:val="000000"/>
          <w:sz w:val="20"/>
          <w:szCs w:val="20"/>
        </w:rPr>
        <w:t xml:space="preserve">excess tax benefits and shortfall tax detriments associated with share-based awards in the consolidated statements of operations, as a component of income tax expense, when realized. </w:t>
      </w:r>
    </w:p>
    <w:p w:rsidR="00000000" w:rsidRDefault="008931E1">
      <w:pPr>
        <w:ind w:firstLine="360"/>
        <w:divId w:val="1446659774"/>
        <w:rPr>
          <w:rFonts w:eastAsia="Times New Roman"/>
        </w:rPr>
      </w:pPr>
      <w:r>
        <w:rPr>
          <w:rFonts w:eastAsia="Times New Roman"/>
          <w:color w:val="000000"/>
          <w:sz w:val="20"/>
          <w:szCs w:val="20"/>
        </w:rPr>
        <w:t>Our income tax returns are based on calculations and assumptions that ar</w:t>
      </w:r>
      <w:r>
        <w:rPr>
          <w:rFonts w:eastAsia="Times New Roman"/>
          <w:color w:val="000000"/>
          <w:sz w:val="20"/>
          <w:szCs w:val="20"/>
        </w:rPr>
        <w:t>e subject to examination by the Internal Revenue Service (IRS) and other tax authorities. In addition, the calculation of our tax liabilities involves dealing with uncertainties in the application of complex tax regulations. We recognize liabilities for un</w:t>
      </w:r>
      <w:r>
        <w:rPr>
          <w:rFonts w:eastAsia="Times New Roman"/>
          <w:color w:val="000000"/>
          <w:sz w:val="20"/>
          <w:szCs w:val="20"/>
        </w:rPr>
        <w:t>certain tax positions based on a two-step process. The first step is to evaluate the tax position for recognition by determining if the weight of available evidence indicates that it is more likely than not that the position will be sustained on audit, inc</w:t>
      </w:r>
      <w:r>
        <w:rPr>
          <w:rFonts w:eastAsia="Times New Roman"/>
          <w:color w:val="000000"/>
          <w:sz w:val="20"/>
          <w:szCs w:val="20"/>
        </w:rPr>
        <w:t xml:space="preserve">luding resolution of related </w:t>
      </w:r>
    </w:p>
    <w:p w:rsidR="00000000" w:rsidRDefault="008931E1">
      <w:pPr>
        <w:jc w:val="center"/>
        <w:divId w:val="7224332"/>
        <w:rPr>
          <w:rFonts w:eastAsia="Times New Roman"/>
        </w:rPr>
      </w:pPr>
      <w:r>
        <w:rPr>
          <w:rFonts w:eastAsia="Times New Roman"/>
          <w:color w:val="000000"/>
          <w:sz w:val="20"/>
          <w:szCs w:val="20"/>
        </w:rPr>
        <w:t>F-13</w:t>
      </w:r>
    </w:p>
    <w:p w:rsidR="00000000" w:rsidRDefault="008931E1">
      <w:pPr>
        <w:rPr>
          <w:rFonts w:eastAsia="Times New Roman"/>
        </w:rPr>
      </w:pPr>
      <w:r>
        <w:rPr>
          <w:rFonts w:eastAsia="Times New Roman"/>
        </w:rPr>
        <w:pict>
          <v:rect id="_x0000_i1092" style="width:0;height:1.5pt" o:hralign="center" o:hrstd="t" o:hr="t" fillcolor="#a0a0a0" stroked="f"/>
        </w:pict>
      </w:r>
    </w:p>
    <w:p w:rsidR="00000000" w:rsidRDefault="008931E1">
      <w:pPr>
        <w:jc w:val="center"/>
        <w:divId w:val="1776830606"/>
        <w:rPr>
          <w:rFonts w:eastAsia="Times New Roman"/>
        </w:rPr>
      </w:pPr>
    </w:p>
    <w:p w:rsidR="00000000" w:rsidRDefault="008931E1">
      <w:pPr>
        <w:jc w:val="center"/>
        <w:divId w:val="1776830606"/>
        <w:rPr>
          <w:rFonts w:eastAsia="Times New Roman"/>
        </w:rPr>
      </w:pPr>
      <w:r>
        <w:rPr>
          <w:rFonts w:eastAsia="Times New Roman"/>
          <w:b/>
          <w:bCs/>
          <w:color w:val="000000"/>
          <w:sz w:val="20"/>
          <w:szCs w:val="20"/>
        </w:rPr>
        <w:t>QUALCOMM Incorporated</w:t>
      </w:r>
    </w:p>
    <w:p w:rsidR="00000000" w:rsidRDefault="008931E1">
      <w:pPr>
        <w:jc w:val="center"/>
        <w:divId w:val="1776830606"/>
        <w:rPr>
          <w:rFonts w:eastAsia="Times New Roman"/>
        </w:rPr>
      </w:pPr>
      <w:r>
        <w:rPr>
          <w:rFonts w:eastAsia="Times New Roman"/>
          <w:b/>
          <w:bCs/>
          <w:color w:val="000000"/>
          <w:sz w:val="20"/>
          <w:szCs w:val="20"/>
        </w:rPr>
        <w:t>NOTES TO CONSOLIDATED FINANCIAL STATEMENTS</w:t>
      </w:r>
    </w:p>
    <w:p w:rsidR="00000000" w:rsidRDefault="008931E1">
      <w:pPr>
        <w:divId w:val="403840403"/>
        <w:rPr>
          <w:rFonts w:eastAsia="Times New Roman"/>
        </w:rPr>
      </w:pPr>
      <w:r>
        <w:rPr>
          <w:rFonts w:eastAsia="Times New Roman"/>
          <w:color w:val="000000"/>
          <w:sz w:val="20"/>
          <w:szCs w:val="20"/>
        </w:rPr>
        <w:t>appeals or litigation processes, if any. The second step is to measure the tax benefit as the largest amount that is more than 50% likely of being realized upon settlement. We continually assess the likelihood and amount of potential adjustments and adjust</w:t>
      </w:r>
      <w:r>
        <w:rPr>
          <w:rFonts w:eastAsia="Times New Roman"/>
          <w:color w:val="000000"/>
          <w:sz w:val="20"/>
          <w:szCs w:val="20"/>
        </w:rPr>
        <w:t xml:space="preserve"> the income tax provision, income taxes payable and deferred taxes in the period in which the facts that give rise to a revision become known.</w:t>
      </w:r>
    </w:p>
    <w:p w:rsidR="00000000" w:rsidRDefault="008931E1">
      <w:pPr>
        <w:ind w:firstLine="360"/>
        <w:divId w:val="784272482"/>
        <w:rPr>
          <w:rFonts w:eastAsia="Times New Roman"/>
        </w:rPr>
      </w:pPr>
      <w:r>
        <w:rPr>
          <w:rFonts w:eastAsia="Times New Roman"/>
          <w:color w:val="000000"/>
          <w:sz w:val="20"/>
          <w:szCs w:val="20"/>
        </w:rPr>
        <w:t>We are subject to income taxes in the United States and numerous foreign jurisdictions, and the assessment of our</w:t>
      </w:r>
      <w:r>
        <w:rPr>
          <w:rFonts w:eastAsia="Times New Roman"/>
          <w:color w:val="000000"/>
          <w:sz w:val="20"/>
          <w:szCs w:val="20"/>
        </w:rPr>
        <w:t xml:space="preserve"> income tax positions involves dealing with uncertainties in the application of complex tax laws and regulations in various taxing jurisdictions. In addition, the application of tax laws and regulations is subject to legal and factual interpretation, judgm</w:t>
      </w:r>
      <w:r>
        <w:rPr>
          <w:rFonts w:eastAsia="Times New Roman"/>
          <w:color w:val="000000"/>
          <w:sz w:val="20"/>
          <w:szCs w:val="20"/>
        </w:rPr>
        <w:t xml:space="preserve">ent and uncertainty. Tax laws and regulations themselves are subject to change as a result of changes in fiscal policy, changes in legislation, the evolution of regulations and court rulings. Significant judgments and estimates are required in determining </w:t>
      </w:r>
      <w:r>
        <w:rPr>
          <w:rFonts w:eastAsia="Times New Roman"/>
          <w:color w:val="000000"/>
          <w:sz w:val="20"/>
          <w:szCs w:val="20"/>
        </w:rPr>
        <w:t>our provision for income taxes, including those related to special deductions such as FDII (foreign-derived intangible income), tax incentives, intercompany research and development cost-sharing arrangements, transfer pricing, tax credits and the realizabi</w:t>
      </w:r>
      <w:r>
        <w:rPr>
          <w:rFonts w:eastAsia="Times New Roman"/>
          <w:color w:val="000000"/>
          <w:sz w:val="20"/>
          <w:szCs w:val="20"/>
        </w:rPr>
        <w:t>lity of deferred tax assets. While we believe we have appropriate support for the positions we have taken or that we plan to take on our tax returns, we regularly assess the potential outcomes of examinations by taxing authorities in determining the adequa</w:t>
      </w:r>
      <w:r>
        <w:rPr>
          <w:rFonts w:eastAsia="Times New Roman"/>
          <w:color w:val="000000"/>
          <w:sz w:val="20"/>
          <w:szCs w:val="20"/>
        </w:rPr>
        <w:t>cy of our provision for income taxes. Therefore, the actual liability for U.S. or foreign taxes may be materially different from our estimates, which could result in the need to record additional tax liabilities or potentially reverse previously recorded t</w:t>
      </w:r>
      <w:r>
        <w:rPr>
          <w:rFonts w:eastAsia="Times New Roman"/>
          <w:color w:val="000000"/>
          <w:sz w:val="20"/>
          <w:szCs w:val="20"/>
        </w:rPr>
        <w:t>ax liabilities. For tax years prior to fiscal 2021, we are participating in the IRS Compliance Assurance Process program whereby we endeavor to agree with the IRS on the treatment of all issues prior to filing our federal return.</w:t>
      </w:r>
    </w:p>
    <w:p w:rsidR="00000000" w:rsidRDefault="008931E1">
      <w:pPr>
        <w:ind w:firstLine="360"/>
        <w:divId w:val="224726503"/>
        <w:rPr>
          <w:rFonts w:eastAsia="Times New Roman"/>
        </w:rPr>
      </w:pPr>
      <w:r>
        <w:rPr>
          <w:rFonts w:eastAsia="Times New Roman"/>
          <w:b/>
          <w:bCs/>
          <w:i/>
          <w:iCs/>
          <w:color w:val="000000"/>
          <w:sz w:val="20"/>
          <w:szCs w:val="20"/>
        </w:rPr>
        <w:t>Stock Repurchases.</w:t>
      </w:r>
      <w:r>
        <w:rPr>
          <w:rFonts w:eastAsia="Times New Roman"/>
          <w:i/>
          <w:iCs/>
          <w:color w:val="000000"/>
          <w:sz w:val="20"/>
          <w:szCs w:val="20"/>
        </w:rPr>
        <w:t xml:space="preserve"> </w:t>
      </w:r>
      <w:r>
        <w:rPr>
          <w:rFonts w:eastAsia="Times New Roman"/>
          <w:color w:val="000000"/>
          <w:sz w:val="20"/>
          <w:szCs w:val="20"/>
        </w:rPr>
        <w:t>To refl</w:t>
      </w:r>
      <w:r>
        <w:rPr>
          <w:rFonts w:eastAsia="Times New Roman"/>
          <w:color w:val="000000"/>
          <w:sz w:val="20"/>
          <w:szCs w:val="20"/>
        </w:rPr>
        <w:t>ect share repurchases in the consolidated balance sheet, we (i) reduce common stock for the par value of the shares, (ii) reduce paid-in capital for the amount in excess of par to zero during the quarter in which the shares are repurchased and (iii) record</w:t>
      </w:r>
      <w:r>
        <w:rPr>
          <w:rFonts w:eastAsia="Times New Roman"/>
          <w:color w:val="000000"/>
          <w:sz w:val="20"/>
          <w:szCs w:val="20"/>
        </w:rPr>
        <w:t xml:space="preserve"> the residual amount, if any, to retained earnings.</w:t>
      </w:r>
    </w:p>
    <w:p w:rsidR="00000000" w:rsidRDefault="008931E1">
      <w:pPr>
        <w:ind w:firstLine="360"/>
        <w:divId w:val="1658877444"/>
        <w:rPr>
          <w:rFonts w:eastAsia="Times New Roman"/>
        </w:rPr>
      </w:pPr>
      <w:r>
        <w:rPr>
          <w:rFonts w:eastAsia="Times New Roman"/>
          <w:color w:val="000000"/>
          <w:sz w:val="20"/>
          <w:szCs w:val="20"/>
        </w:rPr>
        <w:t>In August 2022, the Inflation Reduction Act was enacted in the United States, which included, among other items, a 1% excise tax on certain net stock repurchases that became effective for us after Decembe</w:t>
      </w:r>
      <w:r>
        <w:rPr>
          <w:rFonts w:eastAsia="Times New Roman"/>
          <w:color w:val="000000"/>
          <w:sz w:val="20"/>
          <w:szCs w:val="20"/>
        </w:rPr>
        <w:t>r 31. 2022. Any such excise tax on our stock repurchases will be recorded as a component of stockholders’ equity.</w:t>
      </w:r>
    </w:p>
    <w:p w:rsidR="00000000" w:rsidRDefault="008931E1">
      <w:pPr>
        <w:ind w:firstLine="360"/>
        <w:divId w:val="450514375"/>
        <w:rPr>
          <w:rFonts w:eastAsia="Times New Roman"/>
        </w:rPr>
      </w:pPr>
      <w:r>
        <w:rPr>
          <w:rFonts w:eastAsia="Times New Roman"/>
          <w:b/>
          <w:bCs/>
          <w:i/>
          <w:iCs/>
          <w:color w:val="000000"/>
          <w:sz w:val="20"/>
          <w:szCs w:val="20"/>
        </w:rPr>
        <w:t xml:space="preserve">Earnings Per Share. </w:t>
      </w:r>
      <w:r>
        <w:rPr>
          <w:rFonts w:eastAsia="Times New Roman"/>
          <w:color w:val="000000"/>
          <w:sz w:val="20"/>
          <w:szCs w:val="20"/>
        </w:rPr>
        <w:t>Basic earnings per share is computed by dividing net income by the weighted-average number of common shares outstanding du</w:t>
      </w:r>
      <w:r>
        <w:rPr>
          <w:rFonts w:eastAsia="Times New Roman"/>
          <w:color w:val="000000"/>
          <w:sz w:val="20"/>
          <w:szCs w:val="20"/>
        </w:rPr>
        <w:t>ring the reporting period. Diluted earnings per share is computed by dividing net income by the combination of the weighted-average number of common shares outstanding and the weighted-average number of dilutive common share equivalents, comprised of share</w:t>
      </w:r>
      <w:r>
        <w:rPr>
          <w:rFonts w:eastAsia="Times New Roman"/>
          <w:color w:val="000000"/>
          <w:sz w:val="20"/>
          <w:szCs w:val="20"/>
        </w:rPr>
        <w:t>s issuable under our share-based compensation plans, during the reporting period. The following table provides information about the diluted earnings per share calculation (in millions):</w:t>
      </w:r>
      <w:r>
        <w:rPr>
          <w:rFonts w:eastAsia="Times New Roman"/>
          <w:color w:val="000000"/>
          <w:sz w:val="18"/>
          <w:szCs w:val="18"/>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60"/>
        <w:gridCol w:w="5042"/>
        <w:gridCol w:w="37"/>
        <w:gridCol w:w="61"/>
        <w:gridCol w:w="887"/>
        <w:gridCol w:w="36"/>
        <w:gridCol w:w="36"/>
        <w:gridCol w:w="36"/>
        <w:gridCol w:w="36"/>
        <w:gridCol w:w="48"/>
        <w:gridCol w:w="887"/>
        <w:gridCol w:w="36"/>
        <w:gridCol w:w="36"/>
        <w:gridCol w:w="36"/>
        <w:gridCol w:w="36"/>
        <w:gridCol w:w="48"/>
        <w:gridCol w:w="887"/>
        <w:gridCol w:w="36"/>
      </w:tblGrid>
      <w:tr w:rsidR="00000000">
        <w:trPr>
          <w:divId w:val="1581452447"/>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581452447"/>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2021</w:t>
            </w:r>
          </w:p>
        </w:tc>
      </w:tr>
      <w:tr w:rsidR="00000000">
        <w:trPr>
          <w:divId w:val="1581452447"/>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Dilutive common share equivalents included in diluted shares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581452447"/>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Shares of common stock equivalents not included because the effect would be anti-dilutive or certain performance conditions were not satisfied at the end of the period</w:t>
            </w:r>
          </w:p>
        </w:tc>
        <w:tc>
          <w:tcPr>
            <w:tcW w:w="0" w:type="auto"/>
            <w:gridSpan w:val="2"/>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7 </w:t>
            </w:r>
          </w:p>
        </w:tc>
        <w:tc>
          <w:tcPr>
            <w:tcW w:w="0" w:type="auto"/>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1 </w:t>
            </w:r>
          </w:p>
        </w:tc>
        <w:tc>
          <w:tcPr>
            <w:tcW w:w="0" w:type="auto"/>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divId w:val="1170296076"/>
        <w:rPr>
          <w:rFonts w:eastAsia="Times New Roman"/>
        </w:rPr>
      </w:pPr>
      <w:r>
        <w:rPr>
          <w:rFonts w:eastAsia="Times New Roman"/>
          <w:b/>
          <w:bCs/>
          <w:color w:val="000000"/>
          <w:sz w:val="20"/>
          <w:szCs w:val="20"/>
        </w:rPr>
        <w:t>Note 2. Composition of Certain Financial Statement Items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6"/>
        <w:gridCol w:w="111"/>
        <w:gridCol w:w="870"/>
        <w:gridCol w:w="36"/>
        <w:gridCol w:w="36"/>
        <w:gridCol w:w="36"/>
        <w:gridCol w:w="36"/>
        <w:gridCol w:w="111"/>
        <w:gridCol w:w="842"/>
        <w:gridCol w:w="36"/>
      </w:tblGrid>
      <w:tr w:rsidR="00000000">
        <w:trPr>
          <w:divId w:val="1170296076"/>
        </w:trPr>
        <w:tc>
          <w:tcPr>
            <w:tcW w:w="50" w:type="pct"/>
            <w:vAlign w:val="center"/>
            <w:hideMark/>
          </w:tcPr>
          <w:p w:rsidR="00000000" w:rsidRDefault="008931E1">
            <w:pPr>
              <w:rPr>
                <w:rFonts w:eastAsia="Times New Roman"/>
              </w:rPr>
            </w:pPr>
          </w:p>
        </w:tc>
        <w:tc>
          <w:tcPr>
            <w:tcW w:w="370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170296076"/>
        </w:trPr>
        <w:tc>
          <w:tcPr>
            <w:tcW w:w="0" w:type="auto"/>
            <w:gridSpan w:val="3"/>
            <w:tcMar>
              <w:top w:w="30" w:type="dxa"/>
              <w:left w:w="20" w:type="dxa"/>
              <w:bottom w:w="30" w:type="dxa"/>
              <w:right w:w="20" w:type="dxa"/>
            </w:tcMar>
            <w:vAlign w:val="bottom"/>
            <w:hideMark/>
          </w:tcPr>
          <w:p w:rsidR="00000000" w:rsidRDefault="008931E1">
            <w:pPr>
              <w:spacing w:after="100"/>
              <w:divId w:val="769354938"/>
              <w:rPr>
                <w:rFonts w:eastAsia="Times New Roman"/>
              </w:rPr>
            </w:pPr>
            <w:r>
              <w:rPr>
                <w:rFonts w:eastAsia="Times New Roman"/>
                <w:b/>
                <w:bCs/>
                <w:i/>
                <w:iCs/>
                <w:color w:val="000000"/>
                <w:sz w:val="20"/>
                <w:szCs w:val="20"/>
              </w:rPr>
              <w:t>Accounts Receivable (in millions)</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170296076"/>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r>
      <w:tr w:rsidR="00000000">
        <w:trPr>
          <w:divId w:val="1170296076"/>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xml:space="preserve">Trade, net of allowances for doubtful accounts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4,175 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70296076"/>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170296076"/>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Unbilled</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1,223 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1,435 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70296076"/>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70296076"/>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5,643 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6136"/>
        <w:gridCol w:w="144"/>
        <w:gridCol w:w="144"/>
        <w:gridCol w:w="908"/>
        <w:gridCol w:w="144"/>
        <w:gridCol w:w="144"/>
        <w:gridCol w:w="144"/>
        <w:gridCol w:w="144"/>
        <w:gridCol w:w="144"/>
        <w:gridCol w:w="908"/>
        <w:gridCol w:w="144"/>
      </w:tblGrid>
      <w:tr w:rsidR="00000000">
        <w:tc>
          <w:tcPr>
            <w:tcW w:w="50" w:type="pct"/>
            <w:vAlign w:val="center"/>
            <w:hideMark/>
          </w:tcPr>
          <w:p w:rsidR="00000000" w:rsidRDefault="008931E1">
            <w:pPr>
              <w:rPr>
                <w:rFonts w:eastAsia="Times New Roman"/>
              </w:rPr>
            </w:pPr>
          </w:p>
        </w:tc>
        <w:tc>
          <w:tcPr>
            <w:tcW w:w="370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931E1">
            <w:pPr>
              <w:spacing w:after="100"/>
              <w:divId w:val="1693536278"/>
              <w:rPr>
                <w:rFonts w:eastAsia="Times New Roman"/>
              </w:rPr>
            </w:pPr>
            <w:r>
              <w:rPr>
                <w:rFonts w:eastAsia="Times New Roman"/>
                <w:b/>
                <w:bCs/>
                <w:i/>
                <w:iCs/>
                <w:color w:val="000000"/>
                <w:sz w:val="20"/>
                <w:szCs w:val="20"/>
              </w:rPr>
              <w:t>Inventories (in millions)</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Raw materials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Work-in-process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4,096 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3,329 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Finished goods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2,150 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2,791 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6,422 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6,341 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jc w:val="center"/>
        <w:divId w:val="514079604"/>
        <w:rPr>
          <w:rFonts w:eastAsia="Times New Roman"/>
        </w:rPr>
      </w:pPr>
      <w:r>
        <w:rPr>
          <w:rFonts w:eastAsia="Times New Roman"/>
          <w:color w:val="000000"/>
          <w:sz w:val="20"/>
          <w:szCs w:val="20"/>
        </w:rPr>
        <w:t>F-14</w:t>
      </w:r>
    </w:p>
    <w:p w:rsidR="00000000" w:rsidRDefault="008931E1">
      <w:pPr>
        <w:rPr>
          <w:rFonts w:eastAsia="Times New Roman"/>
        </w:rPr>
      </w:pPr>
      <w:r>
        <w:rPr>
          <w:rFonts w:eastAsia="Times New Roman"/>
        </w:rPr>
        <w:pict>
          <v:rect id="_x0000_i1093" style="width:0;height:1.5pt" o:hralign="center" o:hrstd="t" o:hr="t" fillcolor="#a0a0a0" stroked="f"/>
        </w:pict>
      </w:r>
    </w:p>
    <w:p w:rsidR="00000000" w:rsidRDefault="008931E1">
      <w:pPr>
        <w:jc w:val="center"/>
        <w:divId w:val="1601110409"/>
        <w:rPr>
          <w:rFonts w:eastAsia="Times New Roman"/>
        </w:rPr>
      </w:pPr>
    </w:p>
    <w:p w:rsidR="00000000" w:rsidRDefault="008931E1">
      <w:pPr>
        <w:jc w:val="center"/>
        <w:divId w:val="1601110409"/>
        <w:rPr>
          <w:rFonts w:eastAsia="Times New Roman"/>
        </w:rPr>
      </w:pPr>
      <w:r>
        <w:rPr>
          <w:rFonts w:eastAsia="Times New Roman"/>
          <w:b/>
          <w:bCs/>
          <w:color w:val="000000"/>
          <w:sz w:val="20"/>
          <w:szCs w:val="20"/>
        </w:rPr>
        <w:t>QUALCOMM Incorporated</w:t>
      </w:r>
    </w:p>
    <w:p w:rsidR="00000000" w:rsidRDefault="008931E1">
      <w:pPr>
        <w:jc w:val="center"/>
        <w:divId w:val="1601110409"/>
        <w:rPr>
          <w:rFonts w:eastAsia="Times New Roman"/>
        </w:rPr>
      </w:pPr>
      <w:r>
        <w:rPr>
          <w:rFonts w:eastAsia="Times New Roman"/>
          <w:b/>
          <w:bCs/>
          <w:color w:val="000000"/>
          <w:sz w:val="20"/>
          <w:szCs w:val="20"/>
        </w:rPr>
        <w:t>NOTES TO CONSOLIDATED FINANCIAL STATEMENTS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6"/>
        <w:gridCol w:w="111"/>
        <w:gridCol w:w="870"/>
        <w:gridCol w:w="36"/>
        <w:gridCol w:w="36"/>
        <w:gridCol w:w="36"/>
        <w:gridCol w:w="36"/>
        <w:gridCol w:w="111"/>
        <w:gridCol w:w="842"/>
        <w:gridCol w:w="36"/>
      </w:tblGrid>
      <w:tr w:rsidR="00000000">
        <w:trPr>
          <w:divId w:val="2145349049"/>
        </w:trPr>
        <w:tc>
          <w:tcPr>
            <w:tcW w:w="50" w:type="pct"/>
            <w:vAlign w:val="center"/>
            <w:hideMark/>
          </w:tcPr>
          <w:p w:rsidR="00000000" w:rsidRDefault="008931E1">
            <w:pPr>
              <w:jc w:val="center"/>
              <w:rPr>
                <w:rFonts w:eastAsia="Times New Roman"/>
              </w:rPr>
            </w:pPr>
          </w:p>
        </w:tc>
        <w:tc>
          <w:tcPr>
            <w:tcW w:w="370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2145349049"/>
        </w:trPr>
        <w:tc>
          <w:tcPr>
            <w:tcW w:w="0" w:type="auto"/>
            <w:gridSpan w:val="3"/>
            <w:tcMar>
              <w:top w:w="30" w:type="dxa"/>
              <w:left w:w="380" w:type="dxa"/>
              <w:bottom w:w="30" w:type="dxa"/>
              <w:right w:w="20" w:type="dxa"/>
            </w:tcMar>
            <w:hideMark/>
          </w:tcPr>
          <w:p w:rsidR="00000000" w:rsidRDefault="008931E1">
            <w:pPr>
              <w:spacing w:after="100"/>
              <w:rPr>
                <w:rFonts w:eastAsia="Times New Roman"/>
              </w:rPr>
            </w:pPr>
            <w:r>
              <w:rPr>
                <w:rFonts w:eastAsia="Times New Roman"/>
                <w:b/>
                <w:bCs/>
                <w:i/>
                <w:iCs/>
                <w:color w:val="000000"/>
                <w:sz w:val="20"/>
                <w:szCs w:val="20"/>
              </w:rPr>
              <w:t>Property, Plant and Equipment (in millions)</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2145349049"/>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r>
      <w:tr w:rsidR="00000000">
        <w:trPr>
          <w:divId w:val="2145349049"/>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Land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145349049"/>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Buildings and improvements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1,849 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1,767 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145349049"/>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Computer equipment and software</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1,773 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1,680 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145349049"/>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Machinery and equipment</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8,078 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7,349 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145349049"/>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Furniture and office equipment</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105 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145349049"/>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Leasehold improvements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485 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145349049"/>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Construction in progress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145349049"/>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12,710 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11,770 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145349049"/>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Less accumulated 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(7,668)</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(6,602)</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145349049"/>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5,042 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5,168 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firstLine="360"/>
        <w:divId w:val="1905404775"/>
        <w:rPr>
          <w:rFonts w:eastAsia="Times New Roman"/>
        </w:rPr>
      </w:pPr>
      <w:r>
        <w:rPr>
          <w:rFonts w:eastAsia="Times New Roman"/>
          <w:color w:val="000000"/>
          <w:sz w:val="20"/>
          <w:szCs w:val="20"/>
        </w:rPr>
        <w:t>Depreciation and amortization expense related to property, plant and equipment for fiscal 2023, 2022 and 2021 was $1.4 billion, $1.3 billion and $1.0 billion, respectively.</w:t>
      </w:r>
    </w:p>
    <w:p w:rsidR="00000000" w:rsidRDefault="008931E1">
      <w:pPr>
        <w:ind w:firstLine="360"/>
        <w:divId w:val="741171908"/>
        <w:rPr>
          <w:rFonts w:eastAsia="Times New Roman"/>
        </w:rPr>
      </w:pPr>
      <w:r>
        <w:rPr>
          <w:rFonts w:eastAsia="Times New Roman"/>
          <w:b/>
          <w:bCs/>
          <w:i/>
          <w:iCs/>
          <w:color w:val="000000"/>
          <w:sz w:val="20"/>
          <w:szCs w:val="20"/>
        </w:rPr>
        <w:t>Goodwill and Other Intangible Assets.</w:t>
      </w:r>
      <w:r>
        <w:rPr>
          <w:rFonts w:eastAsia="Times New Roman"/>
          <w:color w:val="000000"/>
          <w:sz w:val="20"/>
          <w:szCs w:val="20"/>
        </w:rPr>
        <w:t xml:space="preserve"> </w:t>
      </w:r>
      <w:r>
        <w:rPr>
          <w:rFonts w:eastAsia="Times New Roman"/>
          <w:color w:val="000000"/>
          <w:sz w:val="20"/>
          <w:szCs w:val="20"/>
        </w:rPr>
        <w:t>We allocate goodwill to our reporting units for impairment testing purposes. The following table presents the goodwill allocated to our segments, as described in Note 8, as well as the changes in the carrying amounts of goodwill during fiscal 2023 and 2022</w:t>
      </w:r>
      <w:r>
        <w:rPr>
          <w:rFonts w:eastAsia="Times New Roman"/>
          <w:color w:val="000000"/>
          <w:sz w:val="20"/>
          <w:szCs w:val="20"/>
        </w:rPr>
        <w:t xml:space="preserve"> (in millions):</w:t>
      </w:r>
    </w:p>
    <w:tbl>
      <w:tblPr>
        <w:tblW w:w="4992" w:type="pct"/>
        <w:tblCellMar>
          <w:top w:w="15" w:type="dxa"/>
          <w:left w:w="15" w:type="dxa"/>
          <w:bottom w:w="15" w:type="dxa"/>
          <w:right w:w="15" w:type="dxa"/>
        </w:tblCellMar>
        <w:tblLook w:val="04A0" w:firstRow="1" w:lastRow="0" w:firstColumn="1" w:lastColumn="0" w:noHBand="0" w:noVBand="1"/>
      </w:tblPr>
      <w:tblGrid>
        <w:gridCol w:w="38"/>
        <w:gridCol w:w="4991"/>
        <w:gridCol w:w="37"/>
        <w:gridCol w:w="36"/>
        <w:gridCol w:w="110"/>
        <w:gridCol w:w="853"/>
        <w:gridCol w:w="36"/>
        <w:gridCol w:w="36"/>
        <w:gridCol w:w="36"/>
        <w:gridCol w:w="36"/>
        <w:gridCol w:w="110"/>
        <w:gridCol w:w="818"/>
        <w:gridCol w:w="36"/>
        <w:gridCol w:w="36"/>
        <w:gridCol w:w="36"/>
        <w:gridCol w:w="36"/>
        <w:gridCol w:w="36"/>
        <w:gridCol w:w="36"/>
        <w:gridCol w:w="110"/>
        <w:gridCol w:w="794"/>
        <w:gridCol w:w="36"/>
      </w:tblGrid>
      <w:tr w:rsidR="00000000">
        <w:trPr>
          <w:divId w:val="1792362381"/>
        </w:trPr>
        <w:tc>
          <w:tcPr>
            <w:tcW w:w="50" w:type="pct"/>
            <w:vAlign w:val="center"/>
            <w:hideMark/>
          </w:tcPr>
          <w:p w:rsidR="00000000" w:rsidRDefault="008931E1">
            <w:pPr>
              <w:ind w:firstLine="360"/>
              <w:rPr>
                <w:rFonts w:eastAsia="Times New Roman"/>
              </w:rPr>
            </w:pPr>
          </w:p>
        </w:tc>
        <w:tc>
          <w:tcPr>
            <w:tcW w:w="3074"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33"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792362381"/>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QCT</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QTL</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Total</w:t>
            </w:r>
          </w:p>
        </w:tc>
      </w:tr>
      <w:tr w:rsidR="00000000">
        <w:trPr>
          <w:divId w:val="179236238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595093605"/>
              <w:rPr>
                <w:rFonts w:eastAsia="Times New Roman"/>
              </w:rPr>
            </w:pPr>
            <w:r>
              <w:rPr>
                <w:rFonts w:eastAsia="Times New Roman"/>
                <w:b/>
                <w:bCs/>
                <w:color w:val="000000"/>
                <w:sz w:val="18"/>
                <w:szCs w:val="18"/>
              </w:rPr>
              <w:t>Balance at September 26, 2021</w:t>
            </w:r>
          </w:p>
        </w:tc>
        <w:tc>
          <w:tcPr>
            <w:tcW w:w="0" w:type="auto"/>
            <w:vAlign w:val="center"/>
            <w:hideMark/>
          </w:tcPr>
          <w:p w:rsidR="00000000" w:rsidRDefault="008931E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792362381"/>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Acquisitions</w:t>
            </w:r>
          </w:p>
        </w:tc>
        <w:tc>
          <w:tcPr>
            <w:tcW w:w="0" w:type="auto"/>
            <w:vAlign w:val="center"/>
            <w:hideMark/>
          </w:tcPr>
          <w:p w:rsidR="00000000" w:rsidRDefault="008931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3,375 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3,387 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792362381"/>
        </w:trPr>
        <w:tc>
          <w:tcPr>
            <w:tcW w:w="0" w:type="auto"/>
            <w:gridSpan w:val="3"/>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792362381"/>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Foreign currency translation adjustments</w:t>
            </w:r>
          </w:p>
        </w:tc>
        <w:tc>
          <w:tcPr>
            <w:tcW w:w="0" w:type="auto"/>
            <w:vAlign w:val="center"/>
            <w:hideMark/>
          </w:tcPr>
          <w:p w:rsidR="00000000" w:rsidRDefault="008931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(121)</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(125)</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79236238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Balance at September 25, 2022 (1)</w:t>
            </w:r>
          </w:p>
        </w:tc>
        <w:tc>
          <w:tcPr>
            <w:tcW w:w="0" w:type="auto"/>
            <w:vAlign w:val="center"/>
            <w:hideMark/>
          </w:tcPr>
          <w:p w:rsidR="00000000" w:rsidRDefault="008931E1">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10,508 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792362381"/>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Acquisitions</w:t>
            </w:r>
          </w:p>
        </w:tc>
        <w:tc>
          <w:tcPr>
            <w:tcW w:w="0" w:type="auto"/>
            <w:vAlign w:val="center"/>
            <w:hideMark/>
          </w:tcPr>
          <w:p w:rsidR="00000000" w:rsidRDefault="008931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792362381"/>
        </w:trPr>
        <w:tc>
          <w:tcPr>
            <w:tcW w:w="0" w:type="auto"/>
            <w:gridSpan w:val="3"/>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792362381"/>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Foreign currency translation adjustments</w:t>
            </w:r>
          </w:p>
        </w:tc>
        <w:tc>
          <w:tcPr>
            <w:tcW w:w="0" w:type="auto"/>
            <w:vAlign w:val="center"/>
            <w:hideMark/>
          </w:tcPr>
          <w:p w:rsidR="00000000" w:rsidRDefault="008931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79236238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Balance at September 24, 2023 (1)</w:t>
            </w:r>
          </w:p>
        </w:tc>
        <w:tc>
          <w:tcPr>
            <w:tcW w:w="0" w:type="auto"/>
            <w:vAlign w:val="center"/>
            <w:hideMark/>
          </w:tcPr>
          <w:p w:rsidR="00000000" w:rsidRDefault="008931E1">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9,909 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10,642 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divId w:val="367412658"/>
        <w:rPr>
          <w:rFonts w:eastAsia="Times New Roman"/>
        </w:rPr>
      </w:pPr>
      <w:r>
        <w:rPr>
          <w:rFonts w:eastAsia="Times New Roman"/>
          <w:color w:val="000000"/>
          <w:sz w:val="18"/>
          <w:szCs w:val="18"/>
        </w:rPr>
        <w:t>(1) Cumulative goodwill impairments were $812 million at both September 24, 2023 and September 25,</w:t>
      </w:r>
      <w:r>
        <w:rPr>
          <w:rFonts w:eastAsia="Times New Roman"/>
          <w:color w:val="000000"/>
          <w:sz w:val="18"/>
          <w:szCs w:val="18"/>
        </w:rPr>
        <w:t xml:space="preserve"> 2022.</w:t>
      </w:r>
    </w:p>
    <w:p w:rsidR="00000000" w:rsidRDefault="008931E1">
      <w:pPr>
        <w:ind w:firstLine="360"/>
        <w:divId w:val="1277635274"/>
        <w:rPr>
          <w:rFonts w:eastAsia="Times New Roman"/>
        </w:rPr>
      </w:pPr>
      <w:r>
        <w:rPr>
          <w:rFonts w:eastAsia="Times New Roman"/>
          <w:color w:val="000000"/>
          <w:sz w:val="20"/>
          <w:szCs w:val="20"/>
        </w:rPr>
        <w:t>The components of other intangible assets, net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1651"/>
        <w:gridCol w:w="36"/>
        <w:gridCol w:w="111"/>
        <w:gridCol w:w="707"/>
        <w:gridCol w:w="36"/>
        <w:gridCol w:w="36"/>
        <w:gridCol w:w="36"/>
        <w:gridCol w:w="36"/>
        <w:gridCol w:w="111"/>
        <w:gridCol w:w="973"/>
        <w:gridCol w:w="36"/>
        <w:gridCol w:w="36"/>
        <w:gridCol w:w="36"/>
        <w:gridCol w:w="36"/>
        <w:gridCol w:w="86"/>
        <w:gridCol w:w="936"/>
        <w:gridCol w:w="36"/>
        <w:gridCol w:w="36"/>
        <w:gridCol w:w="36"/>
        <w:gridCol w:w="36"/>
        <w:gridCol w:w="111"/>
        <w:gridCol w:w="681"/>
        <w:gridCol w:w="36"/>
        <w:gridCol w:w="36"/>
        <w:gridCol w:w="36"/>
        <w:gridCol w:w="36"/>
        <w:gridCol w:w="111"/>
        <w:gridCol w:w="973"/>
        <w:gridCol w:w="36"/>
        <w:gridCol w:w="36"/>
        <w:gridCol w:w="36"/>
        <w:gridCol w:w="36"/>
        <w:gridCol w:w="86"/>
        <w:gridCol w:w="936"/>
        <w:gridCol w:w="36"/>
      </w:tblGrid>
      <w:tr w:rsidR="00000000">
        <w:trPr>
          <w:divId w:val="1690525619"/>
        </w:trPr>
        <w:tc>
          <w:tcPr>
            <w:tcW w:w="50" w:type="pct"/>
            <w:vAlign w:val="center"/>
            <w:hideMark/>
          </w:tcPr>
          <w:p w:rsidR="00000000" w:rsidRDefault="008931E1">
            <w:pPr>
              <w:ind w:firstLine="360"/>
              <w:rPr>
                <w:rFonts w:eastAsia="Times New Roman"/>
              </w:rPr>
            </w:pPr>
          </w:p>
        </w:tc>
        <w:tc>
          <w:tcPr>
            <w:tcW w:w="114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690525619"/>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 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 2022</w:t>
            </w:r>
          </w:p>
        </w:tc>
      </w:tr>
      <w:tr w:rsidR="00000000">
        <w:trPr>
          <w:divId w:val="1690525619"/>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Gross Carrying</w:t>
            </w:r>
            <w:r>
              <w:rPr>
                <w:rFonts w:eastAsia="Times New Roman"/>
                <w:b/>
                <w:bCs/>
                <w:color w:val="000000"/>
                <w:sz w:val="18"/>
                <w:szCs w:val="18"/>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r>
            <w:r>
              <w:rPr>
                <w:rFonts w:eastAsia="Times New Roman"/>
                <w:b/>
                <w:bCs/>
                <w:color w:val="000000"/>
                <w:sz w:val="18"/>
                <w:szCs w:val="18"/>
              </w:rP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Weighted-average amortization period</w:t>
            </w:r>
            <w:r>
              <w:rPr>
                <w:rFonts w:eastAsia="Times New Roman"/>
                <w:b/>
                <w:bCs/>
                <w:color w:val="000000"/>
                <w:sz w:val="18"/>
                <w:szCs w:val="18"/>
              </w:rPr>
              <w:br/>
              <w:t>(years)</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Gross Carrying</w:t>
            </w:r>
            <w:r>
              <w:rPr>
                <w:rFonts w:eastAsia="Times New Roman"/>
                <w:b/>
                <w:bCs/>
                <w:color w:val="000000"/>
                <w:sz w:val="18"/>
                <w:szCs w:val="18"/>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Weighted-average amortization period</w:t>
            </w:r>
            <w:r>
              <w:rPr>
                <w:rFonts w:eastAsia="Times New Roman"/>
                <w:b/>
                <w:bCs/>
                <w:color w:val="000000"/>
                <w:sz w:val="18"/>
                <w:szCs w:val="18"/>
              </w:rPr>
              <w:br/>
              <w:t>(years)</w:t>
            </w:r>
          </w:p>
        </w:tc>
      </w:tr>
      <w:tr w:rsidR="00000000">
        <w:trPr>
          <w:divId w:val="1690525619"/>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Technology-based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(2,912)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12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5,517 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12</w:t>
            </w:r>
          </w:p>
        </w:tc>
      </w:tr>
      <w:tr w:rsidR="00000000">
        <w:trPr>
          <w:divId w:val="1690525619"/>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11</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(56)</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10</w:t>
            </w:r>
          </w:p>
        </w:tc>
      </w:tr>
      <w:tr w:rsidR="00000000">
        <w:trPr>
          <w:divId w:val="1690525619"/>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4,362 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(2,954)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5,607 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(3,725)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10</w:t>
            </w:r>
          </w:p>
        </w:tc>
      </w:tr>
    </w:tbl>
    <w:p w:rsidR="00000000" w:rsidRDefault="008931E1">
      <w:pPr>
        <w:ind w:firstLine="360"/>
        <w:divId w:val="86929152"/>
        <w:rPr>
          <w:rFonts w:eastAsia="Times New Roman"/>
        </w:rPr>
      </w:pPr>
      <w:r>
        <w:rPr>
          <w:rFonts w:eastAsia="Times New Roman"/>
          <w:color w:val="000000"/>
          <w:sz w:val="20"/>
          <w:szCs w:val="20"/>
        </w:rPr>
        <w:t>All of these intangible assets are subject to amortization, other than acquired in-process research and development which had a carrying</w:t>
      </w:r>
      <w:r>
        <w:rPr>
          <w:rFonts w:eastAsia="Times New Roman"/>
          <w:color w:val="000000"/>
          <w:sz w:val="20"/>
          <w:szCs w:val="20"/>
        </w:rPr>
        <w:t xml:space="preserve"> value of $435 million and $546 million at</w:t>
      </w:r>
      <w:r>
        <w:rPr>
          <w:rFonts w:eastAsia="Times New Roman"/>
          <w:color w:val="000000"/>
          <w:sz w:val="18"/>
          <w:szCs w:val="18"/>
        </w:rPr>
        <w:t xml:space="preserve"> </w:t>
      </w:r>
      <w:r>
        <w:rPr>
          <w:rFonts w:eastAsia="Times New Roman"/>
          <w:color w:val="000000"/>
          <w:sz w:val="20"/>
          <w:szCs w:val="20"/>
        </w:rPr>
        <w:t>September 24, 2023 and September 25, 2022, respectively. Amortization expense related to these intangible assets was $418 million, $482 million and $537 million for fiscal 2023, 2022 and 2021, respectively. At Sep</w:t>
      </w:r>
      <w:r>
        <w:rPr>
          <w:rFonts w:eastAsia="Times New Roman"/>
          <w:color w:val="000000"/>
          <w:sz w:val="20"/>
          <w:szCs w:val="20"/>
        </w:rPr>
        <w:t>tember 24, 2023, amortization expense related to other intangible assets, including acquired in-process research and development beginning upon the completion of the underlying projects, is expected to be $296 million, $264 million, $250 million, $167 mill</w:t>
      </w:r>
      <w:r>
        <w:rPr>
          <w:rFonts w:eastAsia="Times New Roman"/>
          <w:color w:val="000000"/>
          <w:sz w:val="20"/>
          <w:szCs w:val="20"/>
        </w:rPr>
        <w:t>ion and $139 million for each of the five years from fiscal 2024 through 2028, respectively, and $292 million thereafter.</w:t>
      </w:r>
    </w:p>
    <w:p w:rsidR="00000000" w:rsidRDefault="008931E1">
      <w:pPr>
        <w:jc w:val="center"/>
        <w:divId w:val="201135527"/>
        <w:rPr>
          <w:rFonts w:eastAsia="Times New Roman"/>
        </w:rPr>
      </w:pPr>
      <w:r>
        <w:rPr>
          <w:rFonts w:eastAsia="Times New Roman"/>
          <w:color w:val="000000"/>
          <w:sz w:val="20"/>
          <w:szCs w:val="20"/>
        </w:rPr>
        <w:t>F-15</w:t>
      </w:r>
    </w:p>
    <w:p w:rsidR="00000000" w:rsidRDefault="008931E1">
      <w:pPr>
        <w:rPr>
          <w:rFonts w:eastAsia="Times New Roman"/>
        </w:rPr>
      </w:pPr>
      <w:r>
        <w:rPr>
          <w:rFonts w:eastAsia="Times New Roman"/>
        </w:rPr>
        <w:pict>
          <v:rect id="_x0000_i1094" style="width:0;height:1.5pt" o:hralign="center" o:hrstd="t" o:hr="t" fillcolor="#a0a0a0" stroked="f"/>
        </w:pict>
      </w:r>
    </w:p>
    <w:p w:rsidR="00000000" w:rsidRDefault="008931E1">
      <w:pPr>
        <w:jc w:val="center"/>
        <w:divId w:val="908423797"/>
        <w:rPr>
          <w:rFonts w:eastAsia="Times New Roman"/>
        </w:rPr>
      </w:pPr>
    </w:p>
    <w:p w:rsidR="00000000" w:rsidRDefault="008931E1">
      <w:pPr>
        <w:jc w:val="center"/>
        <w:divId w:val="908423797"/>
        <w:rPr>
          <w:rFonts w:eastAsia="Times New Roman"/>
        </w:rPr>
      </w:pPr>
      <w:r>
        <w:rPr>
          <w:rFonts w:eastAsia="Times New Roman"/>
          <w:b/>
          <w:bCs/>
          <w:color w:val="000000"/>
          <w:sz w:val="20"/>
          <w:szCs w:val="20"/>
        </w:rPr>
        <w:t>QUALCOMM Incorporated</w:t>
      </w:r>
    </w:p>
    <w:p w:rsidR="00000000" w:rsidRDefault="008931E1">
      <w:pPr>
        <w:jc w:val="center"/>
        <w:divId w:val="908423797"/>
        <w:rPr>
          <w:rFonts w:eastAsia="Times New Roman"/>
        </w:rPr>
      </w:pPr>
      <w:r>
        <w:rPr>
          <w:rFonts w:eastAsia="Times New Roman"/>
          <w:b/>
          <w:bCs/>
          <w:color w:val="000000"/>
          <w:sz w:val="20"/>
          <w:szCs w:val="20"/>
        </w:rPr>
        <w:t>NOTES TO CONSOLIDATED FINANCIAL STATEMENTS</w:t>
      </w:r>
    </w:p>
    <w:p w:rsidR="00000000" w:rsidRDefault="008931E1">
      <w:pPr>
        <w:ind w:firstLine="360"/>
        <w:divId w:val="414324163"/>
        <w:rPr>
          <w:rFonts w:eastAsia="Times New Roman"/>
        </w:rPr>
      </w:pPr>
      <w:r>
        <w:rPr>
          <w:rFonts w:eastAsia="Times New Roman"/>
          <w:b/>
          <w:bCs/>
          <w:i/>
          <w:iCs/>
          <w:color w:val="000000"/>
          <w:sz w:val="20"/>
          <w:szCs w:val="20"/>
        </w:rPr>
        <w:t>Equity Method and Non-mar</w:t>
      </w:r>
      <w:r>
        <w:rPr>
          <w:rFonts w:eastAsia="Times New Roman"/>
          <w:b/>
          <w:bCs/>
          <w:i/>
          <w:iCs/>
          <w:color w:val="000000"/>
          <w:sz w:val="20"/>
          <w:szCs w:val="20"/>
        </w:rPr>
        <w:t xml:space="preserve">ketable Equity Investments. </w:t>
      </w:r>
      <w:r>
        <w:rPr>
          <w:rFonts w:eastAsia="Times New Roman"/>
          <w:color w:val="000000"/>
          <w:sz w:val="20"/>
          <w:szCs w:val="20"/>
        </w:rPr>
        <w:t>The carrying values of our equity method and non-marketable equity investments are recorded in other assets and were as follows (in millions):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6"/>
        <w:gridCol w:w="111"/>
        <w:gridCol w:w="870"/>
        <w:gridCol w:w="36"/>
        <w:gridCol w:w="36"/>
        <w:gridCol w:w="36"/>
        <w:gridCol w:w="36"/>
        <w:gridCol w:w="111"/>
        <w:gridCol w:w="842"/>
        <w:gridCol w:w="36"/>
      </w:tblGrid>
      <w:tr w:rsidR="00000000">
        <w:trPr>
          <w:divId w:val="1788505314"/>
        </w:trPr>
        <w:tc>
          <w:tcPr>
            <w:tcW w:w="50" w:type="pct"/>
            <w:vAlign w:val="center"/>
            <w:hideMark/>
          </w:tcPr>
          <w:p w:rsidR="00000000" w:rsidRDefault="008931E1">
            <w:pPr>
              <w:ind w:firstLine="360"/>
              <w:rPr>
                <w:rFonts w:eastAsia="Times New Roman"/>
              </w:rPr>
            </w:pPr>
          </w:p>
        </w:tc>
        <w:tc>
          <w:tcPr>
            <w:tcW w:w="370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788505314"/>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r>
      <w:tr w:rsidR="00000000">
        <w:trPr>
          <w:divId w:val="178850531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Equity method investments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788505314"/>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Non-marketable equity investments</w:t>
            </w:r>
          </w:p>
        </w:tc>
        <w:tc>
          <w:tcPr>
            <w:tcW w:w="0" w:type="auto"/>
            <w:gridSpan w:val="2"/>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1,072 </w:t>
            </w:r>
          </w:p>
        </w:tc>
        <w:tc>
          <w:tcPr>
            <w:tcW w:w="0" w:type="auto"/>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1,105 </w:t>
            </w:r>
          </w:p>
        </w:tc>
        <w:tc>
          <w:tcPr>
            <w:tcW w:w="0" w:type="auto"/>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788505314"/>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6136"/>
        <w:gridCol w:w="144"/>
        <w:gridCol w:w="144"/>
        <w:gridCol w:w="908"/>
        <w:gridCol w:w="144"/>
        <w:gridCol w:w="144"/>
        <w:gridCol w:w="144"/>
        <w:gridCol w:w="144"/>
        <w:gridCol w:w="144"/>
        <w:gridCol w:w="908"/>
        <w:gridCol w:w="144"/>
      </w:tblGrid>
      <w:tr w:rsidR="00000000">
        <w:tc>
          <w:tcPr>
            <w:tcW w:w="50" w:type="pct"/>
            <w:vAlign w:val="center"/>
            <w:hideMark/>
          </w:tcPr>
          <w:p w:rsidR="00000000" w:rsidRDefault="008931E1">
            <w:pPr>
              <w:rPr>
                <w:rFonts w:eastAsia="Times New Roman"/>
              </w:rPr>
            </w:pPr>
          </w:p>
        </w:tc>
        <w:tc>
          <w:tcPr>
            <w:tcW w:w="370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931E1">
            <w:pPr>
              <w:spacing w:after="100"/>
              <w:ind w:firstLine="360"/>
              <w:divId w:val="1415514757"/>
              <w:rPr>
                <w:rFonts w:eastAsia="Times New Roman"/>
              </w:rPr>
            </w:pPr>
            <w:r>
              <w:rPr>
                <w:rFonts w:eastAsia="Times New Roman"/>
                <w:b/>
                <w:bCs/>
                <w:i/>
                <w:iCs/>
                <w:color w:val="000000"/>
                <w:sz w:val="20"/>
                <w:szCs w:val="20"/>
              </w:rPr>
              <w:t>Other Current Liabilities (in millions)</w:t>
            </w:r>
          </w:p>
        </w:tc>
        <w:tc>
          <w:tcPr>
            <w:tcW w:w="0" w:type="auto"/>
            <w:gridSpan w:val="3"/>
            <w:tcMar>
              <w:top w:w="0" w:type="dxa"/>
              <w:left w:w="20" w:type="dxa"/>
              <w:bottom w:w="0" w:type="dxa"/>
              <w:right w:w="20" w:type="dxa"/>
            </w:tcMar>
            <w:vAlign w:val="center"/>
            <w:hideMark/>
          </w:tcPr>
          <w:p w:rsidR="00000000" w:rsidRDefault="008931E1">
            <w:pPr>
              <w:spacing w:after="100"/>
              <w:ind w:firstLine="360"/>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Customer incentives and other customer-related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Income taxes payable</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1,717 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634 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953 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1,176 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4,491 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firstLine="360"/>
        <w:divId w:val="472068356"/>
        <w:rPr>
          <w:rFonts w:eastAsia="Times New Roman"/>
        </w:rPr>
      </w:pPr>
      <w:r>
        <w:rPr>
          <w:rFonts w:eastAsia="Times New Roman"/>
          <w:b/>
          <w:bCs/>
          <w:i/>
          <w:iCs/>
          <w:color w:val="000000"/>
          <w:sz w:val="20"/>
          <w:szCs w:val="20"/>
        </w:rPr>
        <w:t xml:space="preserve">Revenues. </w:t>
      </w:r>
      <w:r>
        <w:rPr>
          <w:rFonts w:eastAsia="Times New Roman"/>
          <w:color w:val="000000"/>
          <w:sz w:val="20"/>
          <w:szCs w:val="20"/>
        </w:rPr>
        <w:t xml:space="preserve">We disaggregate our revenues by segment (Note 8), by product and service (as presented on our consolidated statements of operations), and for our QCT segment, by revenue stream, which is based on the industry and application in which our products are sold </w:t>
      </w:r>
      <w:r>
        <w:rPr>
          <w:rFonts w:eastAsia="Times New Roman"/>
          <w:color w:val="000000"/>
          <w:sz w:val="20"/>
          <w:szCs w:val="20"/>
        </w:rPr>
        <w:t xml:space="preserve">(as presented below). Beginning in the first quarter of fiscal 2023, QCT RFFE (radio frequency front-end) revenues, which were previously presented as a separate revenue stream, are now included within our Handsets, Automotive and internet of things (IoT) </w:t>
      </w:r>
      <w:r>
        <w:rPr>
          <w:rFonts w:eastAsia="Times New Roman"/>
          <w:color w:val="000000"/>
          <w:sz w:val="20"/>
          <w:szCs w:val="20"/>
        </w:rPr>
        <w:t>revenue streams as applicable. Prior period information has been recast to reflect this change. RFFE revenues include revenues from the sale of 4G, 5G sub 6 and 5G millimeter wave RFFE products (a substantial portion of which relate to mobile handsets) and</w:t>
      </w:r>
      <w:r>
        <w:rPr>
          <w:rFonts w:eastAsia="Times New Roman"/>
          <w:color w:val="000000"/>
          <w:sz w:val="20"/>
          <w:szCs w:val="20"/>
        </w:rPr>
        <w:t xml:space="preserve"> exclude radio frequency transceiver components. This change aligns with changes made to our internal reporting of revenues. We believe this change provides a more meaningful presentation in understanding QCT revenues going forward, as we expect RFFE reven</w:t>
      </w:r>
      <w:r>
        <w:rPr>
          <w:rFonts w:eastAsia="Times New Roman"/>
          <w:color w:val="000000"/>
          <w:sz w:val="20"/>
          <w:szCs w:val="20"/>
        </w:rPr>
        <w:t>ues to correspond with trends in Handsets, Automotive and IoT (as applicable) and is more consistent with how our revenue diversification is viewed externally. In certain cases, the determination of QCT revenues by industry and application requires the use</w:t>
      </w:r>
      <w:r>
        <w:rPr>
          <w:rFonts w:eastAsia="Times New Roman"/>
          <w:color w:val="000000"/>
          <w:sz w:val="20"/>
          <w:szCs w:val="20"/>
        </w:rPr>
        <w:t xml:space="preserve"> of certain assumptions. Substantially all of QCT’s revenues consist of equipment revenues that are recognized at a point in time, and substantially all of QTL’s revenues represent licensing revenues that are recognized over time and are principally from r</w:t>
      </w:r>
      <w:r>
        <w:rPr>
          <w:rFonts w:eastAsia="Times New Roman"/>
          <w:color w:val="000000"/>
          <w:sz w:val="20"/>
          <w:szCs w:val="20"/>
        </w:rPr>
        <w:t>oyalties generated through our licensees’ sales of mobile handsets. QCT revenue streams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364"/>
        <w:gridCol w:w="38"/>
        <w:gridCol w:w="36"/>
        <w:gridCol w:w="36"/>
        <w:gridCol w:w="36"/>
        <w:gridCol w:w="36"/>
        <w:gridCol w:w="400"/>
        <w:gridCol w:w="46"/>
        <w:gridCol w:w="400"/>
        <w:gridCol w:w="46"/>
        <w:gridCol w:w="110"/>
        <w:gridCol w:w="747"/>
        <w:gridCol w:w="36"/>
        <w:gridCol w:w="36"/>
        <w:gridCol w:w="36"/>
        <w:gridCol w:w="36"/>
        <w:gridCol w:w="110"/>
        <w:gridCol w:w="701"/>
        <w:gridCol w:w="36"/>
        <w:gridCol w:w="36"/>
        <w:gridCol w:w="36"/>
        <w:gridCol w:w="36"/>
        <w:gridCol w:w="110"/>
        <w:gridCol w:w="702"/>
        <w:gridCol w:w="36"/>
      </w:tblGrid>
      <w:tr w:rsidR="00000000">
        <w:trPr>
          <w:divId w:val="839543293"/>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839543293"/>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2021</w:t>
            </w: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839543293"/>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Handsets (1)</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22,570 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28,815 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839543293"/>
        </w:trPr>
        <w:tc>
          <w:tcPr>
            <w:tcW w:w="0" w:type="auto"/>
            <w:gridSpan w:val="3"/>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839543293"/>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Automotive (2)</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1,872 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1,509 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839543293"/>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IoT (internet of things) (3)</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5,940 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7,353 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5,434 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839543293"/>
        </w:trPr>
        <w:tc>
          <w:tcPr>
            <w:tcW w:w="0" w:type="auto"/>
            <w:gridSpan w:val="3"/>
            <w:shd w:val="clear" w:color="auto" w:fill="FFFF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QCT revenues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30,382 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37,677 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27,019 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divId w:val="691958145"/>
        <w:rPr>
          <w:rFonts w:eastAsia="Times New Roman"/>
        </w:rPr>
      </w:pPr>
      <w:r>
        <w:rPr>
          <w:rFonts w:eastAsia="Times New Roman"/>
          <w:color w:val="000000"/>
          <w:sz w:val="18"/>
          <w:szCs w:val="18"/>
        </w:rPr>
        <w:t>(1) Includes revenues from products sold for use in mobile handsets.</w:t>
      </w:r>
    </w:p>
    <w:p w:rsidR="00000000" w:rsidRDefault="008931E1">
      <w:pPr>
        <w:ind w:hanging="270"/>
        <w:divId w:val="73400477"/>
        <w:rPr>
          <w:rFonts w:eastAsia="Times New Roman"/>
        </w:rPr>
      </w:pPr>
      <w:r>
        <w:rPr>
          <w:rFonts w:eastAsia="Times New Roman"/>
          <w:color w:val="000000"/>
          <w:sz w:val="18"/>
          <w:szCs w:val="18"/>
        </w:rPr>
        <w:t>(2) Includes revenues from products sold for use in automobi</w:t>
      </w:r>
      <w:r>
        <w:rPr>
          <w:rFonts w:eastAsia="Times New Roman"/>
          <w:color w:val="000000"/>
          <w:sz w:val="18"/>
          <w:szCs w:val="18"/>
        </w:rPr>
        <w:t>les, including connectivity, digital cockpit and ADAS/AD.</w:t>
      </w:r>
    </w:p>
    <w:p w:rsidR="00000000" w:rsidRDefault="008931E1">
      <w:pPr>
        <w:ind w:hanging="270"/>
        <w:divId w:val="444033655"/>
        <w:rPr>
          <w:rFonts w:eastAsia="Times New Roman"/>
        </w:rPr>
      </w:pPr>
      <w:r>
        <w:rPr>
          <w:rFonts w:eastAsia="Times New Roman"/>
          <w:color w:val="000000"/>
          <w:sz w:val="18"/>
          <w:szCs w:val="18"/>
        </w:rPr>
        <w:t>(3) Primarily includes products sold for use in the following industries and applications: consumer (including computing, voice and music and XR), edge networking (including mobile broadband and wir</w:t>
      </w:r>
      <w:r>
        <w:rPr>
          <w:rFonts w:eastAsia="Times New Roman"/>
          <w:color w:val="000000"/>
          <w:sz w:val="18"/>
          <w:szCs w:val="18"/>
        </w:rPr>
        <w:t>eless access points) and industrial (including handhelds, retail, tracking and logistics and utilities).</w:t>
      </w:r>
    </w:p>
    <w:p w:rsidR="00000000" w:rsidRDefault="008931E1">
      <w:pPr>
        <w:ind w:firstLine="360"/>
        <w:divId w:val="2101641134"/>
        <w:rPr>
          <w:rFonts w:eastAsia="Times New Roman"/>
        </w:rPr>
      </w:pPr>
      <w:r>
        <w:rPr>
          <w:rFonts w:eastAsia="Times New Roman"/>
          <w:color w:val="000000"/>
          <w:sz w:val="20"/>
          <w:szCs w:val="20"/>
        </w:rPr>
        <w:t>Revenues recognized from performance obligations satisfied (or partially satisfied) in previous periods generally include certain QCT sales-based royal</w:t>
      </w:r>
      <w:r>
        <w:rPr>
          <w:rFonts w:eastAsia="Times New Roman"/>
          <w:color w:val="000000"/>
          <w:sz w:val="20"/>
          <w:szCs w:val="20"/>
        </w:rPr>
        <w:t>ty revenues related to system software, certain amounts related to QCT customer incentives and QTL royalty revenues recognized related to devices sold in prior periods (including adjustments to prior period royalty estimates, which includes the impact of t</w:t>
      </w:r>
      <w:r>
        <w:rPr>
          <w:rFonts w:eastAsia="Times New Roman"/>
          <w:color w:val="000000"/>
          <w:sz w:val="20"/>
          <w:szCs w:val="20"/>
        </w:rPr>
        <w:t>he reporting by our licensees of actual royalties due) and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5022"/>
        <w:gridCol w:w="36"/>
        <w:gridCol w:w="110"/>
        <w:gridCol w:w="866"/>
        <w:gridCol w:w="36"/>
        <w:gridCol w:w="36"/>
        <w:gridCol w:w="36"/>
        <w:gridCol w:w="36"/>
        <w:gridCol w:w="110"/>
        <w:gridCol w:w="832"/>
        <w:gridCol w:w="36"/>
        <w:gridCol w:w="36"/>
        <w:gridCol w:w="36"/>
        <w:gridCol w:w="36"/>
        <w:gridCol w:w="110"/>
        <w:gridCol w:w="832"/>
        <w:gridCol w:w="36"/>
      </w:tblGrid>
      <w:tr w:rsidR="00000000">
        <w:trPr>
          <w:divId w:val="1423840835"/>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423840835"/>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2021</w:t>
            </w:r>
          </w:p>
        </w:tc>
      </w:tr>
      <w:tr w:rsidR="00000000">
        <w:trPr>
          <w:divId w:val="1423840835"/>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640265647"/>
              <w:rPr>
                <w:rFonts w:eastAsia="Times New Roman"/>
              </w:rPr>
            </w:pPr>
            <w:r>
              <w:rPr>
                <w:rFonts w:eastAsia="Times New Roman"/>
                <w:color w:val="000000"/>
                <w:sz w:val="18"/>
                <w:szCs w:val="18"/>
              </w:rPr>
              <w:t>Revenues recognized from previously satisfied performance obligations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firstLine="360"/>
        <w:divId w:val="669217013"/>
        <w:rPr>
          <w:rFonts w:eastAsia="Times New Roman"/>
        </w:rPr>
      </w:pPr>
      <w:r>
        <w:rPr>
          <w:rFonts w:eastAsia="Times New Roman"/>
          <w:color w:val="000000"/>
          <w:sz w:val="20"/>
          <w:szCs w:val="20"/>
        </w:rPr>
        <w:t>Unearned revenues (which are considered contract liabilities) consist primarily of certain customer contracts for which QCT received fees upfront and QTL license fees for intellectual property with continui</w:t>
      </w:r>
      <w:r>
        <w:rPr>
          <w:rFonts w:eastAsia="Times New Roman"/>
          <w:color w:val="000000"/>
          <w:sz w:val="20"/>
          <w:szCs w:val="20"/>
        </w:rPr>
        <w:t>ng performance obligations. In fiscal 2023 and fiscal 2022, we recognized revenues of $355 million and $609 million, respectively, that were recorded as unearned revenues at September 25, 2022 and September 26, 2021, respectively.</w:t>
      </w:r>
    </w:p>
    <w:p w:rsidR="00000000" w:rsidRDefault="008931E1">
      <w:pPr>
        <w:ind w:firstLine="360"/>
        <w:divId w:val="203561357"/>
        <w:rPr>
          <w:rFonts w:eastAsia="Times New Roman"/>
        </w:rPr>
      </w:pPr>
      <w:r>
        <w:rPr>
          <w:rFonts w:eastAsia="Times New Roman"/>
          <w:color w:val="000000"/>
          <w:sz w:val="20"/>
          <w:szCs w:val="20"/>
        </w:rPr>
        <w:t>Remaining performance obl</w:t>
      </w:r>
      <w:r>
        <w:rPr>
          <w:rFonts w:eastAsia="Times New Roman"/>
          <w:color w:val="000000"/>
          <w:sz w:val="20"/>
          <w:szCs w:val="20"/>
        </w:rPr>
        <w:t xml:space="preserve">igations, which are primarily included in unearned revenues (as presented on our consolidated balance sheet), represent the aggregate amount of the transaction price of certain customer contracts yet to be </w:t>
      </w:r>
    </w:p>
    <w:p w:rsidR="00000000" w:rsidRDefault="008931E1">
      <w:pPr>
        <w:jc w:val="center"/>
        <w:divId w:val="1259677249"/>
        <w:rPr>
          <w:rFonts w:eastAsia="Times New Roman"/>
        </w:rPr>
      </w:pPr>
      <w:r>
        <w:rPr>
          <w:rFonts w:eastAsia="Times New Roman"/>
          <w:color w:val="000000"/>
          <w:sz w:val="20"/>
          <w:szCs w:val="20"/>
        </w:rPr>
        <w:t>F-16</w:t>
      </w:r>
    </w:p>
    <w:p w:rsidR="00000000" w:rsidRDefault="008931E1">
      <w:pPr>
        <w:rPr>
          <w:rFonts w:eastAsia="Times New Roman"/>
        </w:rPr>
      </w:pPr>
      <w:r>
        <w:rPr>
          <w:rFonts w:eastAsia="Times New Roman"/>
        </w:rPr>
        <w:pict>
          <v:rect id="_x0000_i1095" style="width:0;height:1.5pt" o:hralign="center" o:hrstd="t" o:hr="t" fillcolor="#a0a0a0" stroked="f"/>
        </w:pict>
      </w:r>
    </w:p>
    <w:p w:rsidR="00000000" w:rsidRDefault="008931E1">
      <w:pPr>
        <w:jc w:val="center"/>
        <w:divId w:val="701056530"/>
        <w:rPr>
          <w:rFonts w:eastAsia="Times New Roman"/>
        </w:rPr>
      </w:pPr>
    </w:p>
    <w:p w:rsidR="00000000" w:rsidRDefault="008931E1">
      <w:pPr>
        <w:jc w:val="center"/>
        <w:divId w:val="701056530"/>
        <w:rPr>
          <w:rFonts w:eastAsia="Times New Roman"/>
        </w:rPr>
      </w:pPr>
      <w:r>
        <w:rPr>
          <w:rFonts w:eastAsia="Times New Roman"/>
          <w:b/>
          <w:bCs/>
          <w:color w:val="000000"/>
          <w:sz w:val="20"/>
          <w:szCs w:val="20"/>
        </w:rPr>
        <w:t>QUALCO</w:t>
      </w:r>
      <w:r>
        <w:rPr>
          <w:rFonts w:eastAsia="Times New Roman"/>
          <w:b/>
          <w:bCs/>
          <w:color w:val="000000"/>
          <w:sz w:val="20"/>
          <w:szCs w:val="20"/>
        </w:rPr>
        <w:t>MM Incorporated</w:t>
      </w:r>
    </w:p>
    <w:p w:rsidR="00000000" w:rsidRDefault="008931E1">
      <w:pPr>
        <w:jc w:val="center"/>
        <w:divId w:val="701056530"/>
        <w:rPr>
          <w:rFonts w:eastAsia="Times New Roman"/>
        </w:rPr>
      </w:pPr>
      <w:r>
        <w:rPr>
          <w:rFonts w:eastAsia="Times New Roman"/>
          <w:b/>
          <w:bCs/>
          <w:color w:val="000000"/>
          <w:sz w:val="20"/>
          <w:szCs w:val="20"/>
        </w:rPr>
        <w:t>NOTES TO CONSOLIDATED FINANCIAL STATEMENTS</w:t>
      </w:r>
    </w:p>
    <w:p w:rsidR="00000000" w:rsidRDefault="008931E1">
      <w:pPr>
        <w:divId w:val="988555697"/>
        <w:rPr>
          <w:rFonts w:eastAsia="Times New Roman"/>
        </w:rPr>
      </w:pPr>
      <w:r>
        <w:rPr>
          <w:rFonts w:eastAsia="Times New Roman"/>
          <w:color w:val="000000"/>
          <w:sz w:val="20"/>
          <w:szCs w:val="20"/>
        </w:rPr>
        <w:t xml:space="preserve">recognized as revenues as of the end of the reporting period and exclude revenues related to (a) contracts that have an original expected duration of one year or less and (b) sales-based royalties </w:t>
      </w:r>
      <w:r>
        <w:rPr>
          <w:rFonts w:eastAsia="Times New Roman"/>
          <w:color w:val="000000"/>
          <w:sz w:val="20"/>
          <w:szCs w:val="20"/>
        </w:rPr>
        <w:t xml:space="preserve">(i.e., future royalty revenues) pursuant to our license agreements. </w:t>
      </w:r>
    </w:p>
    <w:p w:rsidR="00000000" w:rsidRDefault="008931E1">
      <w:pPr>
        <w:ind w:firstLine="360"/>
        <w:divId w:val="1927422713"/>
        <w:rPr>
          <w:rFonts w:eastAsia="Times New Roman"/>
        </w:rPr>
      </w:pPr>
      <w:r>
        <w:rPr>
          <w:rFonts w:eastAsia="Times New Roman"/>
          <w:b/>
          <w:bCs/>
          <w:i/>
          <w:iCs/>
          <w:color w:val="000000"/>
          <w:sz w:val="20"/>
          <w:szCs w:val="20"/>
        </w:rPr>
        <w:t>Concentrations.</w:t>
      </w:r>
      <w:r>
        <w:rPr>
          <w:rFonts w:eastAsia="Times New Roman"/>
          <w:color w:val="000000"/>
          <w:sz w:val="20"/>
          <w:szCs w:val="20"/>
        </w:rPr>
        <w:t xml:space="preserve"> A significant portion of our revenues are concentrated with a small number of customers/licensees of our QCT and QTL (Qualcomm Technology Licensing) segments. The comparab</w:t>
      </w:r>
      <w:r>
        <w:rPr>
          <w:rFonts w:eastAsia="Times New Roman"/>
          <w:color w:val="000000"/>
          <w:sz w:val="20"/>
          <w:szCs w:val="20"/>
        </w:rPr>
        <w:t>ility of customer/licensee concentrations for the periods presented are impacted by the timing of customer/licensees device launches and/or innovation cycles and other seasonal trends, among other fluctuations in demand. Revenues from each customer/license</w:t>
      </w:r>
      <w:r>
        <w:rPr>
          <w:rFonts w:eastAsia="Times New Roman"/>
          <w:color w:val="000000"/>
          <w:sz w:val="20"/>
          <w:szCs w:val="20"/>
        </w:rPr>
        <w:t>e that were 10% or greater of total revenues were as follows:</w:t>
      </w:r>
    </w:p>
    <w:tbl>
      <w:tblPr>
        <w:tblW w:w="4985" w:type="pct"/>
        <w:tblCellMar>
          <w:top w:w="15" w:type="dxa"/>
          <w:left w:w="15" w:type="dxa"/>
          <w:bottom w:w="15" w:type="dxa"/>
          <w:right w:w="15" w:type="dxa"/>
        </w:tblCellMar>
        <w:tblLook w:val="04A0" w:firstRow="1" w:lastRow="0" w:firstColumn="1" w:lastColumn="0" w:noHBand="0" w:noVBand="1"/>
      </w:tblPr>
      <w:tblGrid>
        <w:gridCol w:w="37"/>
        <w:gridCol w:w="4893"/>
        <w:gridCol w:w="36"/>
        <w:gridCol w:w="73"/>
        <w:gridCol w:w="790"/>
        <w:gridCol w:w="170"/>
        <w:gridCol w:w="36"/>
        <w:gridCol w:w="36"/>
        <w:gridCol w:w="36"/>
        <w:gridCol w:w="73"/>
        <w:gridCol w:w="790"/>
        <w:gridCol w:w="170"/>
        <w:gridCol w:w="36"/>
        <w:gridCol w:w="36"/>
        <w:gridCol w:w="36"/>
        <w:gridCol w:w="73"/>
        <w:gridCol w:w="790"/>
        <w:gridCol w:w="170"/>
      </w:tblGrid>
      <w:tr w:rsidR="00000000">
        <w:trPr>
          <w:divId w:val="1558784722"/>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558784722"/>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26,</w:t>
            </w:r>
            <w:r>
              <w:rPr>
                <w:rFonts w:eastAsia="Times New Roman"/>
                <w:b/>
                <w:bCs/>
                <w:color w:val="000000"/>
                <w:sz w:val="18"/>
                <w:szCs w:val="18"/>
              </w:rPr>
              <w:br/>
              <w:t>2021</w:t>
            </w:r>
          </w:p>
        </w:tc>
      </w:tr>
      <w:tr w:rsidR="00000000">
        <w:trPr>
          <w:divId w:val="155878472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Customer/licensee (w)</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r>
      <w:tr w:rsidR="00000000">
        <w:trPr>
          <w:divId w:val="155878472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Customer/licensee (x)</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55878472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Customer/licensee (y)</w:t>
            </w:r>
          </w:p>
        </w:tc>
        <w:tc>
          <w:tcPr>
            <w:tcW w:w="0" w:type="auto"/>
            <w:gridSpan w:val="3"/>
            <w:shd w:val="clear" w:color="auto" w:fill="CCEEFF"/>
            <w:tcMar>
              <w:top w:w="30" w:type="dxa"/>
              <w:left w:w="20" w:type="dxa"/>
              <w:bottom w:w="30" w:type="dxa"/>
              <w:right w:w="260" w:type="dxa"/>
            </w:tcMar>
            <w:vAlign w:val="bottom"/>
            <w:hideMark/>
          </w:tcPr>
          <w:p w:rsidR="00000000" w:rsidRDefault="008931E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8931E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558784722"/>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558784722"/>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bl>
    <w:p w:rsidR="00000000" w:rsidRDefault="008931E1">
      <w:pPr>
        <w:ind w:firstLine="360"/>
        <w:divId w:val="1249194381"/>
        <w:rPr>
          <w:rFonts w:eastAsia="Times New Roman"/>
        </w:rPr>
      </w:pPr>
      <w:r>
        <w:rPr>
          <w:rFonts w:eastAsia="Times New Roman"/>
          <w:color w:val="000000"/>
          <w:sz w:val="18"/>
          <w:szCs w:val="18"/>
        </w:rPr>
        <w:t>* Less than 10%</w:t>
      </w:r>
    </w:p>
    <w:p w:rsidR="00000000" w:rsidRDefault="008931E1">
      <w:pPr>
        <w:ind w:firstLine="360"/>
        <w:divId w:val="79258222"/>
        <w:rPr>
          <w:rFonts w:eastAsia="Times New Roman"/>
        </w:rPr>
      </w:pPr>
      <w:r>
        <w:rPr>
          <w:rFonts w:eastAsia="Times New Roman"/>
          <w:color w:val="000000"/>
          <w:sz w:val="20"/>
          <w:szCs w:val="20"/>
        </w:rPr>
        <w:t>We rely on sole- or limited-source suppliers for some products, particularly products in our QCT segment, subjecting us to possible shortages of raw materials or manufacturing capacity. The loss of a supplier or the inability of a supplier to meet performa</w:t>
      </w:r>
      <w:r>
        <w:rPr>
          <w:rFonts w:eastAsia="Times New Roman"/>
          <w:color w:val="000000"/>
          <w:sz w:val="20"/>
          <w:szCs w:val="20"/>
        </w:rPr>
        <w:t>nce or quality specifications or delivery schedules could harm our ability to meet our delivery obligations and/or negatively impact our revenues, business operations and ability to compete for future business.</w:t>
      </w:r>
    </w:p>
    <w:p w:rsidR="00000000" w:rsidRDefault="008931E1">
      <w:pPr>
        <w:ind w:firstLine="360"/>
        <w:divId w:val="1205096005"/>
        <w:rPr>
          <w:rFonts w:eastAsia="Times New Roman"/>
        </w:rPr>
      </w:pPr>
      <w:r>
        <w:rPr>
          <w:rFonts w:eastAsia="Times New Roman"/>
          <w:b/>
          <w:bCs/>
          <w:i/>
          <w:iCs/>
          <w:color w:val="000000"/>
          <w:sz w:val="20"/>
          <w:szCs w:val="20"/>
        </w:rPr>
        <w:t>Other Income, Costs and Expenses.</w:t>
      </w:r>
      <w:r>
        <w:rPr>
          <w:rFonts w:eastAsia="Times New Roman"/>
          <w:color w:val="000000"/>
          <w:sz w:val="20"/>
          <w:szCs w:val="20"/>
        </w:rPr>
        <w:t xml:space="preserve"> </w:t>
      </w:r>
      <w:r>
        <w:rPr>
          <w:rFonts w:eastAsia="Times New Roman"/>
          <w:color w:val="000000"/>
          <w:sz w:val="20"/>
          <w:szCs w:val="20"/>
        </w:rPr>
        <w:t>Other expen</w:t>
      </w:r>
      <w:r>
        <w:rPr>
          <w:rFonts w:eastAsia="Times New Roman"/>
          <w:color w:val="000000"/>
          <w:sz w:val="20"/>
          <w:szCs w:val="20"/>
        </w:rPr>
        <w:t>se</w:t>
      </w:r>
      <w:r>
        <w:rPr>
          <w:rFonts w:eastAsia="Times New Roman"/>
          <w:color w:val="000000"/>
          <w:sz w:val="20"/>
          <w:szCs w:val="20"/>
        </w:rPr>
        <w:t>s</w:t>
      </w:r>
      <w:r>
        <w:rPr>
          <w:rFonts w:eastAsia="Times New Roman"/>
          <w:color w:val="000000"/>
          <w:sz w:val="20"/>
          <w:szCs w:val="20"/>
        </w:rPr>
        <w:t xml:space="preserve"> in fiscal 2023 consisted of $712 million in total restructuring and restructuring-related charges (substantially all of which related to severance costs, resulting from certain cost reduction actions committed to in fiscal 2023) and a $150 million inta</w:t>
      </w:r>
      <w:r>
        <w:rPr>
          <w:rFonts w:eastAsia="Times New Roman"/>
          <w:color w:val="000000"/>
          <w:sz w:val="20"/>
          <w:szCs w:val="20"/>
        </w:rPr>
        <w:t>ngible asset impairment charge related to in-process research and development.</w:t>
      </w:r>
    </w:p>
    <w:p w:rsidR="00000000" w:rsidRDefault="008931E1">
      <w:pPr>
        <w:ind w:firstLine="360"/>
        <w:divId w:val="962420916"/>
        <w:rPr>
          <w:rFonts w:eastAsia="Times New Roman"/>
        </w:rPr>
      </w:pPr>
      <w:r>
        <w:rPr>
          <w:rFonts w:eastAsia="Times New Roman"/>
          <w:color w:val="000000"/>
          <w:sz w:val="20"/>
          <w:szCs w:val="20"/>
        </w:rPr>
        <w:t>Actions associated with restructuring plans initiated in the first half of fiscal 2023 were substantially completed (including payments of the related severance) by the end of f</w:t>
      </w:r>
      <w:r>
        <w:rPr>
          <w:rFonts w:eastAsia="Times New Roman"/>
          <w:color w:val="000000"/>
          <w:sz w:val="20"/>
          <w:szCs w:val="20"/>
        </w:rPr>
        <w:t>iscal 2023. Given the continued uncertainty in the macroeconomic and demand environment, we initiated additional restructuring actions in the fourth quarter of fiscal 2023 to enable investments in key growth and diversification opportunities. These actions</w:t>
      </w:r>
      <w:r>
        <w:rPr>
          <w:rFonts w:eastAsia="Times New Roman"/>
          <w:color w:val="000000"/>
          <w:sz w:val="20"/>
          <w:szCs w:val="20"/>
        </w:rPr>
        <w:t xml:space="preserve"> resulted in $385 million in accrued severance costs in the fourth quarter of fiscal 2023. We anticipate these additional actions to be substantially completed (including payments of the related severance) in the first half of fiscal 2024. We may incur add</w:t>
      </w:r>
      <w:r>
        <w:rPr>
          <w:rFonts w:eastAsia="Times New Roman"/>
          <w:color w:val="000000"/>
          <w:sz w:val="20"/>
          <w:szCs w:val="20"/>
        </w:rPr>
        <w:t>itional restructuring and restructuring-related charges, as the actual amount of costs may differ from our current expectations and estimates.</w:t>
      </w:r>
    </w:p>
    <w:p w:rsidR="00000000" w:rsidRDefault="008931E1">
      <w:pPr>
        <w:ind w:firstLine="360"/>
        <w:divId w:val="2013609163"/>
        <w:rPr>
          <w:rFonts w:eastAsia="Times New Roman"/>
        </w:rPr>
      </w:pPr>
      <w:r>
        <w:rPr>
          <w:rFonts w:eastAsia="Times New Roman"/>
          <w:color w:val="000000"/>
          <w:sz w:val="20"/>
          <w:szCs w:val="20"/>
        </w:rPr>
        <w:t>In the third quarter of fiscal 2022, the General Court of the European Union issued a ruling annulling a decision</w:t>
      </w:r>
      <w:r>
        <w:rPr>
          <w:rFonts w:eastAsia="Times New Roman"/>
          <w:color w:val="000000"/>
          <w:sz w:val="20"/>
          <w:szCs w:val="20"/>
        </w:rPr>
        <w:t xml:space="preserve"> made by the EC in fiscal 2018. As a result of the court’s decision, we recorded a $1.1 billion benefit to other income in fiscal 2022.</w:t>
      </w:r>
    </w:p>
    <w:tbl>
      <w:tblPr>
        <w:tblW w:w="4985" w:type="pct"/>
        <w:tblCellMar>
          <w:top w:w="15" w:type="dxa"/>
          <w:left w:w="15" w:type="dxa"/>
          <w:bottom w:w="15" w:type="dxa"/>
          <w:right w:w="15" w:type="dxa"/>
        </w:tblCellMar>
        <w:tblLook w:val="04A0" w:firstRow="1" w:lastRow="0" w:firstColumn="1" w:lastColumn="0" w:noHBand="0" w:noVBand="1"/>
      </w:tblPr>
      <w:tblGrid>
        <w:gridCol w:w="38"/>
        <w:gridCol w:w="4862"/>
        <w:gridCol w:w="37"/>
        <w:gridCol w:w="36"/>
        <w:gridCol w:w="36"/>
        <w:gridCol w:w="36"/>
        <w:gridCol w:w="36"/>
        <w:gridCol w:w="36"/>
        <w:gridCol w:w="36"/>
        <w:gridCol w:w="36"/>
        <w:gridCol w:w="110"/>
        <w:gridCol w:w="838"/>
        <w:gridCol w:w="36"/>
        <w:gridCol w:w="36"/>
        <w:gridCol w:w="36"/>
        <w:gridCol w:w="36"/>
        <w:gridCol w:w="110"/>
        <w:gridCol w:w="800"/>
        <w:gridCol w:w="36"/>
        <w:gridCol w:w="36"/>
        <w:gridCol w:w="36"/>
        <w:gridCol w:w="36"/>
        <w:gridCol w:w="110"/>
        <w:gridCol w:w="800"/>
        <w:gridCol w:w="36"/>
      </w:tblGrid>
      <w:tr w:rsidR="00000000">
        <w:trPr>
          <w:divId w:val="1090658483"/>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090658483"/>
        </w:trPr>
        <w:tc>
          <w:tcPr>
            <w:tcW w:w="0" w:type="auto"/>
            <w:gridSpan w:val="3"/>
            <w:tcMar>
              <w:top w:w="30" w:type="dxa"/>
              <w:left w:w="20" w:type="dxa"/>
              <w:bottom w:w="30" w:type="dxa"/>
              <w:right w:w="20" w:type="dxa"/>
            </w:tcMar>
            <w:vAlign w:val="bottom"/>
            <w:hideMark/>
          </w:tcPr>
          <w:p w:rsidR="00000000" w:rsidRDefault="008931E1">
            <w:pPr>
              <w:spacing w:after="100"/>
              <w:divId w:val="1324817916"/>
              <w:rPr>
                <w:rFonts w:eastAsia="Times New Roman"/>
              </w:rPr>
            </w:pPr>
            <w:r>
              <w:rPr>
                <w:rFonts w:eastAsia="Times New Roman"/>
                <w:b/>
                <w:bCs/>
                <w:i/>
                <w:iCs/>
                <w:color w:val="000000"/>
                <w:sz w:val="20"/>
                <w:szCs w:val="20"/>
              </w:rPr>
              <w:t>Investment and Other Income (Expense), Net (in millions)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090658483"/>
        </w:trPr>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090658483"/>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2021</w:t>
            </w:r>
          </w:p>
        </w:tc>
      </w:tr>
      <w:tr w:rsidR="00000000">
        <w:trPr>
          <w:divId w:val="1090658483"/>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Interest and dividend income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90658483"/>
        </w:trPr>
        <w:tc>
          <w:tcPr>
            <w:tcW w:w="0" w:type="auto"/>
            <w:gridSpan w:val="3"/>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090658483"/>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873494282"/>
              <w:rPr>
                <w:rFonts w:eastAsia="Times New Roman"/>
              </w:rPr>
            </w:pPr>
            <w:r>
              <w:rPr>
                <w:rFonts w:eastAsia="Times New Roman"/>
                <w:color w:val="000000"/>
                <w:sz w:val="18"/>
                <w:szCs w:val="18"/>
              </w:rPr>
              <w:t>Net gains (losses) on marketable securities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(363)</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427 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90658483"/>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gains on other investments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470 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90658483"/>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203202504"/>
              <w:rPr>
                <w:rFonts w:eastAsia="Times New Roman"/>
              </w:rPr>
            </w:pPr>
            <w:r>
              <w:rPr>
                <w:rFonts w:eastAsia="Times New Roman"/>
                <w:color w:val="000000"/>
                <w:sz w:val="18"/>
                <w:szCs w:val="18"/>
              </w:rPr>
              <w:t>Net gains (losses) on deferred compensation plan assets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(141)</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90658483"/>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Impairment losses on other investments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(132)</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90658483"/>
        </w:trPr>
        <w:tc>
          <w:tcPr>
            <w:tcW w:w="0" w:type="auto"/>
            <w:gridSpan w:val="3"/>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090658483"/>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90658483"/>
        </w:trPr>
        <w:tc>
          <w:tcPr>
            <w:tcW w:w="0" w:type="auto"/>
            <w:gridSpan w:val="3"/>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090658483"/>
        </w:trPr>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090658483"/>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(372)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jc w:val="center"/>
        <w:divId w:val="108354746"/>
        <w:rPr>
          <w:rFonts w:eastAsia="Times New Roman"/>
        </w:rPr>
      </w:pPr>
      <w:r>
        <w:rPr>
          <w:rFonts w:eastAsia="Times New Roman"/>
          <w:color w:val="000000"/>
          <w:sz w:val="20"/>
          <w:szCs w:val="20"/>
        </w:rPr>
        <w:t>F-17</w:t>
      </w:r>
    </w:p>
    <w:p w:rsidR="00000000" w:rsidRDefault="008931E1">
      <w:pPr>
        <w:rPr>
          <w:rFonts w:eastAsia="Times New Roman"/>
        </w:rPr>
      </w:pPr>
      <w:r>
        <w:rPr>
          <w:rFonts w:eastAsia="Times New Roman"/>
        </w:rPr>
        <w:pict>
          <v:rect id="_x0000_i1096" style="width:0;height:1.5pt" o:hralign="center" o:hrstd="t" o:hr="t" fillcolor="#a0a0a0" stroked="f"/>
        </w:pict>
      </w:r>
    </w:p>
    <w:p w:rsidR="00000000" w:rsidRDefault="008931E1">
      <w:pPr>
        <w:jc w:val="center"/>
        <w:divId w:val="34353394"/>
        <w:rPr>
          <w:rFonts w:eastAsia="Times New Roman"/>
        </w:rPr>
      </w:pPr>
    </w:p>
    <w:p w:rsidR="00000000" w:rsidRDefault="008931E1">
      <w:pPr>
        <w:jc w:val="center"/>
        <w:divId w:val="34353394"/>
        <w:rPr>
          <w:rFonts w:eastAsia="Times New Roman"/>
        </w:rPr>
      </w:pPr>
      <w:r>
        <w:rPr>
          <w:rFonts w:eastAsia="Times New Roman"/>
          <w:b/>
          <w:bCs/>
          <w:color w:val="000000"/>
          <w:sz w:val="20"/>
          <w:szCs w:val="20"/>
        </w:rPr>
        <w:t>QUALCOMM Incorporated</w:t>
      </w:r>
    </w:p>
    <w:p w:rsidR="00000000" w:rsidRDefault="008931E1">
      <w:pPr>
        <w:jc w:val="center"/>
        <w:divId w:val="34353394"/>
        <w:rPr>
          <w:rFonts w:eastAsia="Times New Roman"/>
        </w:rPr>
      </w:pPr>
      <w:r>
        <w:rPr>
          <w:rFonts w:eastAsia="Times New Roman"/>
          <w:b/>
          <w:bCs/>
          <w:color w:val="000000"/>
          <w:sz w:val="20"/>
          <w:szCs w:val="20"/>
        </w:rPr>
        <w:t>NOTES TO CONSOLIDATED FINANCIAL STATEMENTS</w:t>
      </w:r>
    </w:p>
    <w:p w:rsidR="00000000" w:rsidRDefault="008931E1">
      <w:pPr>
        <w:divId w:val="1499418010"/>
        <w:rPr>
          <w:rFonts w:eastAsia="Times New Roman"/>
        </w:rPr>
      </w:pPr>
      <w:r>
        <w:rPr>
          <w:rFonts w:eastAsia="Times New Roman"/>
          <w:b/>
          <w:bCs/>
          <w:color w:val="000000"/>
          <w:sz w:val="20"/>
          <w:szCs w:val="20"/>
        </w:rPr>
        <w:t>Note 3. Income Taxes</w:t>
      </w:r>
    </w:p>
    <w:p w:rsidR="00000000" w:rsidRDefault="008931E1">
      <w:pPr>
        <w:ind w:firstLine="360"/>
        <w:divId w:val="535702108"/>
        <w:rPr>
          <w:rFonts w:eastAsia="Times New Roman"/>
        </w:rPr>
      </w:pPr>
      <w:r>
        <w:rPr>
          <w:rFonts w:eastAsia="Times New Roman"/>
          <w:color w:val="000000"/>
          <w:sz w:val="20"/>
          <w:szCs w:val="20"/>
        </w:rPr>
        <w:t>The components of the income tax provision from continuing operations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5022"/>
        <w:gridCol w:w="36"/>
        <w:gridCol w:w="110"/>
        <w:gridCol w:w="866"/>
        <w:gridCol w:w="36"/>
        <w:gridCol w:w="36"/>
        <w:gridCol w:w="36"/>
        <w:gridCol w:w="36"/>
        <w:gridCol w:w="110"/>
        <w:gridCol w:w="832"/>
        <w:gridCol w:w="36"/>
        <w:gridCol w:w="36"/>
        <w:gridCol w:w="36"/>
        <w:gridCol w:w="36"/>
        <w:gridCol w:w="110"/>
        <w:gridCol w:w="832"/>
        <w:gridCol w:w="36"/>
      </w:tblGrid>
      <w:tr w:rsidR="00000000">
        <w:trPr>
          <w:divId w:val="1345859584"/>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345859584"/>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2021</w:t>
            </w:r>
          </w:p>
        </w:tc>
      </w:tr>
      <w:tr w:rsidR="00000000">
        <w:trPr>
          <w:divId w:val="1345859584"/>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Current provision: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r>
      <w:tr w:rsidR="00000000">
        <w:trPr>
          <w:divId w:val="1345859584"/>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Federal</w:t>
            </w: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1,229 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1,114 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942 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5859584"/>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State</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5859584"/>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Foreign (1)</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491 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906 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518 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5859584"/>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585958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Deferred (benefit) provision:</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r>
      <w:tr w:rsidR="00000000">
        <w:trPr>
          <w:divId w:val="1345859584"/>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Federal</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(1,475)</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(251)</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5859584"/>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State</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5859584"/>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Foreign (1)</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(143)</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5859584"/>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345859584"/>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hanging="270"/>
        <w:divId w:val="2005667474"/>
        <w:rPr>
          <w:rFonts w:eastAsia="Times New Roman"/>
        </w:rPr>
      </w:pPr>
      <w:r>
        <w:rPr>
          <w:rFonts w:eastAsia="Times New Roman"/>
          <w:color w:val="000000"/>
          <w:sz w:val="18"/>
          <w:szCs w:val="18"/>
        </w:rPr>
        <w:t xml:space="preserve">(1) The foreign component of the income tax provision included foreign withholding taxes on royalty revenues included in U.S. earnings. </w:t>
      </w:r>
    </w:p>
    <w:p w:rsidR="00000000" w:rsidRDefault="008931E1">
      <w:pPr>
        <w:ind w:firstLine="360"/>
        <w:divId w:val="2038001845"/>
        <w:rPr>
          <w:rFonts w:eastAsia="Times New Roman"/>
        </w:rPr>
      </w:pPr>
      <w:r>
        <w:rPr>
          <w:rFonts w:eastAsia="Times New Roman"/>
          <w:color w:val="000000"/>
          <w:sz w:val="20"/>
          <w:szCs w:val="20"/>
        </w:rPr>
        <w:t>The components of income from continuing oper</w:t>
      </w:r>
      <w:r>
        <w:rPr>
          <w:rFonts w:eastAsia="Times New Roman"/>
          <w:color w:val="000000"/>
          <w:sz w:val="20"/>
          <w:szCs w:val="20"/>
        </w:rPr>
        <w:t>ations before income taxes by U.S. and foreign jurisdictions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5021"/>
        <w:gridCol w:w="37"/>
        <w:gridCol w:w="110"/>
        <w:gridCol w:w="866"/>
        <w:gridCol w:w="36"/>
        <w:gridCol w:w="36"/>
        <w:gridCol w:w="36"/>
        <w:gridCol w:w="36"/>
        <w:gridCol w:w="110"/>
        <w:gridCol w:w="832"/>
        <w:gridCol w:w="36"/>
        <w:gridCol w:w="36"/>
        <w:gridCol w:w="36"/>
        <w:gridCol w:w="36"/>
        <w:gridCol w:w="110"/>
        <w:gridCol w:w="832"/>
        <w:gridCol w:w="36"/>
      </w:tblGrid>
      <w:tr w:rsidR="00000000">
        <w:trPr>
          <w:divId w:val="1143306628"/>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143306628"/>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2021</w:t>
            </w:r>
          </w:p>
        </w:tc>
      </w:tr>
      <w:tr w:rsidR="00000000">
        <w:trPr>
          <w:divId w:val="1143306628"/>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12,537 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43306628"/>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Foreign</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1,043 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2,461 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1,493 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43306628"/>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7,443 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14,998 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10,274 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firstLine="360"/>
        <w:divId w:val="2061245492"/>
        <w:rPr>
          <w:rFonts w:eastAsia="Times New Roman"/>
        </w:rPr>
      </w:pPr>
      <w:r>
        <w:rPr>
          <w:rFonts w:eastAsia="Times New Roman"/>
          <w:color w:val="000000"/>
          <w:sz w:val="20"/>
          <w:szCs w:val="20"/>
        </w:rPr>
        <w:t>The following is a reconciliation of the expected statutory federal income tax provision to our actual income tax provision from continuing operations (in millions, except percentages). A significant portion of our U.S. income qualifies for preferential tr</w:t>
      </w:r>
      <w:r>
        <w:rPr>
          <w:rFonts w:eastAsia="Times New Roman"/>
          <w:color w:val="000000"/>
          <w:sz w:val="20"/>
          <w:szCs w:val="20"/>
        </w:rPr>
        <w:t>eatment as FDII (foreign-derived intangible income) at a 13% effective tax rate.</w:t>
      </w:r>
    </w:p>
    <w:tbl>
      <w:tblPr>
        <w:tblW w:w="4985" w:type="pct"/>
        <w:tblCellMar>
          <w:top w:w="15" w:type="dxa"/>
          <w:left w:w="15" w:type="dxa"/>
          <w:bottom w:w="15" w:type="dxa"/>
          <w:right w:w="15" w:type="dxa"/>
        </w:tblCellMar>
        <w:tblLook w:val="04A0" w:firstRow="1" w:lastRow="0" w:firstColumn="1" w:lastColumn="0" w:noHBand="0" w:noVBand="1"/>
      </w:tblPr>
      <w:tblGrid>
        <w:gridCol w:w="39"/>
        <w:gridCol w:w="4907"/>
        <w:gridCol w:w="38"/>
        <w:gridCol w:w="110"/>
        <w:gridCol w:w="808"/>
        <w:gridCol w:w="170"/>
        <w:gridCol w:w="36"/>
        <w:gridCol w:w="36"/>
        <w:gridCol w:w="36"/>
        <w:gridCol w:w="110"/>
        <w:gridCol w:w="716"/>
        <w:gridCol w:w="170"/>
        <w:gridCol w:w="36"/>
        <w:gridCol w:w="36"/>
        <w:gridCol w:w="36"/>
        <w:gridCol w:w="110"/>
        <w:gridCol w:w="717"/>
        <w:gridCol w:w="170"/>
      </w:tblGrid>
      <w:tr w:rsidR="00000000">
        <w:trPr>
          <w:divId w:val="536310634"/>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536310634"/>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2021</w:t>
            </w:r>
          </w:p>
        </w:tc>
      </w:tr>
      <w:tr w:rsidR="00000000">
        <w:trPr>
          <w:divId w:val="53631063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Expected income tax provision at federal statutory tax rate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536310634"/>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Benefit from FDII deduction related to capitalizing research and development expenditures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(598)</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53631063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Benefit from FDII deduction, excluding the impact of capitalizing research and development expenditures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(447)</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(753)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(550)</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536310634"/>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Benefit related to research and development tax credits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(235)</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(195)</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53631063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Benefit from fiscal 2021 and 2022 FDII deductions related to a change in sourcing of research and development expenditures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(126)</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536310634"/>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Benefit from releasing valuation allowance on unutilized foreign loss carryforwards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53631063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Foreign currency (gains) losses related to Korean withholding tax receivable</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(66)</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243 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536310634"/>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Shortfall (excess) tax benefit associated with share-based awards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(257)</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(265)</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536310634"/>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536310634"/>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536310634"/>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536310634"/>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53631063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Nontaxable reversal of 2018 EC fine</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(224)</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536310634"/>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536310634"/>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536310634"/>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Effective tax rate</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w:t>
            </w:r>
          </w:p>
        </w:tc>
      </w:tr>
    </w:tbl>
    <w:p w:rsidR="00000000" w:rsidRDefault="008931E1">
      <w:pPr>
        <w:ind w:firstLine="360"/>
        <w:divId w:val="1482965583"/>
        <w:rPr>
          <w:rFonts w:eastAsia="Times New Roman"/>
        </w:rPr>
      </w:pPr>
      <w:r>
        <w:rPr>
          <w:rFonts w:eastAsia="Times New Roman"/>
          <w:color w:val="000000"/>
          <w:sz w:val="20"/>
          <w:szCs w:val="20"/>
        </w:rPr>
        <w:t>B</w:t>
      </w:r>
      <w:r>
        <w:rPr>
          <w:rFonts w:eastAsia="Times New Roman"/>
          <w:color w:val="000000"/>
          <w:sz w:val="20"/>
          <w:szCs w:val="20"/>
        </w:rPr>
        <w:t>eginning in fiscal 2023, for federal income tax purposes, we are required to capitalize and amortize domestic research and development expenditures over five years and foreign research and development expenditures over fifteen years (such expenditures were</w:t>
      </w:r>
      <w:r>
        <w:rPr>
          <w:rFonts w:eastAsia="Times New Roman"/>
          <w:color w:val="000000"/>
          <w:sz w:val="20"/>
          <w:szCs w:val="20"/>
        </w:rPr>
        <w:t xml:space="preserve"> previously deducted as incurred). Our cash flows from operations will be adversely affected due to significantly higher cash tax payments. However, since the resulting deferred tax asset is established at the statutory rate of 21% (rather than the current</w:t>
      </w:r>
      <w:r>
        <w:rPr>
          <w:rFonts w:eastAsia="Times New Roman"/>
          <w:color w:val="000000"/>
          <w:sz w:val="20"/>
          <w:szCs w:val="20"/>
        </w:rPr>
        <w:t xml:space="preserve"> effective tax rate of 13% to 16% after considering the FDII deduction), capitalization favorably affects our total provision for income taxes and results of operations. The adverse cash flow impact and favorable tax provision impact will diminish in futur</w:t>
      </w:r>
      <w:r>
        <w:rPr>
          <w:rFonts w:eastAsia="Times New Roman"/>
          <w:color w:val="000000"/>
          <w:sz w:val="20"/>
          <w:szCs w:val="20"/>
        </w:rPr>
        <w:t>e years as capitalized research and development expenditures continue to amortize.</w:t>
      </w:r>
    </w:p>
    <w:p w:rsidR="00000000" w:rsidRDefault="008931E1">
      <w:pPr>
        <w:jc w:val="center"/>
        <w:divId w:val="1690788826"/>
        <w:rPr>
          <w:rFonts w:eastAsia="Times New Roman"/>
        </w:rPr>
      </w:pPr>
      <w:r>
        <w:rPr>
          <w:rFonts w:eastAsia="Times New Roman"/>
          <w:color w:val="000000"/>
          <w:sz w:val="20"/>
          <w:szCs w:val="20"/>
        </w:rPr>
        <w:t>F-18</w:t>
      </w:r>
    </w:p>
    <w:p w:rsidR="00000000" w:rsidRDefault="008931E1">
      <w:pPr>
        <w:rPr>
          <w:rFonts w:eastAsia="Times New Roman"/>
        </w:rPr>
      </w:pPr>
      <w:r>
        <w:rPr>
          <w:rFonts w:eastAsia="Times New Roman"/>
        </w:rPr>
        <w:pict>
          <v:rect id="_x0000_i1097" style="width:0;height:1.5pt" o:hralign="center" o:hrstd="t" o:hr="t" fillcolor="#a0a0a0" stroked="f"/>
        </w:pict>
      </w:r>
    </w:p>
    <w:p w:rsidR="00000000" w:rsidRDefault="008931E1">
      <w:pPr>
        <w:jc w:val="center"/>
        <w:divId w:val="627049086"/>
        <w:rPr>
          <w:rFonts w:eastAsia="Times New Roman"/>
        </w:rPr>
      </w:pPr>
    </w:p>
    <w:p w:rsidR="00000000" w:rsidRDefault="008931E1">
      <w:pPr>
        <w:jc w:val="center"/>
        <w:divId w:val="627049086"/>
        <w:rPr>
          <w:rFonts w:eastAsia="Times New Roman"/>
        </w:rPr>
      </w:pPr>
      <w:r>
        <w:rPr>
          <w:rFonts w:eastAsia="Times New Roman"/>
          <w:b/>
          <w:bCs/>
          <w:color w:val="000000"/>
          <w:sz w:val="20"/>
          <w:szCs w:val="20"/>
        </w:rPr>
        <w:t>QUALCOMM Incorporated</w:t>
      </w:r>
    </w:p>
    <w:p w:rsidR="00000000" w:rsidRDefault="008931E1">
      <w:pPr>
        <w:jc w:val="center"/>
        <w:divId w:val="627049086"/>
        <w:rPr>
          <w:rFonts w:eastAsia="Times New Roman"/>
        </w:rPr>
      </w:pPr>
      <w:r>
        <w:rPr>
          <w:rFonts w:eastAsia="Times New Roman"/>
          <w:b/>
          <w:bCs/>
          <w:color w:val="000000"/>
          <w:sz w:val="20"/>
          <w:szCs w:val="20"/>
        </w:rPr>
        <w:t>NOTES TO CONSOLIDATED FINANCIAL STATEMENTS</w:t>
      </w:r>
    </w:p>
    <w:p w:rsidR="00000000" w:rsidRDefault="008931E1">
      <w:pPr>
        <w:ind w:firstLine="360"/>
        <w:divId w:val="563641918"/>
        <w:rPr>
          <w:rFonts w:eastAsia="Times New Roman"/>
        </w:rPr>
      </w:pPr>
      <w:r>
        <w:rPr>
          <w:rFonts w:eastAsia="Times New Roman"/>
          <w:color w:val="000000"/>
          <w:sz w:val="20"/>
          <w:szCs w:val="20"/>
        </w:rPr>
        <w:t>Beginning in fiscal 2019, as a result of certain court rulings in</w:t>
      </w:r>
      <w:r>
        <w:rPr>
          <w:rFonts w:eastAsia="Times New Roman"/>
          <w:color w:val="000000"/>
          <w:sz w:val="20"/>
          <w:szCs w:val="20"/>
        </w:rPr>
        <w:t xml:space="preserve"> Korea, among other factors, we decided to apply for a partial refund claim for taxes previously withheld from licensees in Korea on payments due under their license agreements to which we have claimed a foreign tax credit in the United States. As a result</w:t>
      </w:r>
      <w:r>
        <w:rPr>
          <w:rFonts w:eastAsia="Times New Roman"/>
          <w:color w:val="000000"/>
          <w:sz w:val="20"/>
          <w:szCs w:val="20"/>
        </w:rPr>
        <w:t>, $2.0 billion and $1.7 billion was recorded as a noncurrent income taxes receivable (recorded in other assets) at September 24, 2023 and September 25, 2022, respectively, and $2.3 billion and $2.1 billion was recorded as a noncurrent liability for uncerta</w:t>
      </w:r>
      <w:r>
        <w:rPr>
          <w:rFonts w:eastAsia="Times New Roman"/>
          <w:color w:val="000000"/>
          <w:sz w:val="20"/>
          <w:szCs w:val="20"/>
        </w:rPr>
        <w:t xml:space="preserve">in tax benefits (recorded in other liabilities) at September 24, 2023 and September 25, 2022, respectively. </w:t>
      </w:r>
    </w:p>
    <w:p w:rsidR="00000000" w:rsidRDefault="008931E1">
      <w:pPr>
        <w:ind w:firstLine="360"/>
        <w:divId w:val="974873672"/>
        <w:rPr>
          <w:rFonts w:eastAsia="Times New Roman"/>
        </w:rPr>
      </w:pPr>
      <w:r>
        <w:rPr>
          <w:rFonts w:eastAsia="Times New Roman"/>
          <w:color w:val="000000"/>
          <w:sz w:val="20"/>
          <w:szCs w:val="20"/>
        </w:rPr>
        <w:t>Income taxes payable (recorded in other current liabilities) were $1.7 billion and $634 million at September 24, 2023 and September 25, 2022, respe</w:t>
      </w:r>
      <w:r>
        <w:rPr>
          <w:rFonts w:eastAsia="Times New Roman"/>
          <w:color w:val="000000"/>
          <w:sz w:val="20"/>
          <w:szCs w:val="20"/>
        </w:rPr>
        <w:t>ctively. This increase was primarily due to announcements by the Internal Revenue Service (IRS), which postponed our remaining current year U.S. federal income tax-payments from fiscal 2023, which were paid in October 2023.</w:t>
      </w:r>
    </w:p>
    <w:p w:rsidR="00000000" w:rsidRDefault="008931E1">
      <w:pPr>
        <w:ind w:firstLine="360"/>
        <w:divId w:val="1414668691"/>
        <w:rPr>
          <w:rFonts w:eastAsia="Times New Roman"/>
        </w:rPr>
      </w:pPr>
      <w:r>
        <w:rPr>
          <w:rFonts w:eastAsia="Times New Roman"/>
          <w:color w:val="000000"/>
          <w:sz w:val="20"/>
          <w:szCs w:val="20"/>
        </w:rPr>
        <w:t>At September 24, 2023, we estima</w:t>
      </w:r>
      <w:r>
        <w:rPr>
          <w:rFonts w:eastAsia="Times New Roman"/>
          <w:color w:val="000000"/>
          <w:sz w:val="20"/>
          <w:szCs w:val="20"/>
        </w:rPr>
        <w:t xml:space="preserve">ted remaining future payments of $1.5 billion for a one-time repatriation tax accrued in fiscal 2018, after application of certain tax credits, which is payable in installments over the next three years. At September 24, 2023, $391 million was recorded in </w:t>
      </w:r>
      <w:r>
        <w:rPr>
          <w:rFonts w:eastAsia="Times New Roman"/>
          <w:color w:val="000000"/>
          <w:sz w:val="20"/>
          <w:szCs w:val="20"/>
        </w:rPr>
        <w:t>other current liabilities, reflecting the next installment due in January 2024, with the remaining noncurrent portion presented as income taxes payable on our balance sheet.</w:t>
      </w:r>
    </w:p>
    <w:p w:rsidR="00000000" w:rsidRDefault="008931E1">
      <w:pPr>
        <w:ind w:firstLine="360"/>
        <w:divId w:val="400177208"/>
        <w:rPr>
          <w:rFonts w:eastAsia="Times New Roman"/>
        </w:rPr>
      </w:pPr>
      <w:r>
        <w:rPr>
          <w:rFonts w:eastAsia="Times New Roman"/>
          <w:color w:val="000000"/>
          <w:sz w:val="20"/>
          <w:szCs w:val="20"/>
        </w:rPr>
        <w:t>We had deferred tax assets and deferred tax liabilities as follows (in millions):</w:t>
      </w:r>
    </w:p>
    <w:tbl>
      <w:tblPr>
        <w:tblW w:w="4992" w:type="pct"/>
        <w:tblCellMar>
          <w:top w:w="15" w:type="dxa"/>
          <w:left w:w="15" w:type="dxa"/>
          <w:bottom w:w="15" w:type="dxa"/>
          <w:right w:w="15" w:type="dxa"/>
        </w:tblCellMar>
        <w:tblLook w:val="04A0" w:firstRow="1" w:lastRow="0" w:firstColumn="1" w:lastColumn="0" w:noHBand="0" w:noVBand="1"/>
      </w:tblPr>
      <w:tblGrid>
        <w:gridCol w:w="44"/>
        <w:gridCol w:w="6099"/>
        <w:gridCol w:w="38"/>
        <w:gridCol w:w="111"/>
        <w:gridCol w:w="870"/>
        <w:gridCol w:w="36"/>
        <w:gridCol w:w="36"/>
        <w:gridCol w:w="36"/>
        <w:gridCol w:w="36"/>
        <w:gridCol w:w="111"/>
        <w:gridCol w:w="840"/>
        <w:gridCol w:w="36"/>
      </w:tblGrid>
      <w:tr w:rsidR="00000000">
        <w:trPr>
          <w:divId w:val="2088261542"/>
        </w:trPr>
        <w:tc>
          <w:tcPr>
            <w:tcW w:w="50" w:type="pct"/>
            <w:vAlign w:val="center"/>
            <w:hideMark/>
          </w:tcPr>
          <w:p w:rsidR="00000000" w:rsidRDefault="008931E1">
            <w:pPr>
              <w:ind w:firstLine="360"/>
              <w:rPr>
                <w:rFonts w:eastAsia="Times New Roman"/>
              </w:rPr>
            </w:pPr>
          </w:p>
        </w:tc>
        <w:tc>
          <w:tcPr>
            <w:tcW w:w="370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2088261542"/>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w:t>
            </w:r>
            <w:r>
              <w:rPr>
                <w:rFonts w:eastAsia="Times New Roman"/>
                <w:b/>
                <w:bCs/>
                <w:color w:val="000000"/>
                <w:sz w:val="18"/>
                <w:szCs w:val="18"/>
              </w:rPr>
              <w:br/>
              <w:t>2022</w:t>
            </w:r>
          </w:p>
        </w:tc>
      </w:tr>
      <w:tr w:rsidR="00000000">
        <w:trPr>
          <w:divId w:val="208826154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Unused tax credits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460563407"/>
              <w:rPr>
                <w:rFonts w:eastAsia="Times New Roman"/>
              </w:rPr>
            </w:pPr>
            <w:r>
              <w:rPr>
                <w:rFonts w:eastAsia="Times New Roman"/>
                <w:color w:val="000000"/>
                <w:sz w:val="18"/>
                <w:szCs w:val="18"/>
              </w:rPr>
              <w:t>Capitalized research and development expenditures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1,490 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Customer incentives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659 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807 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Accrued liabilities and reserves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401 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264 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Unused net operating losses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887 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Share-based compensation</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225 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Unrealized losses on other investments and 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409 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435 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gross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5,802 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Valuation allowance</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(1,803)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(2,223)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net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3,999 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Intangible assets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(335)</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(315)</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Operating lease assets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Unrealized gains on other investments and 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(101)</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(84)</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(101)</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(118)</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(98)</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deferred tax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deferred tax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Reported as: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r>
      <w:tr w:rsidR="00000000">
        <w:trPr>
          <w:divId w:val="2088261542"/>
        </w:trPr>
        <w:tc>
          <w:tcPr>
            <w:tcW w:w="0" w:type="auto"/>
            <w:gridSpan w:val="3"/>
            <w:vAlign w:val="center"/>
            <w:hideMark/>
          </w:tcPr>
          <w:p w:rsidR="00000000" w:rsidRDefault="008931E1">
            <w:pPr>
              <w:spacing w:after="100"/>
              <w:rPr>
                <w:rFonts w:eastAsia="Times New Roman"/>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2088261542"/>
        </w:trPr>
        <w:tc>
          <w:tcPr>
            <w:tcW w:w="0" w:type="auto"/>
            <w:gridSpan w:val="3"/>
            <w:shd w:val="clear" w:color="auto" w:fill="CCEE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Non-current deferred tax assets</w:t>
            </w: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3,310 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1,803 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2088261542"/>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Non-current deferred tax liabilities (1)</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(111)</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(167)</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088261542"/>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divId w:val="560167659"/>
        <w:rPr>
          <w:rFonts w:eastAsia="Times New Roman"/>
        </w:rPr>
      </w:pPr>
      <w:r>
        <w:rPr>
          <w:rFonts w:eastAsia="Times New Roman"/>
          <w:color w:val="000000"/>
          <w:sz w:val="18"/>
          <w:szCs w:val="18"/>
        </w:rPr>
        <w:t>(1) Non-current deferred tax liabilities were included in other liabilities in the consolidated balance sheets.</w:t>
      </w:r>
    </w:p>
    <w:p w:rsidR="00000000" w:rsidRDefault="008931E1">
      <w:pPr>
        <w:ind w:firstLine="360"/>
        <w:divId w:val="978846944"/>
        <w:rPr>
          <w:rFonts w:eastAsia="Times New Roman"/>
        </w:rPr>
      </w:pPr>
      <w:r>
        <w:rPr>
          <w:rFonts w:eastAsia="Times New Roman"/>
          <w:color w:val="000000"/>
          <w:sz w:val="20"/>
          <w:szCs w:val="20"/>
        </w:rPr>
        <w:t>At September </w:t>
      </w:r>
      <w:r>
        <w:rPr>
          <w:rFonts w:eastAsia="Times New Roman"/>
          <w:color w:val="000000"/>
          <w:sz w:val="20"/>
          <w:szCs w:val="20"/>
        </w:rPr>
        <w:t>24, 2023, we had unused federal net operating loss carryforwards of $448 million, of which $118 million expire from 2024 through 2037 and $330 million may be carried forward indefinitely, unused state net operating loss carryforwards of $707 million expiri</w:t>
      </w:r>
      <w:r>
        <w:rPr>
          <w:rFonts w:eastAsia="Times New Roman"/>
          <w:color w:val="000000"/>
          <w:sz w:val="20"/>
          <w:szCs w:val="20"/>
        </w:rPr>
        <w:t>ng from 2024 through 2037 and unused foreign net operating loss carryforwards of $910 million, of which substantially all may be carried forward indefinitely. At September 24, 2023, we had unused state tax credits of $1.7 billion, of which substantially al</w:t>
      </w:r>
      <w:r>
        <w:rPr>
          <w:rFonts w:eastAsia="Times New Roman"/>
          <w:color w:val="000000"/>
          <w:sz w:val="20"/>
          <w:szCs w:val="20"/>
        </w:rPr>
        <w:t>l may be carried forward indefinitely, unused federal tax credits of $134 million expiring from 2028 through 2041 and unused tax credits of $54 million in foreign jurisdictions expiring from 2034 through 2043. We do not expect our federal net operating los</w:t>
      </w:r>
      <w:r>
        <w:rPr>
          <w:rFonts w:eastAsia="Times New Roman"/>
          <w:color w:val="000000"/>
          <w:sz w:val="20"/>
          <w:szCs w:val="20"/>
        </w:rPr>
        <w:t>s carryforwards to expire unused.</w:t>
      </w:r>
    </w:p>
    <w:p w:rsidR="00000000" w:rsidRDefault="008931E1">
      <w:pPr>
        <w:ind w:firstLine="360"/>
        <w:divId w:val="566040997"/>
        <w:rPr>
          <w:rFonts w:eastAsia="Times New Roman"/>
        </w:rPr>
      </w:pPr>
      <w:r>
        <w:rPr>
          <w:rFonts w:eastAsia="Times New Roman"/>
          <w:color w:val="000000"/>
          <w:sz w:val="20"/>
          <w:szCs w:val="20"/>
        </w:rPr>
        <w:t>At September </w:t>
      </w:r>
      <w:r>
        <w:rPr>
          <w:rFonts w:eastAsia="Times New Roman"/>
          <w:color w:val="000000"/>
          <w:sz w:val="20"/>
          <w:szCs w:val="20"/>
        </w:rPr>
        <w:t xml:space="preserve">24, 2023, we have provided a valuation allowance on certain state tax credits, foreign deferred tax assets and state net operating losses of $1.7 billion, $77 million and $36 million respectively. The valuation allowance reflects the </w:t>
      </w:r>
    </w:p>
    <w:p w:rsidR="00000000" w:rsidRDefault="008931E1">
      <w:pPr>
        <w:jc w:val="center"/>
        <w:divId w:val="1901669464"/>
        <w:rPr>
          <w:rFonts w:eastAsia="Times New Roman"/>
        </w:rPr>
      </w:pPr>
      <w:r>
        <w:rPr>
          <w:rFonts w:eastAsia="Times New Roman"/>
          <w:color w:val="000000"/>
          <w:sz w:val="20"/>
          <w:szCs w:val="20"/>
        </w:rPr>
        <w:t>F-19</w:t>
      </w:r>
    </w:p>
    <w:p w:rsidR="00000000" w:rsidRDefault="008931E1">
      <w:pPr>
        <w:rPr>
          <w:rFonts w:eastAsia="Times New Roman"/>
        </w:rPr>
      </w:pPr>
      <w:r>
        <w:rPr>
          <w:rFonts w:eastAsia="Times New Roman"/>
        </w:rPr>
        <w:pict>
          <v:rect id="_x0000_i1098" style="width:0;height:1.5pt" o:hralign="center" o:hrstd="t" o:hr="t" fillcolor="#a0a0a0" stroked="f"/>
        </w:pict>
      </w:r>
    </w:p>
    <w:p w:rsidR="00000000" w:rsidRDefault="008931E1">
      <w:pPr>
        <w:jc w:val="center"/>
        <w:divId w:val="657659238"/>
        <w:rPr>
          <w:rFonts w:eastAsia="Times New Roman"/>
        </w:rPr>
      </w:pPr>
    </w:p>
    <w:p w:rsidR="00000000" w:rsidRDefault="008931E1">
      <w:pPr>
        <w:jc w:val="center"/>
        <w:divId w:val="657659238"/>
        <w:rPr>
          <w:rFonts w:eastAsia="Times New Roman"/>
        </w:rPr>
      </w:pPr>
      <w:r>
        <w:rPr>
          <w:rFonts w:eastAsia="Times New Roman"/>
          <w:b/>
          <w:bCs/>
          <w:color w:val="000000"/>
          <w:sz w:val="20"/>
          <w:szCs w:val="20"/>
        </w:rPr>
        <w:t>QUALCOMM Incorporated</w:t>
      </w:r>
    </w:p>
    <w:p w:rsidR="00000000" w:rsidRDefault="008931E1">
      <w:pPr>
        <w:jc w:val="center"/>
        <w:divId w:val="657659238"/>
        <w:rPr>
          <w:rFonts w:eastAsia="Times New Roman"/>
        </w:rPr>
      </w:pPr>
      <w:r>
        <w:rPr>
          <w:rFonts w:eastAsia="Times New Roman"/>
          <w:b/>
          <w:bCs/>
          <w:color w:val="000000"/>
          <w:sz w:val="20"/>
          <w:szCs w:val="20"/>
        </w:rPr>
        <w:t>NOTES TO CONSOLIDATED FINANCIAL STATEMENTS</w:t>
      </w:r>
    </w:p>
    <w:p w:rsidR="00000000" w:rsidRDefault="008931E1">
      <w:pPr>
        <w:divId w:val="1730223481"/>
        <w:rPr>
          <w:rFonts w:eastAsia="Times New Roman"/>
        </w:rPr>
      </w:pPr>
      <w:r>
        <w:rPr>
          <w:rFonts w:eastAsia="Times New Roman"/>
          <w:color w:val="000000"/>
          <w:sz w:val="20"/>
          <w:szCs w:val="20"/>
        </w:rPr>
        <w:t xml:space="preserve">uncertainties surrounding our ability to generate sufficient future taxable income in certain tax jurisdictions to utilize our net deferred tax assets. We believe, more </w:t>
      </w:r>
      <w:r>
        <w:rPr>
          <w:rFonts w:eastAsia="Times New Roman"/>
          <w:color w:val="000000"/>
          <w:sz w:val="20"/>
          <w:szCs w:val="20"/>
        </w:rPr>
        <w:t>likely than not, that we will have sufficient taxable income to utilize our remaining deferred tax assets. The valuation allowance decreased from $2.2 billion at September 25, 2022, primarily due to the write-off of certain deferred tax assets and the rela</w:t>
      </w:r>
      <w:r>
        <w:rPr>
          <w:rFonts w:eastAsia="Times New Roman"/>
          <w:color w:val="000000"/>
          <w:sz w:val="20"/>
          <w:szCs w:val="20"/>
        </w:rPr>
        <w:t>ted valuation allowance resulting from the liquidation of a Dutch subsidiary in fiscal 2023.</w:t>
      </w:r>
    </w:p>
    <w:p w:rsidR="00000000" w:rsidRDefault="008931E1">
      <w:pPr>
        <w:ind w:firstLine="360"/>
        <w:divId w:val="992220675"/>
        <w:rPr>
          <w:rFonts w:eastAsia="Times New Roman"/>
        </w:rPr>
      </w:pPr>
      <w:r>
        <w:rPr>
          <w:rFonts w:eastAsia="Times New Roman"/>
          <w:color w:val="000000"/>
          <w:sz w:val="20"/>
          <w:szCs w:val="20"/>
        </w:rPr>
        <w:t>A summary of the changes in the amount of unrecognized tax benefits for fiscal 2023, 2022 and 2021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5022"/>
        <w:gridCol w:w="36"/>
        <w:gridCol w:w="110"/>
        <w:gridCol w:w="866"/>
        <w:gridCol w:w="36"/>
        <w:gridCol w:w="36"/>
        <w:gridCol w:w="36"/>
        <w:gridCol w:w="36"/>
        <w:gridCol w:w="110"/>
        <w:gridCol w:w="832"/>
        <w:gridCol w:w="36"/>
        <w:gridCol w:w="36"/>
        <w:gridCol w:w="36"/>
        <w:gridCol w:w="36"/>
        <w:gridCol w:w="110"/>
        <w:gridCol w:w="832"/>
        <w:gridCol w:w="36"/>
      </w:tblGrid>
      <w:tr w:rsidR="00000000">
        <w:trPr>
          <w:divId w:val="286666798"/>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286666798"/>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2021</w:t>
            </w:r>
          </w:p>
        </w:tc>
      </w:tr>
      <w:tr w:rsidR="00000000">
        <w:trPr>
          <w:divId w:val="286666798"/>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Beginning balance of unrecognized tax benefits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86666798"/>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Additions based on prior year tax positions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86666798"/>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Reductions for prior year tax positions and lapse in statute of limitations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(136)</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86666798"/>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Additions for current year tax positions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86666798"/>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Settlements with taxing authorities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(51)</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286666798"/>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Ending balance of unrecognized tax benefits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firstLine="360"/>
        <w:divId w:val="1669167956"/>
        <w:rPr>
          <w:rFonts w:eastAsia="Times New Roman"/>
        </w:rPr>
      </w:pPr>
      <w:r>
        <w:rPr>
          <w:rFonts w:eastAsia="Times New Roman"/>
          <w:color w:val="000000"/>
          <w:sz w:val="20"/>
          <w:szCs w:val="20"/>
        </w:rPr>
        <w:t xml:space="preserve">Of the $2.3 billion of unrecognized tax benefits, $2.1 </w:t>
      </w:r>
      <w:r>
        <w:rPr>
          <w:rFonts w:eastAsia="Times New Roman"/>
          <w:color w:val="000000"/>
          <w:sz w:val="20"/>
          <w:szCs w:val="20"/>
        </w:rPr>
        <w:t>billion has been recorded to other liabilities. We believe that it is reasonably possible that certain unrecognized tax benefits recorded at September 24, 2023 may result in a cash payment in fiscal 2024. Unrecognized tax benefits at September 24, 2023 inc</w:t>
      </w:r>
      <w:r>
        <w:rPr>
          <w:rFonts w:eastAsia="Times New Roman"/>
          <w:color w:val="000000"/>
          <w:sz w:val="20"/>
          <w:szCs w:val="20"/>
        </w:rPr>
        <w:t>luded $92 million for tax positions that, if recognized, would impact the effective tax rate. The unrecognized tax benefits differ from the amount that would affect our effective tax rate primarily because the unrecognized tax benefits were included on a g</w:t>
      </w:r>
      <w:r>
        <w:rPr>
          <w:rFonts w:eastAsia="Times New Roman"/>
          <w:color w:val="000000"/>
          <w:sz w:val="20"/>
          <w:szCs w:val="20"/>
        </w:rPr>
        <w:t>ross basis and did not reflect related receivables or secondary impacts, such as the federal deduction for state taxes, adjustments to deferred tax assets and the valuation allowance that might be required if our tax positions are sustained. The increase i</w:t>
      </w:r>
      <w:r>
        <w:rPr>
          <w:rFonts w:eastAsia="Times New Roman"/>
          <w:color w:val="000000"/>
          <w:sz w:val="20"/>
          <w:szCs w:val="20"/>
        </w:rPr>
        <w:t xml:space="preserve">n unrecognized tax benefits for all periods presented was primarily due to expected refunds of Korean withholding tax previously paid (which such increase had an insignificant impact to our income tax provision). If successful, the refund will result in a </w:t>
      </w:r>
      <w:r>
        <w:rPr>
          <w:rFonts w:eastAsia="Times New Roman"/>
          <w:color w:val="000000"/>
          <w:sz w:val="20"/>
          <w:szCs w:val="20"/>
        </w:rPr>
        <w:t xml:space="preserve">corresponding reduction in U.S. foreign tax credits. We believe that it is likely that the total amount of unrecognized tax benefits at September 24, 2023 will increase in fiscal 2024 as licensees in Korea continue to withhold taxes on future payments due </w:t>
      </w:r>
      <w:r>
        <w:rPr>
          <w:rFonts w:eastAsia="Times New Roman"/>
          <w:color w:val="000000"/>
          <w:sz w:val="20"/>
          <w:szCs w:val="20"/>
        </w:rPr>
        <w:t>under their licensing agreements at a rate higher than we believe is owed; such increase is not expected to have a significant impact on our income tax provision. At September 24, 2023, total interest and penalties related to unrecognized tax benefits accr</w:t>
      </w:r>
      <w:r>
        <w:rPr>
          <w:rFonts w:eastAsia="Times New Roman"/>
          <w:color w:val="000000"/>
          <w:sz w:val="20"/>
          <w:szCs w:val="20"/>
        </w:rPr>
        <w:t>ued in other current liabilities and other liabilities was $199 million, with a corresponding noncurrent income taxes receivable of $139 million recorded in other assets for expected refunds of certain tax benefits.</w:t>
      </w:r>
    </w:p>
    <w:p w:rsidR="00000000" w:rsidRDefault="008931E1">
      <w:pPr>
        <w:ind w:firstLine="360"/>
        <w:divId w:val="1701541574"/>
        <w:rPr>
          <w:rFonts w:eastAsia="Times New Roman"/>
        </w:rPr>
      </w:pPr>
      <w:r>
        <w:rPr>
          <w:rFonts w:eastAsia="Times New Roman"/>
          <w:color w:val="000000"/>
          <w:sz w:val="20"/>
          <w:szCs w:val="20"/>
        </w:rPr>
        <w:t>We file income tax returns in the U.S. f</w:t>
      </w:r>
      <w:r>
        <w:rPr>
          <w:rFonts w:eastAsia="Times New Roman"/>
          <w:color w:val="000000"/>
          <w:sz w:val="20"/>
          <w:szCs w:val="20"/>
        </w:rPr>
        <w:t>ederal jurisdiction and various state and foreign jurisdictions. We are no longer subject to U.S. federal income tax examinations for years prior to fiscal 2018. We are also subject to examination in other taxing jurisdictions in the U.S. and numerous fore</w:t>
      </w:r>
      <w:r>
        <w:rPr>
          <w:rFonts w:eastAsia="Times New Roman"/>
          <w:color w:val="000000"/>
          <w:sz w:val="20"/>
          <w:szCs w:val="20"/>
        </w:rPr>
        <w:t xml:space="preserve">ign jurisdictions. These examinations are at various stages with respect to assessments, claims, deficiencies and refunds, many of which are open for periods after fiscal 2001. </w:t>
      </w:r>
    </w:p>
    <w:p w:rsidR="00000000" w:rsidRDefault="008931E1">
      <w:pPr>
        <w:ind w:firstLine="360"/>
        <w:divId w:val="1041245178"/>
        <w:rPr>
          <w:rFonts w:eastAsia="Times New Roman"/>
        </w:rPr>
      </w:pPr>
      <w:r>
        <w:rPr>
          <w:rFonts w:eastAsia="Times New Roman"/>
          <w:color w:val="000000"/>
          <w:sz w:val="20"/>
          <w:szCs w:val="20"/>
        </w:rPr>
        <w:t>Cash amounts paid for income taxes, net of refunds received, were $1.4 billion</w:t>
      </w:r>
      <w:r>
        <w:rPr>
          <w:rFonts w:eastAsia="Times New Roman"/>
          <w:color w:val="000000"/>
          <w:sz w:val="20"/>
          <w:szCs w:val="20"/>
        </w:rPr>
        <w:t>, $2.1 billion and $1.5 billion for fiscal 2023, 2022 and 2021, respectively.</w:t>
      </w:r>
    </w:p>
    <w:p w:rsidR="00000000" w:rsidRDefault="008931E1">
      <w:pPr>
        <w:divId w:val="1262493159"/>
        <w:rPr>
          <w:rFonts w:eastAsia="Times New Roman"/>
        </w:rPr>
      </w:pPr>
      <w:r>
        <w:rPr>
          <w:rFonts w:eastAsia="Times New Roman"/>
          <w:b/>
          <w:bCs/>
          <w:color w:val="000000"/>
          <w:sz w:val="20"/>
          <w:szCs w:val="20"/>
        </w:rPr>
        <w:t>Note 4. Capital Stock</w:t>
      </w:r>
    </w:p>
    <w:p w:rsidR="00000000" w:rsidRDefault="008931E1">
      <w:pPr>
        <w:ind w:firstLine="360"/>
        <w:divId w:val="849373914"/>
        <w:rPr>
          <w:rFonts w:eastAsia="Times New Roman"/>
        </w:rPr>
      </w:pPr>
      <w:r>
        <w:rPr>
          <w:rFonts w:eastAsia="Times New Roman"/>
          <w:b/>
          <w:bCs/>
          <w:i/>
          <w:iCs/>
          <w:color w:val="000000"/>
          <w:sz w:val="20"/>
          <w:szCs w:val="20"/>
        </w:rPr>
        <w:t xml:space="preserve">Stock Repurchase Program. </w:t>
      </w:r>
      <w:r>
        <w:rPr>
          <w:rFonts w:eastAsia="Times New Roman"/>
          <w:color w:val="000000"/>
          <w:sz w:val="20"/>
          <w:szCs w:val="20"/>
        </w:rPr>
        <w:t xml:space="preserve">On October 12, 2021, we announced a $10.0 </w:t>
      </w:r>
      <w:r>
        <w:rPr>
          <w:rFonts w:eastAsia="Times New Roman"/>
          <w:color w:val="000000"/>
          <w:sz w:val="20"/>
          <w:szCs w:val="20"/>
        </w:rPr>
        <w:t xml:space="preserve">billion stock repurchase program. The stock repurchase program has no expiration date. At September 24, 2023, $5.1 billion remained authorized for repurchase under our stock repurchase program. </w:t>
      </w:r>
    </w:p>
    <w:p w:rsidR="00000000" w:rsidRDefault="008931E1">
      <w:pPr>
        <w:ind w:firstLine="360"/>
        <w:divId w:val="1361661405"/>
        <w:rPr>
          <w:rFonts w:eastAsia="Times New Roman"/>
        </w:rPr>
      </w:pPr>
      <w:r>
        <w:rPr>
          <w:rFonts w:eastAsia="Times New Roman"/>
          <w:b/>
          <w:bCs/>
          <w:i/>
          <w:iCs/>
          <w:color w:val="000000"/>
          <w:sz w:val="20"/>
          <w:szCs w:val="20"/>
        </w:rPr>
        <w:t xml:space="preserve">Shares Outstanding. </w:t>
      </w:r>
      <w:r>
        <w:rPr>
          <w:rFonts w:eastAsia="Times New Roman"/>
          <w:color w:val="000000"/>
          <w:sz w:val="20"/>
          <w:szCs w:val="20"/>
        </w:rPr>
        <w:t>Shares of common stock outstanding at Sep</w:t>
      </w:r>
      <w:r>
        <w:rPr>
          <w:rFonts w:eastAsia="Times New Roman"/>
          <w:color w:val="000000"/>
          <w:sz w:val="20"/>
          <w:szCs w:val="20"/>
        </w:rPr>
        <w:t>tember 24, 2023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69"/>
        <w:gridCol w:w="7028"/>
        <w:gridCol w:w="37"/>
        <w:gridCol w:w="69"/>
        <w:gridCol w:w="1067"/>
        <w:gridCol w:w="36"/>
      </w:tblGrid>
      <w:tr w:rsidR="00000000">
        <w:trPr>
          <w:divId w:val="908268093"/>
        </w:trPr>
        <w:tc>
          <w:tcPr>
            <w:tcW w:w="50" w:type="pct"/>
            <w:vAlign w:val="center"/>
            <w:hideMark/>
          </w:tcPr>
          <w:p w:rsidR="00000000" w:rsidRDefault="008931E1">
            <w:pPr>
              <w:ind w:firstLine="360"/>
              <w:rPr>
                <w:rFonts w:eastAsia="Times New Roman"/>
              </w:rPr>
            </w:pPr>
          </w:p>
        </w:tc>
        <w:tc>
          <w:tcPr>
            <w:tcW w:w="423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65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908268093"/>
          <w:trHeight w:val="120"/>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908268093"/>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867720866"/>
              <w:rPr>
                <w:rFonts w:eastAsia="Times New Roman"/>
              </w:rPr>
            </w:pPr>
            <w:r>
              <w:rPr>
                <w:rFonts w:eastAsia="Times New Roman"/>
                <w:color w:val="000000"/>
                <w:sz w:val="18"/>
                <w:szCs w:val="18"/>
              </w:rPr>
              <w:t>Balance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1,121 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908268093"/>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40985767"/>
              <w:rPr>
                <w:rFonts w:eastAsia="Times New Roman"/>
              </w:rPr>
            </w:pPr>
            <w:r>
              <w:rPr>
                <w:rFonts w:eastAsia="Times New Roman"/>
                <w:color w:val="000000"/>
                <w:sz w:val="18"/>
                <w:szCs w:val="18"/>
              </w:rPr>
              <w:t>Issued</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908268093"/>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952348625"/>
              <w:rPr>
                <w:rFonts w:eastAsia="Times New Roman"/>
              </w:rPr>
            </w:pPr>
            <w:r>
              <w:rPr>
                <w:rFonts w:eastAsia="Times New Roman"/>
                <w:color w:val="000000"/>
                <w:sz w:val="18"/>
                <w:szCs w:val="18"/>
              </w:rPr>
              <w:t>Repurchased</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908268093"/>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59141383"/>
              <w:rPr>
                <w:rFonts w:eastAsia="Times New Roman"/>
              </w:rPr>
            </w:pPr>
            <w:r>
              <w:rPr>
                <w:rFonts w:eastAsia="Times New Roman"/>
                <w:color w:val="000000"/>
                <w:sz w:val="18"/>
                <w:szCs w:val="18"/>
              </w:rPr>
              <w:t>Balance at end of period</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8931E1">
            <w:pPr>
              <w:spacing w:after="100"/>
              <w:jc w:val="right"/>
              <w:rPr>
                <w:rFonts w:eastAsia="Times New Roman"/>
              </w:rPr>
            </w:pPr>
            <w:r>
              <w:rPr>
                <w:rFonts w:eastAsia="Times New Roman"/>
                <w:color w:val="000000"/>
                <w:sz w:val="18"/>
                <w:szCs w:val="18"/>
              </w:rPr>
              <w:t>1,114</w:t>
            </w:r>
          </w:p>
        </w:tc>
      </w:tr>
    </w:tbl>
    <w:p w:rsidR="00000000" w:rsidRDefault="008931E1">
      <w:pPr>
        <w:ind w:firstLine="360"/>
        <w:divId w:val="1011222024"/>
        <w:rPr>
          <w:rFonts w:eastAsia="Times New Roman"/>
        </w:rPr>
      </w:pPr>
      <w:r>
        <w:rPr>
          <w:rFonts w:eastAsia="Times New Roman"/>
          <w:b/>
          <w:bCs/>
          <w:i/>
          <w:iCs/>
          <w:color w:val="000000"/>
          <w:sz w:val="20"/>
          <w:szCs w:val="20"/>
        </w:rPr>
        <w:t xml:space="preserve">Dividends. </w:t>
      </w:r>
      <w:r>
        <w:rPr>
          <w:rFonts w:eastAsia="Times New Roman"/>
          <w:color w:val="000000"/>
          <w:sz w:val="20"/>
          <w:szCs w:val="20"/>
        </w:rPr>
        <w:t>On October 13, 2023</w:t>
      </w:r>
      <w:r>
        <w:rPr>
          <w:rFonts w:eastAsia="Times New Roman"/>
          <w:color w:val="000000"/>
          <w:sz w:val="20"/>
          <w:szCs w:val="20"/>
        </w:rPr>
        <w:t>, we announced a cash dividend of $0.80 per share on our common stock, payable on December 14, 2023 to stockholders of record as of the close of business on November 30, 2023.</w:t>
      </w:r>
    </w:p>
    <w:p w:rsidR="00000000" w:rsidRDefault="008931E1">
      <w:pPr>
        <w:jc w:val="center"/>
        <w:divId w:val="2063405995"/>
        <w:rPr>
          <w:rFonts w:eastAsia="Times New Roman"/>
        </w:rPr>
      </w:pPr>
      <w:r>
        <w:rPr>
          <w:rFonts w:eastAsia="Times New Roman"/>
          <w:color w:val="000000"/>
          <w:sz w:val="20"/>
          <w:szCs w:val="20"/>
        </w:rPr>
        <w:t>F-20</w:t>
      </w:r>
    </w:p>
    <w:p w:rsidR="00000000" w:rsidRDefault="008931E1">
      <w:pPr>
        <w:rPr>
          <w:rFonts w:eastAsia="Times New Roman"/>
        </w:rPr>
      </w:pPr>
      <w:r>
        <w:rPr>
          <w:rFonts w:eastAsia="Times New Roman"/>
        </w:rPr>
        <w:pict>
          <v:rect id="_x0000_i1099" style="width:0;height:1.5pt" o:hralign="center" o:hrstd="t" o:hr="t" fillcolor="#a0a0a0" stroked="f"/>
        </w:pict>
      </w:r>
    </w:p>
    <w:p w:rsidR="00000000" w:rsidRDefault="008931E1">
      <w:pPr>
        <w:jc w:val="center"/>
        <w:divId w:val="1020471485"/>
        <w:rPr>
          <w:rFonts w:eastAsia="Times New Roman"/>
        </w:rPr>
      </w:pPr>
    </w:p>
    <w:p w:rsidR="00000000" w:rsidRDefault="008931E1">
      <w:pPr>
        <w:jc w:val="center"/>
        <w:divId w:val="1020471485"/>
        <w:rPr>
          <w:rFonts w:eastAsia="Times New Roman"/>
        </w:rPr>
      </w:pPr>
      <w:r>
        <w:rPr>
          <w:rFonts w:eastAsia="Times New Roman"/>
          <w:b/>
          <w:bCs/>
          <w:color w:val="000000"/>
          <w:sz w:val="20"/>
          <w:szCs w:val="20"/>
        </w:rPr>
        <w:t>QUALCOMM Incorporated</w:t>
      </w:r>
    </w:p>
    <w:p w:rsidR="00000000" w:rsidRDefault="008931E1">
      <w:pPr>
        <w:jc w:val="center"/>
        <w:divId w:val="1020471485"/>
        <w:rPr>
          <w:rFonts w:eastAsia="Times New Roman"/>
        </w:rPr>
      </w:pPr>
      <w:r>
        <w:rPr>
          <w:rFonts w:eastAsia="Times New Roman"/>
          <w:b/>
          <w:bCs/>
          <w:color w:val="000000"/>
          <w:sz w:val="20"/>
          <w:szCs w:val="20"/>
        </w:rPr>
        <w:t>NOTES TO CONSO</w:t>
      </w:r>
      <w:r>
        <w:rPr>
          <w:rFonts w:eastAsia="Times New Roman"/>
          <w:b/>
          <w:bCs/>
          <w:color w:val="000000"/>
          <w:sz w:val="20"/>
          <w:szCs w:val="20"/>
        </w:rPr>
        <w:t>LIDATED FINANCIAL STATEMENTS</w:t>
      </w:r>
    </w:p>
    <w:p w:rsidR="00000000" w:rsidRDefault="008931E1">
      <w:pPr>
        <w:divId w:val="1922253616"/>
        <w:rPr>
          <w:rFonts w:eastAsia="Times New Roman"/>
        </w:rPr>
      </w:pPr>
      <w:r>
        <w:rPr>
          <w:rFonts w:eastAsia="Times New Roman"/>
          <w:b/>
          <w:bCs/>
          <w:color w:val="000000"/>
          <w:sz w:val="20"/>
          <w:szCs w:val="20"/>
        </w:rPr>
        <w:t>Note 5. Employee Benefit Plans</w:t>
      </w:r>
    </w:p>
    <w:p w:rsidR="00000000" w:rsidRDefault="008931E1">
      <w:pPr>
        <w:ind w:firstLine="360"/>
        <w:divId w:val="836387096"/>
        <w:rPr>
          <w:rFonts w:eastAsia="Times New Roman"/>
        </w:rPr>
      </w:pPr>
      <w:r>
        <w:rPr>
          <w:rFonts w:eastAsia="Times New Roman"/>
          <w:b/>
          <w:bCs/>
          <w:i/>
          <w:iCs/>
          <w:color w:val="000000"/>
          <w:sz w:val="20"/>
          <w:szCs w:val="20"/>
        </w:rPr>
        <w:t>Equity Compensation Plans.</w:t>
      </w:r>
      <w:r>
        <w:rPr>
          <w:rFonts w:eastAsia="Times New Roman"/>
          <w:color w:val="000000"/>
          <w:sz w:val="20"/>
          <w:szCs w:val="20"/>
        </w:rPr>
        <w:t xml:space="preserve"> On March 8, 2023, our stockholders approved the Qualcomm Incorporated 2023 Long-Term Incentive Plan (the 2023 Plan), as a successor to and continuation of our Amended an</w:t>
      </w:r>
      <w:r>
        <w:rPr>
          <w:rFonts w:eastAsia="Times New Roman"/>
          <w:color w:val="000000"/>
          <w:sz w:val="20"/>
          <w:szCs w:val="20"/>
        </w:rPr>
        <w:t>d Restated Qualcomm Incorporated 2016 Long-Term Incentive Plan (the Prior Plan), and to increase the share reserve by 82 million shares. Effective on and after that date, no new awards were granted under the Prior Plan, although all outstanding awards unde</w:t>
      </w:r>
      <w:r>
        <w:rPr>
          <w:rFonts w:eastAsia="Times New Roman"/>
          <w:color w:val="000000"/>
          <w:sz w:val="20"/>
          <w:szCs w:val="20"/>
        </w:rPr>
        <w:t xml:space="preserve">r the Prior Plan remained outstanding according to their terms and the terms of the Prior Plan. The 2023 Plan provides for the grant of RSUs and other stock-based awards. The RSUs generally include dividend-equivalent rights and vest over three years from </w:t>
      </w:r>
      <w:r>
        <w:rPr>
          <w:rFonts w:eastAsia="Times New Roman"/>
          <w:color w:val="000000"/>
          <w:sz w:val="20"/>
          <w:szCs w:val="20"/>
        </w:rPr>
        <w:t xml:space="preserve">the date of grant. The Board of Directors may amend or terminate the 2023 Plan at any time. Certain amendments, including an increase in the share reserve, require stockholder approval. At September 24, 2023, approximately 88 million shares were available </w:t>
      </w:r>
      <w:r>
        <w:rPr>
          <w:rFonts w:eastAsia="Times New Roman"/>
          <w:color w:val="000000"/>
          <w:sz w:val="20"/>
          <w:szCs w:val="20"/>
        </w:rPr>
        <w:t>for future grant under the 2023 Plan.</w:t>
      </w:r>
    </w:p>
    <w:p w:rsidR="00000000" w:rsidRDefault="008931E1">
      <w:pPr>
        <w:ind w:firstLine="360"/>
        <w:divId w:val="1397123679"/>
        <w:rPr>
          <w:rFonts w:eastAsia="Times New Roman"/>
        </w:rPr>
      </w:pPr>
      <w:r>
        <w:rPr>
          <w:rFonts w:eastAsia="Times New Roman"/>
          <w:color w:val="000000"/>
          <w:sz w:val="20"/>
          <w:szCs w:val="20"/>
        </w:rPr>
        <w:t>The following is a summary of employee RSU transactions that contain only service requirements to vest:</w:t>
      </w:r>
    </w:p>
    <w:tbl>
      <w:tblPr>
        <w:tblW w:w="4992" w:type="pct"/>
        <w:tblCellMar>
          <w:top w:w="15" w:type="dxa"/>
          <w:left w:w="15" w:type="dxa"/>
          <w:bottom w:w="15" w:type="dxa"/>
          <w:right w:w="15" w:type="dxa"/>
        </w:tblCellMar>
        <w:tblLook w:val="04A0" w:firstRow="1" w:lastRow="0" w:firstColumn="1" w:lastColumn="0" w:noHBand="0" w:noVBand="1"/>
      </w:tblPr>
      <w:tblGrid>
        <w:gridCol w:w="54"/>
        <w:gridCol w:w="6058"/>
        <w:gridCol w:w="37"/>
        <w:gridCol w:w="59"/>
        <w:gridCol w:w="868"/>
        <w:gridCol w:w="36"/>
        <w:gridCol w:w="36"/>
        <w:gridCol w:w="36"/>
        <w:gridCol w:w="36"/>
        <w:gridCol w:w="111"/>
        <w:gridCol w:w="854"/>
        <w:gridCol w:w="36"/>
        <w:gridCol w:w="36"/>
        <w:gridCol w:w="36"/>
      </w:tblGrid>
      <w:tr w:rsidR="00000000">
        <w:trPr>
          <w:divId w:val="269819571"/>
        </w:trPr>
        <w:tc>
          <w:tcPr>
            <w:tcW w:w="50" w:type="pct"/>
            <w:vAlign w:val="center"/>
            <w:hideMark/>
          </w:tcPr>
          <w:p w:rsidR="00000000" w:rsidRDefault="008931E1">
            <w:pPr>
              <w:ind w:firstLine="360"/>
              <w:rPr>
                <w:rFonts w:eastAsia="Times New Roman"/>
              </w:rPr>
            </w:pPr>
          </w:p>
        </w:tc>
        <w:tc>
          <w:tcPr>
            <w:tcW w:w="370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69819571"/>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Number of Shares</w:t>
            </w:r>
            <w:r>
              <w:rPr>
                <w:rFonts w:eastAsia="Times New Roman"/>
                <w:b/>
                <w:bCs/>
                <w:color w:val="000000"/>
                <w:sz w:val="18"/>
                <w:szCs w:val="18"/>
              </w:rPr>
              <w:br/>
              <w:t>(in millions)</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Weighted-Average</w:t>
            </w:r>
            <w:r>
              <w:rPr>
                <w:rFonts w:eastAsia="Times New Roman"/>
                <w:b/>
                <w:bCs/>
                <w:color w:val="000000"/>
                <w:sz w:val="18"/>
                <w:szCs w:val="18"/>
              </w:rPr>
              <w:br/>
            </w:r>
            <w:r>
              <w:rPr>
                <w:rFonts w:eastAsia="Times New Roman"/>
                <w:b/>
                <w:bCs/>
                <w:color w:val="000000"/>
                <w:sz w:val="18"/>
                <w:szCs w:val="18"/>
              </w:rPr>
              <w:t>Grant Date Fair Value</w:t>
            </w:r>
          </w:p>
        </w:tc>
        <w:tc>
          <w:tcPr>
            <w:tcW w:w="0" w:type="auto"/>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r>
      <w:tr w:rsidR="00000000">
        <w:trPr>
          <w:divId w:val="269819571"/>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6981957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RSUs outstanding at September 25,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127.58 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69819571"/>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RSUs granted</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116.80 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69819571"/>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69819571"/>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RSUs canceled/forfeited</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124.51 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69819571"/>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RSUs vested</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122.19 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26981957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RSUs outstanding at September 24, 2023</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122.86 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bl>
    <w:p w:rsidR="00000000" w:rsidRDefault="008931E1">
      <w:pPr>
        <w:ind w:firstLine="360"/>
        <w:divId w:val="1281718984"/>
        <w:rPr>
          <w:rFonts w:eastAsia="Times New Roman"/>
        </w:rPr>
      </w:pPr>
      <w:r>
        <w:rPr>
          <w:rFonts w:eastAsia="Times New Roman"/>
          <w:color w:val="000000"/>
          <w:sz w:val="20"/>
          <w:szCs w:val="20"/>
        </w:rPr>
        <w:t>The weighted-average estimated grant date fair values of employee RSUs that contain only service requirements to vest granted during fiscal 2022 and 2021 were $136.09 and $124.22 per share, respectively. Upon vesting, we issue new shares of common stock. F</w:t>
      </w:r>
      <w:r>
        <w:rPr>
          <w:rFonts w:eastAsia="Times New Roman"/>
          <w:color w:val="000000"/>
          <w:sz w:val="20"/>
          <w:szCs w:val="20"/>
        </w:rPr>
        <w:t xml:space="preserve">or the majority of RSUs, shares are issued on the vesting dates net of the amount of shares needed to satisfy statutory tax withholding requirements to be paid by us on behalf of the employees. As a result, the actual number of shares issued will be fewer </w:t>
      </w:r>
      <w:r>
        <w:rPr>
          <w:rFonts w:eastAsia="Times New Roman"/>
          <w:color w:val="000000"/>
          <w:sz w:val="20"/>
          <w:szCs w:val="20"/>
        </w:rPr>
        <w:t>than the number of RSUs outstanding. The annual pre-vest forfeiture rate for RSUs was estimated to be approximately 7%, 6% and 6% in fiscal 2023, 2022 and 2021, respectively.</w:t>
      </w:r>
    </w:p>
    <w:p w:rsidR="00000000" w:rsidRDefault="008931E1">
      <w:pPr>
        <w:ind w:firstLine="360"/>
        <w:divId w:val="1889216523"/>
        <w:rPr>
          <w:rFonts w:eastAsia="Times New Roman"/>
        </w:rPr>
      </w:pPr>
      <w:r>
        <w:rPr>
          <w:rFonts w:eastAsia="Times New Roman"/>
          <w:color w:val="000000"/>
          <w:sz w:val="20"/>
          <w:szCs w:val="20"/>
        </w:rPr>
        <w:t>At September 24, 2023, total unrecognized compensation expense related to such no</w:t>
      </w:r>
      <w:r>
        <w:rPr>
          <w:rFonts w:eastAsia="Times New Roman"/>
          <w:color w:val="000000"/>
          <w:sz w:val="20"/>
          <w:szCs w:val="20"/>
        </w:rPr>
        <w:t>n-vested RSUs granted prior to that date was $2.9 billion, which is expected to be recognized over a weighted-average period of 1.8 years. The total vest-date fair value of such RSUs that vested during fiscal 2023, 2022 and 2021 was $2.1 billion, $2.9 bill</w:t>
      </w:r>
      <w:r>
        <w:rPr>
          <w:rFonts w:eastAsia="Times New Roman"/>
          <w:color w:val="000000"/>
          <w:sz w:val="20"/>
          <w:szCs w:val="20"/>
        </w:rPr>
        <w:t>ion and $2.6 billion, respectively. The total shares withheld to satisfy statutory tax withholding requirements related to all share-based awards were 4 million, 5 million and 5 million in fiscal 2023, 2022 and 2021, respectively and were based on the valu</w:t>
      </w:r>
      <w:r>
        <w:rPr>
          <w:rFonts w:eastAsia="Times New Roman"/>
          <w:color w:val="000000"/>
          <w:sz w:val="20"/>
          <w:szCs w:val="20"/>
        </w:rPr>
        <w:t xml:space="preserve">e of the awards on their vesting dates as determined by our closing stock price. </w:t>
      </w:r>
    </w:p>
    <w:p w:rsidR="00000000" w:rsidRDefault="008931E1">
      <w:pPr>
        <w:ind w:firstLine="360"/>
        <w:divId w:val="839732303"/>
        <w:rPr>
          <w:rFonts w:eastAsia="Times New Roman"/>
        </w:rPr>
      </w:pPr>
      <w:r>
        <w:rPr>
          <w:rFonts w:eastAsia="Times New Roman"/>
          <w:color w:val="000000"/>
          <w:sz w:val="20"/>
          <w:szCs w:val="20"/>
        </w:rPr>
        <w:t>The total tax benefits realized, including the excess tax benefits, related to share-based awards during fiscal 2023, 2022 and 2021 were $435 million, $627 million and $567 m</w:t>
      </w:r>
      <w:r>
        <w:rPr>
          <w:rFonts w:eastAsia="Times New Roman"/>
          <w:color w:val="000000"/>
          <w:sz w:val="20"/>
          <w:szCs w:val="20"/>
        </w:rPr>
        <w:t>illion, respectively.</w:t>
      </w:r>
    </w:p>
    <w:p w:rsidR="00000000" w:rsidRDefault="008931E1">
      <w:pPr>
        <w:ind w:firstLine="360"/>
        <w:divId w:val="310065370"/>
        <w:rPr>
          <w:rFonts w:eastAsia="Times New Roman"/>
        </w:rPr>
      </w:pPr>
      <w:r>
        <w:rPr>
          <w:rFonts w:eastAsia="Times New Roman"/>
          <w:b/>
          <w:bCs/>
          <w:i/>
          <w:iCs/>
          <w:color w:val="000000"/>
          <w:sz w:val="20"/>
          <w:szCs w:val="20"/>
        </w:rPr>
        <w:t>Employee Stock Purchase Plan.</w:t>
      </w:r>
      <w:r>
        <w:rPr>
          <w:rFonts w:eastAsia="Times New Roman"/>
          <w:color w:val="000000"/>
          <w:sz w:val="20"/>
          <w:szCs w:val="20"/>
        </w:rPr>
        <w:t xml:space="preserve"> We have an employee stock purchase plan that allows eligible employees to purchase shares of common stock at 85% of the value of our common stock on specific dates through periodic payroll deductions. The</w:t>
      </w:r>
      <w:r>
        <w:rPr>
          <w:rFonts w:eastAsia="Times New Roman"/>
          <w:color w:val="000000"/>
          <w:sz w:val="20"/>
          <w:szCs w:val="20"/>
        </w:rPr>
        <w:t xml:space="preserve"> shares reserved for future issuance under the employee stock purchase plan were 19 million at September 24, 2023. We recorded cash received from the exercise of purchase rights of $395 million, $355 million and $343 million during fiscal 2023, 2022 and 20</w:t>
      </w:r>
      <w:r>
        <w:rPr>
          <w:rFonts w:eastAsia="Times New Roman"/>
          <w:color w:val="000000"/>
          <w:sz w:val="20"/>
          <w:szCs w:val="20"/>
        </w:rPr>
        <w:t>21, respectively.</w:t>
      </w:r>
    </w:p>
    <w:p w:rsidR="00000000" w:rsidRDefault="008931E1">
      <w:pPr>
        <w:ind w:firstLine="360"/>
        <w:divId w:val="515508540"/>
        <w:rPr>
          <w:rFonts w:eastAsia="Times New Roman"/>
        </w:rPr>
      </w:pPr>
      <w:r>
        <w:rPr>
          <w:rFonts w:eastAsia="Times New Roman"/>
          <w:b/>
          <w:bCs/>
          <w:i/>
          <w:iCs/>
          <w:color w:val="000000"/>
          <w:sz w:val="20"/>
          <w:szCs w:val="20"/>
        </w:rPr>
        <w:t>Share-based Compensation Expense.</w:t>
      </w:r>
      <w:r>
        <w:rPr>
          <w:rFonts w:eastAsia="Times New Roman"/>
          <w:color w:val="000000"/>
          <w:sz w:val="20"/>
          <w:szCs w:val="20"/>
        </w:rPr>
        <w:t xml:space="preserve"> Total share-based compensation expense, related to all of our share-based awards, was comprised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4363"/>
        <w:gridCol w:w="39"/>
        <w:gridCol w:w="36"/>
        <w:gridCol w:w="36"/>
        <w:gridCol w:w="36"/>
        <w:gridCol w:w="36"/>
        <w:gridCol w:w="400"/>
        <w:gridCol w:w="46"/>
        <w:gridCol w:w="400"/>
        <w:gridCol w:w="46"/>
        <w:gridCol w:w="110"/>
        <w:gridCol w:w="747"/>
        <w:gridCol w:w="36"/>
        <w:gridCol w:w="36"/>
        <w:gridCol w:w="36"/>
        <w:gridCol w:w="36"/>
        <w:gridCol w:w="110"/>
        <w:gridCol w:w="701"/>
        <w:gridCol w:w="36"/>
        <w:gridCol w:w="36"/>
        <w:gridCol w:w="36"/>
        <w:gridCol w:w="36"/>
        <w:gridCol w:w="110"/>
        <w:gridCol w:w="701"/>
        <w:gridCol w:w="36"/>
      </w:tblGrid>
      <w:tr w:rsidR="00000000">
        <w:trPr>
          <w:divId w:val="362219354"/>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362219354"/>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2021</w:t>
            </w: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362219354"/>
        </w:trPr>
        <w:tc>
          <w:tcPr>
            <w:tcW w:w="0" w:type="auto"/>
            <w:gridSpan w:val="3"/>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362219354"/>
        </w:trPr>
        <w:tc>
          <w:tcPr>
            <w:tcW w:w="0" w:type="auto"/>
            <w:gridSpan w:val="3"/>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36221935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Cost of revenues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62219354"/>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Research and development</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1,911 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1,537 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1,234 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6221935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Selling, general and administrative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497 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463 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389 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62219354"/>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Share-based compensation expense before income taxes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2,484 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6221935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Related income tax benefit</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(463)</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(489)</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(435)</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62219354"/>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jc w:val="center"/>
        <w:divId w:val="308675461"/>
        <w:rPr>
          <w:rFonts w:eastAsia="Times New Roman"/>
        </w:rPr>
      </w:pPr>
      <w:r>
        <w:rPr>
          <w:rFonts w:eastAsia="Times New Roman"/>
          <w:color w:val="000000"/>
          <w:sz w:val="20"/>
          <w:szCs w:val="20"/>
        </w:rPr>
        <w:t>F-21</w:t>
      </w:r>
    </w:p>
    <w:p w:rsidR="00000000" w:rsidRDefault="008931E1">
      <w:pPr>
        <w:rPr>
          <w:rFonts w:eastAsia="Times New Roman"/>
        </w:rPr>
      </w:pPr>
      <w:r>
        <w:rPr>
          <w:rFonts w:eastAsia="Times New Roman"/>
        </w:rPr>
        <w:pict>
          <v:rect id="_x0000_i1100" style="width:0;height:1.5pt" o:hralign="center" o:hrstd="t" o:hr="t" fillcolor="#a0a0a0" stroked="f"/>
        </w:pict>
      </w:r>
    </w:p>
    <w:p w:rsidR="00000000" w:rsidRDefault="008931E1">
      <w:pPr>
        <w:jc w:val="center"/>
        <w:divId w:val="1182089046"/>
        <w:rPr>
          <w:rFonts w:eastAsia="Times New Roman"/>
        </w:rPr>
      </w:pPr>
    </w:p>
    <w:p w:rsidR="00000000" w:rsidRDefault="008931E1">
      <w:pPr>
        <w:jc w:val="center"/>
        <w:divId w:val="1182089046"/>
        <w:rPr>
          <w:rFonts w:eastAsia="Times New Roman"/>
        </w:rPr>
      </w:pPr>
      <w:r>
        <w:rPr>
          <w:rFonts w:eastAsia="Times New Roman"/>
          <w:b/>
          <w:bCs/>
          <w:color w:val="000000"/>
          <w:sz w:val="20"/>
          <w:szCs w:val="20"/>
        </w:rPr>
        <w:t>QUALCOMM Incorporated</w:t>
      </w:r>
    </w:p>
    <w:p w:rsidR="00000000" w:rsidRDefault="008931E1">
      <w:pPr>
        <w:jc w:val="center"/>
        <w:divId w:val="1182089046"/>
        <w:rPr>
          <w:rFonts w:eastAsia="Times New Roman"/>
        </w:rPr>
      </w:pPr>
      <w:r>
        <w:rPr>
          <w:rFonts w:eastAsia="Times New Roman"/>
          <w:b/>
          <w:bCs/>
          <w:color w:val="000000"/>
          <w:sz w:val="20"/>
          <w:szCs w:val="20"/>
        </w:rPr>
        <w:t>NOTES TO CONSOLIDATED FINANCIAL STATEMENTS</w:t>
      </w:r>
    </w:p>
    <w:p w:rsidR="00000000" w:rsidRDefault="008931E1">
      <w:pPr>
        <w:divId w:val="1847285313"/>
        <w:rPr>
          <w:rFonts w:eastAsia="Times New Roman"/>
        </w:rPr>
      </w:pPr>
      <w:r>
        <w:rPr>
          <w:rFonts w:eastAsia="Times New Roman"/>
          <w:b/>
          <w:bCs/>
          <w:color w:val="000000"/>
          <w:sz w:val="20"/>
          <w:szCs w:val="20"/>
        </w:rPr>
        <w:t>Note 6. Debt</w:t>
      </w:r>
    </w:p>
    <w:p w:rsidR="00000000" w:rsidRDefault="008931E1">
      <w:pPr>
        <w:ind w:firstLine="360"/>
        <w:divId w:val="390539677"/>
        <w:rPr>
          <w:rFonts w:eastAsia="Times New Roman"/>
        </w:rPr>
      </w:pPr>
      <w:r>
        <w:rPr>
          <w:rFonts w:eastAsia="Times New Roman"/>
          <w:b/>
          <w:bCs/>
          <w:i/>
          <w:iCs/>
          <w:color w:val="000000"/>
          <w:sz w:val="20"/>
          <w:szCs w:val="20"/>
        </w:rPr>
        <w:t xml:space="preserve">Long-term Debt. </w:t>
      </w:r>
      <w:r>
        <w:rPr>
          <w:rFonts w:eastAsia="Times New Roman"/>
          <w:color w:val="000000"/>
          <w:sz w:val="20"/>
          <w:szCs w:val="20"/>
        </w:rPr>
        <w:t>In November 2022, we issued</w:t>
      </w:r>
      <w:r>
        <w:rPr>
          <w:rFonts w:eastAsia="Times New Roman"/>
          <w:color w:val="EE2724"/>
          <w:sz w:val="20"/>
          <w:szCs w:val="20"/>
        </w:rPr>
        <w:t xml:space="preserve"> </w:t>
      </w:r>
      <w:r>
        <w:rPr>
          <w:rFonts w:eastAsia="Times New Roman"/>
          <w:color w:val="000000"/>
          <w:sz w:val="20"/>
          <w:szCs w:val="20"/>
        </w:rPr>
        <w:t xml:space="preserve">unsecured fixed-rate notes, consisting of $700 million of fixed-rate 5.40% notes and $1.2 </w:t>
      </w:r>
      <w:r>
        <w:rPr>
          <w:rFonts w:eastAsia="Times New Roman"/>
          <w:color w:val="000000"/>
          <w:sz w:val="20"/>
          <w:szCs w:val="20"/>
        </w:rPr>
        <w:t>billion of fixed-rate 6.00% notes (collectively, November 2022 Notes) that mature on May 20, 2033 and May 20, 2053, respectively. The net proceeds from the November 2022 Notes were used to repay $946 million of fixed-rate notes and $500 million of floating</w:t>
      </w:r>
      <w:r>
        <w:rPr>
          <w:rFonts w:eastAsia="Times New Roman"/>
          <w:color w:val="000000"/>
          <w:sz w:val="20"/>
          <w:szCs w:val="20"/>
        </w:rPr>
        <w:t>-rate notes that matured in January 2023 and the excess was used for general corporate purposes.</w:t>
      </w:r>
    </w:p>
    <w:p w:rsidR="00000000" w:rsidRDefault="008931E1">
      <w:pPr>
        <w:ind w:firstLine="360"/>
        <w:divId w:val="68772463"/>
        <w:rPr>
          <w:rFonts w:eastAsia="Times New Roman"/>
        </w:rPr>
      </w:pPr>
      <w:r>
        <w:rPr>
          <w:rFonts w:eastAsia="Times New Roman"/>
          <w:color w:val="000000"/>
          <w:sz w:val="20"/>
          <w:szCs w:val="20"/>
        </w:rPr>
        <w:t xml:space="preserve">The following table provides a summary of our long-term debt and current portion of long-term debt: </w:t>
      </w:r>
    </w:p>
    <w:tbl>
      <w:tblPr>
        <w:tblW w:w="5000" w:type="pct"/>
        <w:tblCellMar>
          <w:top w:w="15" w:type="dxa"/>
          <w:left w:w="15" w:type="dxa"/>
          <w:bottom w:w="15" w:type="dxa"/>
          <w:right w:w="15" w:type="dxa"/>
        </w:tblCellMar>
        <w:tblLook w:val="04A0" w:firstRow="1" w:lastRow="0" w:firstColumn="1" w:lastColumn="0" w:noHBand="0" w:noVBand="1"/>
      </w:tblPr>
      <w:tblGrid>
        <w:gridCol w:w="40"/>
        <w:gridCol w:w="2130"/>
        <w:gridCol w:w="38"/>
        <w:gridCol w:w="76"/>
        <w:gridCol w:w="771"/>
        <w:gridCol w:w="36"/>
        <w:gridCol w:w="36"/>
        <w:gridCol w:w="36"/>
        <w:gridCol w:w="36"/>
        <w:gridCol w:w="111"/>
        <w:gridCol w:w="843"/>
        <w:gridCol w:w="37"/>
        <w:gridCol w:w="36"/>
        <w:gridCol w:w="36"/>
        <w:gridCol w:w="36"/>
        <w:gridCol w:w="62"/>
        <w:gridCol w:w="822"/>
        <w:gridCol w:w="36"/>
        <w:gridCol w:w="36"/>
        <w:gridCol w:w="36"/>
        <w:gridCol w:w="36"/>
        <w:gridCol w:w="76"/>
        <w:gridCol w:w="767"/>
        <w:gridCol w:w="36"/>
        <w:gridCol w:w="36"/>
        <w:gridCol w:w="36"/>
        <w:gridCol w:w="36"/>
        <w:gridCol w:w="111"/>
        <w:gridCol w:w="815"/>
        <w:gridCol w:w="37"/>
        <w:gridCol w:w="36"/>
        <w:gridCol w:w="36"/>
        <w:gridCol w:w="36"/>
        <w:gridCol w:w="62"/>
        <w:gridCol w:w="824"/>
        <w:gridCol w:w="36"/>
      </w:tblGrid>
      <w:tr w:rsidR="00000000">
        <w:trPr>
          <w:divId w:val="1145199724"/>
        </w:trPr>
        <w:tc>
          <w:tcPr>
            <w:tcW w:w="50" w:type="pct"/>
            <w:vAlign w:val="center"/>
            <w:hideMark/>
          </w:tcPr>
          <w:p w:rsidR="00000000" w:rsidRDefault="008931E1">
            <w:pPr>
              <w:ind w:firstLine="360"/>
              <w:rPr>
                <w:rFonts w:eastAsia="Times New Roman"/>
              </w:rPr>
            </w:pPr>
          </w:p>
        </w:tc>
        <w:tc>
          <w:tcPr>
            <w:tcW w:w="130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1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1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3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1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3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10"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1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3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1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33"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145199724"/>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 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25, 2022</w:t>
            </w:r>
          </w:p>
        </w:tc>
      </w:tr>
      <w:tr w:rsidR="00000000">
        <w:trPr>
          <w:divId w:val="1145199724"/>
        </w:trPr>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Maturities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Amount</w:t>
            </w:r>
            <w:r>
              <w:rPr>
                <w:rFonts w:eastAsia="Times New Roman"/>
                <w:b/>
                <w:bCs/>
                <w:color w:val="000000"/>
                <w:sz w:val="18"/>
                <w:szCs w:val="18"/>
              </w:rPr>
              <w:br/>
              <w:t>(in millions)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Effective Rate</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Maturities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Amount</w:t>
            </w:r>
            <w:r>
              <w:rPr>
                <w:rFonts w:eastAsia="Times New Roman"/>
                <w:b/>
                <w:bCs/>
                <w:color w:val="000000"/>
                <w:sz w:val="18"/>
                <w:szCs w:val="18"/>
              </w:rPr>
              <w:br/>
              <w:t>(in millions)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Effective Rate</w:t>
            </w:r>
          </w:p>
        </w:tc>
      </w:tr>
      <w:tr w:rsidR="00000000">
        <w:trPr>
          <w:divId w:val="114519972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May 2015 Notes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2025 - 2045</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3,865 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 xml:space="preserve">3.46% - </w:t>
            </w:r>
            <w:r>
              <w:rPr>
                <w:rFonts w:eastAsia="Times New Roman"/>
                <w:color w:val="000000"/>
                <w:sz w:val="18"/>
                <w:szCs w:val="18"/>
              </w:rPr>
              <w:t>4.73%</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2025 - 2045</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3,865 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3.46% - 4.73%</w:t>
            </w:r>
          </w:p>
        </w:tc>
      </w:tr>
      <w:tr w:rsidR="00000000">
        <w:trPr>
          <w:divId w:val="1145199724"/>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May 2017 Notes</w:t>
            </w: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2024 - 2047</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4,414 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3.00% - 4.45%</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2023 - 2047</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5,860 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2.68% - 4.46%</w:t>
            </w:r>
          </w:p>
        </w:tc>
      </w:tr>
      <w:tr w:rsidR="00000000">
        <w:trPr>
          <w:divId w:val="114519972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May 2020 Notes</w:t>
            </w:r>
          </w:p>
        </w:tc>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2030 - 2050</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2,000 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3.22% - 3.30%</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2030 - 2050</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2,000 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2.97% - 3.30%</w:t>
            </w:r>
          </w:p>
        </w:tc>
      </w:tr>
      <w:tr w:rsidR="00000000">
        <w:trPr>
          <w:divId w:val="1145199724"/>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August 2020 Notes</w:t>
            </w: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2028 - 2032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2,207 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2.65% - 3.89%</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2028 - 2032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2,207 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2.50% - 3.52%</w:t>
            </w:r>
          </w:p>
        </w:tc>
      </w:tr>
      <w:tr w:rsidR="00000000">
        <w:trPr>
          <w:divId w:val="114519972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May 2022 Notes</w:t>
            </w:r>
          </w:p>
        </w:tc>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2032 - 2052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1,500 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3.15% - 4.27%</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2032 - 2052</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1,500 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3.13% - 4.26%</w:t>
            </w:r>
          </w:p>
        </w:tc>
      </w:tr>
      <w:tr w:rsidR="00000000">
        <w:trPr>
          <w:divId w:val="1145199724"/>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November 2022 Notes</w:t>
            </w: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2033 - 2053</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1,900 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color w:val="000000"/>
                <w:sz w:val="18"/>
                <w:szCs w:val="18"/>
              </w:rPr>
              <w:t>3.47% - 5.02%</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145199724"/>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principal</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15,886 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145199724"/>
        </w:trPr>
        <w:tc>
          <w:tcPr>
            <w:tcW w:w="0" w:type="auto"/>
            <w:gridSpan w:val="6"/>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Unamortized discount, including debt issuance costs</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(238)</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(241)</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145199724"/>
        </w:trPr>
        <w:tc>
          <w:tcPr>
            <w:tcW w:w="0" w:type="auto"/>
            <w:gridSpan w:val="6"/>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Hedge accounting adjustments</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(250)</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(208)</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145199724"/>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long-term debt</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15,398 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14,983 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14519972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Reported as:</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145199724"/>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Short-term debt</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914 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1,446 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145199724"/>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14,484 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13,537 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145199724"/>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Total</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15,398 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14,983 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bl>
    <w:p w:rsidR="00000000" w:rsidRDefault="008931E1">
      <w:pPr>
        <w:ind w:firstLine="360"/>
        <w:divId w:val="867911884"/>
        <w:rPr>
          <w:rFonts w:eastAsia="Times New Roman"/>
        </w:rPr>
      </w:pPr>
      <w:r>
        <w:rPr>
          <w:rFonts w:eastAsia="Times New Roman"/>
          <w:color w:val="000000"/>
          <w:sz w:val="20"/>
          <w:szCs w:val="20"/>
        </w:rPr>
        <w:t>At September 24, 2023, future principal payments were $914 million in fiscal 2024, $1.4 billion in fiscal 2025, $2.0 billion in fiscal 2027, $961 mil</w:t>
      </w:r>
      <w:r>
        <w:rPr>
          <w:rFonts w:eastAsia="Times New Roman"/>
          <w:color w:val="000000"/>
          <w:sz w:val="20"/>
          <w:szCs w:val="20"/>
        </w:rPr>
        <w:t>lion in fiscal 2028 and $10.6 billion after fiscal 2028; no principal payments are due in fiscal 2026. At September 24, 2023, the aggregate fair value of the notes, based on Level 2 inputs, was approximately $14.3 billion.</w:t>
      </w:r>
    </w:p>
    <w:p w:rsidR="00000000" w:rsidRDefault="008931E1">
      <w:pPr>
        <w:ind w:firstLine="360"/>
        <w:divId w:val="1468936992"/>
        <w:rPr>
          <w:rFonts w:eastAsia="Times New Roman"/>
        </w:rPr>
      </w:pPr>
      <w:r>
        <w:rPr>
          <w:rFonts w:eastAsia="Times New Roman"/>
          <w:color w:val="000000"/>
          <w:sz w:val="20"/>
          <w:szCs w:val="20"/>
        </w:rPr>
        <w:t>At September 24, 2023, all of our</w:t>
      </w:r>
      <w:r>
        <w:rPr>
          <w:rFonts w:eastAsia="Times New Roman"/>
          <w:color w:val="000000"/>
          <w:sz w:val="20"/>
          <w:szCs w:val="20"/>
        </w:rPr>
        <w:t xml:space="preserve"> outstanding long-term debt is comprised of unsecured fixed-rate notes. We may redeem the outstanding fixed-rate notes at any time in whole, or from time to time in part, at specified make-whole premiums as defined in the applicable form of note. The oblig</w:t>
      </w:r>
      <w:r>
        <w:rPr>
          <w:rFonts w:eastAsia="Times New Roman"/>
          <w:color w:val="000000"/>
          <w:sz w:val="20"/>
          <w:szCs w:val="20"/>
        </w:rPr>
        <w:t xml:space="preserve">ations under the notes rank equally in right of payment with all of our other senior unsecured indebtedness and will effectively rank junior to all liabilities of our subsidiaries. </w:t>
      </w:r>
    </w:p>
    <w:p w:rsidR="00000000" w:rsidRDefault="008931E1">
      <w:pPr>
        <w:ind w:firstLine="360"/>
        <w:divId w:val="1869757494"/>
        <w:rPr>
          <w:rFonts w:eastAsia="Times New Roman"/>
        </w:rPr>
      </w:pPr>
      <w:r>
        <w:rPr>
          <w:rFonts w:eastAsia="Times New Roman"/>
          <w:color w:val="000000"/>
          <w:sz w:val="20"/>
          <w:szCs w:val="20"/>
        </w:rPr>
        <w:t>The effective interest rates for the notes include the interest on the not</w:t>
      </w:r>
      <w:r>
        <w:rPr>
          <w:rFonts w:eastAsia="Times New Roman"/>
          <w:color w:val="000000"/>
          <w:sz w:val="20"/>
          <w:szCs w:val="20"/>
        </w:rPr>
        <w:t>es, amortization of the discount, which includes debt issuance costs, and if applicable, adjustments related to hedging. Interest is payable in arrears semi-annually for the notes. Cash interest paid related to our commercial paper program and long-term de</w:t>
      </w:r>
      <w:r>
        <w:rPr>
          <w:rFonts w:eastAsia="Times New Roman"/>
          <w:color w:val="000000"/>
          <w:sz w:val="20"/>
          <w:szCs w:val="20"/>
        </w:rPr>
        <w:t>bt was $614 million, $491 million and $477 million during fiscal 2023, 2022 and 2021, respectively.</w:t>
      </w:r>
    </w:p>
    <w:p w:rsidR="00000000" w:rsidRDefault="008931E1">
      <w:pPr>
        <w:ind w:firstLine="360"/>
        <w:divId w:val="2002150848"/>
        <w:rPr>
          <w:rFonts w:eastAsia="Times New Roman"/>
        </w:rPr>
      </w:pPr>
      <w:r>
        <w:rPr>
          <w:rFonts w:eastAsia="Times New Roman"/>
          <w:b/>
          <w:bCs/>
          <w:i/>
          <w:iCs/>
          <w:color w:val="000000"/>
          <w:sz w:val="20"/>
          <w:szCs w:val="20"/>
        </w:rPr>
        <w:t xml:space="preserve">Interest Rate Swaps. </w:t>
      </w:r>
      <w:r>
        <w:rPr>
          <w:rFonts w:eastAsia="Times New Roman"/>
          <w:color w:val="000000"/>
          <w:sz w:val="20"/>
          <w:szCs w:val="20"/>
        </w:rPr>
        <w:t>At September </w:t>
      </w:r>
      <w:r>
        <w:rPr>
          <w:rFonts w:eastAsia="Times New Roman"/>
          <w:color w:val="000000"/>
          <w:sz w:val="20"/>
          <w:szCs w:val="20"/>
        </w:rPr>
        <w:t>25, 2022, we had outstanding forward-starting interest rate swaps with an aggregate notional amount of $1.6 billion. During the first quarter of fiscal 2023, in connection with the issuance of the November 2022 Notes, we terminated these swaps, and the rel</w:t>
      </w:r>
      <w:r>
        <w:rPr>
          <w:rFonts w:eastAsia="Times New Roman"/>
          <w:color w:val="000000"/>
          <w:sz w:val="20"/>
          <w:szCs w:val="20"/>
        </w:rPr>
        <w:t>ated gains of $334 million, included within accumulated comprehensive income, are being recorded as a reduction to</w:t>
      </w:r>
      <w:r>
        <w:rPr>
          <w:rFonts w:eastAsia="Times New Roman"/>
          <w:color w:val="000000"/>
          <w:sz w:val="20"/>
          <w:szCs w:val="20"/>
        </w:rPr>
        <w:t xml:space="preserve"> </w:t>
      </w:r>
      <w:r>
        <w:rPr>
          <w:rFonts w:eastAsia="Times New Roman"/>
          <w:color w:val="000000"/>
          <w:sz w:val="20"/>
          <w:szCs w:val="20"/>
        </w:rPr>
        <w:t>interest expens</w:t>
      </w:r>
      <w:r>
        <w:rPr>
          <w:rFonts w:eastAsia="Times New Roman"/>
          <w:color w:val="000000"/>
          <w:sz w:val="20"/>
          <w:szCs w:val="20"/>
        </w:rPr>
        <w:t>e</w:t>
      </w:r>
      <w:r>
        <w:rPr>
          <w:rFonts w:eastAsia="Times New Roman"/>
          <w:color w:val="000000"/>
          <w:sz w:val="20"/>
          <w:szCs w:val="20"/>
        </w:rPr>
        <w:t xml:space="preserve"> over the hedged portions of the related debt.</w:t>
      </w:r>
    </w:p>
    <w:p w:rsidR="00000000" w:rsidRDefault="008931E1">
      <w:pPr>
        <w:ind w:firstLine="360"/>
        <w:divId w:val="656347328"/>
        <w:rPr>
          <w:rFonts w:eastAsia="Times New Roman"/>
        </w:rPr>
      </w:pPr>
      <w:r>
        <w:rPr>
          <w:rFonts w:eastAsia="Times New Roman"/>
          <w:color w:val="000000"/>
          <w:sz w:val="20"/>
          <w:szCs w:val="20"/>
        </w:rPr>
        <w:t>At September 24, 2023 and September 25, 2022, we had outstanding interest rate</w:t>
      </w:r>
      <w:r>
        <w:rPr>
          <w:rFonts w:eastAsia="Times New Roman"/>
          <w:color w:val="000000"/>
          <w:sz w:val="20"/>
          <w:szCs w:val="20"/>
        </w:rPr>
        <w:t xml:space="preserve"> swaps with an aggregate notional amount of $2.1 billion that are designated as fair value hedges and allow us to effectively convert fixed-rate payments into floating-rate payments on a portion of our outstanding long-term debt.</w:t>
      </w:r>
    </w:p>
    <w:p w:rsidR="00000000" w:rsidRDefault="008931E1">
      <w:pPr>
        <w:ind w:firstLine="360"/>
        <w:divId w:val="462306152"/>
        <w:rPr>
          <w:rFonts w:eastAsia="Times New Roman"/>
        </w:rPr>
      </w:pPr>
      <w:r>
        <w:rPr>
          <w:rFonts w:eastAsia="Times New Roman"/>
          <w:b/>
          <w:bCs/>
          <w:i/>
          <w:iCs/>
          <w:color w:val="000000"/>
          <w:sz w:val="20"/>
          <w:szCs w:val="20"/>
        </w:rPr>
        <w:t>Commercial Paper Program</w:t>
      </w:r>
      <w:r>
        <w:rPr>
          <w:rFonts w:eastAsia="Times New Roman"/>
          <w:b/>
          <w:bCs/>
          <w:color w:val="000000"/>
          <w:sz w:val="20"/>
          <w:szCs w:val="20"/>
        </w:rPr>
        <w:t>.</w:t>
      </w:r>
      <w:r>
        <w:rPr>
          <w:rFonts w:eastAsia="Times New Roman"/>
          <w:color w:val="000000"/>
          <w:sz w:val="20"/>
          <w:szCs w:val="20"/>
        </w:rPr>
        <w:t xml:space="preserve"> </w:t>
      </w:r>
      <w:r>
        <w:rPr>
          <w:rFonts w:eastAsia="Times New Roman"/>
          <w:color w:val="000000"/>
          <w:sz w:val="20"/>
          <w:szCs w:val="20"/>
        </w:rPr>
        <w:t>We have an unsecured commercial paper program, which provides for the issuance of up to $4.5 billion. Net proceeds from this program are for general corporate purposes. Maturities of commercial paper can range from 1 to up to 397 days. At September 24, 202</w:t>
      </w:r>
      <w:r>
        <w:rPr>
          <w:rFonts w:eastAsia="Times New Roman"/>
          <w:color w:val="000000"/>
          <w:sz w:val="20"/>
          <w:szCs w:val="20"/>
        </w:rPr>
        <w:t>3 and September 25, 2022, we had no amounts and $499 million, respectively, of outstanding commercial paper recorded as short-term debt. At September 25, 2022, the weighted-average interest rate was 2.69%, which included fees paid to the commercial paper d</w:t>
      </w:r>
      <w:r>
        <w:rPr>
          <w:rFonts w:eastAsia="Times New Roman"/>
          <w:color w:val="000000"/>
          <w:sz w:val="20"/>
          <w:szCs w:val="20"/>
        </w:rPr>
        <w:t xml:space="preserve">ealers, and the weighted-average remaining days to maturity was 27 days. </w:t>
      </w:r>
    </w:p>
    <w:p w:rsidR="00000000" w:rsidRDefault="008931E1">
      <w:pPr>
        <w:ind w:firstLine="360"/>
        <w:divId w:val="284241099"/>
        <w:rPr>
          <w:rFonts w:eastAsia="Times New Roman"/>
        </w:rPr>
      </w:pPr>
      <w:r>
        <w:rPr>
          <w:rFonts w:eastAsia="Times New Roman"/>
          <w:b/>
          <w:bCs/>
          <w:i/>
          <w:iCs/>
          <w:color w:val="000000"/>
          <w:sz w:val="20"/>
          <w:szCs w:val="20"/>
        </w:rPr>
        <w:t xml:space="preserve">Revolving Credit Facility. </w:t>
      </w:r>
      <w:r>
        <w:rPr>
          <w:rFonts w:eastAsia="Times New Roman"/>
          <w:color w:val="000000"/>
          <w:sz w:val="20"/>
          <w:szCs w:val="20"/>
        </w:rPr>
        <w:t xml:space="preserve">We have a Revolving Credit Facility that provides for unsecured revolving facility loans, swing line loans and letters of credit in an aggregate amount of </w:t>
      </w:r>
      <w:r>
        <w:rPr>
          <w:rFonts w:eastAsia="Times New Roman"/>
          <w:color w:val="000000"/>
          <w:sz w:val="20"/>
          <w:szCs w:val="20"/>
        </w:rPr>
        <w:t>up to $4.3 billion, which expires on December 8, 2025. At September 24, 2023 and September 25, 2022, no amounts were outstanding under the Revolving Credit Facility.</w:t>
      </w:r>
    </w:p>
    <w:p w:rsidR="00000000" w:rsidRDefault="008931E1">
      <w:pPr>
        <w:jc w:val="center"/>
        <w:divId w:val="33236391"/>
        <w:rPr>
          <w:rFonts w:eastAsia="Times New Roman"/>
        </w:rPr>
      </w:pPr>
      <w:r>
        <w:rPr>
          <w:rFonts w:eastAsia="Times New Roman"/>
          <w:color w:val="000000"/>
          <w:sz w:val="20"/>
          <w:szCs w:val="20"/>
        </w:rPr>
        <w:t>F-22</w:t>
      </w:r>
    </w:p>
    <w:p w:rsidR="00000000" w:rsidRDefault="008931E1">
      <w:pPr>
        <w:rPr>
          <w:rFonts w:eastAsia="Times New Roman"/>
        </w:rPr>
      </w:pPr>
      <w:r>
        <w:rPr>
          <w:rFonts w:eastAsia="Times New Roman"/>
        </w:rPr>
        <w:pict>
          <v:rect id="_x0000_i1101" style="width:0;height:1.5pt" o:hralign="center" o:hrstd="t" o:hr="t" fillcolor="#a0a0a0" stroked="f"/>
        </w:pict>
      </w:r>
    </w:p>
    <w:p w:rsidR="00000000" w:rsidRDefault="008931E1">
      <w:pPr>
        <w:jc w:val="center"/>
        <w:divId w:val="1238587416"/>
        <w:rPr>
          <w:rFonts w:eastAsia="Times New Roman"/>
        </w:rPr>
      </w:pPr>
    </w:p>
    <w:p w:rsidR="00000000" w:rsidRDefault="008931E1">
      <w:pPr>
        <w:jc w:val="center"/>
        <w:divId w:val="1238587416"/>
        <w:rPr>
          <w:rFonts w:eastAsia="Times New Roman"/>
        </w:rPr>
      </w:pPr>
      <w:r>
        <w:rPr>
          <w:rFonts w:eastAsia="Times New Roman"/>
          <w:b/>
          <w:bCs/>
          <w:color w:val="000000"/>
          <w:sz w:val="20"/>
          <w:szCs w:val="20"/>
        </w:rPr>
        <w:t>QUALCOMM Incorporated</w:t>
      </w:r>
    </w:p>
    <w:p w:rsidR="00000000" w:rsidRDefault="008931E1">
      <w:pPr>
        <w:jc w:val="center"/>
        <w:divId w:val="1238587416"/>
        <w:rPr>
          <w:rFonts w:eastAsia="Times New Roman"/>
        </w:rPr>
      </w:pPr>
      <w:r>
        <w:rPr>
          <w:rFonts w:eastAsia="Times New Roman"/>
          <w:b/>
          <w:bCs/>
          <w:color w:val="000000"/>
          <w:sz w:val="20"/>
          <w:szCs w:val="20"/>
        </w:rPr>
        <w:t>NOTES TO CONSOLIDATED FI</w:t>
      </w:r>
      <w:r>
        <w:rPr>
          <w:rFonts w:eastAsia="Times New Roman"/>
          <w:b/>
          <w:bCs/>
          <w:color w:val="000000"/>
          <w:sz w:val="20"/>
          <w:szCs w:val="20"/>
        </w:rPr>
        <w:t>NANCIAL STATEMENTS</w:t>
      </w:r>
    </w:p>
    <w:p w:rsidR="00000000" w:rsidRDefault="008931E1">
      <w:pPr>
        <w:ind w:firstLine="360"/>
        <w:divId w:val="962658519"/>
        <w:rPr>
          <w:rFonts w:eastAsia="Times New Roman"/>
        </w:rPr>
      </w:pPr>
      <w:r>
        <w:rPr>
          <w:rFonts w:eastAsia="Times New Roman"/>
          <w:b/>
          <w:bCs/>
          <w:i/>
          <w:iCs/>
          <w:color w:val="000000"/>
          <w:sz w:val="20"/>
          <w:szCs w:val="20"/>
        </w:rPr>
        <w:t>Debt Covenants.</w:t>
      </w:r>
      <w:r>
        <w:rPr>
          <w:rFonts w:eastAsia="Times New Roman"/>
          <w:color w:val="000000"/>
          <w:sz w:val="20"/>
          <w:szCs w:val="20"/>
        </w:rPr>
        <w:t xml:space="preserve"> The Revolving Credit Facility requires that we comply with certain covenants, including that we maintain an interest coverage ratio as defined in the agreement. We are not subject to any financial covenants under the note</w:t>
      </w:r>
      <w:r>
        <w:rPr>
          <w:rFonts w:eastAsia="Times New Roman"/>
          <w:color w:val="000000"/>
          <w:sz w:val="20"/>
          <w:szCs w:val="20"/>
        </w:rPr>
        <w:t>s nor any covenants that would prohibit us from incurring additional indebtedness ranking equal to the notes, paying dividends or issuing securities or repurchasing securities issued by us or our subsidiaries. At September 24, 2023, we were in compliance w</w:t>
      </w:r>
      <w:r>
        <w:rPr>
          <w:rFonts w:eastAsia="Times New Roman"/>
          <w:color w:val="000000"/>
          <w:sz w:val="20"/>
          <w:szCs w:val="20"/>
        </w:rPr>
        <w:t>ith the applicable covenants under the Revolving Credit Facility.</w:t>
      </w:r>
    </w:p>
    <w:p w:rsidR="00000000" w:rsidRDefault="008931E1">
      <w:pPr>
        <w:divId w:val="809983489"/>
        <w:rPr>
          <w:rFonts w:eastAsia="Times New Roman"/>
        </w:rPr>
      </w:pPr>
      <w:r>
        <w:rPr>
          <w:rFonts w:eastAsia="Times New Roman"/>
          <w:b/>
          <w:bCs/>
          <w:color w:val="000000"/>
          <w:sz w:val="20"/>
          <w:szCs w:val="20"/>
        </w:rPr>
        <w:t>Note 7. Commitments and Contingencies</w:t>
      </w:r>
    </w:p>
    <w:p w:rsidR="00000000" w:rsidRDefault="008931E1">
      <w:pPr>
        <w:ind w:firstLine="360"/>
        <w:divId w:val="1914006856"/>
        <w:rPr>
          <w:rFonts w:eastAsia="Times New Roman"/>
        </w:rPr>
      </w:pPr>
      <w:r>
        <w:rPr>
          <w:rFonts w:eastAsia="Times New Roman"/>
          <w:b/>
          <w:bCs/>
          <w:i/>
          <w:iCs/>
          <w:color w:val="000000"/>
          <w:sz w:val="20"/>
          <w:szCs w:val="20"/>
        </w:rPr>
        <w:t>Legal and Regulatory Proceedings.</w:t>
      </w:r>
    </w:p>
    <w:p w:rsidR="00000000" w:rsidRDefault="008931E1">
      <w:pPr>
        <w:ind w:firstLine="360"/>
        <w:divId w:val="201943317"/>
        <w:rPr>
          <w:rFonts w:eastAsia="Times New Roman"/>
        </w:rPr>
      </w:pPr>
      <w:r>
        <w:rPr>
          <w:rFonts w:eastAsia="Times New Roman"/>
          <w:i/>
          <w:iCs/>
          <w:color w:val="000000"/>
          <w:sz w:val="20"/>
          <w:szCs w:val="20"/>
        </w:rPr>
        <w:t>Consolidated Securities Class Action Lawsuit:</w:t>
      </w:r>
      <w:r>
        <w:rPr>
          <w:rFonts w:eastAsia="Times New Roman"/>
          <w:color w:val="000000"/>
          <w:sz w:val="20"/>
          <w:szCs w:val="20"/>
        </w:rPr>
        <w:t xml:space="preserve"> On January 23, 2017 and January 26, 2017, securities class action compla</w:t>
      </w:r>
      <w:r>
        <w:rPr>
          <w:rFonts w:eastAsia="Times New Roman"/>
          <w:color w:val="000000"/>
          <w:sz w:val="20"/>
          <w:szCs w:val="20"/>
        </w:rPr>
        <w:t>ints were filed by purported stockholders of us in the United States District Court for the Southern District of California against us and certain of our then current and former officers and directors. The complaints alleged, among other things, that we vi</w:t>
      </w:r>
      <w:r>
        <w:rPr>
          <w:rFonts w:eastAsia="Times New Roman"/>
          <w:color w:val="000000"/>
          <w:sz w:val="20"/>
          <w:szCs w:val="20"/>
        </w:rPr>
        <w:t>olated Sections 10(b) and 20(a) of the Securities Exchange Act of 1934, as amended, and Rule 10b-5 thereunder, by making false and misleading statements and omissions of material fact in connection with certain allegations that we are or were engaged in an</w:t>
      </w:r>
      <w:r>
        <w:rPr>
          <w:rFonts w:eastAsia="Times New Roman"/>
          <w:color w:val="000000"/>
          <w:sz w:val="20"/>
          <w:szCs w:val="20"/>
        </w:rPr>
        <w:t>ticompetitive conduct. The complaints sought unspecified damages, interest, fees and costs. The court consolidated the two actions, and on July 3, 2017, the plaintiffs filed a consolidated amended complaint asserting the same basic theories of liability an</w:t>
      </w:r>
      <w:r>
        <w:rPr>
          <w:rFonts w:eastAsia="Times New Roman"/>
          <w:color w:val="000000"/>
          <w:sz w:val="20"/>
          <w:szCs w:val="20"/>
        </w:rPr>
        <w:t>d requesting the same basic relief. On May 23, 2022, the plaintiffs filed a motion for class certification, and on March 20, 2023, the court issued an order granting in part and denying in part the plaintiffs’ motion for class certification. The order deni</w:t>
      </w:r>
      <w:r>
        <w:rPr>
          <w:rFonts w:eastAsia="Times New Roman"/>
          <w:color w:val="000000"/>
          <w:sz w:val="20"/>
          <w:szCs w:val="20"/>
        </w:rPr>
        <w:t>ed class certification on the basis of alleged misrepresentations relating to our chip-level licensing practices, but certified a class on the basis of alleged misrepresentations relating to the separate operations of QCT and QTL. Trial is scheduled to beg</w:t>
      </w:r>
      <w:r>
        <w:rPr>
          <w:rFonts w:eastAsia="Times New Roman"/>
          <w:color w:val="000000"/>
          <w:sz w:val="20"/>
          <w:szCs w:val="20"/>
        </w:rPr>
        <w:t>in on October 28, 2024. We intend to continue to vigorously defend ourselves in this matter.</w:t>
      </w:r>
    </w:p>
    <w:p w:rsidR="00000000" w:rsidRDefault="008931E1">
      <w:pPr>
        <w:ind w:firstLine="360"/>
        <w:divId w:val="2011980317"/>
        <w:rPr>
          <w:rFonts w:eastAsia="Times New Roman"/>
        </w:rPr>
      </w:pPr>
      <w:r>
        <w:rPr>
          <w:rFonts w:eastAsia="Times New Roman"/>
          <w:i/>
          <w:iCs/>
          <w:color w:val="000000"/>
          <w:sz w:val="20"/>
          <w:szCs w:val="20"/>
        </w:rPr>
        <w:t xml:space="preserve">Consumer Class Action Lawsuits: </w:t>
      </w:r>
      <w:r>
        <w:rPr>
          <w:rFonts w:eastAsia="Times New Roman"/>
          <w:color w:val="000000"/>
          <w:sz w:val="20"/>
          <w:szCs w:val="20"/>
        </w:rPr>
        <w:t>Beginning</w:t>
      </w:r>
      <w:r>
        <w:rPr>
          <w:rFonts w:eastAsia="Times New Roman"/>
          <w:i/>
          <w:iCs/>
          <w:color w:val="000000"/>
          <w:sz w:val="20"/>
          <w:szCs w:val="20"/>
        </w:rPr>
        <w:t xml:space="preserve"> </w:t>
      </w:r>
      <w:r>
        <w:rPr>
          <w:rFonts w:eastAsia="Times New Roman"/>
          <w:color w:val="000000"/>
          <w:sz w:val="20"/>
          <w:szCs w:val="20"/>
        </w:rPr>
        <w:t xml:space="preserve">in January 2017, a number of consumer class action complaints were filed against us in the United States District Courts </w:t>
      </w:r>
      <w:r>
        <w:rPr>
          <w:rFonts w:eastAsia="Times New Roman"/>
          <w:color w:val="000000"/>
          <w:sz w:val="20"/>
          <w:szCs w:val="20"/>
        </w:rPr>
        <w:t>for the Southern and Northern Districts of California, each on behalf of a putative class of purchasers of cellular phones and other cellular devices. The cases filed in the Southern District of California were subsequently transferred to the Northern Dist</w:t>
      </w:r>
      <w:r>
        <w:rPr>
          <w:rFonts w:eastAsia="Times New Roman"/>
          <w:color w:val="000000"/>
          <w:sz w:val="20"/>
          <w:szCs w:val="20"/>
        </w:rPr>
        <w:t>rict of California. On July 11, 2017, the plaintiffs filed a consolidated amended complaint alleging that we violated California and federal antitrust and unfair competition laws by, among other things, refusing to license standard-essential patents to our</w:t>
      </w:r>
      <w:r>
        <w:rPr>
          <w:rFonts w:eastAsia="Times New Roman"/>
          <w:color w:val="000000"/>
          <w:sz w:val="20"/>
          <w:szCs w:val="20"/>
        </w:rPr>
        <w:t xml:space="preserve"> competitors, conditioning the supply of certain of our baseband chipsets on the purchaser first agreeing to license our entire patent portfolio, entering into exclusive deals with companies, including Apple Inc., and charging unreasonably high royalties t</w:t>
      </w:r>
      <w:r>
        <w:rPr>
          <w:rFonts w:eastAsia="Times New Roman"/>
          <w:color w:val="000000"/>
          <w:sz w:val="20"/>
          <w:szCs w:val="20"/>
        </w:rPr>
        <w:t xml:space="preserve">hat do not comply with our commitments to standard setting organizations. The complaint sought unspecified damages and disgorgement and/or restitution, as well as an order that we be enjoined from further unlawful conduct. On September 27, 2018, the court </w:t>
      </w:r>
      <w:r>
        <w:rPr>
          <w:rFonts w:eastAsia="Times New Roman"/>
          <w:color w:val="000000"/>
          <w:sz w:val="20"/>
          <w:szCs w:val="20"/>
        </w:rPr>
        <w:t>certified the class. We appealed the court’s class certification order to the United States Court of Appeals for the Ninth Circuit (Ninth Circuit). On September 29, 2021, the Ninth Circuit vacated the class certification order, ruling that the district cou</w:t>
      </w:r>
      <w:r>
        <w:rPr>
          <w:rFonts w:eastAsia="Times New Roman"/>
          <w:color w:val="000000"/>
          <w:sz w:val="20"/>
          <w:szCs w:val="20"/>
        </w:rPr>
        <w:t xml:space="preserve">rt had failed to correctly assess the propriety of applying California law to a nationwide class, and remanded the case to the district court. On June 10, 2022, the plaintiffs filed an amended complaint, limiting the proposed class to California residents </w:t>
      </w:r>
      <w:r>
        <w:rPr>
          <w:rFonts w:eastAsia="Times New Roman"/>
          <w:color w:val="000000"/>
          <w:sz w:val="20"/>
          <w:szCs w:val="20"/>
        </w:rPr>
        <w:t>rather than a nationwide class. We filed a motion to dismiss the amended complaint, and on January 6, 2023, the court issued an order granting in part and denying in part our motion to dismiss. We subsequently filed a motion for summary judgment on the pla</w:t>
      </w:r>
      <w:r>
        <w:rPr>
          <w:rFonts w:eastAsia="Times New Roman"/>
          <w:color w:val="000000"/>
          <w:sz w:val="20"/>
          <w:szCs w:val="20"/>
        </w:rPr>
        <w:t>intiffs’ remaining claims. The court granted our motion in its entirety and, on October 5, 2023, entered final judgment in Qualcomm’s favor.</w:t>
      </w:r>
      <w:r>
        <w:rPr>
          <w:rFonts w:ascii="Calibri" w:eastAsia="Times New Roman" w:hAnsi="Calibri" w:cs="Calibri"/>
          <w:color w:val="000000"/>
          <w:sz w:val="20"/>
          <w:szCs w:val="20"/>
        </w:rPr>
        <w:t xml:space="preserve"> </w:t>
      </w:r>
    </w:p>
    <w:p w:rsidR="00000000" w:rsidRDefault="008931E1">
      <w:pPr>
        <w:ind w:firstLine="360"/>
        <w:divId w:val="392243758"/>
        <w:rPr>
          <w:rFonts w:eastAsia="Times New Roman"/>
        </w:rPr>
      </w:pPr>
      <w:r>
        <w:rPr>
          <w:rFonts w:eastAsia="Times New Roman"/>
          <w:color w:val="000000"/>
          <w:sz w:val="20"/>
          <w:szCs w:val="20"/>
        </w:rPr>
        <w:t>Beginning in November 2017, several other consumer class action complaints were filed against us in Canada (in the</w:t>
      </w:r>
      <w:r>
        <w:rPr>
          <w:rFonts w:eastAsia="Times New Roman"/>
          <w:color w:val="000000"/>
          <w:sz w:val="20"/>
          <w:szCs w:val="20"/>
        </w:rPr>
        <w:t xml:space="preserve"> Supreme Court of British Columbia and the Quebec Superior Court), Israel (in the Haifa District Court) and the United Kingdom (in the Competition Appeal Tribunal), each on behalf of a putative class of purchasers of cellular phones and other cellular devi</w:t>
      </w:r>
      <w:r>
        <w:rPr>
          <w:rFonts w:eastAsia="Times New Roman"/>
          <w:color w:val="000000"/>
          <w:sz w:val="20"/>
          <w:szCs w:val="20"/>
        </w:rPr>
        <w:t>ces, alleging violations of certain of those countries’ competition and consumer protection laws and seeking damages. The claims in these complaints are similar to those in the U.S. consumer class action complaints described above. These matters are at var</w:t>
      </w:r>
      <w:r>
        <w:rPr>
          <w:rFonts w:eastAsia="Times New Roman"/>
          <w:color w:val="000000"/>
          <w:sz w:val="20"/>
          <w:szCs w:val="20"/>
        </w:rPr>
        <w:t>ious stages of litigation, and we intend to continue to vigorously defend ourselves.</w:t>
      </w:r>
    </w:p>
    <w:p w:rsidR="00000000" w:rsidRDefault="008931E1">
      <w:pPr>
        <w:ind w:firstLine="360"/>
        <w:divId w:val="693307769"/>
        <w:rPr>
          <w:rFonts w:eastAsia="Times New Roman"/>
        </w:rPr>
      </w:pPr>
      <w:r>
        <w:rPr>
          <w:rFonts w:eastAsia="Times New Roman"/>
          <w:i/>
          <w:iCs/>
          <w:color w:val="000000"/>
          <w:sz w:val="20"/>
          <w:szCs w:val="20"/>
        </w:rPr>
        <w:t xml:space="preserve">ParkerVision, Inc. v. QUALCOMM Incorporated: </w:t>
      </w:r>
      <w:r>
        <w:rPr>
          <w:rFonts w:eastAsia="Times New Roman"/>
          <w:color w:val="000000"/>
          <w:sz w:val="20"/>
          <w:szCs w:val="20"/>
        </w:rPr>
        <w:t>On May 1, 2014, ParkerVision filed a complaint against us in the United States District Court for the Middle District of Flori</w:t>
      </w:r>
      <w:r>
        <w:rPr>
          <w:rFonts w:eastAsia="Times New Roman"/>
          <w:color w:val="000000"/>
          <w:sz w:val="20"/>
          <w:szCs w:val="20"/>
        </w:rPr>
        <w:t>da alleging that certain of our products infringed seven ParkerVision patents. On August 21, 2014, ParkerVision amended the complaint, alleging that we infringed 11 ParkerVision patents and sought damages and injunctive and other relief. ParkerVision subse</w:t>
      </w:r>
      <w:r>
        <w:rPr>
          <w:rFonts w:eastAsia="Times New Roman"/>
          <w:color w:val="000000"/>
          <w:sz w:val="20"/>
          <w:szCs w:val="20"/>
        </w:rPr>
        <w:t>quently reduced the number of patents asserted to three. The asserted patents are now expired, and injunctive relief is no longer available. ParkerVision continues to seek damages related to the sale of many of our radio frequency (RF) products sold betwee</w:t>
      </w:r>
      <w:r>
        <w:rPr>
          <w:rFonts w:eastAsia="Times New Roman"/>
          <w:color w:val="000000"/>
          <w:sz w:val="20"/>
          <w:szCs w:val="20"/>
        </w:rPr>
        <w:t>n 2008 and 2018. On March 23, 2022, the court entered judgment in our favor on all claims and closed the case. On April 20, 2022, ParkerVision filed a notice of appeal to the United States Court of Appeals for the Federal Circuit. A hearing on the appeal i</w:t>
      </w:r>
      <w:r>
        <w:rPr>
          <w:rFonts w:eastAsia="Times New Roman"/>
          <w:color w:val="000000"/>
          <w:sz w:val="20"/>
          <w:szCs w:val="20"/>
        </w:rPr>
        <w:t>s scheduled for November 6, 2023. We intend to continue to vigorously defend ourselves in this matter.</w:t>
      </w:r>
    </w:p>
    <w:p w:rsidR="00000000" w:rsidRDefault="008931E1">
      <w:pPr>
        <w:ind w:firstLine="360"/>
        <w:divId w:val="2054114642"/>
        <w:rPr>
          <w:rFonts w:eastAsia="Times New Roman"/>
        </w:rPr>
      </w:pPr>
      <w:r>
        <w:rPr>
          <w:rFonts w:eastAsia="Times New Roman"/>
          <w:i/>
          <w:iCs/>
          <w:color w:val="000000"/>
          <w:sz w:val="20"/>
          <w:szCs w:val="20"/>
        </w:rPr>
        <w:t>Arm Ltd. v. QUALCOMM Incorporated:</w:t>
      </w:r>
      <w:r>
        <w:rPr>
          <w:rFonts w:eastAsia="Times New Roman"/>
          <w:color w:val="000000"/>
          <w:sz w:val="20"/>
          <w:szCs w:val="20"/>
        </w:rPr>
        <w:t xml:space="preserve"> On August 31, 2022, Arm Ltd. (ARM) filed a complaint against us in the United States District Court for the District o</w:t>
      </w:r>
      <w:r>
        <w:rPr>
          <w:rFonts w:eastAsia="Times New Roman"/>
          <w:color w:val="000000"/>
          <w:sz w:val="20"/>
          <w:szCs w:val="20"/>
        </w:rPr>
        <w:t>f Delaware. Our subsidiaries Qualcomm Technologies, Inc. and NuVia, Inc. (Nuvia) are also named in the complaint. The complaint alleges that following our acquisition of Nuvia, we and Nuvia breached Nuvia’s Architecture License Agreement with ARM (the Nuvi</w:t>
      </w:r>
      <w:r>
        <w:rPr>
          <w:rFonts w:eastAsia="Times New Roman"/>
          <w:color w:val="000000"/>
          <w:sz w:val="20"/>
          <w:szCs w:val="20"/>
        </w:rPr>
        <w:t>a ALA) by failing to comply with the termination obligations under the Nuvia ALA. The complaint seeks specific performance, including that we cease all use of and destroy any technology that was developed under the Nuvia ALA, including processor core techn</w:t>
      </w:r>
      <w:r>
        <w:rPr>
          <w:rFonts w:eastAsia="Times New Roman"/>
          <w:color w:val="000000"/>
          <w:sz w:val="20"/>
          <w:szCs w:val="20"/>
        </w:rPr>
        <w:t xml:space="preserve">ology. ARM also contends that we violated the Lanham Act through trademark infringement and false designation of origin through unauthorized use of ARM’s </w:t>
      </w:r>
    </w:p>
    <w:p w:rsidR="00000000" w:rsidRDefault="008931E1">
      <w:pPr>
        <w:jc w:val="center"/>
        <w:divId w:val="1433280414"/>
        <w:rPr>
          <w:rFonts w:eastAsia="Times New Roman"/>
        </w:rPr>
      </w:pPr>
      <w:r>
        <w:rPr>
          <w:rFonts w:eastAsia="Times New Roman"/>
          <w:color w:val="000000"/>
          <w:sz w:val="20"/>
          <w:szCs w:val="20"/>
        </w:rPr>
        <w:t>F-23</w:t>
      </w:r>
    </w:p>
    <w:p w:rsidR="00000000" w:rsidRDefault="008931E1">
      <w:pPr>
        <w:rPr>
          <w:rFonts w:eastAsia="Times New Roman"/>
        </w:rPr>
      </w:pPr>
      <w:r>
        <w:rPr>
          <w:rFonts w:eastAsia="Times New Roman"/>
        </w:rPr>
        <w:pict>
          <v:rect id="_x0000_i1102" style="width:0;height:1.5pt" o:hralign="center" o:hrstd="t" o:hr="t" fillcolor="#a0a0a0" stroked="f"/>
        </w:pict>
      </w:r>
    </w:p>
    <w:p w:rsidR="00000000" w:rsidRDefault="008931E1">
      <w:pPr>
        <w:jc w:val="center"/>
        <w:divId w:val="1617518715"/>
        <w:rPr>
          <w:rFonts w:eastAsia="Times New Roman"/>
        </w:rPr>
      </w:pPr>
    </w:p>
    <w:p w:rsidR="00000000" w:rsidRDefault="008931E1">
      <w:pPr>
        <w:jc w:val="center"/>
        <w:divId w:val="1617518715"/>
        <w:rPr>
          <w:rFonts w:eastAsia="Times New Roman"/>
        </w:rPr>
      </w:pPr>
      <w:r>
        <w:rPr>
          <w:rFonts w:eastAsia="Times New Roman"/>
          <w:b/>
          <w:bCs/>
          <w:color w:val="000000"/>
          <w:sz w:val="20"/>
          <w:szCs w:val="20"/>
        </w:rPr>
        <w:t>QUALCOMM Incorporated</w:t>
      </w:r>
    </w:p>
    <w:p w:rsidR="00000000" w:rsidRDefault="008931E1">
      <w:pPr>
        <w:jc w:val="center"/>
        <w:divId w:val="1617518715"/>
        <w:rPr>
          <w:rFonts w:eastAsia="Times New Roman"/>
        </w:rPr>
      </w:pPr>
      <w:r>
        <w:rPr>
          <w:rFonts w:eastAsia="Times New Roman"/>
          <w:b/>
          <w:bCs/>
          <w:color w:val="000000"/>
          <w:sz w:val="20"/>
          <w:szCs w:val="20"/>
        </w:rPr>
        <w:t>NOTES TO CONSOLIDATED FINANCIAL STAT</w:t>
      </w:r>
      <w:r>
        <w:rPr>
          <w:rFonts w:eastAsia="Times New Roman"/>
          <w:b/>
          <w:bCs/>
          <w:color w:val="000000"/>
          <w:sz w:val="20"/>
          <w:szCs w:val="20"/>
        </w:rPr>
        <w:t>EMENTS</w:t>
      </w:r>
    </w:p>
    <w:p w:rsidR="00000000" w:rsidRDefault="008931E1">
      <w:pPr>
        <w:divId w:val="1944262131"/>
        <w:rPr>
          <w:rFonts w:eastAsia="Times New Roman"/>
        </w:rPr>
      </w:pPr>
      <w:r>
        <w:rPr>
          <w:rFonts w:eastAsia="Times New Roman"/>
          <w:color w:val="000000"/>
          <w:sz w:val="20"/>
          <w:szCs w:val="20"/>
        </w:rPr>
        <w:t xml:space="preserve">trademarks and seeks associated injunctive and declaratory relief. ARM further seeks exemplary or punitive damages, costs, expenses and reasonable attorney’s fees, and equitable relief addressing any infringement occurring after entry of judgment. </w:t>
      </w:r>
    </w:p>
    <w:p w:rsidR="00000000" w:rsidRDefault="008931E1">
      <w:pPr>
        <w:ind w:firstLine="360"/>
        <w:divId w:val="557401970"/>
        <w:rPr>
          <w:rFonts w:eastAsia="Times New Roman"/>
        </w:rPr>
      </w:pPr>
      <w:r>
        <w:rPr>
          <w:rFonts w:eastAsia="Times New Roman"/>
          <w:color w:val="000000"/>
          <w:sz w:val="20"/>
          <w:szCs w:val="20"/>
        </w:rPr>
        <w:t>On September 30, 2022, we filed our Answer and Counterclaim in response to ARM’s complaint denying ARM’s claims. Our counterclaim seeks a declaratory judgment that we did not breach the Nuvia ALA or the Technology License Agreement between Nuvia and ARM an</w:t>
      </w:r>
      <w:r>
        <w:rPr>
          <w:rFonts w:eastAsia="Times New Roman"/>
          <w:color w:val="000000"/>
          <w:sz w:val="20"/>
          <w:szCs w:val="20"/>
        </w:rPr>
        <w:t>d that, following the acquisition of Nuvia, our architected cores (including all further developments, iterations or instantiations of the technology we acquired from Nuvia), server System-on-Chip (SoC) and compute SoC are fully licensed under our existing</w:t>
      </w:r>
      <w:r>
        <w:rPr>
          <w:rFonts w:eastAsia="Times New Roman"/>
          <w:color w:val="000000"/>
          <w:sz w:val="20"/>
          <w:szCs w:val="20"/>
        </w:rPr>
        <w:t xml:space="preserve"> Architecture License Agreement and Technology License Agreement with ARM (the ARM-Qualcomm Agreements). We further seek an order enjoining ARM from making any claim that our products are not licensed under the ARM-Qualcomm Agreements, are not ARM-complian</w:t>
      </w:r>
      <w:r>
        <w:rPr>
          <w:rFonts w:eastAsia="Times New Roman"/>
          <w:color w:val="000000"/>
          <w:sz w:val="20"/>
          <w:szCs w:val="20"/>
        </w:rPr>
        <w:t>t or that we are prohibited from using ARM’s marks in the marketing of any such products. On October 26, 2022, we filed an Amended Counterclaim seeking additional declaratory relief that certain statements ARM is making in the marketplace concerning our ri</w:t>
      </w:r>
      <w:r>
        <w:rPr>
          <w:rFonts w:eastAsia="Times New Roman"/>
          <w:color w:val="000000"/>
          <w:sz w:val="20"/>
          <w:szCs w:val="20"/>
        </w:rPr>
        <w:t>ghts under the ARM-Qualcomm Agreements are false, and that ARM has no right to prevent us from shipping our products, which are validly licensed. Trial is scheduled to begin on September 23, 2024. We intend to continue to vigorously defend ourselves in thi</w:t>
      </w:r>
      <w:r>
        <w:rPr>
          <w:rFonts w:eastAsia="Times New Roman"/>
          <w:color w:val="000000"/>
          <w:sz w:val="20"/>
          <w:szCs w:val="20"/>
        </w:rPr>
        <w:t>s matter.</w:t>
      </w:r>
    </w:p>
    <w:p w:rsidR="00000000" w:rsidRDefault="008931E1">
      <w:pPr>
        <w:ind w:firstLine="360"/>
        <w:divId w:val="1967226584"/>
        <w:rPr>
          <w:rFonts w:eastAsia="Times New Roman"/>
        </w:rPr>
      </w:pPr>
      <w:r>
        <w:rPr>
          <w:rFonts w:eastAsia="Times New Roman"/>
          <w:i/>
          <w:iCs/>
          <w:color w:val="000000"/>
          <w:sz w:val="20"/>
          <w:szCs w:val="20"/>
        </w:rPr>
        <w:t>Contingent Losses and Other Considerations:</w:t>
      </w:r>
      <w:r>
        <w:rPr>
          <w:rFonts w:eastAsia="Times New Roman"/>
          <w:color w:val="000000"/>
          <w:sz w:val="20"/>
          <w:szCs w:val="20"/>
        </w:rPr>
        <w:t xml:space="preserve"> Litigation and investigations are inherently uncertain, and we face difficulties in evaluating or estimating likely outcomes or ranges of possible loss, particularly in antitrust and trade regulation in</w:t>
      </w:r>
      <w:r>
        <w:rPr>
          <w:rFonts w:eastAsia="Times New Roman"/>
          <w:color w:val="000000"/>
          <w:sz w:val="20"/>
          <w:szCs w:val="20"/>
        </w:rPr>
        <w:t>vestigations. We have not recorded any accrual at September 24, 2023 for contingent losses associated with the pending matters described above based on our belief that losses, while reasonably possible, are not probable. Further, any possible amount or ran</w:t>
      </w:r>
      <w:r>
        <w:rPr>
          <w:rFonts w:eastAsia="Times New Roman"/>
          <w:color w:val="000000"/>
          <w:sz w:val="20"/>
          <w:szCs w:val="20"/>
        </w:rPr>
        <w:t>ge of loss cannot be reasonably estimated at this time. The unfavorable resolution of one or more of these matters could have a material adverse effect on our business, results of operations, financial condition or cash flows. We are engaged in numerous ot</w:t>
      </w:r>
      <w:r>
        <w:rPr>
          <w:rFonts w:eastAsia="Times New Roman"/>
          <w:color w:val="000000"/>
          <w:sz w:val="20"/>
          <w:szCs w:val="20"/>
        </w:rPr>
        <w:t>her legal actions not described above (for example, our 2010 European Commission matter relating to the Icera complaint, and other matters arising in the ordinary course of our business, including those relating to employment matters or the initiation or d</w:t>
      </w:r>
      <w:r>
        <w:rPr>
          <w:rFonts w:eastAsia="Times New Roman"/>
          <w:color w:val="000000"/>
          <w:sz w:val="20"/>
          <w:szCs w:val="20"/>
        </w:rPr>
        <w:t>efense of proceedings relating to intellectual property rights) and, while there can be no assurance, we believe that the ultimate outcome of these other legal actions will not have a material adverse effect on our business, results of operations, financia</w:t>
      </w:r>
      <w:r>
        <w:rPr>
          <w:rFonts w:eastAsia="Times New Roman"/>
          <w:color w:val="000000"/>
          <w:sz w:val="20"/>
          <w:szCs w:val="20"/>
        </w:rPr>
        <w:t>l condition or cash flows.</w:t>
      </w:r>
    </w:p>
    <w:p w:rsidR="00000000" w:rsidRDefault="008931E1">
      <w:pPr>
        <w:ind w:firstLine="360"/>
        <w:divId w:val="1080251523"/>
        <w:rPr>
          <w:rFonts w:eastAsia="Times New Roman"/>
        </w:rPr>
      </w:pPr>
      <w:r>
        <w:rPr>
          <w:rFonts w:eastAsia="Times New Roman"/>
          <w:b/>
          <w:bCs/>
          <w:i/>
          <w:iCs/>
          <w:color w:val="000000"/>
          <w:sz w:val="20"/>
          <w:szCs w:val="20"/>
        </w:rPr>
        <w:t>Indemnifications</w:t>
      </w:r>
      <w:r>
        <w:rPr>
          <w:rFonts w:eastAsia="Times New Roman"/>
          <w:b/>
          <w:bCs/>
          <w:color w:val="000000"/>
          <w:sz w:val="20"/>
          <w:szCs w:val="20"/>
        </w:rPr>
        <w:t>.</w:t>
      </w:r>
      <w:r>
        <w:rPr>
          <w:rFonts w:eastAsia="Times New Roman"/>
          <w:color w:val="000000"/>
          <w:sz w:val="20"/>
          <w:szCs w:val="20"/>
        </w:rPr>
        <w:t xml:space="preserve"> We generally do not indemnify our customers, licensees and suppliers for losses sustained from infringement of third-party intellectual property rights. However, we are contingently liable under certain agreemen</w:t>
      </w:r>
      <w:r>
        <w:rPr>
          <w:rFonts w:eastAsia="Times New Roman"/>
          <w:color w:val="000000"/>
          <w:sz w:val="20"/>
          <w:szCs w:val="20"/>
        </w:rPr>
        <w:t>ts to defend and/or indemnify certain customers, licensees, and suppliers against certain types of liability and/or damages arising from the infringement of third-party intellectual property rights and companies that purchase businesses we previously conso</w:t>
      </w:r>
      <w:r>
        <w:rPr>
          <w:rFonts w:eastAsia="Times New Roman"/>
          <w:color w:val="000000"/>
          <w:sz w:val="20"/>
          <w:szCs w:val="20"/>
        </w:rPr>
        <w:t>lidated against certain contingent losses. Our obligations under these agreements may be limited in terms of time and/or amounts, and in some instances, we may have recourse against third parties for certain payments made by us. Claims and reimbursements u</w:t>
      </w:r>
      <w:r>
        <w:rPr>
          <w:rFonts w:eastAsia="Times New Roman"/>
          <w:color w:val="000000"/>
          <w:sz w:val="20"/>
          <w:szCs w:val="20"/>
        </w:rPr>
        <w:t xml:space="preserve">nder indemnification arrangements have not been material to our consolidated financial statements. We have not recorded accruals for certain claims under indemnification arrangements based on our belief that additional liabilities, while possible, are not </w:t>
      </w:r>
      <w:r>
        <w:rPr>
          <w:rFonts w:eastAsia="Times New Roman"/>
          <w:color w:val="000000"/>
          <w:sz w:val="20"/>
          <w:szCs w:val="20"/>
        </w:rPr>
        <w:t>probable. Further, any possible range of loss cannot be reasonably estimated at this time.</w:t>
      </w:r>
    </w:p>
    <w:p w:rsidR="00000000" w:rsidRDefault="008931E1">
      <w:pPr>
        <w:ind w:firstLine="360"/>
        <w:divId w:val="1306619450"/>
        <w:rPr>
          <w:rFonts w:eastAsia="Times New Roman"/>
        </w:rPr>
      </w:pPr>
      <w:r>
        <w:rPr>
          <w:rFonts w:eastAsia="Times New Roman"/>
          <w:b/>
          <w:bCs/>
          <w:i/>
          <w:iCs/>
          <w:color w:val="000000"/>
          <w:sz w:val="20"/>
          <w:szCs w:val="20"/>
        </w:rPr>
        <w:t>Purchase Obligations</w:t>
      </w:r>
      <w:r>
        <w:rPr>
          <w:rFonts w:eastAsia="Times New Roman"/>
          <w:b/>
          <w:bCs/>
          <w:color w:val="000000"/>
          <w:sz w:val="20"/>
          <w:szCs w:val="20"/>
        </w:rPr>
        <w:t>.</w:t>
      </w:r>
      <w:r>
        <w:rPr>
          <w:rFonts w:eastAsia="Times New Roman"/>
          <w:color w:val="000000"/>
          <w:sz w:val="20"/>
          <w:szCs w:val="20"/>
        </w:rPr>
        <w:t xml:space="preserve"> We have agreements with suppliers and other parties to purchase inventory, other goods and services and long-lived assets. Such agreements incl</w:t>
      </w:r>
      <w:r>
        <w:rPr>
          <w:rFonts w:eastAsia="Times New Roman"/>
          <w:color w:val="000000"/>
          <w:sz w:val="20"/>
          <w:szCs w:val="20"/>
        </w:rPr>
        <w:t>ude multi-year capacity purchase commitments with certain suppliers of our integrated circuit products. Total advance payments related to multi-year capacity purchase commitments recorded on the consolidated balance sheets at September 24, 2023 and Septemb</w:t>
      </w:r>
      <w:r>
        <w:rPr>
          <w:rFonts w:eastAsia="Times New Roman"/>
          <w:color w:val="000000"/>
          <w:sz w:val="20"/>
          <w:szCs w:val="20"/>
        </w:rPr>
        <w:t>er 25, 2022 were $3.3 billion and $3.8 billion, respectively, of which $404 million and $701 million were recorded in other current assets, respectively, and $2.9 billion and $3.1 billion were recorded in other assets, respectively. Integrated circuit prod</w:t>
      </w:r>
      <w:r>
        <w:rPr>
          <w:rFonts w:eastAsia="Times New Roman"/>
          <w:color w:val="000000"/>
          <w:sz w:val="20"/>
          <w:szCs w:val="20"/>
        </w:rPr>
        <w:t>uct inventory obligations represent purchase commitments (including those under multi-year capacity purchase commitments to the extent such minimum amounts are both fixed and determinable) for raw materials, semiconductor die, finished goods and manufactur</w:t>
      </w:r>
      <w:r>
        <w:rPr>
          <w:rFonts w:eastAsia="Times New Roman"/>
          <w:color w:val="000000"/>
          <w:sz w:val="20"/>
          <w:szCs w:val="20"/>
        </w:rPr>
        <w:t>ing services, such as wafer bump, probe, assembly and final test. Under our manufacturing relationships with our foundry suppliers and assembly and test service providers, cancellation of outstanding purchase commitments is generally allowed but would requ</w:t>
      </w:r>
      <w:r>
        <w:rPr>
          <w:rFonts w:eastAsia="Times New Roman"/>
          <w:color w:val="000000"/>
          <w:sz w:val="20"/>
          <w:szCs w:val="20"/>
        </w:rPr>
        <w:t>ire payment of costs incurred through the date of cancellation. Also, in some cases, we may be subject to incremental fees and/or the loss of amounts paid in advance due to capacity underutilization and/or the failure to meet minimum purchase volumes under</w:t>
      </w:r>
      <w:r>
        <w:rPr>
          <w:rFonts w:eastAsia="Times New Roman"/>
          <w:color w:val="000000"/>
          <w:sz w:val="20"/>
          <w:szCs w:val="20"/>
        </w:rPr>
        <w:t xml:space="preserve"> multi-year capacity purchase commitments. Obligations under our purchase agreements, which primarily relate to integrated circuit product inventory obligations, at September 24, 2023 totaled $12.2 billion of which, $6.8 billion is expected to be paid in t</w:t>
      </w:r>
      <w:r>
        <w:rPr>
          <w:rFonts w:eastAsia="Times New Roman"/>
          <w:color w:val="000000"/>
          <w:sz w:val="20"/>
          <w:szCs w:val="20"/>
        </w:rPr>
        <w:t>he next 12 months.</w:t>
      </w:r>
    </w:p>
    <w:p w:rsidR="00000000" w:rsidRDefault="008931E1">
      <w:pPr>
        <w:ind w:firstLine="360"/>
        <w:divId w:val="1296108215"/>
        <w:rPr>
          <w:rFonts w:eastAsia="Times New Roman"/>
        </w:rPr>
      </w:pPr>
      <w:r>
        <w:rPr>
          <w:rFonts w:eastAsia="Times New Roman"/>
          <w:b/>
          <w:bCs/>
          <w:i/>
          <w:iCs/>
          <w:color w:val="000000"/>
          <w:sz w:val="20"/>
          <w:szCs w:val="20"/>
        </w:rPr>
        <w:t xml:space="preserve">Operating Leases. </w:t>
      </w:r>
      <w:r>
        <w:rPr>
          <w:rFonts w:eastAsia="Times New Roman"/>
          <w:color w:val="000000"/>
          <w:sz w:val="20"/>
          <w:szCs w:val="20"/>
        </w:rPr>
        <w:t>We lease certain of our land, facilities and equipment under operating leases, with terms ranging from less than one year to 20 years, some of which include options to extend for up to 20 years. At September 24, 2023 and September 25, 2022, the weighted-av</w:t>
      </w:r>
      <w:r>
        <w:rPr>
          <w:rFonts w:eastAsia="Times New Roman"/>
          <w:color w:val="000000"/>
          <w:sz w:val="20"/>
          <w:szCs w:val="20"/>
        </w:rPr>
        <w:t>erage remaining lease term for operating leases was eight years. Operating lease expense for fiscal 2023, 2022 and 2021 was $204 million, $207 million and $203 million, respectively. At September 24, 2023,</w:t>
      </w:r>
      <w:r>
        <w:rPr>
          <w:rFonts w:eastAsia="Times New Roman"/>
          <w:color w:val="000000"/>
          <w:sz w:val="20"/>
          <w:szCs w:val="20"/>
        </w:rPr>
        <w:t xml:space="preserve"> </w:t>
      </w:r>
      <w:r>
        <w:rPr>
          <w:rFonts w:eastAsia="Times New Roman"/>
          <w:color w:val="000000"/>
          <w:sz w:val="20"/>
          <w:szCs w:val="20"/>
        </w:rPr>
        <w:t>other asset</w:t>
      </w:r>
      <w:r>
        <w:rPr>
          <w:rFonts w:eastAsia="Times New Roman"/>
          <w:color w:val="000000"/>
          <w:sz w:val="20"/>
          <w:szCs w:val="20"/>
        </w:rPr>
        <w:t>s</w:t>
      </w:r>
      <w:r>
        <w:rPr>
          <w:rFonts w:eastAsia="Times New Roman"/>
          <w:color w:val="000000"/>
          <w:sz w:val="20"/>
          <w:szCs w:val="20"/>
        </w:rPr>
        <w:t xml:space="preserve"> included $612 million of operating le</w:t>
      </w:r>
      <w:r>
        <w:rPr>
          <w:rFonts w:eastAsia="Times New Roman"/>
          <w:color w:val="000000"/>
          <w:sz w:val="20"/>
          <w:szCs w:val="20"/>
        </w:rPr>
        <w:t>ase assets, with corresponding lease liabilities of $98 million recorded in</w:t>
      </w:r>
      <w:r>
        <w:rPr>
          <w:rFonts w:eastAsia="Times New Roman"/>
          <w:color w:val="000000"/>
          <w:sz w:val="20"/>
          <w:szCs w:val="20"/>
        </w:rPr>
        <w:t xml:space="preserve"> </w:t>
      </w:r>
      <w:r>
        <w:rPr>
          <w:rFonts w:eastAsia="Times New Roman"/>
          <w:color w:val="000000"/>
          <w:sz w:val="20"/>
          <w:szCs w:val="20"/>
        </w:rPr>
        <w:t>other current liabilitie</w:t>
      </w:r>
      <w:r>
        <w:rPr>
          <w:rFonts w:eastAsia="Times New Roman"/>
          <w:color w:val="000000"/>
          <w:sz w:val="20"/>
          <w:szCs w:val="20"/>
        </w:rPr>
        <w:t>s</w:t>
      </w:r>
      <w:r>
        <w:rPr>
          <w:rFonts w:eastAsia="Times New Roman"/>
          <w:color w:val="000000"/>
          <w:sz w:val="20"/>
          <w:szCs w:val="20"/>
        </w:rPr>
        <w:t xml:space="preserve"> and $571 million recorded in</w:t>
      </w:r>
      <w:r>
        <w:rPr>
          <w:rFonts w:eastAsia="Times New Roman"/>
          <w:color w:val="000000"/>
          <w:sz w:val="20"/>
          <w:szCs w:val="20"/>
        </w:rPr>
        <w:t xml:space="preserve"> </w:t>
      </w:r>
      <w:r>
        <w:rPr>
          <w:rFonts w:eastAsia="Times New Roman"/>
          <w:color w:val="000000"/>
          <w:sz w:val="20"/>
          <w:szCs w:val="20"/>
        </w:rPr>
        <w:t>other liabilitie</w:t>
      </w:r>
      <w:r>
        <w:rPr>
          <w:rFonts w:eastAsia="Times New Roman"/>
          <w:color w:val="000000"/>
          <w:sz w:val="20"/>
          <w:szCs w:val="20"/>
        </w:rPr>
        <w:t>s</w:t>
      </w:r>
      <w:r>
        <w:rPr>
          <w:rFonts w:eastAsia="Times New Roman"/>
          <w:color w:val="000000"/>
          <w:sz w:val="20"/>
          <w:szCs w:val="20"/>
        </w:rPr>
        <w:t>. At September 25, 2022, other assets included $631 million of operating lease assets, with corresponding le</w:t>
      </w:r>
      <w:r>
        <w:rPr>
          <w:rFonts w:eastAsia="Times New Roman"/>
          <w:color w:val="000000"/>
          <w:sz w:val="20"/>
          <w:szCs w:val="20"/>
        </w:rPr>
        <w:t xml:space="preserve">ase liabilities of $104 million recorded in other current liabilities and $573 million recorded in other liabilities. </w:t>
      </w:r>
    </w:p>
    <w:p w:rsidR="00000000" w:rsidRDefault="008931E1">
      <w:pPr>
        <w:jc w:val="center"/>
        <w:divId w:val="268440894"/>
        <w:rPr>
          <w:rFonts w:eastAsia="Times New Roman"/>
        </w:rPr>
      </w:pPr>
      <w:r>
        <w:rPr>
          <w:rFonts w:eastAsia="Times New Roman"/>
          <w:color w:val="000000"/>
          <w:sz w:val="20"/>
          <w:szCs w:val="20"/>
        </w:rPr>
        <w:t>F-24</w:t>
      </w:r>
    </w:p>
    <w:p w:rsidR="00000000" w:rsidRDefault="008931E1">
      <w:pPr>
        <w:rPr>
          <w:rFonts w:eastAsia="Times New Roman"/>
        </w:rPr>
      </w:pPr>
      <w:r>
        <w:rPr>
          <w:rFonts w:eastAsia="Times New Roman"/>
        </w:rPr>
        <w:pict>
          <v:rect id="_x0000_i1103" style="width:0;height:1.5pt" o:hralign="center" o:hrstd="t" o:hr="t" fillcolor="#a0a0a0" stroked="f"/>
        </w:pict>
      </w:r>
    </w:p>
    <w:p w:rsidR="00000000" w:rsidRDefault="008931E1">
      <w:pPr>
        <w:jc w:val="center"/>
        <w:divId w:val="206180836"/>
        <w:rPr>
          <w:rFonts w:eastAsia="Times New Roman"/>
        </w:rPr>
      </w:pPr>
    </w:p>
    <w:p w:rsidR="00000000" w:rsidRDefault="008931E1">
      <w:pPr>
        <w:jc w:val="center"/>
        <w:divId w:val="206180836"/>
        <w:rPr>
          <w:rFonts w:eastAsia="Times New Roman"/>
        </w:rPr>
      </w:pPr>
      <w:r>
        <w:rPr>
          <w:rFonts w:eastAsia="Times New Roman"/>
          <w:b/>
          <w:bCs/>
          <w:color w:val="000000"/>
          <w:sz w:val="20"/>
          <w:szCs w:val="20"/>
        </w:rPr>
        <w:t>QUALCOMM Incorporated</w:t>
      </w:r>
    </w:p>
    <w:p w:rsidR="00000000" w:rsidRDefault="008931E1">
      <w:pPr>
        <w:jc w:val="center"/>
        <w:divId w:val="206180836"/>
        <w:rPr>
          <w:rFonts w:eastAsia="Times New Roman"/>
        </w:rPr>
      </w:pPr>
      <w:r>
        <w:rPr>
          <w:rFonts w:eastAsia="Times New Roman"/>
          <w:b/>
          <w:bCs/>
          <w:color w:val="000000"/>
          <w:sz w:val="20"/>
          <w:szCs w:val="20"/>
        </w:rPr>
        <w:t>NOTES TO CONSOLIDATED FINANCIAL STATEMENTS</w:t>
      </w:r>
    </w:p>
    <w:p w:rsidR="00000000" w:rsidRDefault="008931E1">
      <w:pPr>
        <w:ind w:firstLine="360"/>
        <w:divId w:val="1709988406"/>
        <w:rPr>
          <w:rFonts w:eastAsia="Times New Roman"/>
        </w:rPr>
      </w:pPr>
      <w:r>
        <w:rPr>
          <w:rFonts w:eastAsia="Times New Roman"/>
          <w:color w:val="000000"/>
          <w:sz w:val="20"/>
          <w:szCs w:val="20"/>
        </w:rPr>
        <w:t>At September 24, 2023, future lease payments under our operating leases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4"/>
        <w:gridCol w:w="6952"/>
        <w:gridCol w:w="36"/>
        <w:gridCol w:w="36"/>
        <w:gridCol w:w="36"/>
        <w:gridCol w:w="111"/>
        <w:gridCol w:w="1045"/>
        <w:gridCol w:w="36"/>
      </w:tblGrid>
      <w:tr w:rsidR="00000000">
        <w:trPr>
          <w:divId w:val="341468728"/>
        </w:trPr>
        <w:tc>
          <w:tcPr>
            <w:tcW w:w="50" w:type="pct"/>
            <w:vAlign w:val="center"/>
            <w:hideMark/>
          </w:tcPr>
          <w:p w:rsidR="00000000" w:rsidRDefault="008931E1">
            <w:pPr>
              <w:ind w:firstLine="360"/>
              <w:rPr>
                <w:rFonts w:eastAsia="Times New Roman"/>
              </w:rPr>
            </w:pPr>
          </w:p>
        </w:tc>
        <w:tc>
          <w:tcPr>
            <w:tcW w:w="423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65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341468728"/>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r>
      <w:tr w:rsidR="00000000">
        <w:trPr>
          <w:divId w:val="341468728"/>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2130081937"/>
              <w:rPr>
                <w:rFonts w:eastAsia="Times New Roman"/>
              </w:rPr>
            </w:pPr>
            <w:r>
              <w:rPr>
                <w:rFonts w:eastAsia="Times New Roman"/>
                <w:color w:val="000000"/>
                <w:sz w:val="18"/>
                <w:szCs w:val="18"/>
              </w:rPr>
              <w:t>2024</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41468728"/>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967807841"/>
              <w:rPr>
                <w:rFonts w:eastAsia="Times New Roman"/>
              </w:rPr>
            </w:pPr>
            <w:r>
              <w:rPr>
                <w:rFonts w:eastAsia="Times New Roman"/>
                <w:color w:val="000000"/>
                <w:sz w:val="18"/>
                <w:szCs w:val="18"/>
              </w:rPr>
              <w:t>2025</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41468728"/>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21464871"/>
              <w:rPr>
                <w:rFonts w:eastAsia="Times New Roman"/>
              </w:rPr>
            </w:pPr>
            <w:r>
              <w:rPr>
                <w:rFonts w:eastAsia="Times New Roman"/>
                <w:color w:val="000000"/>
                <w:sz w:val="18"/>
                <w:szCs w:val="18"/>
              </w:rPr>
              <w:t>2026</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41468728"/>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979921400"/>
              <w:rPr>
                <w:rFonts w:eastAsia="Times New Roman"/>
              </w:rPr>
            </w:pPr>
            <w:r>
              <w:rPr>
                <w:rFonts w:eastAsia="Times New Roman"/>
                <w:color w:val="000000"/>
                <w:sz w:val="18"/>
                <w:szCs w:val="18"/>
              </w:rPr>
              <w:t>2027</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41468728"/>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850948803"/>
              <w:rPr>
                <w:rFonts w:eastAsia="Times New Roman"/>
              </w:rPr>
            </w:pPr>
            <w:r>
              <w:rPr>
                <w:rFonts w:eastAsia="Times New Roman"/>
                <w:color w:val="000000"/>
                <w:sz w:val="18"/>
                <w:szCs w:val="18"/>
              </w:rPr>
              <w:t>2028</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41468728"/>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Thereafter</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41468728"/>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future lease payments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41468728"/>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Imputed interest</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(203)</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41468728"/>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lease liability balance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divId w:val="190998712"/>
        <w:rPr>
          <w:rFonts w:eastAsia="Times New Roman"/>
        </w:rPr>
      </w:pPr>
      <w:r>
        <w:rPr>
          <w:rFonts w:eastAsia="Times New Roman"/>
          <w:b/>
          <w:bCs/>
          <w:color w:val="000000"/>
          <w:sz w:val="20"/>
          <w:szCs w:val="20"/>
        </w:rPr>
        <w:br/>
        <w:t>Note 8. Segment Information</w:t>
      </w:r>
    </w:p>
    <w:p w:rsidR="00000000" w:rsidRDefault="008931E1">
      <w:pPr>
        <w:ind w:firstLine="360"/>
        <w:divId w:val="2124421548"/>
        <w:rPr>
          <w:rFonts w:eastAsia="Times New Roman"/>
        </w:rPr>
      </w:pPr>
      <w:r>
        <w:rPr>
          <w:rFonts w:eastAsia="Times New Roman"/>
          <w:color w:val="000000"/>
          <w:sz w:val="20"/>
          <w:szCs w:val="20"/>
        </w:rPr>
        <w:t>We are organized on the basis of products and services and have three reportable segments. Our operating segments reflect the way our businesses and management/reporting structure are organized internally and the way our Chief Operating Decision Maker (COD</w:t>
      </w:r>
      <w:r>
        <w:rPr>
          <w:rFonts w:eastAsia="Times New Roman"/>
          <w:color w:val="000000"/>
          <w:sz w:val="20"/>
          <w:szCs w:val="20"/>
        </w:rPr>
        <w:t>M), who is our CEO, reviews financial information, makes operating decisions and assesses business performance. We also consider, among other items, the way budgets and forecasts are prepared and reviewed and the basis on which executive compensation is de</w:t>
      </w:r>
      <w:r>
        <w:rPr>
          <w:rFonts w:eastAsia="Times New Roman"/>
          <w:color w:val="000000"/>
          <w:sz w:val="20"/>
          <w:szCs w:val="20"/>
        </w:rPr>
        <w:t>termined, as well as the similarities and the level of centralized resource planning within our operating segments, such as the nature of products, the level of shared products, technology and other resources, production processes and customer base. We con</w:t>
      </w:r>
      <w:r>
        <w:rPr>
          <w:rFonts w:eastAsia="Times New Roman"/>
          <w:color w:val="000000"/>
          <w:sz w:val="20"/>
          <w:szCs w:val="20"/>
        </w:rPr>
        <w:t>duct business primarily through our QCT semiconductor business and our QTL licensing business. QCT develops and supplies integrated circuits and system software based on 3G/4G/5G and other technologies, including RFFE, for use in mobile devices; automotive</w:t>
      </w:r>
      <w:r>
        <w:rPr>
          <w:rFonts w:eastAsia="Times New Roman"/>
          <w:color w:val="000000"/>
          <w:sz w:val="20"/>
          <w:szCs w:val="20"/>
        </w:rPr>
        <w:t xml:space="preserve"> systems for connectivity, digital cockpit and ADAS/AD; and IoT including consumer electronic devices; industrial devices; and edge networking products. QTL grants licenses or otherwise provides rights to use portions of our intellectual property portfolio</w:t>
      </w:r>
      <w:r>
        <w:rPr>
          <w:rFonts w:eastAsia="Times New Roman"/>
          <w:color w:val="000000"/>
          <w:sz w:val="20"/>
          <w:szCs w:val="20"/>
        </w:rPr>
        <w:t>, which includes certain patent rights essential to and/or useful in the manufacture and sale of certain wireless products. Our QSI (Qualcomm Strategic Initiatives) reportable segment makes strategic investments. We also have nonreportable segments, includ</w:t>
      </w:r>
      <w:r>
        <w:rPr>
          <w:rFonts w:eastAsia="Times New Roman"/>
          <w:color w:val="000000"/>
          <w:sz w:val="20"/>
          <w:szCs w:val="20"/>
        </w:rPr>
        <w:t>ing QGOV (Qualcomm Government Technologies) and our cloud computing processing initiative (formerly referred to as our cloud AI inference processing initiative).</w:t>
      </w:r>
    </w:p>
    <w:p w:rsidR="00000000" w:rsidRDefault="008931E1">
      <w:pPr>
        <w:ind w:firstLine="360"/>
        <w:divId w:val="2037923027"/>
        <w:rPr>
          <w:rFonts w:eastAsia="Times New Roman"/>
        </w:rPr>
      </w:pPr>
      <w:r>
        <w:rPr>
          <w:rFonts w:eastAsia="Times New Roman"/>
          <w:color w:val="000000"/>
          <w:sz w:val="20"/>
          <w:szCs w:val="20"/>
        </w:rPr>
        <w:t>Our CODM allocates resources to and evaluates the performance of our segments based on revenue</w:t>
      </w:r>
      <w:r>
        <w:rPr>
          <w:rFonts w:eastAsia="Times New Roman"/>
          <w:color w:val="000000"/>
          <w:sz w:val="20"/>
          <w:szCs w:val="20"/>
        </w:rPr>
        <w:t>s and earnings (loss) before income taxes (EBT). Segment EBT includes the allocation of certain corporate expenses to the segments, including depreciation and amortization expense related to certain corporate assets. Certain income and charges are not allo</w:t>
      </w:r>
      <w:r>
        <w:rPr>
          <w:rFonts w:eastAsia="Times New Roman"/>
          <w:color w:val="000000"/>
          <w:sz w:val="20"/>
          <w:szCs w:val="20"/>
        </w:rPr>
        <w:t>cated to segments in our management reports because they are not considered in evaluating the segments’ operating performance. Unallocated income and charges include certain interest expense, certain net investment income, certain share-based compensation,</w:t>
      </w:r>
      <w:r>
        <w:rPr>
          <w:rFonts w:eastAsia="Times New Roman"/>
          <w:color w:val="000000"/>
          <w:sz w:val="20"/>
          <w:szCs w:val="20"/>
        </w:rPr>
        <w:t xml:space="preserve"> gains and losses on our deferred compensation plan liabilities and related assets and certain research and development expenses, certain selling, general and administrative expenses and other expenses or income that were deemed to be not directly related </w:t>
      </w:r>
      <w:r>
        <w:rPr>
          <w:rFonts w:eastAsia="Times New Roman"/>
          <w:color w:val="000000"/>
          <w:sz w:val="20"/>
          <w:szCs w:val="20"/>
        </w:rPr>
        <w:t>to the businesses of the segments. Additionally, unallocated charges include recognition of the step-up of inventories and property, plant and equipment to fair value, amortization of certain intangible assets and certain other acquisition-related charges,</w:t>
      </w:r>
      <w:r>
        <w:rPr>
          <w:rFonts w:eastAsia="Times New Roman"/>
          <w:color w:val="000000"/>
          <w:sz w:val="20"/>
          <w:szCs w:val="20"/>
        </w:rPr>
        <w:t xml:space="preserve"> third-party acquisition and integration services costs and certain other items, which may include major restructuring and restructuring-related costs, asset impairment charges and awards, settlements and/or damages arising from legal or regulatory matters</w:t>
      </w:r>
      <w:r>
        <w:rPr>
          <w:rFonts w:eastAsia="Times New Roman"/>
          <w:color w:val="000000"/>
          <w:sz w:val="20"/>
          <w:szCs w:val="20"/>
        </w:rPr>
        <w:t>. Our CODM does not evaluate our operating segments using discrete asset information.</w:t>
      </w:r>
    </w:p>
    <w:p w:rsidR="00000000" w:rsidRDefault="008931E1">
      <w:pPr>
        <w:jc w:val="center"/>
        <w:divId w:val="2035761290"/>
        <w:rPr>
          <w:rFonts w:eastAsia="Times New Roman"/>
        </w:rPr>
      </w:pPr>
      <w:r>
        <w:rPr>
          <w:rFonts w:eastAsia="Times New Roman"/>
          <w:color w:val="000000"/>
          <w:sz w:val="20"/>
          <w:szCs w:val="20"/>
        </w:rPr>
        <w:t>F-25</w:t>
      </w:r>
    </w:p>
    <w:p w:rsidR="00000000" w:rsidRDefault="008931E1">
      <w:pPr>
        <w:rPr>
          <w:rFonts w:eastAsia="Times New Roman"/>
        </w:rPr>
      </w:pPr>
      <w:r>
        <w:rPr>
          <w:rFonts w:eastAsia="Times New Roman"/>
        </w:rPr>
        <w:pict>
          <v:rect id="_x0000_i1104" style="width:0;height:1.5pt" o:hralign="center" o:hrstd="t" o:hr="t" fillcolor="#a0a0a0" stroked="f"/>
        </w:pict>
      </w:r>
    </w:p>
    <w:p w:rsidR="00000000" w:rsidRDefault="008931E1">
      <w:pPr>
        <w:jc w:val="center"/>
        <w:divId w:val="1083331003"/>
        <w:rPr>
          <w:rFonts w:eastAsia="Times New Roman"/>
        </w:rPr>
      </w:pPr>
    </w:p>
    <w:p w:rsidR="00000000" w:rsidRDefault="008931E1">
      <w:pPr>
        <w:jc w:val="center"/>
        <w:divId w:val="1083331003"/>
        <w:rPr>
          <w:rFonts w:eastAsia="Times New Roman"/>
        </w:rPr>
      </w:pPr>
      <w:r>
        <w:rPr>
          <w:rFonts w:eastAsia="Times New Roman"/>
          <w:b/>
          <w:bCs/>
          <w:color w:val="000000"/>
          <w:sz w:val="20"/>
          <w:szCs w:val="20"/>
        </w:rPr>
        <w:t>QUALCOMM Incorporated</w:t>
      </w:r>
    </w:p>
    <w:p w:rsidR="00000000" w:rsidRDefault="008931E1">
      <w:pPr>
        <w:jc w:val="center"/>
        <w:divId w:val="1083331003"/>
        <w:rPr>
          <w:rFonts w:eastAsia="Times New Roman"/>
        </w:rPr>
      </w:pPr>
      <w:r>
        <w:rPr>
          <w:rFonts w:eastAsia="Times New Roman"/>
          <w:b/>
          <w:bCs/>
          <w:color w:val="000000"/>
          <w:sz w:val="20"/>
          <w:szCs w:val="20"/>
        </w:rPr>
        <w:t>NOTES TO CONSOLIDATED FINANCIAL STATEMENTS</w:t>
      </w:r>
    </w:p>
    <w:p w:rsidR="00000000" w:rsidRDefault="008931E1">
      <w:pPr>
        <w:ind w:firstLine="360"/>
        <w:divId w:val="104930455"/>
        <w:rPr>
          <w:rFonts w:eastAsia="Times New Roman"/>
        </w:rPr>
      </w:pPr>
      <w:r>
        <w:rPr>
          <w:rFonts w:eastAsia="Times New Roman"/>
          <w:color w:val="000000"/>
          <w:sz w:val="20"/>
          <w:szCs w:val="20"/>
        </w:rPr>
        <w:t>The table below presents revenues and EBT for reportable segm</w:t>
      </w:r>
      <w:r>
        <w:rPr>
          <w:rFonts w:eastAsia="Times New Roman"/>
          <w:color w:val="000000"/>
          <w:sz w:val="20"/>
          <w:szCs w:val="20"/>
        </w:rPr>
        <w:t>ents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5022"/>
        <w:gridCol w:w="36"/>
        <w:gridCol w:w="110"/>
        <w:gridCol w:w="866"/>
        <w:gridCol w:w="36"/>
        <w:gridCol w:w="36"/>
        <w:gridCol w:w="36"/>
        <w:gridCol w:w="36"/>
        <w:gridCol w:w="110"/>
        <w:gridCol w:w="832"/>
        <w:gridCol w:w="36"/>
        <w:gridCol w:w="36"/>
        <w:gridCol w:w="36"/>
        <w:gridCol w:w="36"/>
        <w:gridCol w:w="110"/>
        <w:gridCol w:w="832"/>
        <w:gridCol w:w="36"/>
      </w:tblGrid>
      <w:tr w:rsidR="00000000">
        <w:trPr>
          <w:divId w:val="104352229"/>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04352229"/>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2021</w:t>
            </w:r>
          </w:p>
        </w:tc>
      </w:tr>
      <w:tr w:rsidR="00000000">
        <w:trPr>
          <w:divId w:val="104352229"/>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Revenues: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04352229"/>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QCT</w:t>
            </w: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30,382 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37,677 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27,019 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4352229"/>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QTL</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5,306 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6,358 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6,320 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4352229"/>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QSI</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4352229"/>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Reconciling items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4352229"/>
        </w:trPr>
        <w:tc>
          <w:tcPr>
            <w:tcW w:w="0" w:type="auto"/>
            <w:gridSpan w:val="3"/>
            <w:shd w:val="clear" w:color="auto" w:fill="CCEE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44,200 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4352229"/>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EBT: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04352229"/>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QCT</w:t>
            </w: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7,924 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12,837 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7,763 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4352229"/>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QTL</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3,628 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4,628 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4,627 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4352229"/>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QSI</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(279)</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916 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4352229"/>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Reconciling items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(4,097)</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(2,188)</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(3,032)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4352229"/>
        </w:trPr>
        <w:tc>
          <w:tcPr>
            <w:tcW w:w="0" w:type="auto"/>
            <w:gridSpan w:val="3"/>
            <w:shd w:val="clear" w:color="auto" w:fill="CCEE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7,443 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14,998 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10,274 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04352229"/>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04352229"/>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04352229"/>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04352229"/>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04352229"/>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04352229"/>
        </w:trPr>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bl>
    <w:p w:rsidR="00000000" w:rsidRDefault="008931E1">
      <w:pPr>
        <w:ind w:firstLine="360"/>
        <w:divId w:val="24331021"/>
        <w:rPr>
          <w:rFonts w:eastAsia="Times New Roman"/>
        </w:rPr>
      </w:pPr>
      <w:r>
        <w:rPr>
          <w:rFonts w:eastAsia="Times New Roman"/>
          <w:color w:val="000000"/>
          <w:sz w:val="20"/>
          <w:szCs w:val="20"/>
        </w:rPr>
        <w:t>Reconciling items for revenues and EBT in the previous table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389"/>
        <w:gridCol w:w="36"/>
        <w:gridCol w:w="36"/>
        <w:gridCol w:w="36"/>
        <w:gridCol w:w="36"/>
        <w:gridCol w:w="400"/>
        <w:gridCol w:w="46"/>
        <w:gridCol w:w="400"/>
        <w:gridCol w:w="46"/>
        <w:gridCol w:w="110"/>
        <w:gridCol w:w="751"/>
        <w:gridCol w:w="36"/>
        <w:gridCol w:w="36"/>
        <w:gridCol w:w="36"/>
        <w:gridCol w:w="36"/>
        <w:gridCol w:w="110"/>
        <w:gridCol w:w="706"/>
        <w:gridCol w:w="36"/>
        <w:gridCol w:w="36"/>
        <w:gridCol w:w="36"/>
        <w:gridCol w:w="36"/>
        <w:gridCol w:w="110"/>
        <w:gridCol w:w="707"/>
        <w:gridCol w:w="36"/>
      </w:tblGrid>
      <w:tr w:rsidR="00000000">
        <w:trPr>
          <w:divId w:val="1100376231"/>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100376231"/>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2021</w:t>
            </w: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r>
      <w:tr w:rsidR="00000000">
        <w:trPr>
          <w:divId w:val="1100376231"/>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Revenues: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10037623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Nonreportable segments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0037623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divId w:val="1866627783"/>
              <w:rPr>
                <w:rFonts w:eastAsia="Times New Roman"/>
              </w:rPr>
            </w:pPr>
            <w:r>
              <w:rPr>
                <w:rFonts w:eastAsia="Times New Roman"/>
                <w:color w:val="000000"/>
                <w:sz w:val="18"/>
                <w:szCs w:val="18"/>
              </w:rPr>
              <w:t>Unallocated revenues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(40)</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00376231"/>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00376231"/>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EBT:</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931E1">
            <w:pPr>
              <w:spacing w:after="100"/>
              <w:rPr>
                <w:rFonts w:eastAsia="Times New Roman"/>
                <w:sz w:val="20"/>
                <w:szCs w:val="20"/>
              </w:rPr>
            </w:pPr>
          </w:p>
        </w:tc>
      </w:tr>
      <w:tr w:rsidR="00000000">
        <w:trPr>
          <w:divId w:val="110037623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1386293385"/>
              <w:rPr>
                <w:rFonts w:eastAsia="Times New Roman"/>
              </w:rPr>
            </w:pPr>
            <w:r>
              <w:rPr>
                <w:rFonts w:eastAsia="Times New Roman"/>
                <w:color w:val="000000"/>
                <w:sz w:val="18"/>
                <w:szCs w:val="18"/>
              </w:rPr>
              <w:t>Unallocated revenues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(40)</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0037623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Unallocated cost of revenues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(205)</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(266)</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(277)</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0037623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Unallocated research and development expenses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(2,034)</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(1,767)</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w:t>
            </w:r>
            <w:r>
              <w:rPr>
                <w:rFonts w:eastAsia="Times New Roman"/>
                <w:color w:val="000000"/>
                <w:sz w:val="18"/>
                <w:szCs w:val="18"/>
              </w:rPr>
              <w:t>1,820)</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0037623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Unallocated selling, general and administrative expenses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(588)</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(609)</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(538)</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0037623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750395454"/>
              <w:rPr>
                <w:rFonts w:eastAsia="Times New Roman"/>
              </w:rPr>
            </w:pPr>
            <w:r>
              <w:rPr>
                <w:rFonts w:eastAsia="Times New Roman"/>
                <w:color w:val="000000"/>
                <w:sz w:val="18"/>
                <w:szCs w:val="18"/>
              </w:rPr>
              <w:t>Unallocated other (expense) income (Note 2)</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(862)</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1,059 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0037623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Unallocated interest expense</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(694)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(490)</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(559)</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00376231"/>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divId w:val="2131245792"/>
              <w:rPr>
                <w:rFonts w:eastAsia="Times New Roman"/>
              </w:rPr>
            </w:pPr>
            <w:r>
              <w:rPr>
                <w:rFonts w:eastAsia="Times New Roman"/>
                <w:color w:val="000000"/>
                <w:sz w:val="18"/>
                <w:szCs w:val="18"/>
              </w:rPr>
              <w:t>Unallocated investment and other income (expense), net</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364 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(91)</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166 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00376231"/>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Nonreportable segments</w:t>
            </w:r>
          </w:p>
        </w:tc>
        <w:tc>
          <w:tcPr>
            <w:tcW w:w="0" w:type="auto"/>
            <w:vAlign w:val="center"/>
            <w:hideMark/>
          </w:tcPr>
          <w:p w:rsidR="00000000" w:rsidRDefault="008931E1">
            <w:pPr>
              <w:spacing w:after="100"/>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(38)</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(58)</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00376231"/>
        </w:trPr>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(4,097)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(2,188)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firstLine="360"/>
        <w:divId w:val="1660115708"/>
        <w:rPr>
          <w:rFonts w:eastAsia="Times New Roman"/>
        </w:rPr>
      </w:pPr>
      <w:r>
        <w:rPr>
          <w:rFonts w:eastAsia="Times New Roman"/>
          <w:color w:val="000000"/>
          <w:sz w:val="20"/>
          <w:szCs w:val="20"/>
        </w:rPr>
        <w:t>The net book value of long-lived tangible assets located outside of the U.S. (the majority of which is located in Taiwan and the rest of t</w:t>
      </w:r>
      <w:r>
        <w:rPr>
          <w:rFonts w:eastAsia="Times New Roman"/>
          <w:color w:val="000000"/>
          <w:sz w:val="20"/>
          <w:szCs w:val="20"/>
        </w:rPr>
        <w:t>he Asia-Pacific region) was $3.6 billion and $3.5 billion at September 24, 2023 and September 25, 2022, respectively. The net book value of long-lived tangible assets located in the U.S. was $2.0 billion and $2.3 billion at September 24, 2023 and September</w:t>
      </w:r>
      <w:r>
        <w:rPr>
          <w:rFonts w:eastAsia="Times New Roman"/>
          <w:color w:val="000000"/>
          <w:sz w:val="20"/>
          <w:szCs w:val="20"/>
        </w:rPr>
        <w:t> 25, 2022, respectively.</w:t>
      </w:r>
    </w:p>
    <w:p w:rsidR="00000000" w:rsidRDefault="008931E1">
      <w:pPr>
        <w:jc w:val="center"/>
        <w:divId w:val="490023233"/>
        <w:rPr>
          <w:rFonts w:eastAsia="Times New Roman"/>
        </w:rPr>
      </w:pPr>
      <w:r>
        <w:rPr>
          <w:rFonts w:eastAsia="Times New Roman"/>
          <w:color w:val="000000"/>
          <w:sz w:val="20"/>
          <w:szCs w:val="20"/>
        </w:rPr>
        <w:t>F-26</w:t>
      </w:r>
    </w:p>
    <w:p w:rsidR="00000000" w:rsidRDefault="008931E1">
      <w:pPr>
        <w:rPr>
          <w:rFonts w:eastAsia="Times New Roman"/>
        </w:rPr>
      </w:pPr>
      <w:r>
        <w:rPr>
          <w:rFonts w:eastAsia="Times New Roman"/>
        </w:rPr>
        <w:pict>
          <v:rect id="_x0000_i1105" style="width:0;height:1.5pt" o:hralign="center" o:hrstd="t" o:hr="t" fillcolor="#a0a0a0" stroked="f"/>
        </w:pict>
      </w:r>
    </w:p>
    <w:p w:rsidR="00000000" w:rsidRDefault="008931E1">
      <w:pPr>
        <w:jc w:val="center"/>
        <w:divId w:val="708335736"/>
        <w:rPr>
          <w:rFonts w:eastAsia="Times New Roman"/>
        </w:rPr>
      </w:pPr>
    </w:p>
    <w:p w:rsidR="00000000" w:rsidRDefault="008931E1">
      <w:pPr>
        <w:jc w:val="center"/>
        <w:divId w:val="708335736"/>
        <w:rPr>
          <w:rFonts w:eastAsia="Times New Roman"/>
        </w:rPr>
      </w:pPr>
      <w:r>
        <w:rPr>
          <w:rFonts w:eastAsia="Times New Roman"/>
          <w:b/>
          <w:bCs/>
          <w:color w:val="000000"/>
          <w:sz w:val="20"/>
          <w:szCs w:val="20"/>
        </w:rPr>
        <w:t>QUALCOMM Incorporated</w:t>
      </w:r>
    </w:p>
    <w:p w:rsidR="00000000" w:rsidRDefault="008931E1">
      <w:pPr>
        <w:jc w:val="center"/>
        <w:divId w:val="708335736"/>
        <w:rPr>
          <w:rFonts w:eastAsia="Times New Roman"/>
        </w:rPr>
      </w:pPr>
      <w:r>
        <w:rPr>
          <w:rFonts w:eastAsia="Times New Roman"/>
          <w:b/>
          <w:bCs/>
          <w:color w:val="000000"/>
          <w:sz w:val="20"/>
          <w:szCs w:val="20"/>
        </w:rPr>
        <w:t>NOTES TO CONSOLIDATED FINANCIAL STATEMENTS</w:t>
      </w:r>
    </w:p>
    <w:p w:rsidR="00000000" w:rsidRDefault="008931E1">
      <w:pPr>
        <w:ind w:firstLine="360"/>
        <w:divId w:val="512302754"/>
        <w:rPr>
          <w:rFonts w:eastAsia="Times New Roman"/>
        </w:rPr>
      </w:pPr>
      <w:r>
        <w:rPr>
          <w:rFonts w:eastAsia="Times New Roman"/>
          <w:color w:val="000000"/>
          <w:sz w:val="20"/>
          <w:szCs w:val="20"/>
        </w:rPr>
        <w:t>We report revenues from external customers by country based on the location to which our products or services are delivered, which for QCT is generally t</w:t>
      </w:r>
      <w:r>
        <w:rPr>
          <w:rFonts w:eastAsia="Times New Roman"/>
          <w:color w:val="000000"/>
          <w:sz w:val="20"/>
          <w:szCs w:val="20"/>
        </w:rPr>
        <w:t>he country in which our customers manufacture their products, and for licensing revenues, the invoiced addresses of our licensees. As a result, the revenues by country presented herein are not necessarily indicative of either the country in which the devic</w:t>
      </w:r>
      <w:r>
        <w:rPr>
          <w:rFonts w:eastAsia="Times New Roman"/>
          <w:color w:val="000000"/>
          <w:sz w:val="20"/>
          <w:szCs w:val="20"/>
        </w:rPr>
        <w:t>es containing our products and/or intellectual property are ultimately sold to consumers or the country in which the companies that sell the devices are headquartered. For example, China revenues could include revenues related to shipments of integrated ci</w:t>
      </w:r>
      <w:r>
        <w:rPr>
          <w:rFonts w:eastAsia="Times New Roman"/>
          <w:color w:val="000000"/>
          <w:sz w:val="20"/>
          <w:szCs w:val="20"/>
        </w:rPr>
        <w:t>rcuits for a company that is headquartered in South Korea but that manufactures devices in China, which devices are then sold to consumers in Europe and/or the United States. Revenues by country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5022"/>
        <w:gridCol w:w="36"/>
        <w:gridCol w:w="110"/>
        <w:gridCol w:w="866"/>
        <w:gridCol w:w="36"/>
        <w:gridCol w:w="36"/>
        <w:gridCol w:w="36"/>
        <w:gridCol w:w="36"/>
        <w:gridCol w:w="110"/>
        <w:gridCol w:w="832"/>
        <w:gridCol w:w="36"/>
        <w:gridCol w:w="36"/>
        <w:gridCol w:w="36"/>
        <w:gridCol w:w="36"/>
        <w:gridCol w:w="110"/>
        <w:gridCol w:w="832"/>
        <w:gridCol w:w="36"/>
      </w:tblGrid>
      <w:tr w:rsidR="00000000">
        <w:trPr>
          <w:divId w:val="761953977"/>
        </w:trPr>
        <w:tc>
          <w:tcPr>
            <w:tcW w:w="50" w:type="pct"/>
            <w:vAlign w:val="center"/>
            <w:hideMark/>
          </w:tcPr>
          <w:p w:rsidR="00000000" w:rsidRDefault="008931E1">
            <w:pPr>
              <w:ind w:firstLine="360"/>
              <w:rPr>
                <w:rFonts w:eastAsia="Times New Roman"/>
              </w:rPr>
            </w:pPr>
          </w:p>
        </w:tc>
        <w:tc>
          <w:tcPr>
            <w:tcW w:w="305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761953977"/>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2021</w:t>
            </w:r>
          </w:p>
        </w:tc>
      </w:tr>
      <w:tr w:rsidR="00000000">
        <w:trPr>
          <w:divId w:val="761953977"/>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China (including Hong Kong)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22,382 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761953977"/>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Vietnam</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4,551 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6,063 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3,114 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761953977"/>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South Korea</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3,272 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3,164 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2,368 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761953977"/>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United States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1,259 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1,482 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1,406 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761953977"/>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foreign</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4,356 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5,372 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4,166 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761953977"/>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35,820 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44,200 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33,566 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divId w:val="630940875"/>
        <w:rPr>
          <w:rFonts w:eastAsia="Times New Roman"/>
        </w:rPr>
      </w:pPr>
      <w:r>
        <w:rPr>
          <w:rFonts w:eastAsia="Times New Roman"/>
          <w:b/>
          <w:bCs/>
          <w:color w:val="000000"/>
          <w:sz w:val="20"/>
          <w:szCs w:val="20"/>
        </w:rPr>
        <w:t>Note 9. Acquisitions and Divestitures</w:t>
      </w:r>
    </w:p>
    <w:p w:rsidR="00000000" w:rsidRDefault="008931E1">
      <w:pPr>
        <w:ind w:firstLine="360"/>
        <w:divId w:val="1991472984"/>
        <w:rPr>
          <w:rFonts w:eastAsia="Times New Roman"/>
        </w:rPr>
      </w:pPr>
      <w:r>
        <w:rPr>
          <w:rFonts w:eastAsia="Times New Roman"/>
          <w:b/>
          <w:bCs/>
          <w:i/>
          <w:iCs/>
          <w:color w:val="000000"/>
          <w:sz w:val="20"/>
          <w:szCs w:val="20"/>
        </w:rPr>
        <w:t>Veoneer.</w:t>
      </w:r>
      <w:r>
        <w:rPr>
          <w:rFonts w:eastAsia="Times New Roman"/>
          <w:color w:val="000000"/>
          <w:sz w:val="20"/>
          <w:szCs w:val="20"/>
        </w:rPr>
        <w:t xml:space="preserve"> </w:t>
      </w:r>
      <w:r>
        <w:rPr>
          <w:rFonts w:eastAsia="Times New Roman"/>
          <w:color w:val="000000"/>
          <w:sz w:val="20"/>
          <w:szCs w:val="20"/>
        </w:rPr>
        <w:t>On October 4, 2021, we and SSW Partners, a New York-based investment partnership, entered into a definitive agreement to acquire Veoneer, Inc. (Veoneer). The transaction closed on April 1, 2022 (the Closing Date). Total cash consideration paid in the trans</w:t>
      </w:r>
      <w:r>
        <w:rPr>
          <w:rFonts w:eastAsia="Times New Roman"/>
          <w:color w:val="000000"/>
          <w:sz w:val="20"/>
          <w:szCs w:val="20"/>
        </w:rPr>
        <w:t>action was $4.7 billion, consisting of (i) $4.6 billion paid in respect of Veoneer’s outstanding capital stock and equity awards and amounts paid to settle Veoneer’s convertible senior notes (which were converted at the election of the note holders and set</w:t>
      </w:r>
      <w:r>
        <w:rPr>
          <w:rFonts w:eastAsia="Times New Roman"/>
          <w:color w:val="000000"/>
          <w:sz w:val="20"/>
          <w:szCs w:val="20"/>
        </w:rPr>
        <w:t>tled in cash in the third quarter of fiscal 2022) and (ii) a $110 million termination fee paid to Magna International Inc. (Magna) in the first quarter of fiscal 2022. We funded substantially all of the cash consideration payable in the transaction in exch</w:t>
      </w:r>
      <w:r>
        <w:rPr>
          <w:rFonts w:eastAsia="Times New Roman"/>
          <w:color w:val="000000"/>
          <w:sz w:val="20"/>
          <w:szCs w:val="20"/>
        </w:rPr>
        <w:t>ange for (i) the Arriver business (which SSW transferred to us shortly after the Closing Date) and (ii) the right to receive a majority of the proceeds upon the sale of the Non-Arriver businesses by SSW Partners. We intend to incorporate Arriver’s computer</w:t>
      </w:r>
      <w:r>
        <w:rPr>
          <w:rFonts w:eastAsia="Times New Roman"/>
          <w:color w:val="000000"/>
          <w:sz w:val="20"/>
          <w:szCs w:val="20"/>
        </w:rPr>
        <w:t xml:space="preserve"> vision, drive policy and driver assistance technologies into our Snapdragon automotive platform to deliver an integrated software SoC ADAS platform for automakers and Tier-1 automotive suppliers. SSW Partners retained Veoneer’s Tier-1 automotive supplier </w:t>
      </w:r>
      <w:r>
        <w:rPr>
          <w:rFonts w:eastAsia="Times New Roman"/>
          <w:color w:val="000000"/>
          <w:sz w:val="20"/>
          <w:szCs w:val="20"/>
        </w:rPr>
        <w:t xml:space="preserve">businesses, primarily consisting of the Active Safety and the Restraint Control Systems businesses (the Non-Arriver businesses), with the intent to sell such businesses in multiple transactions. </w:t>
      </w:r>
    </w:p>
    <w:p w:rsidR="00000000" w:rsidRDefault="008931E1">
      <w:pPr>
        <w:ind w:firstLine="360"/>
        <w:divId w:val="427116170"/>
        <w:rPr>
          <w:rFonts w:eastAsia="Times New Roman"/>
        </w:rPr>
      </w:pPr>
      <w:r>
        <w:rPr>
          <w:rFonts w:eastAsia="Times New Roman"/>
          <w:color w:val="000000"/>
          <w:sz w:val="20"/>
          <w:szCs w:val="20"/>
        </w:rPr>
        <w:t>Although we do not own or operate the Non-Arriver businesses</w:t>
      </w:r>
      <w:r>
        <w:rPr>
          <w:rFonts w:eastAsia="Times New Roman"/>
          <w:color w:val="000000"/>
          <w:sz w:val="20"/>
          <w:szCs w:val="20"/>
        </w:rPr>
        <w:t xml:space="preserve">, we are the primary beneficiary, within the meaning of the Financial Accounting Standards Board (FASB) accounting guidance related to consolidation (ASC 810), of these businesses under the variable interest model, until sold by SSW. Factors considered in </w:t>
      </w:r>
      <w:r>
        <w:rPr>
          <w:rFonts w:eastAsia="Times New Roman"/>
          <w:color w:val="000000"/>
          <w:sz w:val="20"/>
          <w:szCs w:val="20"/>
        </w:rPr>
        <w:t>reaching this conclusion included, among others: (i) our involvement in the design of and our funding of substantially all of the total cash consideration payable in the transaction and (ii) our obligations to absorb losses and rights to receive returns fr</w:t>
      </w:r>
      <w:r>
        <w:rPr>
          <w:rFonts w:eastAsia="Times New Roman"/>
          <w:color w:val="000000"/>
          <w:sz w:val="20"/>
          <w:szCs w:val="20"/>
        </w:rPr>
        <w:t>om the Non-Arriver businesses. Accordingly, the assets and liabilities of the Non-Arriver businesses have been consolidated and presented as held for sale on our consolidated balance sheet, and the operating results have been presented as discontinued oper</w:t>
      </w:r>
      <w:r>
        <w:rPr>
          <w:rFonts w:eastAsia="Times New Roman"/>
          <w:color w:val="000000"/>
          <w:sz w:val="20"/>
          <w:szCs w:val="20"/>
        </w:rPr>
        <w:t>ations (through the date of disposition).</w:t>
      </w:r>
    </w:p>
    <w:p w:rsidR="00000000" w:rsidRDefault="008931E1">
      <w:pPr>
        <w:ind w:firstLine="360"/>
        <w:divId w:val="720712870"/>
        <w:rPr>
          <w:rFonts w:eastAsia="Times New Roman"/>
        </w:rPr>
      </w:pPr>
      <w:r>
        <w:rPr>
          <w:rFonts w:eastAsia="Times New Roman"/>
          <w:color w:val="000000"/>
          <w:sz w:val="20"/>
          <w:szCs w:val="20"/>
        </w:rPr>
        <w:t>Our accounting purchase price was approximately $4.3 billion, substantially all of which relates to our share of cash consideration at close for the outstanding common shares of Veoneer and the Magna termination fe</w:t>
      </w:r>
      <w:r>
        <w:rPr>
          <w:rFonts w:eastAsia="Times New Roman"/>
          <w:color w:val="000000"/>
          <w:sz w:val="20"/>
          <w:szCs w:val="20"/>
        </w:rPr>
        <w:t>e and excludes Veoneer’s convertible senior notes that are reflected as an assumed liability.</w:t>
      </w:r>
    </w:p>
    <w:p w:rsidR="00000000" w:rsidRDefault="008931E1">
      <w:pPr>
        <w:jc w:val="center"/>
        <w:divId w:val="1526871113"/>
        <w:rPr>
          <w:rFonts w:eastAsia="Times New Roman"/>
        </w:rPr>
      </w:pPr>
      <w:r>
        <w:rPr>
          <w:rFonts w:eastAsia="Times New Roman"/>
          <w:color w:val="000000"/>
          <w:sz w:val="20"/>
          <w:szCs w:val="20"/>
        </w:rPr>
        <w:t>F-27</w:t>
      </w:r>
    </w:p>
    <w:p w:rsidR="00000000" w:rsidRDefault="008931E1">
      <w:pPr>
        <w:rPr>
          <w:rFonts w:eastAsia="Times New Roman"/>
        </w:rPr>
      </w:pPr>
      <w:r>
        <w:rPr>
          <w:rFonts w:eastAsia="Times New Roman"/>
        </w:rPr>
        <w:pict>
          <v:rect id="_x0000_i1106" style="width:0;height:1.5pt" o:hralign="center" o:hrstd="t" o:hr="t" fillcolor="#a0a0a0" stroked="f"/>
        </w:pict>
      </w:r>
    </w:p>
    <w:p w:rsidR="00000000" w:rsidRDefault="008931E1">
      <w:pPr>
        <w:jc w:val="center"/>
        <w:divId w:val="1878159419"/>
        <w:rPr>
          <w:rFonts w:eastAsia="Times New Roman"/>
        </w:rPr>
      </w:pPr>
    </w:p>
    <w:p w:rsidR="00000000" w:rsidRDefault="008931E1">
      <w:pPr>
        <w:jc w:val="center"/>
        <w:divId w:val="1878159419"/>
        <w:rPr>
          <w:rFonts w:eastAsia="Times New Roman"/>
        </w:rPr>
      </w:pPr>
      <w:r>
        <w:rPr>
          <w:rFonts w:eastAsia="Times New Roman"/>
          <w:b/>
          <w:bCs/>
          <w:color w:val="000000"/>
          <w:sz w:val="20"/>
          <w:szCs w:val="20"/>
        </w:rPr>
        <w:t>QUALCOMM Incorporated</w:t>
      </w:r>
    </w:p>
    <w:p w:rsidR="00000000" w:rsidRDefault="008931E1">
      <w:pPr>
        <w:jc w:val="center"/>
        <w:divId w:val="1878159419"/>
        <w:rPr>
          <w:rFonts w:eastAsia="Times New Roman"/>
        </w:rPr>
      </w:pPr>
      <w:r>
        <w:rPr>
          <w:rFonts w:eastAsia="Times New Roman"/>
          <w:b/>
          <w:bCs/>
          <w:color w:val="000000"/>
          <w:sz w:val="20"/>
          <w:szCs w:val="20"/>
        </w:rPr>
        <w:t>NOTES TO CONSOLIDATED FINANCIAL STATEMENTS</w:t>
      </w:r>
    </w:p>
    <w:p w:rsidR="00000000" w:rsidRDefault="008931E1">
      <w:pPr>
        <w:ind w:firstLine="360"/>
        <w:divId w:val="742799426"/>
        <w:rPr>
          <w:rFonts w:eastAsia="Times New Roman"/>
        </w:rPr>
      </w:pPr>
      <w:r>
        <w:rPr>
          <w:rFonts w:eastAsia="Times New Roman"/>
          <w:color w:val="000000"/>
          <w:sz w:val="20"/>
          <w:szCs w:val="20"/>
        </w:rPr>
        <w:t xml:space="preserve">The allocation of the purchase price to the assets acquired and liabilities assumed based on their fair values was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54"/>
        <w:gridCol w:w="7187"/>
        <w:gridCol w:w="38"/>
        <w:gridCol w:w="110"/>
        <w:gridCol w:w="881"/>
        <w:gridCol w:w="36"/>
      </w:tblGrid>
      <w:tr w:rsidR="00000000">
        <w:trPr>
          <w:divId w:val="397365177"/>
        </w:trPr>
        <w:tc>
          <w:tcPr>
            <w:tcW w:w="50" w:type="pct"/>
            <w:vAlign w:val="center"/>
            <w:hideMark/>
          </w:tcPr>
          <w:p w:rsidR="00000000" w:rsidRDefault="008931E1">
            <w:pPr>
              <w:ind w:firstLine="360"/>
              <w:rPr>
                <w:rFonts w:eastAsia="Times New Roman"/>
              </w:rPr>
            </w:pPr>
          </w:p>
        </w:tc>
        <w:tc>
          <w:tcPr>
            <w:tcW w:w="4342"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397365177"/>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Cash</w:t>
            </w: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97365177"/>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Current held for sale assets, net of costs to sell (1)</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626 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97365177"/>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Completed technology-based intangible assets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349 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97365177"/>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In-process research and development (IPR&amp;D)</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298 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97365177"/>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Goodwill</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2,793 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97365177"/>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Noncurrent held for sale assets (1)</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1,186 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97365177"/>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326 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97365177"/>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5,608 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97365177"/>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Current held for sale liabilities (1)</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(677)</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97365177"/>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Convertible senior notes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(352)</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97365177"/>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Noncurrent held for sale liabilities (1)</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(128)</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97365177"/>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liabilities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(200)</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97365177"/>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397365177"/>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Net assets acquired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4,251 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hanging="270"/>
        <w:divId w:val="244848170"/>
        <w:rPr>
          <w:rFonts w:eastAsia="Times New Roman"/>
        </w:rPr>
      </w:pPr>
      <w:r>
        <w:rPr>
          <w:rFonts w:eastAsia="Times New Roman"/>
          <w:color w:val="000000"/>
          <w:sz w:val="20"/>
          <w:szCs w:val="20"/>
        </w:rPr>
        <w:t>(1) Held for sale assets and liabilities relate to the Non-Arriver businesses and were measured at fair value less costs to sell (including SSW Partners’ estimated return with respect to the sale proceeds of the Non-Arriver businesses), which was estimated</w:t>
      </w:r>
      <w:r>
        <w:rPr>
          <w:rFonts w:eastAsia="Times New Roman"/>
          <w:color w:val="000000"/>
          <w:sz w:val="20"/>
          <w:szCs w:val="20"/>
        </w:rPr>
        <w:t xml:space="preserve"> using a market approach based on significant inputs that were not observable. The Non-Arriver businesses’ assets are not available to be used to settle our obligations, and the Non-Arriver businesses’ creditors do not have recourse to us. SSW Partners’ fu</w:t>
      </w:r>
      <w:r>
        <w:rPr>
          <w:rFonts w:eastAsia="Times New Roman"/>
          <w:color w:val="000000"/>
          <w:sz w:val="20"/>
          <w:szCs w:val="20"/>
        </w:rPr>
        <w:t>nding of the purchase price for Veoneer was recorded as a component of held for sale liabilities. The underlying classes of assets and liabilities held for sale have not been presented because such amounts are not material.</w:t>
      </w:r>
    </w:p>
    <w:p w:rsidR="00000000" w:rsidRDefault="008931E1">
      <w:pPr>
        <w:ind w:firstLine="360"/>
        <w:divId w:val="1344166168"/>
        <w:rPr>
          <w:rFonts w:eastAsia="Times New Roman"/>
        </w:rPr>
      </w:pPr>
      <w:r>
        <w:rPr>
          <w:rFonts w:eastAsia="Times New Roman"/>
          <w:color w:val="000000"/>
          <w:sz w:val="20"/>
          <w:szCs w:val="20"/>
        </w:rPr>
        <w:t>Goodwill related to this transac</w:t>
      </w:r>
      <w:r>
        <w:rPr>
          <w:rFonts w:eastAsia="Times New Roman"/>
          <w:color w:val="000000"/>
          <w:sz w:val="20"/>
          <w:szCs w:val="20"/>
        </w:rPr>
        <w:t xml:space="preserve">tion was allocated to our QCT segment, $471 million of which is expected to be deductible for tax purposes. Goodwill is primarily attributable to assembled workforce and certain synergies expected to arise after the acquisition. Completed technology-based </w:t>
      </w:r>
      <w:r>
        <w:rPr>
          <w:rFonts w:eastAsia="Times New Roman"/>
          <w:color w:val="000000"/>
          <w:sz w:val="20"/>
          <w:szCs w:val="20"/>
        </w:rPr>
        <w:t>intangible assets will be amortized on a straight-line basis over the weighted-average useful life of nine years. IPR&amp;D relates to a single project that is expected to be completed in fiscal 2025. Upon completion, we expect the IPR&amp;D to be amortized over i</w:t>
      </w:r>
      <w:r>
        <w:rPr>
          <w:rFonts w:eastAsia="Times New Roman"/>
          <w:color w:val="000000"/>
          <w:sz w:val="20"/>
          <w:szCs w:val="20"/>
        </w:rPr>
        <w:t>ts useful life of seven years. We valued the completed technology and IPR&amp;D using an income approach based on significant unobservable inputs. Pro forma results of operations have not been presented because the effects of this acquisition were not material</w:t>
      </w:r>
      <w:r>
        <w:rPr>
          <w:rFonts w:eastAsia="Times New Roman"/>
          <w:color w:val="000000"/>
          <w:sz w:val="20"/>
          <w:szCs w:val="20"/>
        </w:rPr>
        <w:t xml:space="preserve"> to our consolidated results of operations.</w:t>
      </w:r>
    </w:p>
    <w:p w:rsidR="00000000" w:rsidRDefault="008931E1">
      <w:pPr>
        <w:ind w:firstLine="360"/>
        <w:divId w:val="492381818"/>
        <w:rPr>
          <w:rFonts w:eastAsia="Times New Roman"/>
        </w:rPr>
      </w:pPr>
      <w:r>
        <w:rPr>
          <w:rFonts w:eastAsia="Times New Roman"/>
          <w:color w:val="000000"/>
          <w:sz w:val="20"/>
          <w:szCs w:val="20"/>
        </w:rPr>
        <w:t>Since the Closing Date, the operating results of the Arriver and Non-Arriver businesses were initially reported on a one quarter lag. During the fourth quarter of fiscal 2022, we eliminated the one-quarter report</w:t>
      </w:r>
      <w:r>
        <w:rPr>
          <w:rFonts w:eastAsia="Times New Roman"/>
          <w:color w:val="000000"/>
          <w:sz w:val="20"/>
          <w:szCs w:val="20"/>
        </w:rPr>
        <w:t>ing lag previously used to consolidate the Arriver business to provide contemporaneous reporting within our consolidated financial statements, which we believe is preferable. The effect of this change was not material to our consolidated financial statemen</w:t>
      </w:r>
      <w:r>
        <w:rPr>
          <w:rFonts w:eastAsia="Times New Roman"/>
          <w:color w:val="000000"/>
          <w:sz w:val="20"/>
          <w:szCs w:val="20"/>
        </w:rPr>
        <w:t xml:space="preserve">ts, and the impact of eliminating the one quarter reporting lag has been included in our operating results in the fourth quarter of fiscal 2022. </w:t>
      </w:r>
    </w:p>
    <w:p w:rsidR="00000000" w:rsidRDefault="008931E1">
      <w:pPr>
        <w:ind w:firstLine="360"/>
        <w:divId w:val="963920895"/>
        <w:rPr>
          <w:rFonts w:eastAsia="Times New Roman"/>
        </w:rPr>
      </w:pPr>
      <w:r>
        <w:rPr>
          <w:rFonts w:eastAsia="Times New Roman"/>
          <w:color w:val="000000"/>
          <w:sz w:val="20"/>
          <w:szCs w:val="20"/>
        </w:rPr>
        <w:t xml:space="preserve">On June 1, 2023, SSW Partners completed the sale of the Active Safety business to Magna for net cash proceeds </w:t>
      </w:r>
      <w:r>
        <w:rPr>
          <w:rFonts w:eastAsia="Times New Roman"/>
          <w:color w:val="000000"/>
          <w:sz w:val="20"/>
          <w:szCs w:val="20"/>
        </w:rPr>
        <w:t>of $1.5 billion. We expect that SSW Partners will complete the sale of the Restraint Control Systems business within calendar 2023, subject to any required regulatory approvals and other closing conditions being met. Discontinued operations for fiscal 2023</w:t>
      </w:r>
      <w:r>
        <w:rPr>
          <w:rFonts w:eastAsia="Times New Roman"/>
          <w:color w:val="000000"/>
          <w:sz w:val="20"/>
          <w:szCs w:val="20"/>
        </w:rPr>
        <w:t xml:space="preserve"> included a gain on the sale of the Active Safety business and certain write-down charges related to the Restraint Control Systems business, based on the expected sales price, the individual and aggregate amounts of which were not material. The Restraint C</w:t>
      </w:r>
      <w:r>
        <w:rPr>
          <w:rFonts w:eastAsia="Times New Roman"/>
          <w:color w:val="000000"/>
          <w:sz w:val="20"/>
          <w:szCs w:val="20"/>
        </w:rPr>
        <w:t xml:space="preserve">ontrol Systems business continues to be presented as discontinued operations on a one quarter reporting lag. </w:t>
      </w:r>
    </w:p>
    <w:p w:rsidR="00000000" w:rsidRDefault="008931E1">
      <w:pPr>
        <w:ind w:firstLine="360"/>
        <w:divId w:val="426846014"/>
        <w:rPr>
          <w:rFonts w:eastAsia="Times New Roman"/>
        </w:rPr>
      </w:pPr>
      <w:r>
        <w:rPr>
          <w:rFonts w:eastAsia="Times New Roman"/>
          <w:color w:val="000000"/>
          <w:sz w:val="20"/>
          <w:szCs w:val="20"/>
        </w:rPr>
        <w:t>The cash flows provided (used) by the Non-Arriver businesses are reflected as discontinued operations and are classified as operating, investing (</w:t>
      </w:r>
      <w:r>
        <w:rPr>
          <w:rFonts w:eastAsia="Times New Roman"/>
          <w:color w:val="000000"/>
          <w:sz w:val="20"/>
          <w:szCs w:val="20"/>
        </w:rPr>
        <w:t>which includes cash proceeds from the sale of the Active Safety business) and financing activities in the consolidated statements of cash flows.</w:t>
      </w:r>
    </w:p>
    <w:p w:rsidR="00000000" w:rsidRDefault="008931E1">
      <w:pPr>
        <w:jc w:val="center"/>
        <w:divId w:val="2059547669"/>
        <w:rPr>
          <w:rFonts w:eastAsia="Times New Roman"/>
        </w:rPr>
      </w:pPr>
      <w:r>
        <w:rPr>
          <w:rFonts w:eastAsia="Times New Roman"/>
          <w:color w:val="000000"/>
          <w:sz w:val="20"/>
          <w:szCs w:val="20"/>
        </w:rPr>
        <w:t>F-28</w:t>
      </w:r>
    </w:p>
    <w:p w:rsidR="00000000" w:rsidRDefault="008931E1">
      <w:pPr>
        <w:rPr>
          <w:rFonts w:eastAsia="Times New Roman"/>
        </w:rPr>
      </w:pPr>
      <w:r>
        <w:rPr>
          <w:rFonts w:eastAsia="Times New Roman"/>
        </w:rPr>
        <w:pict>
          <v:rect id="_x0000_i1107" style="width:0;height:1.5pt" o:hralign="center" o:hrstd="t" o:hr="t" fillcolor="#a0a0a0" stroked="f"/>
        </w:pict>
      </w:r>
    </w:p>
    <w:p w:rsidR="00000000" w:rsidRDefault="008931E1">
      <w:pPr>
        <w:jc w:val="center"/>
        <w:divId w:val="185100838"/>
        <w:rPr>
          <w:rFonts w:eastAsia="Times New Roman"/>
        </w:rPr>
      </w:pPr>
    </w:p>
    <w:p w:rsidR="00000000" w:rsidRDefault="008931E1">
      <w:pPr>
        <w:jc w:val="center"/>
        <w:divId w:val="185100838"/>
        <w:rPr>
          <w:rFonts w:eastAsia="Times New Roman"/>
        </w:rPr>
      </w:pPr>
      <w:r>
        <w:rPr>
          <w:rFonts w:eastAsia="Times New Roman"/>
          <w:b/>
          <w:bCs/>
          <w:color w:val="000000"/>
          <w:sz w:val="20"/>
          <w:szCs w:val="20"/>
        </w:rPr>
        <w:t>QUALCOMM Incorporated</w:t>
      </w:r>
    </w:p>
    <w:p w:rsidR="00000000" w:rsidRDefault="008931E1">
      <w:pPr>
        <w:jc w:val="center"/>
        <w:divId w:val="185100838"/>
        <w:rPr>
          <w:rFonts w:eastAsia="Times New Roman"/>
        </w:rPr>
      </w:pPr>
      <w:r>
        <w:rPr>
          <w:rFonts w:eastAsia="Times New Roman"/>
          <w:b/>
          <w:bCs/>
          <w:color w:val="000000"/>
          <w:sz w:val="20"/>
          <w:szCs w:val="20"/>
        </w:rPr>
        <w:t>NOTES TO CONSOLIDATED FINANCIAL STATEMENTS</w:t>
      </w:r>
    </w:p>
    <w:p w:rsidR="00000000" w:rsidRDefault="008931E1">
      <w:pPr>
        <w:divId w:val="1256860884"/>
        <w:rPr>
          <w:rFonts w:eastAsia="Times New Roman"/>
        </w:rPr>
      </w:pPr>
      <w:r>
        <w:rPr>
          <w:rFonts w:eastAsia="Times New Roman"/>
          <w:b/>
          <w:bCs/>
          <w:color w:val="000000"/>
          <w:sz w:val="20"/>
          <w:szCs w:val="20"/>
        </w:rPr>
        <w:t>Not</w:t>
      </w:r>
      <w:r>
        <w:rPr>
          <w:rFonts w:eastAsia="Times New Roman"/>
          <w:b/>
          <w:bCs/>
          <w:color w:val="000000"/>
          <w:sz w:val="20"/>
          <w:szCs w:val="20"/>
        </w:rPr>
        <w:t xml:space="preserve">e 10. Fair Value Measurements and Marketable Securities </w:t>
      </w:r>
    </w:p>
    <w:p w:rsidR="00000000" w:rsidRDefault="008931E1">
      <w:pPr>
        <w:ind w:firstLine="360"/>
        <w:divId w:val="1710453959"/>
        <w:rPr>
          <w:rFonts w:eastAsia="Times New Roman"/>
        </w:rPr>
      </w:pPr>
      <w:r>
        <w:rPr>
          <w:rFonts w:eastAsia="Times New Roman"/>
          <w:color w:val="000000"/>
          <w:sz w:val="20"/>
          <w:szCs w:val="20"/>
        </w:rPr>
        <w:t>The following table presents our fair value hierarchy for assets and liabilities measured at fair value on a recurring basis at September 24, 2023 (in millions):</w:t>
      </w:r>
    </w:p>
    <w:tbl>
      <w:tblPr>
        <w:tblW w:w="4985" w:type="pct"/>
        <w:tblCellMar>
          <w:top w:w="15" w:type="dxa"/>
          <w:left w:w="15" w:type="dxa"/>
          <w:bottom w:w="15" w:type="dxa"/>
          <w:right w:w="15" w:type="dxa"/>
        </w:tblCellMar>
        <w:tblLook w:val="04A0" w:firstRow="1" w:lastRow="0" w:firstColumn="1" w:lastColumn="0" w:noHBand="0" w:noVBand="1"/>
      </w:tblPr>
      <w:tblGrid>
        <w:gridCol w:w="41"/>
        <w:gridCol w:w="3951"/>
        <w:gridCol w:w="39"/>
        <w:gridCol w:w="110"/>
        <w:gridCol w:w="863"/>
        <w:gridCol w:w="36"/>
        <w:gridCol w:w="36"/>
        <w:gridCol w:w="36"/>
        <w:gridCol w:w="36"/>
        <w:gridCol w:w="110"/>
        <w:gridCol w:w="826"/>
        <w:gridCol w:w="36"/>
        <w:gridCol w:w="36"/>
        <w:gridCol w:w="36"/>
        <w:gridCol w:w="36"/>
        <w:gridCol w:w="111"/>
        <w:gridCol w:w="826"/>
        <w:gridCol w:w="36"/>
        <w:gridCol w:w="36"/>
        <w:gridCol w:w="36"/>
        <w:gridCol w:w="36"/>
        <w:gridCol w:w="110"/>
        <w:gridCol w:w="826"/>
        <w:gridCol w:w="36"/>
      </w:tblGrid>
      <w:tr w:rsidR="00000000">
        <w:trPr>
          <w:divId w:val="1153835865"/>
        </w:trPr>
        <w:tc>
          <w:tcPr>
            <w:tcW w:w="50" w:type="pct"/>
            <w:vAlign w:val="center"/>
            <w:hideMark/>
          </w:tcPr>
          <w:p w:rsidR="00000000" w:rsidRDefault="008931E1">
            <w:pPr>
              <w:ind w:firstLine="360"/>
              <w:rPr>
                <w:rFonts w:eastAsia="Times New Roman"/>
              </w:rPr>
            </w:pPr>
          </w:p>
        </w:tc>
        <w:tc>
          <w:tcPr>
            <w:tcW w:w="241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2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9"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153835865"/>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Level 1</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Level 2</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Total</w:t>
            </w:r>
          </w:p>
        </w:tc>
      </w:tr>
      <w:tr w:rsidR="00000000">
        <w:trPr>
          <w:divId w:val="1153835865"/>
        </w:trPr>
        <w:tc>
          <w:tcPr>
            <w:tcW w:w="0" w:type="auto"/>
            <w:gridSpan w:val="3"/>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r>
      <w:tr w:rsidR="00000000">
        <w:trPr>
          <w:divId w:val="1153835865"/>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Cash equivalents</w:t>
            </w: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5,335 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1,819 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53835865"/>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Marketable securities: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r>
      <w:tr w:rsidR="00000000">
        <w:trPr>
          <w:divId w:val="1153835865"/>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Corporate bonds and notes</w:t>
            </w: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2,590 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2,590 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53835865"/>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Mortgage- and 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53835865"/>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xml:space="preserve">Equity securities </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53835865"/>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153835865"/>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U.S. Treasury securities and government-related securities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53835865"/>
        </w:trPr>
        <w:tc>
          <w:tcPr>
            <w:tcW w:w="0" w:type="auto"/>
            <w:gridSpan w:val="3"/>
            <w:vAlign w:val="center"/>
            <w:hideMark/>
          </w:tcPr>
          <w:p w:rsidR="00000000" w:rsidRDefault="008931E1">
            <w:pPr>
              <w:spacing w:after="100"/>
              <w:jc w:val="right"/>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c>
          <w:tcPr>
            <w:tcW w:w="0" w:type="auto"/>
            <w:gridSpan w:val="3"/>
            <w:vAlign w:val="center"/>
            <w:hideMark/>
          </w:tcPr>
          <w:p w:rsidR="00000000" w:rsidRDefault="008931E1">
            <w:pPr>
              <w:spacing w:after="100"/>
              <w:rPr>
                <w:rFonts w:eastAsia="Times New Roman"/>
                <w:sz w:val="20"/>
                <w:szCs w:val="20"/>
              </w:rPr>
            </w:pPr>
          </w:p>
        </w:tc>
      </w:tr>
      <w:tr w:rsidR="00000000">
        <w:trPr>
          <w:divId w:val="1153835865"/>
        </w:trPr>
        <w:tc>
          <w:tcPr>
            <w:tcW w:w="0" w:type="auto"/>
            <w:gridSpan w:val="3"/>
            <w:shd w:val="clear" w:color="auto" w:fill="CCEE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marketable securities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2,874 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53835865"/>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53835865"/>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investments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742 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785 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53835865"/>
        </w:trPr>
        <w:tc>
          <w:tcPr>
            <w:tcW w:w="0" w:type="auto"/>
            <w:gridSpan w:val="3"/>
            <w:shd w:val="clear" w:color="auto" w:fill="FFFF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assets measured at fair value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6,218 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4,584 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10,845 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53835865"/>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 </w:t>
            </w:r>
          </w:p>
        </w:tc>
      </w:tr>
      <w:tr w:rsidR="00000000">
        <w:trPr>
          <w:divId w:val="1153835865"/>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Derivative instruments</w:t>
            </w: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317 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53835865"/>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740 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740 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53835865"/>
        </w:trPr>
        <w:tc>
          <w:tcPr>
            <w:tcW w:w="0" w:type="auto"/>
            <w:gridSpan w:val="3"/>
            <w:shd w:val="clear" w:color="auto" w:fill="FFFFFF"/>
            <w:tcMar>
              <w:top w:w="30" w:type="dxa"/>
              <w:left w:w="38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 liabilities measured at fair value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740 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1,057 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firstLine="360"/>
        <w:divId w:val="328942964"/>
        <w:rPr>
          <w:rFonts w:eastAsia="Times New Roman"/>
        </w:rPr>
      </w:pPr>
      <w:r>
        <w:rPr>
          <w:rFonts w:eastAsia="Times New Roman"/>
          <w:color w:val="000000"/>
          <w:sz w:val="20"/>
          <w:szCs w:val="20"/>
        </w:rPr>
        <w:t>At September 24, 2023 and September </w:t>
      </w:r>
      <w:r>
        <w:rPr>
          <w:rFonts w:eastAsia="Times New Roman"/>
          <w:color w:val="000000"/>
          <w:sz w:val="20"/>
          <w:szCs w:val="20"/>
        </w:rPr>
        <w:t>25, 2022, our marketable securities were all classified as current and were primarily comprised of available-for-sale debt securities (substantially all of which were corporate bonds and notes).</w:t>
      </w:r>
    </w:p>
    <w:p w:rsidR="00000000" w:rsidRDefault="008931E1">
      <w:pPr>
        <w:ind w:firstLine="360"/>
        <w:divId w:val="252782321"/>
        <w:rPr>
          <w:rFonts w:eastAsia="Times New Roman"/>
        </w:rPr>
      </w:pPr>
      <w:r>
        <w:rPr>
          <w:rFonts w:eastAsia="Times New Roman"/>
          <w:color w:val="000000"/>
          <w:sz w:val="20"/>
          <w:szCs w:val="20"/>
          <w:shd w:val="clear" w:color="auto" w:fill="FFFFFF"/>
        </w:rPr>
        <w:t>The contractual maturities of available-for-sale debt securit</w:t>
      </w:r>
      <w:r>
        <w:rPr>
          <w:rFonts w:eastAsia="Times New Roman"/>
          <w:color w:val="000000"/>
          <w:sz w:val="20"/>
          <w:szCs w:val="20"/>
          <w:shd w:val="clear" w:color="auto" w:fill="FFFFFF"/>
        </w:rPr>
        <w:t>ies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5"/>
        <w:gridCol w:w="7014"/>
        <w:gridCol w:w="36"/>
        <w:gridCol w:w="111"/>
        <w:gridCol w:w="1054"/>
        <w:gridCol w:w="36"/>
      </w:tblGrid>
      <w:tr w:rsidR="00000000">
        <w:trPr>
          <w:divId w:val="142161425"/>
        </w:trPr>
        <w:tc>
          <w:tcPr>
            <w:tcW w:w="50" w:type="pct"/>
            <w:vAlign w:val="center"/>
            <w:hideMark/>
          </w:tcPr>
          <w:p w:rsidR="00000000" w:rsidRDefault="008931E1">
            <w:pPr>
              <w:ind w:firstLine="360"/>
              <w:rPr>
                <w:rFonts w:eastAsia="Times New Roman"/>
              </w:rPr>
            </w:pPr>
          </w:p>
        </w:tc>
        <w:tc>
          <w:tcPr>
            <w:tcW w:w="4238"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651"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42161425"/>
        </w:trPr>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September 24,</w:t>
            </w:r>
            <w:r>
              <w:rPr>
                <w:rFonts w:eastAsia="Times New Roman"/>
                <w:b/>
                <w:bCs/>
                <w:color w:val="000000"/>
                <w:sz w:val="18"/>
                <w:szCs w:val="18"/>
              </w:rPr>
              <w:br/>
              <w:t>2023</w:t>
            </w:r>
          </w:p>
        </w:tc>
      </w:tr>
      <w:tr w:rsidR="00000000">
        <w:trPr>
          <w:divId w:val="142161425"/>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b/>
                <w:bCs/>
                <w:color w:val="000000"/>
                <w:sz w:val="18"/>
                <w:szCs w:val="18"/>
              </w:rPr>
              <w:t>Years to Maturity: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31E1">
            <w:pPr>
              <w:spacing w:after="100"/>
              <w:rPr>
                <w:rFonts w:eastAsia="Times New Roman"/>
              </w:rPr>
            </w:pPr>
          </w:p>
        </w:tc>
      </w:tr>
      <w:tr w:rsidR="00000000">
        <w:trPr>
          <w:divId w:val="142161425"/>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Less than one year</w:t>
            </w:r>
          </w:p>
        </w:tc>
        <w:tc>
          <w:tcPr>
            <w:tcW w:w="0" w:type="auto"/>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1,321 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42161425"/>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One to five years</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1,306 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42161425"/>
        </w:trPr>
        <w:tc>
          <w:tcPr>
            <w:tcW w:w="0" w:type="auto"/>
            <w:gridSpan w:val="3"/>
            <w:shd w:val="clear" w:color="auto" w:fill="CCEE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Five to ten years</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42161425"/>
        </w:trPr>
        <w:tc>
          <w:tcPr>
            <w:tcW w:w="0" w:type="auto"/>
            <w:gridSpan w:val="3"/>
            <w:shd w:val="clear" w:color="auto" w:fill="FFFFFF"/>
            <w:tcMar>
              <w:top w:w="30" w:type="dxa"/>
              <w:left w:w="15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No single maturity date</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123 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42161425"/>
        </w:trPr>
        <w:tc>
          <w:tcPr>
            <w:tcW w:w="0" w:type="auto"/>
            <w:gridSpan w:val="3"/>
            <w:shd w:val="clear" w:color="auto" w:fill="CCEEFF"/>
            <w:tcMar>
              <w:top w:w="30" w:type="dxa"/>
              <w:left w:w="245"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ind w:firstLine="360"/>
        <w:divId w:val="964121624"/>
        <w:rPr>
          <w:rFonts w:eastAsia="Times New Roman"/>
        </w:rPr>
      </w:pPr>
      <w:r>
        <w:rPr>
          <w:rFonts w:eastAsia="Times New Roman"/>
          <w:color w:val="000000"/>
          <w:sz w:val="20"/>
          <w:szCs w:val="20"/>
        </w:rPr>
        <w:t>Debt securities with no single maturity date included mortgage- and asset-backed securities.</w:t>
      </w:r>
    </w:p>
    <w:p w:rsidR="00000000" w:rsidRDefault="008931E1">
      <w:pPr>
        <w:jc w:val="center"/>
        <w:divId w:val="1324048821"/>
        <w:rPr>
          <w:rFonts w:eastAsia="Times New Roman"/>
        </w:rPr>
      </w:pPr>
      <w:r>
        <w:rPr>
          <w:rFonts w:eastAsia="Times New Roman"/>
          <w:color w:val="000000"/>
          <w:sz w:val="20"/>
          <w:szCs w:val="20"/>
        </w:rPr>
        <w:t>F-29</w:t>
      </w:r>
    </w:p>
    <w:p w:rsidR="00000000" w:rsidRDefault="008931E1">
      <w:pPr>
        <w:rPr>
          <w:rFonts w:eastAsia="Times New Roman"/>
        </w:rPr>
      </w:pPr>
      <w:r>
        <w:rPr>
          <w:rFonts w:eastAsia="Times New Roman"/>
        </w:rPr>
        <w:pict>
          <v:rect id="_x0000_i1108" style="width:0;height:1.5pt" o:hralign="center" o:hrstd="t" o:hr="t" fillcolor="#a0a0a0" stroked="f"/>
        </w:pict>
      </w:r>
    </w:p>
    <w:p w:rsidR="00000000" w:rsidRDefault="008931E1">
      <w:pPr>
        <w:divId w:val="930971454"/>
        <w:rPr>
          <w:rFonts w:eastAsia="Times New Roman"/>
        </w:rPr>
      </w:pPr>
    </w:p>
    <w:p w:rsidR="00000000" w:rsidRDefault="008931E1">
      <w:pPr>
        <w:jc w:val="center"/>
        <w:rPr>
          <w:rFonts w:eastAsia="Times New Roman"/>
        </w:rPr>
      </w:pPr>
      <w:r>
        <w:rPr>
          <w:rFonts w:eastAsia="Times New Roman"/>
          <w:b/>
          <w:bCs/>
          <w:color w:val="000000"/>
          <w:sz w:val="20"/>
          <w:szCs w:val="20"/>
        </w:rPr>
        <w:t>SCHEDULE II</w:t>
      </w:r>
    </w:p>
    <w:p w:rsidR="00000000" w:rsidRDefault="008931E1">
      <w:pPr>
        <w:jc w:val="center"/>
        <w:rPr>
          <w:rFonts w:eastAsia="Times New Roman"/>
        </w:rPr>
      </w:pPr>
      <w:r>
        <w:rPr>
          <w:rFonts w:eastAsia="Times New Roman"/>
          <w:b/>
          <w:bCs/>
          <w:color w:val="000000"/>
          <w:sz w:val="20"/>
          <w:szCs w:val="20"/>
        </w:rPr>
        <w:t>QUALCOMM Incorporated</w:t>
      </w:r>
    </w:p>
    <w:p w:rsidR="00000000" w:rsidRDefault="008931E1">
      <w:pPr>
        <w:jc w:val="center"/>
        <w:rPr>
          <w:rFonts w:eastAsia="Times New Roman"/>
        </w:rPr>
      </w:pPr>
      <w:r>
        <w:rPr>
          <w:rFonts w:eastAsia="Times New Roman"/>
          <w:b/>
          <w:bCs/>
          <w:color w:val="000000"/>
          <w:sz w:val="20"/>
          <w:szCs w:val="20"/>
        </w:rPr>
        <w:t>VALUATION AND QUALIFYING ACCOUNTS</w:t>
      </w:r>
    </w:p>
    <w:p w:rsidR="00000000" w:rsidRDefault="008931E1">
      <w:pPr>
        <w:jc w:val="center"/>
        <w:rPr>
          <w:rFonts w:eastAsia="Times New Roman"/>
        </w:rPr>
      </w:pPr>
    </w:p>
    <w:p w:rsidR="00000000" w:rsidRDefault="008931E1">
      <w:pPr>
        <w:ind w:firstLine="360"/>
        <w:divId w:val="1408843135"/>
        <w:rPr>
          <w:rFonts w:eastAsia="Times New Roman"/>
        </w:rPr>
      </w:pPr>
      <w:r>
        <w:rPr>
          <w:rFonts w:eastAsia="Times New Roman"/>
          <w:color w:val="000000"/>
          <w:sz w:val="20"/>
          <w:szCs w:val="20"/>
        </w:rPr>
        <w:t>The table below details the activity of the valuat</w:t>
      </w:r>
      <w:r>
        <w:rPr>
          <w:rFonts w:eastAsia="Times New Roman"/>
          <w:color w:val="000000"/>
          <w:sz w:val="20"/>
          <w:szCs w:val="20"/>
        </w:rPr>
        <w:t>ion allowance on deferred tax assets for fiscal 2023, 2022 and 2021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700"/>
        <w:gridCol w:w="36"/>
        <w:gridCol w:w="111"/>
        <w:gridCol w:w="855"/>
        <w:gridCol w:w="36"/>
        <w:gridCol w:w="36"/>
        <w:gridCol w:w="94"/>
        <w:gridCol w:w="36"/>
        <w:gridCol w:w="111"/>
        <w:gridCol w:w="856"/>
        <w:gridCol w:w="36"/>
        <w:gridCol w:w="36"/>
        <w:gridCol w:w="36"/>
        <w:gridCol w:w="36"/>
        <w:gridCol w:w="95"/>
        <w:gridCol w:w="36"/>
        <w:gridCol w:w="111"/>
        <w:gridCol w:w="806"/>
        <w:gridCol w:w="36"/>
        <w:gridCol w:w="36"/>
        <w:gridCol w:w="95"/>
        <w:gridCol w:w="36"/>
        <w:gridCol w:w="111"/>
        <w:gridCol w:w="856"/>
        <w:gridCol w:w="36"/>
      </w:tblGrid>
      <w:tr w:rsidR="00000000">
        <w:trPr>
          <w:divId w:val="1183284989"/>
        </w:trPr>
        <w:tc>
          <w:tcPr>
            <w:tcW w:w="50" w:type="pct"/>
            <w:vAlign w:val="center"/>
            <w:hideMark/>
          </w:tcPr>
          <w:p w:rsidR="00000000" w:rsidRDefault="008931E1">
            <w:pPr>
              <w:ind w:firstLine="360"/>
              <w:rPr>
                <w:rFonts w:eastAsia="Times New Roman"/>
              </w:rPr>
            </w:pPr>
          </w:p>
        </w:tc>
        <w:tc>
          <w:tcPr>
            <w:tcW w:w="2273"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8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8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1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86"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c>
          <w:tcPr>
            <w:tcW w:w="50" w:type="pct"/>
            <w:vAlign w:val="center"/>
            <w:hideMark/>
          </w:tcPr>
          <w:p w:rsidR="00000000" w:rsidRDefault="008931E1">
            <w:pPr>
              <w:spacing w:after="100"/>
              <w:rPr>
                <w:rFonts w:eastAsia="Times New Roman"/>
                <w:sz w:val="20"/>
                <w:szCs w:val="20"/>
              </w:rPr>
            </w:pPr>
          </w:p>
        </w:tc>
        <w:tc>
          <w:tcPr>
            <w:tcW w:w="547" w:type="pct"/>
            <w:vAlign w:val="center"/>
            <w:hideMark/>
          </w:tcPr>
          <w:p w:rsidR="00000000" w:rsidRDefault="008931E1">
            <w:pPr>
              <w:spacing w:after="100"/>
              <w:rPr>
                <w:rFonts w:eastAsia="Times New Roman"/>
                <w:sz w:val="20"/>
                <w:szCs w:val="20"/>
              </w:rPr>
            </w:pPr>
          </w:p>
        </w:tc>
        <w:tc>
          <w:tcPr>
            <w:tcW w:w="5" w:type="pct"/>
            <w:vAlign w:val="center"/>
            <w:hideMark/>
          </w:tcPr>
          <w:p w:rsidR="00000000" w:rsidRDefault="008931E1">
            <w:pPr>
              <w:spacing w:after="100"/>
              <w:rPr>
                <w:rFonts w:eastAsia="Times New Roman"/>
                <w:sz w:val="20"/>
                <w:szCs w:val="20"/>
              </w:rPr>
            </w:pPr>
          </w:p>
        </w:tc>
      </w:tr>
      <w:tr w:rsidR="00000000">
        <w:trPr>
          <w:divId w:val="1183284989"/>
        </w:trPr>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Balance at</w:t>
            </w:r>
            <w:r>
              <w:rPr>
                <w:rFonts w:eastAsia="Times New Roman"/>
                <w:b/>
                <w:bCs/>
                <w:color w:val="000000"/>
                <w:sz w:val="18"/>
                <w:szCs w:val="18"/>
              </w:rPr>
              <w:br/>
              <w:t>Beginning of</w:t>
            </w:r>
            <w:r>
              <w:rPr>
                <w:rFonts w:eastAsia="Times New Roman"/>
                <w:b/>
                <w:bCs/>
                <w:color w:val="000000"/>
                <w:sz w:val="18"/>
                <w:szCs w:val="18"/>
              </w:rPr>
              <w:br/>
              <w:t>Period</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Charged (Credited) to</w:t>
            </w:r>
          </w:p>
          <w:p w:rsidR="00000000" w:rsidRDefault="008931E1">
            <w:pPr>
              <w:spacing w:after="100"/>
              <w:jc w:val="center"/>
              <w:rPr>
                <w:rFonts w:eastAsia="Times New Roman"/>
              </w:rPr>
            </w:pPr>
            <w:r>
              <w:rPr>
                <w:rFonts w:eastAsia="Times New Roman"/>
                <w:b/>
                <w:bCs/>
                <w:color w:val="000000"/>
                <w:sz w:val="18"/>
                <w:szCs w:val="18"/>
              </w:rPr>
              <w:t>Costs and</w:t>
            </w:r>
          </w:p>
          <w:p w:rsidR="00000000" w:rsidRDefault="008931E1">
            <w:pPr>
              <w:spacing w:after="100"/>
              <w:jc w:val="center"/>
              <w:rPr>
                <w:rFonts w:eastAsia="Times New Roman"/>
              </w:rPr>
            </w:pPr>
            <w:r>
              <w:rPr>
                <w:rFonts w:eastAsia="Times New Roman"/>
                <w:b/>
                <w:bCs/>
                <w:color w:val="000000"/>
                <w:sz w:val="18"/>
                <w:szCs w:val="18"/>
              </w:rPr>
              <w:t>Expenses</w:t>
            </w:r>
          </w:p>
        </w:tc>
        <w:tc>
          <w:tcPr>
            <w:tcW w:w="0" w:type="auto"/>
            <w:vAlign w:val="center"/>
            <w:hideMark/>
          </w:tcPr>
          <w:p w:rsidR="00000000" w:rsidRDefault="008931E1">
            <w:pPr>
              <w:spacing w:after="100"/>
              <w:jc w:val="center"/>
              <w:rPr>
                <w:rFonts w:eastAsia="Times New Roman"/>
              </w:rPr>
            </w:pPr>
          </w:p>
        </w:tc>
        <w:tc>
          <w:tcPr>
            <w:tcW w:w="0" w:type="auto"/>
            <w:vAlign w:val="center"/>
            <w:hideMark/>
          </w:tcPr>
          <w:p w:rsidR="00000000" w:rsidRDefault="008931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Other</w:t>
            </w:r>
          </w:p>
        </w:tc>
        <w:tc>
          <w:tcPr>
            <w:tcW w:w="0" w:type="auto"/>
            <w:gridSpan w:val="3"/>
            <w:tcMar>
              <w:top w:w="0" w:type="dxa"/>
              <w:left w:w="20" w:type="dxa"/>
              <w:bottom w:w="0" w:type="dxa"/>
              <w:right w:w="20" w:type="dxa"/>
            </w:tcMar>
            <w:vAlign w:val="center"/>
            <w:hideMark/>
          </w:tcPr>
          <w:p w:rsidR="00000000" w:rsidRDefault="008931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31E1">
            <w:pPr>
              <w:spacing w:after="100"/>
              <w:jc w:val="center"/>
              <w:rPr>
                <w:rFonts w:eastAsia="Times New Roman"/>
              </w:rPr>
            </w:pPr>
            <w:r>
              <w:rPr>
                <w:rFonts w:eastAsia="Times New Roman"/>
                <w:b/>
                <w:bCs/>
                <w:color w:val="000000"/>
                <w:sz w:val="18"/>
                <w:szCs w:val="18"/>
              </w:rPr>
              <w:t>Balance at</w:t>
            </w:r>
            <w:r>
              <w:rPr>
                <w:rFonts w:eastAsia="Times New Roman"/>
                <w:b/>
                <w:bCs/>
                <w:color w:val="000000"/>
                <w:sz w:val="18"/>
                <w:szCs w:val="18"/>
              </w:rPr>
              <w:br/>
              <w:t>End of</w:t>
            </w:r>
            <w:r>
              <w:rPr>
                <w:rFonts w:eastAsia="Times New Roman"/>
                <w:b/>
                <w:bCs/>
                <w:color w:val="000000"/>
                <w:sz w:val="18"/>
                <w:szCs w:val="18"/>
              </w:rPr>
              <w:br/>
              <w:t>Period</w:t>
            </w:r>
          </w:p>
        </w:tc>
      </w:tr>
      <w:tr w:rsidR="00000000">
        <w:trPr>
          <w:divId w:val="1183284989"/>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Year ended September 24, 2023</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(420)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31E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83284989"/>
        </w:trPr>
        <w:tc>
          <w:tcPr>
            <w:tcW w:w="0" w:type="auto"/>
            <w:gridSpan w:val="3"/>
            <w:shd w:val="clear" w:color="auto" w:fill="FFFF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Year ended September 25, 2022</w:t>
            </w: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1,926 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278 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2,223 </w:t>
            </w:r>
          </w:p>
        </w:tc>
        <w:tc>
          <w:tcPr>
            <w:tcW w:w="0" w:type="auto"/>
            <w:shd w:val="clear" w:color="auto" w:fill="FFFFFF"/>
            <w:tcMar>
              <w:top w:w="30" w:type="dxa"/>
              <w:left w:w="0" w:type="dxa"/>
              <w:bottom w:w="30" w:type="dxa"/>
              <w:right w:w="20" w:type="dxa"/>
            </w:tcMar>
            <w:vAlign w:val="bottom"/>
            <w:hideMark/>
          </w:tcPr>
          <w:p w:rsidR="00000000" w:rsidRDefault="008931E1">
            <w:pPr>
              <w:spacing w:after="100"/>
              <w:jc w:val="right"/>
              <w:rPr>
                <w:rFonts w:eastAsia="Times New Roman"/>
              </w:rPr>
            </w:pPr>
          </w:p>
        </w:tc>
      </w:tr>
      <w:tr w:rsidR="00000000">
        <w:trPr>
          <w:divId w:val="1183284989"/>
        </w:trPr>
        <w:tc>
          <w:tcPr>
            <w:tcW w:w="0" w:type="auto"/>
            <w:gridSpan w:val="3"/>
            <w:shd w:val="clear" w:color="auto" w:fill="CCEEFF"/>
            <w:tcMar>
              <w:top w:w="30" w:type="dxa"/>
              <w:left w:w="20" w:type="dxa"/>
              <w:bottom w:w="30" w:type="dxa"/>
              <w:right w:w="20" w:type="dxa"/>
            </w:tcMar>
            <w:vAlign w:val="bottom"/>
            <w:hideMark/>
          </w:tcPr>
          <w:p w:rsidR="00000000" w:rsidRDefault="008931E1">
            <w:pPr>
              <w:spacing w:after="100"/>
              <w:rPr>
                <w:rFonts w:eastAsia="Times New Roman"/>
              </w:rPr>
            </w:pPr>
            <w:r>
              <w:rPr>
                <w:rFonts w:eastAsia="Times New Roman"/>
                <w:color w:val="000000"/>
                <w:sz w:val="18"/>
                <w:szCs w:val="18"/>
              </w:rPr>
              <w:t>Year ended September 26, 2021</w:t>
            </w: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1,728 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197 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vAlign w:val="center"/>
            <w:hideMark/>
          </w:tcPr>
          <w:p w:rsidR="00000000" w:rsidRDefault="008931E1">
            <w:pPr>
              <w:spacing w:after="100"/>
              <w:jc w:val="right"/>
              <w:rPr>
                <w:rFonts w:eastAsia="Times New Roman"/>
                <w:sz w:val="20"/>
                <w:szCs w:val="20"/>
              </w:rPr>
            </w:pPr>
          </w:p>
        </w:tc>
        <w:tc>
          <w:tcPr>
            <w:tcW w:w="0" w:type="auto"/>
            <w:vAlign w:val="center"/>
            <w:hideMark/>
          </w:tcPr>
          <w:p w:rsidR="00000000" w:rsidRDefault="008931E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31E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31E1">
            <w:pPr>
              <w:spacing w:after="100"/>
              <w:jc w:val="right"/>
              <w:rPr>
                <w:rFonts w:eastAsia="Times New Roman"/>
              </w:rPr>
            </w:pPr>
            <w:r>
              <w:rPr>
                <w:rFonts w:eastAsia="Times New Roman"/>
                <w:color w:val="000000"/>
                <w:sz w:val="18"/>
                <w:szCs w:val="18"/>
              </w:rPr>
              <w:t>1,926 </w:t>
            </w:r>
          </w:p>
        </w:tc>
        <w:tc>
          <w:tcPr>
            <w:tcW w:w="0" w:type="auto"/>
            <w:shd w:val="clear" w:color="auto" w:fill="CCEEFF"/>
            <w:tcMar>
              <w:top w:w="30" w:type="dxa"/>
              <w:left w:w="0" w:type="dxa"/>
              <w:bottom w:w="30" w:type="dxa"/>
              <w:right w:w="20" w:type="dxa"/>
            </w:tcMar>
            <w:vAlign w:val="bottom"/>
            <w:hideMark/>
          </w:tcPr>
          <w:p w:rsidR="00000000" w:rsidRDefault="008931E1">
            <w:pPr>
              <w:spacing w:after="100"/>
              <w:jc w:val="right"/>
              <w:rPr>
                <w:rFonts w:eastAsia="Times New Roman"/>
              </w:rPr>
            </w:pPr>
          </w:p>
        </w:tc>
      </w:tr>
    </w:tbl>
    <w:p w:rsidR="00000000" w:rsidRDefault="008931E1">
      <w:pPr>
        <w:divId w:val="1716730383"/>
        <w:rPr>
          <w:rFonts w:eastAsia="Times New Roman"/>
        </w:rPr>
      </w:pPr>
    </w:p>
    <w:p w:rsidR="008931E1" w:rsidRDefault="008931E1">
      <w:pPr>
        <w:jc w:val="center"/>
        <w:divId w:val="2085684764"/>
        <w:rPr>
          <w:rFonts w:eastAsia="Times New Roman"/>
        </w:rPr>
      </w:pPr>
      <w:r>
        <w:rPr>
          <w:rFonts w:eastAsia="Times New Roman"/>
          <w:color w:val="000000"/>
          <w:sz w:val="20"/>
          <w:szCs w:val="20"/>
        </w:rPr>
        <w:t>S-1</w:t>
      </w:r>
    </w:p>
    <w:sectPr w:rsidR="008931E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931E1"/>
    <w:rsid w:val="008931E1"/>
  </w:rsids>
  <m:mathPr>
    <m:mathFont m:val="Cambria Math"/>
    <m:brkBin m:val="before"/>
    <m:brkBinSub m:val="--"/>
    <m:smallFrac m:val="0"/>
    <m:dispDef/>
    <m:lMargin m:val="0"/>
    <m:rMargin m:val="0"/>
    <m:defJc m:val="centerGroup"/>
    <m:wrapIndent m:val="1440"/>
    <m:intLim m:val="subSup"/>
    <m:naryLim m:val="undOvr"/>
  </m:mathPr>
  <w:attachedSchema w:val="http://xbrl.sec.gov/country/2023"/>
  <w:attachedSchema w:val="http://xbrl.sec.gov/dei/2023"/>
  <w:attachedSchema w:val="http://www.xbrl.org/2003/iso4217"/>
  <w:attachedSchema w:val="http://xbrl.sec.gov/currency/2023"/>
  <w:attachedSchema w:val="http://xbrl.sec.gov/ecd/2023"/>
  <w:attachedSchema w:val="http://www.xbrl.org/2003/linkbase"/>
  <w:attachedSchema w:val="http://www.qualcomm.com/20230924"/>
  <w:attachedSchema w:val="http://www.w3.org/1999/xlink"/>
  <w:attachedSchema w:val="http://fasb.org/srt/2023"/>
  <w:attachedSchema w:val="http://www.xbrl.org/2013/inlineXBRL"/>
  <w:attachedSchema w:val="http://fasb.org/us-gaap/2023"/>
  <w:attachedSchema w:val="http://www.sec.gov/inlineXBRL/transformation/2015-08-31"/>
  <w:attachedSchema w:val="http://www.xbrl.org/inlineXBRL/transformation/2020-02-12"/>
  <w:attachedSchema w:val="http://www.xbrl.org/2003/instance"/>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6">
      <w:marLeft w:val="0"/>
      <w:marRight w:val="0"/>
      <w:marTop w:val="0"/>
      <w:marBottom w:val="0"/>
      <w:divBdr>
        <w:top w:val="none" w:sz="0" w:space="0" w:color="auto"/>
        <w:left w:val="none" w:sz="0" w:space="0" w:color="auto"/>
        <w:bottom w:val="none" w:sz="0" w:space="0" w:color="auto"/>
        <w:right w:val="none" w:sz="0" w:space="0" w:color="auto"/>
      </w:divBdr>
    </w:div>
    <w:div w:id="861496">
      <w:marLeft w:val="0"/>
      <w:marRight w:val="0"/>
      <w:marTop w:val="0"/>
      <w:marBottom w:val="0"/>
      <w:divBdr>
        <w:top w:val="none" w:sz="0" w:space="0" w:color="auto"/>
        <w:left w:val="none" w:sz="0" w:space="0" w:color="auto"/>
        <w:bottom w:val="none" w:sz="0" w:space="0" w:color="auto"/>
        <w:right w:val="none" w:sz="0" w:space="0" w:color="auto"/>
      </w:divBdr>
      <w:divsChild>
        <w:div w:id="1289239306">
          <w:marLeft w:val="0"/>
          <w:marRight w:val="0"/>
          <w:marTop w:val="0"/>
          <w:marBottom w:val="0"/>
          <w:divBdr>
            <w:top w:val="none" w:sz="0" w:space="0" w:color="auto"/>
            <w:left w:val="none" w:sz="0" w:space="0" w:color="auto"/>
            <w:bottom w:val="none" w:sz="0" w:space="0" w:color="auto"/>
            <w:right w:val="none" w:sz="0" w:space="0" w:color="auto"/>
          </w:divBdr>
        </w:div>
      </w:divsChild>
    </w:div>
    <w:div w:id="6296950">
      <w:marLeft w:val="0"/>
      <w:marRight w:val="0"/>
      <w:marTop w:val="180"/>
      <w:marBottom w:val="0"/>
      <w:divBdr>
        <w:top w:val="none" w:sz="0" w:space="0" w:color="auto"/>
        <w:left w:val="none" w:sz="0" w:space="0" w:color="auto"/>
        <w:bottom w:val="none" w:sz="0" w:space="0" w:color="auto"/>
        <w:right w:val="none" w:sz="0" w:space="0" w:color="auto"/>
      </w:divBdr>
    </w:div>
    <w:div w:id="6369597">
      <w:marLeft w:val="0"/>
      <w:marRight w:val="0"/>
      <w:marTop w:val="120"/>
      <w:marBottom w:val="120"/>
      <w:divBdr>
        <w:top w:val="none" w:sz="0" w:space="0" w:color="auto"/>
        <w:left w:val="none" w:sz="0" w:space="0" w:color="auto"/>
        <w:bottom w:val="none" w:sz="0" w:space="0" w:color="auto"/>
        <w:right w:val="none" w:sz="0" w:space="0" w:color="auto"/>
      </w:divBdr>
    </w:div>
    <w:div w:id="9917309">
      <w:marLeft w:val="0"/>
      <w:marRight w:val="0"/>
      <w:marTop w:val="0"/>
      <w:marBottom w:val="0"/>
      <w:divBdr>
        <w:top w:val="none" w:sz="0" w:space="0" w:color="auto"/>
        <w:left w:val="none" w:sz="0" w:space="0" w:color="auto"/>
        <w:bottom w:val="none" w:sz="0" w:space="0" w:color="auto"/>
        <w:right w:val="none" w:sz="0" w:space="0" w:color="auto"/>
      </w:divBdr>
      <w:divsChild>
        <w:div w:id="1064642966">
          <w:marLeft w:val="0"/>
          <w:marRight w:val="0"/>
          <w:marTop w:val="0"/>
          <w:marBottom w:val="0"/>
          <w:divBdr>
            <w:top w:val="none" w:sz="0" w:space="0" w:color="auto"/>
            <w:left w:val="none" w:sz="0" w:space="0" w:color="auto"/>
            <w:bottom w:val="none" w:sz="0" w:space="0" w:color="auto"/>
            <w:right w:val="none" w:sz="0" w:space="0" w:color="auto"/>
          </w:divBdr>
        </w:div>
      </w:divsChild>
    </w:div>
    <w:div w:id="12655532">
      <w:marLeft w:val="0"/>
      <w:marRight w:val="0"/>
      <w:marTop w:val="120"/>
      <w:marBottom w:val="0"/>
      <w:divBdr>
        <w:top w:val="none" w:sz="0" w:space="0" w:color="auto"/>
        <w:left w:val="none" w:sz="0" w:space="0" w:color="auto"/>
        <w:bottom w:val="none" w:sz="0" w:space="0" w:color="auto"/>
        <w:right w:val="none" w:sz="0" w:space="0" w:color="auto"/>
      </w:divBdr>
    </w:div>
    <w:div w:id="15934912">
      <w:marLeft w:val="0"/>
      <w:marRight w:val="0"/>
      <w:marTop w:val="0"/>
      <w:marBottom w:val="0"/>
      <w:divBdr>
        <w:top w:val="none" w:sz="0" w:space="0" w:color="auto"/>
        <w:left w:val="none" w:sz="0" w:space="0" w:color="auto"/>
        <w:bottom w:val="none" w:sz="0" w:space="0" w:color="auto"/>
        <w:right w:val="none" w:sz="0" w:space="0" w:color="auto"/>
      </w:divBdr>
    </w:div>
    <w:div w:id="22753156">
      <w:marLeft w:val="0"/>
      <w:marRight w:val="0"/>
      <w:marTop w:val="0"/>
      <w:marBottom w:val="0"/>
      <w:divBdr>
        <w:top w:val="none" w:sz="0" w:space="0" w:color="auto"/>
        <w:left w:val="none" w:sz="0" w:space="0" w:color="auto"/>
        <w:bottom w:val="none" w:sz="0" w:space="0" w:color="auto"/>
        <w:right w:val="none" w:sz="0" w:space="0" w:color="auto"/>
      </w:divBdr>
    </w:div>
    <w:div w:id="24331021">
      <w:marLeft w:val="0"/>
      <w:marRight w:val="0"/>
      <w:marTop w:val="180"/>
      <w:marBottom w:val="60"/>
      <w:divBdr>
        <w:top w:val="none" w:sz="0" w:space="0" w:color="auto"/>
        <w:left w:val="none" w:sz="0" w:space="0" w:color="auto"/>
        <w:bottom w:val="none" w:sz="0" w:space="0" w:color="auto"/>
        <w:right w:val="none" w:sz="0" w:space="0" w:color="auto"/>
      </w:divBdr>
    </w:div>
    <w:div w:id="27798563">
      <w:marLeft w:val="0"/>
      <w:marRight w:val="0"/>
      <w:marTop w:val="120"/>
      <w:marBottom w:val="0"/>
      <w:divBdr>
        <w:top w:val="none" w:sz="0" w:space="0" w:color="auto"/>
        <w:left w:val="none" w:sz="0" w:space="0" w:color="auto"/>
        <w:bottom w:val="none" w:sz="0" w:space="0" w:color="auto"/>
        <w:right w:val="none" w:sz="0" w:space="0" w:color="auto"/>
      </w:divBdr>
    </w:div>
    <w:div w:id="28379570">
      <w:marLeft w:val="0"/>
      <w:marRight w:val="0"/>
      <w:marTop w:val="120"/>
      <w:marBottom w:val="120"/>
      <w:divBdr>
        <w:top w:val="none" w:sz="0" w:space="0" w:color="auto"/>
        <w:left w:val="none" w:sz="0" w:space="0" w:color="auto"/>
        <w:bottom w:val="none" w:sz="0" w:space="0" w:color="auto"/>
        <w:right w:val="none" w:sz="0" w:space="0" w:color="auto"/>
      </w:divBdr>
    </w:div>
    <w:div w:id="29653460">
      <w:marLeft w:val="0"/>
      <w:marRight w:val="0"/>
      <w:marTop w:val="120"/>
      <w:marBottom w:val="0"/>
      <w:divBdr>
        <w:top w:val="none" w:sz="0" w:space="0" w:color="auto"/>
        <w:left w:val="none" w:sz="0" w:space="0" w:color="auto"/>
        <w:bottom w:val="none" w:sz="0" w:space="0" w:color="auto"/>
        <w:right w:val="none" w:sz="0" w:space="0" w:color="auto"/>
      </w:divBdr>
    </w:div>
    <w:div w:id="31661951">
      <w:marLeft w:val="0"/>
      <w:marRight w:val="0"/>
      <w:marTop w:val="0"/>
      <w:marBottom w:val="0"/>
      <w:divBdr>
        <w:top w:val="none" w:sz="0" w:space="0" w:color="auto"/>
        <w:left w:val="none" w:sz="0" w:space="0" w:color="auto"/>
        <w:bottom w:val="none" w:sz="0" w:space="0" w:color="auto"/>
        <w:right w:val="none" w:sz="0" w:space="0" w:color="auto"/>
      </w:divBdr>
    </w:div>
    <w:div w:id="32851687">
      <w:marLeft w:val="0"/>
      <w:marRight w:val="0"/>
      <w:marTop w:val="0"/>
      <w:marBottom w:val="0"/>
      <w:divBdr>
        <w:top w:val="none" w:sz="0" w:space="0" w:color="auto"/>
        <w:left w:val="none" w:sz="0" w:space="0" w:color="auto"/>
        <w:bottom w:val="none" w:sz="0" w:space="0" w:color="auto"/>
        <w:right w:val="none" w:sz="0" w:space="0" w:color="auto"/>
      </w:divBdr>
    </w:div>
    <w:div w:id="33165298">
      <w:marLeft w:val="0"/>
      <w:marRight w:val="0"/>
      <w:marTop w:val="60"/>
      <w:marBottom w:val="60"/>
      <w:divBdr>
        <w:top w:val="none" w:sz="0" w:space="0" w:color="auto"/>
        <w:left w:val="none" w:sz="0" w:space="0" w:color="auto"/>
        <w:bottom w:val="none" w:sz="0" w:space="0" w:color="auto"/>
        <w:right w:val="none" w:sz="0" w:space="0" w:color="auto"/>
      </w:divBdr>
    </w:div>
    <w:div w:id="33241613">
      <w:marLeft w:val="0"/>
      <w:marRight w:val="0"/>
      <w:marTop w:val="0"/>
      <w:marBottom w:val="0"/>
      <w:divBdr>
        <w:top w:val="none" w:sz="0" w:space="0" w:color="auto"/>
        <w:left w:val="none" w:sz="0" w:space="0" w:color="auto"/>
        <w:bottom w:val="none" w:sz="0" w:space="0" w:color="auto"/>
        <w:right w:val="none" w:sz="0" w:space="0" w:color="auto"/>
      </w:divBdr>
    </w:div>
    <w:div w:id="33626769">
      <w:marLeft w:val="0"/>
      <w:marRight w:val="0"/>
      <w:marTop w:val="120"/>
      <w:marBottom w:val="0"/>
      <w:divBdr>
        <w:top w:val="none" w:sz="0" w:space="0" w:color="auto"/>
        <w:left w:val="none" w:sz="0" w:space="0" w:color="auto"/>
        <w:bottom w:val="none" w:sz="0" w:space="0" w:color="auto"/>
        <w:right w:val="none" w:sz="0" w:space="0" w:color="auto"/>
      </w:divBdr>
    </w:div>
    <w:div w:id="34353394">
      <w:marLeft w:val="0"/>
      <w:marRight w:val="0"/>
      <w:marTop w:val="0"/>
      <w:marBottom w:val="0"/>
      <w:divBdr>
        <w:top w:val="none" w:sz="0" w:space="0" w:color="auto"/>
        <w:left w:val="none" w:sz="0" w:space="0" w:color="auto"/>
        <w:bottom w:val="none" w:sz="0" w:space="0" w:color="auto"/>
        <w:right w:val="none" w:sz="0" w:space="0" w:color="auto"/>
      </w:divBdr>
    </w:div>
    <w:div w:id="40133771">
      <w:marLeft w:val="0"/>
      <w:marRight w:val="0"/>
      <w:marTop w:val="0"/>
      <w:marBottom w:val="0"/>
      <w:divBdr>
        <w:top w:val="none" w:sz="0" w:space="0" w:color="auto"/>
        <w:left w:val="none" w:sz="0" w:space="0" w:color="auto"/>
        <w:bottom w:val="none" w:sz="0" w:space="0" w:color="auto"/>
        <w:right w:val="none" w:sz="0" w:space="0" w:color="auto"/>
      </w:divBdr>
    </w:div>
    <w:div w:id="42680831">
      <w:marLeft w:val="0"/>
      <w:marRight w:val="0"/>
      <w:marTop w:val="0"/>
      <w:marBottom w:val="0"/>
      <w:divBdr>
        <w:top w:val="none" w:sz="0" w:space="0" w:color="auto"/>
        <w:left w:val="none" w:sz="0" w:space="0" w:color="auto"/>
        <w:bottom w:val="none" w:sz="0" w:space="0" w:color="auto"/>
        <w:right w:val="none" w:sz="0" w:space="0" w:color="auto"/>
      </w:divBdr>
    </w:div>
    <w:div w:id="43455842">
      <w:marLeft w:val="0"/>
      <w:marRight w:val="0"/>
      <w:marTop w:val="120"/>
      <w:marBottom w:val="0"/>
      <w:divBdr>
        <w:top w:val="none" w:sz="0" w:space="0" w:color="auto"/>
        <w:left w:val="none" w:sz="0" w:space="0" w:color="auto"/>
        <w:bottom w:val="none" w:sz="0" w:space="0" w:color="auto"/>
        <w:right w:val="none" w:sz="0" w:space="0" w:color="auto"/>
      </w:divBdr>
    </w:div>
    <w:div w:id="45495147">
      <w:marLeft w:val="0"/>
      <w:marRight w:val="0"/>
      <w:marTop w:val="0"/>
      <w:marBottom w:val="0"/>
      <w:divBdr>
        <w:top w:val="none" w:sz="0" w:space="0" w:color="auto"/>
        <w:left w:val="none" w:sz="0" w:space="0" w:color="auto"/>
        <w:bottom w:val="none" w:sz="0" w:space="0" w:color="auto"/>
        <w:right w:val="none" w:sz="0" w:space="0" w:color="auto"/>
      </w:divBdr>
    </w:div>
    <w:div w:id="45837880">
      <w:marLeft w:val="0"/>
      <w:marRight w:val="0"/>
      <w:marTop w:val="120"/>
      <w:marBottom w:val="120"/>
      <w:divBdr>
        <w:top w:val="none" w:sz="0" w:space="0" w:color="auto"/>
        <w:left w:val="none" w:sz="0" w:space="0" w:color="auto"/>
        <w:bottom w:val="none" w:sz="0" w:space="0" w:color="auto"/>
        <w:right w:val="none" w:sz="0" w:space="0" w:color="auto"/>
      </w:divBdr>
    </w:div>
    <w:div w:id="45838441">
      <w:marLeft w:val="0"/>
      <w:marRight w:val="0"/>
      <w:marTop w:val="0"/>
      <w:marBottom w:val="120"/>
      <w:divBdr>
        <w:top w:val="none" w:sz="0" w:space="0" w:color="auto"/>
        <w:left w:val="none" w:sz="0" w:space="0" w:color="auto"/>
        <w:bottom w:val="none" w:sz="0" w:space="0" w:color="auto"/>
        <w:right w:val="none" w:sz="0" w:space="0" w:color="auto"/>
      </w:divBdr>
    </w:div>
    <w:div w:id="47846909">
      <w:marLeft w:val="0"/>
      <w:marRight w:val="0"/>
      <w:marTop w:val="0"/>
      <w:marBottom w:val="0"/>
      <w:divBdr>
        <w:top w:val="none" w:sz="0" w:space="0" w:color="auto"/>
        <w:left w:val="none" w:sz="0" w:space="0" w:color="auto"/>
        <w:bottom w:val="none" w:sz="0" w:space="0" w:color="auto"/>
        <w:right w:val="none" w:sz="0" w:space="0" w:color="auto"/>
      </w:divBdr>
    </w:div>
    <w:div w:id="52702587">
      <w:marLeft w:val="0"/>
      <w:marRight w:val="0"/>
      <w:marTop w:val="120"/>
      <w:marBottom w:val="0"/>
      <w:divBdr>
        <w:top w:val="none" w:sz="0" w:space="0" w:color="auto"/>
        <w:left w:val="none" w:sz="0" w:space="0" w:color="auto"/>
        <w:bottom w:val="none" w:sz="0" w:space="0" w:color="auto"/>
        <w:right w:val="none" w:sz="0" w:space="0" w:color="auto"/>
      </w:divBdr>
    </w:div>
    <w:div w:id="56828943">
      <w:marLeft w:val="0"/>
      <w:marRight w:val="0"/>
      <w:marTop w:val="120"/>
      <w:marBottom w:val="0"/>
      <w:divBdr>
        <w:top w:val="none" w:sz="0" w:space="0" w:color="auto"/>
        <w:left w:val="none" w:sz="0" w:space="0" w:color="auto"/>
        <w:bottom w:val="none" w:sz="0" w:space="0" w:color="auto"/>
        <w:right w:val="none" w:sz="0" w:space="0" w:color="auto"/>
      </w:divBdr>
    </w:div>
    <w:div w:id="59252639">
      <w:marLeft w:val="0"/>
      <w:marRight w:val="0"/>
      <w:marTop w:val="0"/>
      <w:marBottom w:val="0"/>
      <w:divBdr>
        <w:top w:val="none" w:sz="0" w:space="0" w:color="auto"/>
        <w:left w:val="none" w:sz="0" w:space="0" w:color="auto"/>
        <w:bottom w:val="none" w:sz="0" w:space="0" w:color="auto"/>
        <w:right w:val="none" w:sz="0" w:space="0" w:color="auto"/>
      </w:divBdr>
      <w:divsChild>
        <w:div w:id="1078013305">
          <w:marLeft w:val="0"/>
          <w:marRight w:val="0"/>
          <w:marTop w:val="0"/>
          <w:marBottom w:val="0"/>
          <w:divBdr>
            <w:top w:val="none" w:sz="0" w:space="0" w:color="auto"/>
            <w:left w:val="none" w:sz="0" w:space="0" w:color="auto"/>
            <w:bottom w:val="none" w:sz="0" w:space="0" w:color="auto"/>
            <w:right w:val="none" w:sz="0" w:space="0" w:color="auto"/>
          </w:divBdr>
        </w:div>
      </w:divsChild>
    </w:div>
    <w:div w:id="60448305">
      <w:marLeft w:val="0"/>
      <w:marRight w:val="0"/>
      <w:marTop w:val="120"/>
      <w:marBottom w:val="120"/>
      <w:divBdr>
        <w:top w:val="none" w:sz="0" w:space="0" w:color="auto"/>
        <w:left w:val="none" w:sz="0" w:space="0" w:color="auto"/>
        <w:bottom w:val="none" w:sz="0" w:space="0" w:color="auto"/>
        <w:right w:val="none" w:sz="0" w:space="0" w:color="auto"/>
      </w:divBdr>
    </w:div>
    <w:div w:id="61566665">
      <w:marLeft w:val="0"/>
      <w:marRight w:val="0"/>
      <w:marTop w:val="0"/>
      <w:marBottom w:val="0"/>
      <w:divBdr>
        <w:top w:val="none" w:sz="0" w:space="0" w:color="auto"/>
        <w:left w:val="none" w:sz="0" w:space="0" w:color="auto"/>
        <w:bottom w:val="none" w:sz="0" w:space="0" w:color="auto"/>
        <w:right w:val="none" w:sz="0" w:space="0" w:color="auto"/>
      </w:divBdr>
      <w:divsChild>
        <w:div w:id="479542013">
          <w:marLeft w:val="0"/>
          <w:marRight w:val="0"/>
          <w:marTop w:val="0"/>
          <w:marBottom w:val="0"/>
          <w:divBdr>
            <w:top w:val="none" w:sz="0" w:space="0" w:color="auto"/>
            <w:left w:val="none" w:sz="0" w:space="0" w:color="auto"/>
            <w:bottom w:val="none" w:sz="0" w:space="0" w:color="auto"/>
            <w:right w:val="none" w:sz="0" w:space="0" w:color="auto"/>
          </w:divBdr>
        </w:div>
      </w:divsChild>
    </w:div>
    <w:div w:id="65734895">
      <w:marLeft w:val="0"/>
      <w:marRight w:val="0"/>
      <w:marTop w:val="0"/>
      <w:marBottom w:val="0"/>
      <w:divBdr>
        <w:top w:val="none" w:sz="0" w:space="0" w:color="auto"/>
        <w:left w:val="none" w:sz="0" w:space="0" w:color="auto"/>
        <w:bottom w:val="none" w:sz="0" w:space="0" w:color="auto"/>
        <w:right w:val="none" w:sz="0" w:space="0" w:color="auto"/>
      </w:divBdr>
    </w:div>
    <w:div w:id="68383093">
      <w:marLeft w:val="0"/>
      <w:marRight w:val="0"/>
      <w:marTop w:val="120"/>
      <w:marBottom w:val="120"/>
      <w:divBdr>
        <w:top w:val="none" w:sz="0" w:space="0" w:color="auto"/>
        <w:left w:val="none" w:sz="0" w:space="0" w:color="auto"/>
        <w:bottom w:val="none" w:sz="0" w:space="0" w:color="auto"/>
        <w:right w:val="none" w:sz="0" w:space="0" w:color="auto"/>
      </w:divBdr>
    </w:div>
    <w:div w:id="68772463">
      <w:marLeft w:val="0"/>
      <w:marRight w:val="0"/>
      <w:marTop w:val="120"/>
      <w:marBottom w:val="120"/>
      <w:divBdr>
        <w:top w:val="none" w:sz="0" w:space="0" w:color="auto"/>
        <w:left w:val="none" w:sz="0" w:space="0" w:color="auto"/>
        <w:bottom w:val="none" w:sz="0" w:space="0" w:color="auto"/>
        <w:right w:val="none" w:sz="0" w:space="0" w:color="auto"/>
      </w:divBdr>
    </w:div>
    <w:div w:id="69347887">
      <w:marLeft w:val="0"/>
      <w:marRight w:val="0"/>
      <w:marTop w:val="0"/>
      <w:marBottom w:val="0"/>
      <w:divBdr>
        <w:top w:val="none" w:sz="0" w:space="0" w:color="auto"/>
        <w:left w:val="none" w:sz="0" w:space="0" w:color="auto"/>
        <w:bottom w:val="none" w:sz="0" w:space="0" w:color="auto"/>
        <w:right w:val="none" w:sz="0" w:space="0" w:color="auto"/>
      </w:divBdr>
      <w:divsChild>
        <w:div w:id="1873374452">
          <w:marLeft w:val="0"/>
          <w:marRight w:val="0"/>
          <w:marTop w:val="0"/>
          <w:marBottom w:val="0"/>
          <w:divBdr>
            <w:top w:val="none" w:sz="0" w:space="0" w:color="auto"/>
            <w:left w:val="none" w:sz="0" w:space="0" w:color="auto"/>
            <w:bottom w:val="none" w:sz="0" w:space="0" w:color="auto"/>
            <w:right w:val="none" w:sz="0" w:space="0" w:color="auto"/>
          </w:divBdr>
        </w:div>
      </w:divsChild>
    </w:div>
    <w:div w:id="73400477">
      <w:marLeft w:val="0"/>
      <w:marRight w:val="0"/>
      <w:marTop w:val="60"/>
      <w:marBottom w:val="0"/>
      <w:divBdr>
        <w:top w:val="none" w:sz="0" w:space="0" w:color="auto"/>
        <w:left w:val="none" w:sz="0" w:space="0" w:color="auto"/>
        <w:bottom w:val="none" w:sz="0" w:space="0" w:color="auto"/>
        <w:right w:val="none" w:sz="0" w:space="0" w:color="auto"/>
      </w:divBdr>
    </w:div>
    <w:div w:id="74938056">
      <w:marLeft w:val="0"/>
      <w:marRight w:val="0"/>
      <w:marTop w:val="0"/>
      <w:marBottom w:val="0"/>
      <w:divBdr>
        <w:top w:val="none" w:sz="0" w:space="0" w:color="auto"/>
        <w:left w:val="none" w:sz="0" w:space="0" w:color="auto"/>
        <w:bottom w:val="none" w:sz="0" w:space="0" w:color="auto"/>
        <w:right w:val="none" w:sz="0" w:space="0" w:color="auto"/>
      </w:divBdr>
      <w:divsChild>
        <w:div w:id="268440894">
          <w:marLeft w:val="0"/>
          <w:marRight w:val="0"/>
          <w:marTop w:val="0"/>
          <w:marBottom w:val="0"/>
          <w:divBdr>
            <w:top w:val="none" w:sz="0" w:space="0" w:color="auto"/>
            <w:left w:val="none" w:sz="0" w:space="0" w:color="auto"/>
            <w:bottom w:val="none" w:sz="0" w:space="0" w:color="auto"/>
            <w:right w:val="none" w:sz="0" w:space="0" w:color="auto"/>
          </w:divBdr>
        </w:div>
      </w:divsChild>
    </w:div>
    <w:div w:id="75399034">
      <w:marLeft w:val="0"/>
      <w:marRight w:val="0"/>
      <w:marTop w:val="0"/>
      <w:marBottom w:val="0"/>
      <w:divBdr>
        <w:top w:val="none" w:sz="0" w:space="0" w:color="auto"/>
        <w:left w:val="none" w:sz="0" w:space="0" w:color="auto"/>
        <w:bottom w:val="none" w:sz="0" w:space="0" w:color="auto"/>
        <w:right w:val="none" w:sz="0" w:space="0" w:color="auto"/>
      </w:divBdr>
    </w:div>
    <w:div w:id="75441925">
      <w:marLeft w:val="0"/>
      <w:marRight w:val="0"/>
      <w:marTop w:val="120"/>
      <w:marBottom w:val="120"/>
      <w:divBdr>
        <w:top w:val="none" w:sz="0" w:space="0" w:color="auto"/>
        <w:left w:val="none" w:sz="0" w:space="0" w:color="auto"/>
        <w:bottom w:val="none" w:sz="0" w:space="0" w:color="auto"/>
        <w:right w:val="none" w:sz="0" w:space="0" w:color="auto"/>
      </w:divBdr>
    </w:div>
    <w:div w:id="77294185">
      <w:marLeft w:val="0"/>
      <w:marRight w:val="0"/>
      <w:marTop w:val="120"/>
      <w:marBottom w:val="0"/>
      <w:divBdr>
        <w:top w:val="none" w:sz="0" w:space="0" w:color="auto"/>
        <w:left w:val="none" w:sz="0" w:space="0" w:color="auto"/>
        <w:bottom w:val="none" w:sz="0" w:space="0" w:color="auto"/>
        <w:right w:val="none" w:sz="0" w:space="0" w:color="auto"/>
      </w:divBdr>
    </w:div>
    <w:div w:id="78067580">
      <w:marLeft w:val="0"/>
      <w:marRight w:val="0"/>
      <w:marTop w:val="120"/>
      <w:marBottom w:val="120"/>
      <w:divBdr>
        <w:top w:val="none" w:sz="0" w:space="0" w:color="auto"/>
        <w:left w:val="none" w:sz="0" w:space="0" w:color="auto"/>
        <w:bottom w:val="none" w:sz="0" w:space="0" w:color="auto"/>
        <w:right w:val="none" w:sz="0" w:space="0" w:color="auto"/>
      </w:divBdr>
    </w:div>
    <w:div w:id="78211520">
      <w:marLeft w:val="0"/>
      <w:marRight w:val="0"/>
      <w:marTop w:val="120"/>
      <w:marBottom w:val="0"/>
      <w:divBdr>
        <w:top w:val="none" w:sz="0" w:space="0" w:color="auto"/>
        <w:left w:val="none" w:sz="0" w:space="0" w:color="auto"/>
        <w:bottom w:val="none" w:sz="0" w:space="0" w:color="auto"/>
        <w:right w:val="none" w:sz="0" w:space="0" w:color="auto"/>
      </w:divBdr>
    </w:div>
    <w:div w:id="79258222">
      <w:marLeft w:val="0"/>
      <w:marRight w:val="0"/>
      <w:marTop w:val="0"/>
      <w:marBottom w:val="120"/>
      <w:divBdr>
        <w:top w:val="none" w:sz="0" w:space="0" w:color="auto"/>
        <w:left w:val="none" w:sz="0" w:space="0" w:color="auto"/>
        <w:bottom w:val="none" w:sz="0" w:space="0" w:color="auto"/>
        <w:right w:val="none" w:sz="0" w:space="0" w:color="auto"/>
      </w:divBdr>
    </w:div>
    <w:div w:id="86929152">
      <w:marLeft w:val="0"/>
      <w:marRight w:val="0"/>
      <w:marTop w:val="120"/>
      <w:marBottom w:val="120"/>
      <w:divBdr>
        <w:top w:val="none" w:sz="0" w:space="0" w:color="auto"/>
        <w:left w:val="none" w:sz="0" w:space="0" w:color="auto"/>
        <w:bottom w:val="none" w:sz="0" w:space="0" w:color="auto"/>
        <w:right w:val="none" w:sz="0" w:space="0" w:color="auto"/>
      </w:divBdr>
    </w:div>
    <w:div w:id="96565690">
      <w:marLeft w:val="0"/>
      <w:marRight w:val="0"/>
      <w:marTop w:val="0"/>
      <w:marBottom w:val="0"/>
      <w:divBdr>
        <w:top w:val="none" w:sz="0" w:space="0" w:color="auto"/>
        <w:left w:val="none" w:sz="0" w:space="0" w:color="auto"/>
        <w:bottom w:val="none" w:sz="0" w:space="0" w:color="auto"/>
        <w:right w:val="none" w:sz="0" w:space="0" w:color="auto"/>
      </w:divBdr>
    </w:div>
    <w:div w:id="96601983">
      <w:marLeft w:val="0"/>
      <w:marRight w:val="0"/>
      <w:marTop w:val="120"/>
      <w:marBottom w:val="120"/>
      <w:divBdr>
        <w:top w:val="none" w:sz="0" w:space="0" w:color="auto"/>
        <w:left w:val="none" w:sz="0" w:space="0" w:color="auto"/>
        <w:bottom w:val="none" w:sz="0" w:space="0" w:color="auto"/>
        <w:right w:val="none" w:sz="0" w:space="0" w:color="auto"/>
      </w:divBdr>
    </w:div>
    <w:div w:id="97330947">
      <w:marLeft w:val="0"/>
      <w:marRight w:val="0"/>
      <w:marTop w:val="0"/>
      <w:marBottom w:val="0"/>
      <w:divBdr>
        <w:top w:val="none" w:sz="0" w:space="0" w:color="auto"/>
        <w:left w:val="none" w:sz="0" w:space="0" w:color="auto"/>
        <w:bottom w:val="none" w:sz="0" w:space="0" w:color="auto"/>
        <w:right w:val="none" w:sz="0" w:space="0" w:color="auto"/>
      </w:divBdr>
      <w:divsChild>
        <w:div w:id="368409699">
          <w:marLeft w:val="0"/>
          <w:marRight w:val="0"/>
          <w:marTop w:val="0"/>
          <w:marBottom w:val="0"/>
          <w:divBdr>
            <w:top w:val="none" w:sz="0" w:space="0" w:color="auto"/>
            <w:left w:val="none" w:sz="0" w:space="0" w:color="auto"/>
            <w:bottom w:val="none" w:sz="0" w:space="0" w:color="auto"/>
            <w:right w:val="none" w:sz="0" w:space="0" w:color="auto"/>
          </w:divBdr>
        </w:div>
      </w:divsChild>
    </w:div>
    <w:div w:id="98305686">
      <w:marLeft w:val="0"/>
      <w:marRight w:val="0"/>
      <w:marTop w:val="120"/>
      <w:marBottom w:val="120"/>
      <w:divBdr>
        <w:top w:val="none" w:sz="0" w:space="0" w:color="auto"/>
        <w:left w:val="none" w:sz="0" w:space="0" w:color="auto"/>
        <w:bottom w:val="none" w:sz="0" w:space="0" w:color="auto"/>
        <w:right w:val="none" w:sz="0" w:space="0" w:color="auto"/>
      </w:divBdr>
    </w:div>
    <w:div w:id="100147040">
      <w:marLeft w:val="0"/>
      <w:marRight w:val="0"/>
      <w:marTop w:val="120"/>
      <w:marBottom w:val="0"/>
      <w:divBdr>
        <w:top w:val="none" w:sz="0" w:space="0" w:color="auto"/>
        <w:left w:val="none" w:sz="0" w:space="0" w:color="auto"/>
        <w:bottom w:val="none" w:sz="0" w:space="0" w:color="auto"/>
        <w:right w:val="none" w:sz="0" w:space="0" w:color="auto"/>
      </w:divBdr>
    </w:div>
    <w:div w:id="104352229">
      <w:marLeft w:val="0"/>
      <w:marRight w:val="0"/>
      <w:marTop w:val="120"/>
      <w:marBottom w:val="0"/>
      <w:divBdr>
        <w:top w:val="none" w:sz="0" w:space="0" w:color="auto"/>
        <w:left w:val="none" w:sz="0" w:space="0" w:color="auto"/>
        <w:bottom w:val="none" w:sz="0" w:space="0" w:color="auto"/>
        <w:right w:val="none" w:sz="0" w:space="0" w:color="auto"/>
      </w:divBdr>
    </w:div>
    <w:div w:id="104930455">
      <w:marLeft w:val="0"/>
      <w:marRight w:val="0"/>
      <w:marTop w:val="120"/>
      <w:marBottom w:val="0"/>
      <w:divBdr>
        <w:top w:val="none" w:sz="0" w:space="0" w:color="auto"/>
        <w:left w:val="none" w:sz="0" w:space="0" w:color="auto"/>
        <w:bottom w:val="none" w:sz="0" w:space="0" w:color="auto"/>
        <w:right w:val="none" w:sz="0" w:space="0" w:color="auto"/>
      </w:divBdr>
    </w:div>
    <w:div w:id="105807413">
      <w:marLeft w:val="0"/>
      <w:marRight w:val="0"/>
      <w:marTop w:val="0"/>
      <w:marBottom w:val="0"/>
      <w:divBdr>
        <w:top w:val="none" w:sz="0" w:space="0" w:color="auto"/>
        <w:left w:val="none" w:sz="0" w:space="0" w:color="auto"/>
        <w:bottom w:val="none" w:sz="0" w:space="0" w:color="auto"/>
        <w:right w:val="none" w:sz="0" w:space="0" w:color="auto"/>
      </w:divBdr>
      <w:divsChild>
        <w:div w:id="37243436">
          <w:marLeft w:val="0"/>
          <w:marRight w:val="0"/>
          <w:marTop w:val="0"/>
          <w:marBottom w:val="0"/>
          <w:divBdr>
            <w:top w:val="none" w:sz="0" w:space="0" w:color="auto"/>
            <w:left w:val="none" w:sz="0" w:space="0" w:color="auto"/>
            <w:bottom w:val="none" w:sz="0" w:space="0" w:color="auto"/>
            <w:right w:val="none" w:sz="0" w:space="0" w:color="auto"/>
          </w:divBdr>
        </w:div>
      </w:divsChild>
    </w:div>
    <w:div w:id="107282729">
      <w:marLeft w:val="0"/>
      <w:marRight w:val="0"/>
      <w:marTop w:val="240"/>
      <w:marBottom w:val="120"/>
      <w:divBdr>
        <w:top w:val="none" w:sz="0" w:space="0" w:color="auto"/>
        <w:left w:val="none" w:sz="0" w:space="0" w:color="auto"/>
        <w:bottom w:val="none" w:sz="0" w:space="0" w:color="auto"/>
        <w:right w:val="none" w:sz="0" w:space="0" w:color="auto"/>
      </w:divBdr>
    </w:div>
    <w:div w:id="107629073">
      <w:marLeft w:val="0"/>
      <w:marRight w:val="0"/>
      <w:marTop w:val="0"/>
      <w:marBottom w:val="0"/>
      <w:divBdr>
        <w:top w:val="none" w:sz="0" w:space="0" w:color="auto"/>
        <w:left w:val="none" w:sz="0" w:space="0" w:color="auto"/>
        <w:bottom w:val="none" w:sz="0" w:space="0" w:color="auto"/>
        <w:right w:val="none" w:sz="0" w:space="0" w:color="auto"/>
      </w:divBdr>
      <w:divsChild>
        <w:div w:id="763569912">
          <w:marLeft w:val="0"/>
          <w:marRight w:val="0"/>
          <w:marTop w:val="0"/>
          <w:marBottom w:val="0"/>
          <w:divBdr>
            <w:top w:val="none" w:sz="0" w:space="0" w:color="auto"/>
            <w:left w:val="none" w:sz="0" w:space="0" w:color="auto"/>
            <w:bottom w:val="none" w:sz="0" w:space="0" w:color="auto"/>
            <w:right w:val="none" w:sz="0" w:space="0" w:color="auto"/>
          </w:divBdr>
        </w:div>
      </w:divsChild>
    </w:div>
    <w:div w:id="107704864">
      <w:marLeft w:val="0"/>
      <w:marRight w:val="0"/>
      <w:marTop w:val="240"/>
      <w:marBottom w:val="120"/>
      <w:divBdr>
        <w:top w:val="none" w:sz="0" w:space="0" w:color="auto"/>
        <w:left w:val="none" w:sz="0" w:space="0" w:color="auto"/>
        <w:bottom w:val="none" w:sz="0" w:space="0" w:color="auto"/>
        <w:right w:val="none" w:sz="0" w:space="0" w:color="auto"/>
      </w:divBdr>
    </w:div>
    <w:div w:id="108859909">
      <w:marLeft w:val="0"/>
      <w:marRight w:val="0"/>
      <w:marTop w:val="240"/>
      <w:marBottom w:val="0"/>
      <w:divBdr>
        <w:top w:val="none" w:sz="0" w:space="0" w:color="auto"/>
        <w:left w:val="none" w:sz="0" w:space="0" w:color="auto"/>
        <w:bottom w:val="none" w:sz="0" w:space="0" w:color="auto"/>
        <w:right w:val="none" w:sz="0" w:space="0" w:color="auto"/>
      </w:divBdr>
    </w:div>
    <w:div w:id="109323982">
      <w:marLeft w:val="0"/>
      <w:marRight w:val="0"/>
      <w:marTop w:val="120"/>
      <w:marBottom w:val="0"/>
      <w:divBdr>
        <w:top w:val="none" w:sz="0" w:space="0" w:color="auto"/>
        <w:left w:val="none" w:sz="0" w:space="0" w:color="auto"/>
        <w:bottom w:val="none" w:sz="0" w:space="0" w:color="auto"/>
        <w:right w:val="none" w:sz="0" w:space="0" w:color="auto"/>
      </w:divBdr>
    </w:div>
    <w:div w:id="117183517">
      <w:marLeft w:val="0"/>
      <w:marRight w:val="0"/>
      <w:marTop w:val="120"/>
      <w:marBottom w:val="0"/>
      <w:divBdr>
        <w:top w:val="none" w:sz="0" w:space="0" w:color="auto"/>
        <w:left w:val="none" w:sz="0" w:space="0" w:color="auto"/>
        <w:bottom w:val="none" w:sz="0" w:space="0" w:color="auto"/>
        <w:right w:val="none" w:sz="0" w:space="0" w:color="auto"/>
      </w:divBdr>
    </w:div>
    <w:div w:id="119737146">
      <w:marLeft w:val="0"/>
      <w:marRight w:val="0"/>
      <w:marTop w:val="120"/>
      <w:marBottom w:val="0"/>
      <w:divBdr>
        <w:top w:val="none" w:sz="0" w:space="0" w:color="auto"/>
        <w:left w:val="none" w:sz="0" w:space="0" w:color="auto"/>
        <w:bottom w:val="none" w:sz="0" w:space="0" w:color="auto"/>
        <w:right w:val="none" w:sz="0" w:space="0" w:color="auto"/>
      </w:divBdr>
    </w:div>
    <w:div w:id="119806290">
      <w:marLeft w:val="0"/>
      <w:marRight w:val="0"/>
      <w:marTop w:val="0"/>
      <w:marBottom w:val="0"/>
      <w:divBdr>
        <w:top w:val="none" w:sz="0" w:space="0" w:color="auto"/>
        <w:left w:val="none" w:sz="0" w:space="0" w:color="auto"/>
        <w:bottom w:val="none" w:sz="0" w:space="0" w:color="auto"/>
        <w:right w:val="none" w:sz="0" w:space="0" w:color="auto"/>
      </w:divBdr>
    </w:div>
    <w:div w:id="119806363">
      <w:marLeft w:val="0"/>
      <w:marRight w:val="0"/>
      <w:marTop w:val="0"/>
      <w:marBottom w:val="0"/>
      <w:divBdr>
        <w:top w:val="none" w:sz="0" w:space="0" w:color="auto"/>
        <w:left w:val="none" w:sz="0" w:space="0" w:color="auto"/>
        <w:bottom w:val="none" w:sz="0" w:space="0" w:color="auto"/>
        <w:right w:val="none" w:sz="0" w:space="0" w:color="auto"/>
      </w:divBdr>
    </w:div>
    <w:div w:id="123471778">
      <w:marLeft w:val="0"/>
      <w:marRight w:val="0"/>
      <w:marTop w:val="0"/>
      <w:marBottom w:val="0"/>
      <w:divBdr>
        <w:top w:val="none" w:sz="0" w:space="0" w:color="auto"/>
        <w:left w:val="none" w:sz="0" w:space="0" w:color="auto"/>
        <w:bottom w:val="none" w:sz="0" w:space="0" w:color="auto"/>
        <w:right w:val="none" w:sz="0" w:space="0" w:color="auto"/>
      </w:divBdr>
    </w:div>
    <w:div w:id="127015944">
      <w:marLeft w:val="0"/>
      <w:marRight w:val="0"/>
      <w:marTop w:val="0"/>
      <w:marBottom w:val="0"/>
      <w:divBdr>
        <w:top w:val="none" w:sz="0" w:space="0" w:color="auto"/>
        <w:left w:val="none" w:sz="0" w:space="0" w:color="auto"/>
        <w:bottom w:val="none" w:sz="0" w:space="0" w:color="auto"/>
        <w:right w:val="none" w:sz="0" w:space="0" w:color="auto"/>
      </w:divBdr>
      <w:divsChild>
        <w:div w:id="1433280414">
          <w:marLeft w:val="0"/>
          <w:marRight w:val="0"/>
          <w:marTop w:val="0"/>
          <w:marBottom w:val="0"/>
          <w:divBdr>
            <w:top w:val="none" w:sz="0" w:space="0" w:color="auto"/>
            <w:left w:val="none" w:sz="0" w:space="0" w:color="auto"/>
            <w:bottom w:val="none" w:sz="0" w:space="0" w:color="auto"/>
            <w:right w:val="none" w:sz="0" w:space="0" w:color="auto"/>
          </w:divBdr>
        </w:div>
      </w:divsChild>
    </w:div>
    <w:div w:id="129399248">
      <w:marLeft w:val="0"/>
      <w:marRight w:val="0"/>
      <w:marTop w:val="120"/>
      <w:marBottom w:val="120"/>
      <w:divBdr>
        <w:top w:val="none" w:sz="0" w:space="0" w:color="auto"/>
        <w:left w:val="none" w:sz="0" w:space="0" w:color="auto"/>
        <w:bottom w:val="none" w:sz="0" w:space="0" w:color="auto"/>
        <w:right w:val="none" w:sz="0" w:space="0" w:color="auto"/>
      </w:divBdr>
    </w:div>
    <w:div w:id="131143809">
      <w:marLeft w:val="0"/>
      <w:marRight w:val="0"/>
      <w:marTop w:val="0"/>
      <w:marBottom w:val="0"/>
      <w:divBdr>
        <w:top w:val="none" w:sz="0" w:space="0" w:color="auto"/>
        <w:left w:val="none" w:sz="0" w:space="0" w:color="auto"/>
        <w:bottom w:val="none" w:sz="0" w:space="0" w:color="auto"/>
        <w:right w:val="none" w:sz="0" w:space="0" w:color="auto"/>
      </w:divBdr>
    </w:div>
    <w:div w:id="131290733">
      <w:marLeft w:val="0"/>
      <w:marRight w:val="0"/>
      <w:marTop w:val="0"/>
      <w:marBottom w:val="0"/>
      <w:divBdr>
        <w:top w:val="none" w:sz="0" w:space="0" w:color="auto"/>
        <w:left w:val="none" w:sz="0" w:space="0" w:color="auto"/>
        <w:bottom w:val="none" w:sz="0" w:space="0" w:color="auto"/>
        <w:right w:val="none" w:sz="0" w:space="0" w:color="auto"/>
      </w:divBdr>
    </w:div>
    <w:div w:id="131411616">
      <w:marLeft w:val="0"/>
      <w:marRight w:val="0"/>
      <w:marTop w:val="120"/>
      <w:marBottom w:val="0"/>
      <w:divBdr>
        <w:top w:val="none" w:sz="0" w:space="0" w:color="auto"/>
        <w:left w:val="none" w:sz="0" w:space="0" w:color="auto"/>
        <w:bottom w:val="none" w:sz="0" w:space="0" w:color="auto"/>
        <w:right w:val="none" w:sz="0" w:space="0" w:color="auto"/>
      </w:divBdr>
    </w:div>
    <w:div w:id="137041456">
      <w:marLeft w:val="0"/>
      <w:marRight w:val="0"/>
      <w:marTop w:val="120"/>
      <w:marBottom w:val="0"/>
      <w:divBdr>
        <w:top w:val="none" w:sz="0" w:space="0" w:color="auto"/>
        <w:left w:val="none" w:sz="0" w:space="0" w:color="auto"/>
        <w:bottom w:val="none" w:sz="0" w:space="0" w:color="auto"/>
        <w:right w:val="none" w:sz="0" w:space="0" w:color="auto"/>
      </w:divBdr>
    </w:div>
    <w:div w:id="139008800">
      <w:marLeft w:val="0"/>
      <w:marRight w:val="0"/>
      <w:marTop w:val="0"/>
      <w:marBottom w:val="0"/>
      <w:divBdr>
        <w:top w:val="none" w:sz="0" w:space="0" w:color="auto"/>
        <w:left w:val="none" w:sz="0" w:space="0" w:color="auto"/>
        <w:bottom w:val="none" w:sz="0" w:space="0" w:color="auto"/>
        <w:right w:val="none" w:sz="0" w:space="0" w:color="auto"/>
      </w:divBdr>
    </w:div>
    <w:div w:id="139883511">
      <w:marLeft w:val="0"/>
      <w:marRight w:val="0"/>
      <w:marTop w:val="0"/>
      <w:marBottom w:val="0"/>
      <w:divBdr>
        <w:top w:val="none" w:sz="0" w:space="0" w:color="auto"/>
        <w:left w:val="none" w:sz="0" w:space="0" w:color="auto"/>
        <w:bottom w:val="none" w:sz="0" w:space="0" w:color="auto"/>
        <w:right w:val="none" w:sz="0" w:space="0" w:color="auto"/>
      </w:divBdr>
    </w:div>
    <w:div w:id="142161425">
      <w:marLeft w:val="0"/>
      <w:marRight w:val="0"/>
      <w:marTop w:val="180"/>
      <w:marBottom w:val="120"/>
      <w:divBdr>
        <w:top w:val="none" w:sz="0" w:space="0" w:color="auto"/>
        <w:left w:val="none" w:sz="0" w:space="0" w:color="auto"/>
        <w:bottom w:val="none" w:sz="0" w:space="0" w:color="auto"/>
        <w:right w:val="none" w:sz="0" w:space="0" w:color="auto"/>
      </w:divBdr>
    </w:div>
    <w:div w:id="144900804">
      <w:marLeft w:val="0"/>
      <w:marRight w:val="0"/>
      <w:marTop w:val="180"/>
      <w:marBottom w:val="120"/>
      <w:divBdr>
        <w:top w:val="none" w:sz="0" w:space="0" w:color="auto"/>
        <w:left w:val="none" w:sz="0" w:space="0" w:color="auto"/>
        <w:bottom w:val="none" w:sz="0" w:space="0" w:color="auto"/>
        <w:right w:val="none" w:sz="0" w:space="0" w:color="auto"/>
      </w:divBdr>
    </w:div>
    <w:div w:id="153566755">
      <w:marLeft w:val="0"/>
      <w:marRight w:val="0"/>
      <w:marTop w:val="240"/>
      <w:marBottom w:val="120"/>
      <w:divBdr>
        <w:top w:val="none" w:sz="0" w:space="0" w:color="auto"/>
        <w:left w:val="none" w:sz="0" w:space="0" w:color="auto"/>
        <w:bottom w:val="none" w:sz="0" w:space="0" w:color="auto"/>
        <w:right w:val="none" w:sz="0" w:space="0" w:color="auto"/>
      </w:divBdr>
    </w:div>
    <w:div w:id="163322216">
      <w:marLeft w:val="0"/>
      <w:marRight w:val="0"/>
      <w:marTop w:val="240"/>
      <w:marBottom w:val="120"/>
      <w:divBdr>
        <w:top w:val="none" w:sz="0" w:space="0" w:color="auto"/>
        <w:left w:val="none" w:sz="0" w:space="0" w:color="auto"/>
        <w:bottom w:val="none" w:sz="0" w:space="0" w:color="auto"/>
        <w:right w:val="none" w:sz="0" w:space="0" w:color="auto"/>
      </w:divBdr>
    </w:div>
    <w:div w:id="169950829">
      <w:marLeft w:val="0"/>
      <w:marRight w:val="0"/>
      <w:marTop w:val="240"/>
      <w:marBottom w:val="0"/>
      <w:divBdr>
        <w:top w:val="none" w:sz="0" w:space="0" w:color="auto"/>
        <w:left w:val="none" w:sz="0" w:space="0" w:color="auto"/>
        <w:bottom w:val="none" w:sz="0" w:space="0" w:color="auto"/>
        <w:right w:val="none" w:sz="0" w:space="0" w:color="auto"/>
      </w:divBdr>
    </w:div>
    <w:div w:id="170411852">
      <w:marLeft w:val="0"/>
      <w:marRight w:val="0"/>
      <w:marTop w:val="180"/>
      <w:marBottom w:val="120"/>
      <w:divBdr>
        <w:top w:val="none" w:sz="0" w:space="0" w:color="auto"/>
        <w:left w:val="none" w:sz="0" w:space="0" w:color="auto"/>
        <w:bottom w:val="none" w:sz="0" w:space="0" w:color="auto"/>
        <w:right w:val="none" w:sz="0" w:space="0" w:color="auto"/>
      </w:divBdr>
    </w:div>
    <w:div w:id="170681642">
      <w:marLeft w:val="0"/>
      <w:marRight w:val="0"/>
      <w:marTop w:val="0"/>
      <w:marBottom w:val="0"/>
      <w:divBdr>
        <w:top w:val="none" w:sz="0" w:space="0" w:color="auto"/>
        <w:left w:val="none" w:sz="0" w:space="0" w:color="auto"/>
        <w:bottom w:val="none" w:sz="0" w:space="0" w:color="auto"/>
        <w:right w:val="none" w:sz="0" w:space="0" w:color="auto"/>
      </w:divBdr>
      <w:divsChild>
        <w:div w:id="25328485">
          <w:marLeft w:val="0"/>
          <w:marRight w:val="0"/>
          <w:marTop w:val="0"/>
          <w:marBottom w:val="0"/>
          <w:divBdr>
            <w:top w:val="none" w:sz="0" w:space="0" w:color="auto"/>
            <w:left w:val="none" w:sz="0" w:space="0" w:color="auto"/>
            <w:bottom w:val="none" w:sz="0" w:space="0" w:color="auto"/>
            <w:right w:val="none" w:sz="0" w:space="0" w:color="auto"/>
          </w:divBdr>
        </w:div>
      </w:divsChild>
    </w:div>
    <w:div w:id="170802423">
      <w:marLeft w:val="0"/>
      <w:marRight w:val="0"/>
      <w:marTop w:val="0"/>
      <w:marBottom w:val="0"/>
      <w:divBdr>
        <w:top w:val="none" w:sz="0" w:space="0" w:color="auto"/>
        <w:left w:val="none" w:sz="0" w:space="0" w:color="auto"/>
        <w:bottom w:val="none" w:sz="0" w:space="0" w:color="auto"/>
        <w:right w:val="none" w:sz="0" w:space="0" w:color="auto"/>
      </w:divBdr>
    </w:div>
    <w:div w:id="173888080">
      <w:marLeft w:val="0"/>
      <w:marRight w:val="0"/>
      <w:marTop w:val="120"/>
      <w:marBottom w:val="0"/>
      <w:divBdr>
        <w:top w:val="none" w:sz="0" w:space="0" w:color="auto"/>
        <w:left w:val="none" w:sz="0" w:space="0" w:color="auto"/>
        <w:bottom w:val="none" w:sz="0" w:space="0" w:color="auto"/>
        <w:right w:val="none" w:sz="0" w:space="0" w:color="auto"/>
      </w:divBdr>
    </w:div>
    <w:div w:id="177081826">
      <w:marLeft w:val="0"/>
      <w:marRight w:val="0"/>
      <w:marTop w:val="120"/>
      <w:marBottom w:val="0"/>
      <w:divBdr>
        <w:top w:val="none" w:sz="0" w:space="0" w:color="auto"/>
        <w:left w:val="none" w:sz="0" w:space="0" w:color="auto"/>
        <w:bottom w:val="none" w:sz="0" w:space="0" w:color="auto"/>
        <w:right w:val="none" w:sz="0" w:space="0" w:color="auto"/>
      </w:divBdr>
    </w:div>
    <w:div w:id="182211102">
      <w:marLeft w:val="0"/>
      <w:marRight w:val="0"/>
      <w:marTop w:val="0"/>
      <w:marBottom w:val="0"/>
      <w:divBdr>
        <w:top w:val="none" w:sz="0" w:space="0" w:color="auto"/>
        <w:left w:val="none" w:sz="0" w:space="0" w:color="auto"/>
        <w:bottom w:val="none" w:sz="0" w:space="0" w:color="auto"/>
        <w:right w:val="none" w:sz="0" w:space="0" w:color="auto"/>
      </w:divBdr>
    </w:div>
    <w:div w:id="183788524">
      <w:marLeft w:val="0"/>
      <w:marRight w:val="0"/>
      <w:marTop w:val="120"/>
      <w:marBottom w:val="120"/>
      <w:divBdr>
        <w:top w:val="none" w:sz="0" w:space="0" w:color="auto"/>
        <w:left w:val="none" w:sz="0" w:space="0" w:color="auto"/>
        <w:bottom w:val="none" w:sz="0" w:space="0" w:color="auto"/>
        <w:right w:val="none" w:sz="0" w:space="0" w:color="auto"/>
      </w:divBdr>
    </w:div>
    <w:div w:id="185100838">
      <w:marLeft w:val="0"/>
      <w:marRight w:val="0"/>
      <w:marTop w:val="0"/>
      <w:marBottom w:val="0"/>
      <w:divBdr>
        <w:top w:val="none" w:sz="0" w:space="0" w:color="auto"/>
        <w:left w:val="none" w:sz="0" w:space="0" w:color="auto"/>
        <w:bottom w:val="none" w:sz="0" w:space="0" w:color="auto"/>
        <w:right w:val="none" w:sz="0" w:space="0" w:color="auto"/>
      </w:divBdr>
    </w:div>
    <w:div w:id="186063420">
      <w:marLeft w:val="0"/>
      <w:marRight w:val="0"/>
      <w:marTop w:val="120"/>
      <w:marBottom w:val="120"/>
      <w:divBdr>
        <w:top w:val="none" w:sz="0" w:space="0" w:color="auto"/>
        <w:left w:val="none" w:sz="0" w:space="0" w:color="auto"/>
        <w:bottom w:val="none" w:sz="0" w:space="0" w:color="auto"/>
        <w:right w:val="none" w:sz="0" w:space="0" w:color="auto"/>
      </w:divBdr>
    </w:div>
    <w:div w:id="186412264">
      <w:marLeft w:val="0"/>
      <w:marRight w:val="0"/>
      <w:marTop w:val="120"/>
      <w:marBottom w:val="0"/>
      <w:divBdr>
        <w:top w:val="none" w:sz="0" w:space="0" w:color="auto"/>
        <w:left w:val="none" w:sz="0" w:space="0" w:color="auto"/>
        <w:bottom w:val="none" w:sz="0" w:space="0" w:color="auto"/>
        <w:right w:val="none" w:sz="0" w:space="0" w:color="auto"/>
      </w:divBdr>
    </w:div>
    <w:div w:id="187841613">
      <w:marLeft w:val="0"/>
      <w:marRight w:val="0"/>
      <w:marTop w:val="0"/>
      <w:marBottom w:val="0"/>
      <w:divBdr>
        <w:top w:val="none" w:sz="0" w:space="0" w:color="auto"/>
        <w:left w:val="none" w:sz="0" w:space="0" w:color="auto"/>
        <w:bottom w:val="none" w:sz="0" w:space="0" w:color="auto"/>
        <w:right w:val="none" w:sz="0" w:space="0" w:color="auto"/>
      </w:divBdr>
    </w:div>
    <w:div w:id="188036275">
      <w:marLeft w:val="0"/>
      <w:marRight w:val="0"/>
      <w:marTop w:val="0"/>
      <w:marBottom w:val="0"/>
      <w:divBdr>
        <w:top w:val="none" w:sz="0" w:space="0" w:color="auto"/>
        <w:left w:val="none" w:sz="0" w:space="0" w:color="auto"/>
        <w:bottom w:val="none" w:sz="0" w:space="0" w:color="auto"/>
        <w:right w:val="none" w:sz="0" w:space="0" w:color="auto"/>
      </w:divBdr>
      <w:divsChild>
        <w:div w:id="663702794">
          <w:marLeft w:val="0"/>
          <w:marRight w:val="0"/>
          <w:marTop w:val="0"/>
          <w:marBottom w:val="0"/>
          <w:divBdr>
            <w:top w:val="none" w:sz="0" w:space="0" w:color="auto"/>
            <w:left w:val="none" w:sz="0" w:space="0" w:color="auto"/>
            <w:bottom w:val="none" w:sz="0" w:space="0" w:color="auto"/>
            <w:right w:val="none" w:sz="0" w:space="0" w:color="auto"/>
          </w:divBdr>
        </w:div>
      </w:divsChild>
    </w:div>
    <w:div w:id="188184283">
      <w:marLeft w:val="0"/>
      <w:marRight w:val="0"/>
      <w:marTop w:val="120"/>
      <w:marBottom w:val="120"/>
      <w:divBdr>
        <w:top w:val="none" w:sz="0" w:space="0" w:color="auto"/>
        <w:left w:val="none" w:sz="0" w:space="0" w:color="auto"/>
        <w:bottom w:val="none" w:sz="0" w:space="0" w:color="auto"/>
        <w:right w:val="none" w:sz="0" w:space="0" w:color="auto"/>
      </w:divBdr>
    </w:div>
    <w:div w:id="189341474">
      <w:marLeft w:val="0"/>
      <w:marRight w:val="0"/>
      <w:marTop w:val="120"/>
      <w:marBottom w:val="120"/>
      <w:divBdr>
        <w:top w:val="none" w:sz="0" w:space="0" w:color="auto"/>
        <w:left w:val="none" w:sz="0" w:space="0" w:color="auto"/>
        <w:bottom w:val="none" w:sz="0" w:space="0" w:color="auto"/>
        <w:right w:val="none" w:sz="0" w:space="0" w:color="auto"/>
      </w:divBdr>
    </w:div>
    <w:div w:id="190998712">
      <w:marLeft w:val="0"/>
      <w:marRight w:val="0"/>
      <w:marTop w:val="180"/>
      <w:marBottom w:val="120"/>
      <w:divBdr>
        <w:top w:val="none" w:sz="0" w:space="0" w:color="auto"/>
        <w:left w:val="none" w:sz="0" w:space="0" w:color="auto"/>
        <w:bottom w:val="none" w:sz="0" w:space="0" w:color="auto"/>
        <w:right w:val="none" w:sz="0" w:space="0" w:color="auto"/>
      </w:divBdr>
    </w:div>
    <w:div w:id="193351420">
      <w:marLeft w:val="0"/>
      <w:marRight w:val="0"/>
      <w:marTop w:val="120"/>
      <w:marBottom w:val="0"/>
      <w:divBdr>
        <w:top w:val="none" w:sz="0" w:space="0" w:color="auto"/>
        <w:left w:val="none" w:sz="0" w:space="0" w:color="auto"/>
        <w:bottom w:val="none" w:sz="0" w:space="0" w:color="auto"/>
        <w:right w:val="none" w:sz="0" w:space="0" w:color="auto"/>
      </w:divBdr>
    </w:div>
    <w:div w:id="194661801">
      <w:marLeft w:val="0"/>
      <w:marRight w:val="0"/>
      <w:marTop w:val="0"/>
      <w:marBottom w:val="0"/>
      <w:divBdr>
        <w:top w:val="none" w:sz="0" w:space="0" w:color="auto"/>
        <w:left w:val="none" w:sz="0" w:space="0" w:color="auto"/>
        <w:bottom w:val="none" w:sz="0" w:space="0" w:color="auto"/>
        <w:right w:val="none" w:sz="0" w:space="0" w:color="auto"/>
      </w:divBdr>
      <w:divsChild>
        <w:div w:id="1405879033">
          <w:marLeft w:val="0"/>
          <w:marRight w:val="0"/>
          <w:marTop w:val="0"/>
          <w:marBottom w:val="0"/>
          <w:divBdr>
            <w:top w:val="none" w:sz="0" w:space="0" w:color="auto"/>
            <w:left w:val="none" w:sz="0" w:space="0" w:color="auto"/>
            <w:bottom w:val="none" w:sz="0" w:space="0" w:color="auto"/>
            <w:right w:val="none" w:sz="0" w:space="0" w:color="auto"/>
          </w:divBdr>
        </w:div>
      </w:divsChild>
    </w:div>
    <w:div w:id="196554501">
      <w:marLeft w:val="0"/>
      <w:marRight w:val="0"/>
      <w:marTop w:val="0"/>
      <w:marBottom w:val="0"/>
      <w:divBdr>
        <w:top w:val="none" w:sz="0" w:space="0" w:color="auto"/>
        <w:left w:val="none" w:sz="0" w:space="0" w:color="auto"/>
        <w:bottom w:val="none" w:sz="0" w:space="0" w:color="auto"/>
        <w:right w:val="none" w:sz="0" w:space="0" w:color="auto"/>
      </w:divBdr>
    </w:div>
    <w:div w:id="197402686">
      <w:marLeft w:val="0"/>
      <w:marRight w:val="0"/>
      <w:marTop w:val="0"/>
      <w:marBottom w:val="0"/>
      <w:divBdr>
        <w:top w:val="none" w:sz="0" w:space="0" w:color="auto"/>
        <w:left w:val="none" w:sz="0" w:space="0" w:color="auto"/>
        <w:bottom w:val="none" w:sz="0" w:space="0" w:color="auto"/>
        <w:right w:val="none" w:sz="0" w:space="0" w:color="auto"/>
      </w:divBdr>
    </w:div>
    <w:div w:id="197663571">
      <w:marLeft w:val="0"/>
      <w:marRight w:val="0"/>
      <w:marTop w:val="120"/>
      <w:marBottom w:val="0"/>
      <w:divBdr>
        <w:top w:val="none" w:sz="0" w:space="0" w:color="auto"/>
        <w:left w:val="none" w:sz="0" w:space="0" w:color="auto"/>
        <w:bottom w:val="none" w:sz="0" w:space="0" w:color="auto"/>
        <w:right w:val="none" w:sz="0" w:space="0" w:color="auto"/>
      </w:divBdr>
    </w:div>
    <w:div w:id="198013398">
      <w:marLeft w:val="0"/>
      <w:marRight w:val="0"/>
      <w:marTop w:val="120"/>
      <w:marBottom w:val="0"/>
      <w:divBdr>
        <w:top w:val="none" w:sz="0" w:space="0" w:color="auto"/>
        <w:left w:val="none" w:sz="0" w:space="0" w:color="auto"/>
        <w:bottom w:val="none" w:sz="0" w:space="0" w:color="auto"/>
        <w:right w:val="none" w:sz="0" w:space="0" w:color="auto"/>
      </w:divBdr>
    </w:div>
    <w:div w:id="200677122">
      <w:marLeft w:val="0"/>
      <w:marRight w:val="0"/>
      <w:marTop w:val="120"/>
      <w:marBottom w:val="0"/>
      <w:divBdr>
        <w:top w:val="none" w:sz="0" w:space="0" w:color="auto"/>
        <w:left w:val="none" w:sz="0" w:space="0" w:color="auto"/>
        <w:bottom w:val="none" w:sz="0" w:space="0" w:color="auto"/>
        <w:right w:val="none" w:sz="0" w:space="0" w:color="auto"/>
      </w:divBdr>
      <w:divsChild>
        <w:div w:id="184484094">
          <w:marLeft w:val="0"/>
          <w:marRight w:val="0"/>
          <w:marTop w:val="0"/>
          <w:marBottom w:val="0"/>
          <w:divBdr>
            <w:top w:val="none" w:sz="0" w:space="0" w:color="auto"/>
            <w:left w:val="none" w:sz="0" w:space="0" w:color="auto"/>
            <w:bottom w:val="none" w:sz="0" w:space="0" w:color="auto"/>
            <w:right w:val="none" w:sz="0" w:space="0" w:color="auto"/>
          </w:divBdr>
        </w:div>
        <w:div w:id="406732396">
          <w:marLeft w:val="0"/>
          <w:marRight w:val="0"/>
          <w:marTop w:val="0"/>
          <w:marBottom w:val="0"/>
          <w:divBdr>
            <w:top w:val="none" w:sz="0" w:space="0" w:color="auto"/>
            <w:left w:val="none" w:sz="0" w:space="0" w:color="auto"/>
            <w:bottom w:val="none" w:sz="0" w:space="0" w:color="auto"/>
            <w:right w:val="none" w:sz="0" w:space="0" w:color="auto"/>
          </w:divBdr>
        </w:div>
        <w:div w:id="1264649277">
          <w:marLeft w:val="0"/>
          <w:marRight w:val="0"/>
          <w:marTop w:val="0"/>
          <w:marBottom w:val="0"/>
          <w:divBdr>
            <w:top w:val="none" w:sz="0" w:space="0" w:color="auto"/>
            <w:left w:val="none" w:sz="0" w:space="0" w:color="auto"/>
            <w:bottom w:val="none" w:sz="0" w:space="0" w:color="auto"/>
            <w:right w:val="none" w:sz="0" w:space="0" w:color="auto"/>
          </w:divBdr>
        </w:div>
        <w:div w:id="404307884">
          <w:marLeft w:val="0"/>
          <w:marRight w:val="0"/>
          <w:marTop w:val="0"/>
          <w:marBottom w:val="0"/>
          <w:divBdr>
            <w:top w:val="none" w:sz="0" w:space="0" w:color="auto"/>
            <w:left w:val="none" w:sz="0" w:space="0" w:color="auto"/>
            <w:bottom w:val="none" w:sz="0" w:space="0" w:color="auto"/>
            <w:right w:val="none" w:sz="0" w:space="0" w:color="auto"/>
          </w:divBdr>
        </w:div>
        <w:div w:id="1116022491">
          <w:marLeft w:val="0"/>
          <w:marRight w:val="0"/>
          <w:marTop w:val="0"/>
          <w:marBottom w:val="0"/>
          <w:divBdr>
            <w:top w:val="none" w:sz="0" w:space="0" w:color="auto"/>
            <w:left w:val="none" w:sz="0" w:space="0" w:color="auto"/>
            <w:bottom w:val="none" w:sz="0" w:space="0" w:color="auto"/>
            <w:right w:val="none" w:sz="0" w:space="0" w:color="auto"/>
          </w:divBdr>
        </w:div>
      </w:divsChild>
    </w:div>
    <w:div w:id="200896303">
      <w:marLeft w:val="0"/>
      <w:marRight w:val="0"/>
      <w:marTop w:val="0"/>
      <w:marBottom w:val="0"/>
      <w:divBdr>
        <w:top w:val="none" w:sz="0" w:space="0" w:color="auto"/>
        <w:left w:val="none" w:sz="0" w:space="0" w:color="auto"/>
        <w:bottom w:val="none" w:sz="0" w:space="0" w:color="auto"/>
        <w:right w:val="none" w:sz="0" w:space="0" w:color="auto"/>
      </w:divBdr>
      <w:divsChild>
        <w:div w:id="1140417633">
          <w:marLeft w:val="0"/>
          <w:marRight w:val="0"/>
          <w:marTop w:val="0"/>
          <w:marBottom w:val="0"/>
          <w:divBdr>
            <w:top w:val="none" w:sz="0" w:space="0" w:color="auto"/>
            <w:left w:val="none" w:sz="0" w:space="0" w:color="auto"/>
            <w:bottom w:val="none" w:sz="0" w:space="0" w:color="auto"/>
            <w:right w:val="none" w:sz="0" w:space="0" w:color="auto"/>
          </w:divBdr>
        </w:div>
      </w:divsChild>
    </w:div>
    <w:div w:id="201290960">
      <w:marLeft w:val="0"/>
      <w:marRight w:val="0"/>
      <w:marTop w:val="120"/>
      <w:marBottom w:val="0"/>
      <w:divBdr>
        <w:top w:val="none" w:sz="0" w:space="0" w:color="auto"/>
        <w:left w:val="none" w:sz="0" w:space="0" w:color="auto"/>
        <w:bottom w:val="none" w:sz="0" w:space="0" w:color="auto"/>
        <w:right w:val="none" w:sz="0" w:space="0" w:color="auto"/>
      </w:divBdr>
    </w:div>
    <w:div w:id="201943317">
      <w:marLeft w:val="0"/>
      <w:marRight w:val="0"/>
      <w:marTop w:val="120"/>
      <w:marBottom w:val="120"/>
      <w:divBdr>
        <w:top w:val="none" w:sz="0" w:space="0" w:color="auto"/>
        <w:left w:val="none" w:sz="0" w:space="0" w:color="auto"/>
        <w:bottom w:val="none" w:sz="0" w:space="0" w:color="auto"/>
        <w:right w:val="none" w:sz="0" w:space="0" w:color="auto"/>
      </w:divBdr>
    </w:div>
    <w:div w:id="203561357">
      <w:marLeft w:val="0"/>
      <w:marRight w:val="0"/>
      <w:marTop w:val="120"/>
      <w:marBottom w:val="120"/>
      <w:divBdr>
        <w:top w:val="none" w:sz="0" w:space="0" w:color="auto"/>
        <w:left w:val="none" w:sz="0" w:space="0" w:color="auto"/>
        <w:bottom w:val="none" w:sz="0" w:space="0" w:color="auto"/>
        <w:right w:val="none" w:sz="0" w:space="0" w:color="auto"/>
      </w:divBdr>
    </w:div>
    <w:div w:id="206180836">
      <w:marLeft w:val="0"/>
      <w:marRight w:val="0"/>
      <w:marTop w:val="0"/>
      <w:marBottom w:val="0"/>
      <w:divBdr>
        <w:top w:val="none" w:sz="0" w:space="0" w:color="auto"/>
        <w:left w:val="none" w:sz="0" w:space="0" w:color="auto"/>
        <w:bottom w:val="none" w:sz="0" w:space="0" w:color="auto"/>
        <w:right w:val="none" w:sz="0" w:space="0" w:color="auto"/>
      </w:divBdr>
    </w:div>
    <w:div w:id="206645688">
      <w:marLeft w:val="0"/>
      <w:marRight w:val="0"/>
      <w:marTop w:val="0"/>
      <w:marBottom w:val="0"/>
      <w:divBdr>
        <w:top w:val="none" w:sz="0" w:space="0" w:color="auto"/>
        <w:left w:val="none" w:sz="0" w:space="0" w:color="auto"/>
        <w:bottom w:val="none" w:sz="0" w:space="0" w:color="auto"/>
        <w:right w:val="none" w:sz="0" w:space="0" w:color="auto"/>
      </w:divBdr>
    </w:div>
    <w:div w:id="207226253">
      <w:marLeft w:val="0"/>
      <w:marRight w:val="0"/>
      <w:marTop w:val="0"/>
      <w:marBottom w:val="0"/>
      <w:divBdr>
        <w:top w:val="none" w:sz="0" w:space="0" w:color="auto"/>
        <w:left w:val="none" w:sz="0" w:space="0" w:color="auto"/>
        <w:bottom w:val="none" w:sz="0" w:space="0" w:color="auto"/>
        <w:right w:val="none" w:sz="0" w:space="0" w:color="auto"/>
      </w:divBdr>
    </w:div>
    <w:div w:id="207449749">
      <w:marLeft w:val="0"/>
      <w:marRight w:val="0"/>
      <w:marTop w:val="240"/>
      <w:marBottom w:val="120"/>
      <w:divBdr>
        <w:top w:val="none" w:sz="0" w:space="0" w:color="auto"/>
        <w:left w:val="none" w:sz="0" w:space="0" w:color="auto"/>
        <w:bottom w:val="none" w:sz="0" w:space="0" w:color="auto"/>
        <w:right w:val="none" w:sz="0" w:space="0" w:color="auto"/>
      </w:divBdr>
    </w:div>
    <w:div w:id="222178559">
      <w:marLeft w:val="0"/>
      <w:marRight w:val="0"/>
      <w:marTop w:val="0"/>
      <w:marBottom w:val="0"/>
      <w:divBdr>
        <w:top w:val="none" w:sz="0" w:space="0" w:color="auto"/>
        <w:left w:val="none" w:sz="0" w:space="0" w:color="auto"/>
        <w:bottom w:val="none" w:sz="0" w:space="0" w:color="auto"/>
        <w:right w:val="none" w:sz="0" w:space="0" w:color="auto"/>
      </w:divBdr>
      <w:divsChild>
        <w:div w:id="33236391">
          <w:marLeft w:val="0"/>
          <w:marRight w:val="0"/>
          <w:marTop w:val="0"/>
          <w:marBottom w:val="0"/>
          <w:divBdr>
            <w:top w:val="none" w:sz="0" w:space="0" w:color="auto"/>
            <w:left w:val="none" w:sz="0" w:space="0" w:color="auto"/>
            <w:bottom w:val="none" w:sz="0" w:space="0" w:color="auto"/>
            <w:right w:val="none" w:sz="0" w:space="0" w:color="auto"/>
          </w:divBdr>
        </w:div>
      </w:divsChild>
    </w:div>
    <w:div w:id="223222924">
      <w:marLeft w:val="0"/>
      <w:marRight w:val="0"/>
      <w:marTop w:val="0"/>
      <w:marBottom w:val="0"/>
      <w:divBdr>
        <w:top w:val="none" w:sz="0" w:space="0" w:color="auto"/>
        <w:left w:val="none" w:sz="0" w:space="0" w:color="auto"/>
        <w:bottom w:val="none" w:sz="0" w:space="0" w:color="auto"/>
        <w:right w:val="none" w:sz="0" w:space="0" w:color="auto"/>
      </w:divBdr>
      <w:divsChild>
        <w:div w:id="152990939">
          <w:marLeft w:val="0"/>
          <w:marRight w:val="0"/>
          <w:marTop w:val="0"/>
          <w:marBottom w:val="0"/>
          <w:divBdr>
            <w:top w:val="none" w:sz="0" w:space="0" w:color="auto"/>
            <w:left w:val="none" w:sz="0" w:space="0" w:color="auto"/>
            <w:bottom w:val="none" w:sz="0" w:space="0" w:color="auto"/>
            <w:right w:val="none" w:sz="0" w:space="0" w:color="auto"/>
          </w:divBdr>
        </w:div>
      </w:divsChild>
    </w:div>
    <w:div w:id="224726503">
      <w:marLeft w:val="0"/>
      <w:marRight w:val="0"/>
      <w:marTop w:val="120"/>
      <w:marBottom w:val="0"/>
      <w:divBdr>
        <w:top w:val="none" w:sz="0" w:space="0" w:color="auto"/>
        <w:left w:val="none" w:sz="0" w:space="0" w:color="auto"/>
        <w:bottom w:val="none" w:sz="0" w:space="0" w:color="auto"/>
        <w:right w:val="none" w:sz="0" w:space="0" w:color="auto"/>
      </w:divBdr>
    </w:div>
    <w:div w:id="226644842">
      <w:marLeft w:val="0"/>
      <w:marRight w:val="0"/>
      <w:marTop w:val="120"/>
      <w:marBottom w:val="0"/>
      <w:divBdr>
        <w:top w:val="none" w:sz="0" w:space="0" w:color="auto"/>
        <w:left w:val="none" w:sz="0" w:space="0" w:color="auto"/>
        <w:bottom w:val="none" w:sz="0" w:space="0" w:color="auto"/>
        <w:right w:val="none" w:sz="0" w:space="0" w:color="auto"/>
      </w:divBdr>
    </w:div>
    <w:div w:id="228083026">
      <w:marLeft w:val="0"/>
      <w:marRight w:val="0"/>
      <w:marTop w:val="0"/>
      <w:marBottom w:val="0"/>
      <w:divBdr>
        <w:top w:val="none" w:sz="0" w:space="0" w:color="auto"/>
        <w:left w:val="none" w:sz="0" w:space="0" w:color="auto"/>
        <w:bottom w:val="none" w:sz="0" w:space="0" w:color="auto"/>
        <w:right w:val="none" w:sz="0" w:space="0" w:color="auto"/>
      </w:divBdr>
    </w:div>
    <w:div w:id="230502805">
      <w:marLeft w:val="0"/>
      <w:marRight w:val="0"/>
      <w:marTop w:val="180"/>
      <w:marBottom w:val="120"/>
      <w:divBdr>
        <w:top w:val="none" w:sz="0" w:space="0" w:color="auto"/>
        <w:left w:val="none" w:sz="0" w:space="0" w:color="auto"/>
        <w:bottom w:val="none" w:sz="0" w:space="0" w:color="auto"/>
        <w:right w:val="none" w:sz="0" w:space="0" w:color="auto"/>
      </w:divBdr>
    </w:div>
    <w:div w:id="231546335">
      <w:marLeft w:val="0"/>
      <w:marRight w:val="0"/>
      <w:marTop w:val="240"/>
      <w:marBottom w:val="0"/>
      <w:divBdr>
        <w:top w:val="none" w:sz="0" w:space="0" w:color="auto"/>
        <w:left w:val="none" w:sz="0" w:space="0" w:color="auto"/>
        <w:bottom w:val="none" w:sz="0" w:space="0" w:color="auto"/>
        <w:right w:val="none" w:sz="0" w:space="0" w:color="auto"/>
      </w:divBdr>
    </w:div>
    <w:div w:id="236284623">
      <w:marLeft w:val="0"/>
      <w:marRight w:val="0"/>
      <w:marTop w:val="0"/>
      <w:marBottom w:val="0"/>
      <w:divBdr>
        <w:top w:val="none" w:sz="0" w:space="0" w:color="auto"/>
        <w:left w:val="none" w:sz="0" w:space="0" w:color="auto"/>
        <w:bottom w:val="none" w:sz="0" w:space="0" w:color="auto"/>
        <w:right w:val="none" w:sz="0" w:space="0" w:color="auto"/>
      </w:divBdr>
      <w:divsChild>
        <w:div w:id="224726371">
          <w:marLeft w:val="0"/>
          <w:marRight w:val="0"/>
          <w:marTop w:val="0"/>
          <w:marBottom w:val="0"/>
          <w:divBdr>
            <w:top w:val="none" w:sz="0" w:space="0" w:color="auto"/>
            <w:left w:val="none" w:sz="0" w:space="0" w:color="auto"/>
            <w:bottom w:val="none" w:sz="0" w:space="0" w:color="auto"/>
            <w:right w:val="none" w:sz="0" w:space="0" w:color="auto"/>
          </w:divBdr>
        </w:div>
      </w:divsChild>
    </w:div>
    <w:div w:id="244848170">
      <w:marLeft w:val="0"/>
      <w:marRight w:val="0"/>
      <w:marTop w:val="60"/>
      <w:marBottom w:val="120"/>
      <w:divBdr>
        <w:top w:val="none" w:sz="0" w:space="0" w:color="auto"/>
        <w:left w:val="none" w:sz="0" w:space="0" w:color="auto"/>
        <w:bottom w:val="none" w:sz="0" w:space="0" w:color="auto"/>
        <w:right w:val="none" w:sz="0" w:space="0" w:color="auto"/>
      </w:divBdr>
    </w:div>
    <w:div w:id="245696970">
      <w:marLeft w:val="0"/>
      <w:marRight w:val="0"/>
      <w:marTop w:val="0"/>
      <w:marBottom w:val="0"/>
      <w:divBdr>
        <w:top w:val="none" w:sz="0" w:space="0" w:color="auto"/>
        <w:left w:val="none" w:sz="0" w:space="0" w:color="auto"/>
        <w:bottom w:val="none" w:sz="0" w:space="0" w:color="auto"/>
        <w:right w:val="none" w:sz="0" w:space="0" w:color="auto"/>
      </w:divBdr>
      <w:divsChild>
        <w:div w:id="2010669907">
          <w:marLeft w:val="0"/>
          <w:marRight w:val="0"/>
          <w:marTop w:val="0"/>
          <w:marBottom w:val="0"/>
          <w:divBdr>
            <w:top w:val="none" w:sz="0" w:space="0" w:color="auto"/>
            <w:left w:val="none" w:sz="0" w:space="0" w:color="auto"/>
            <w:bottom w:val="none" w:sz="0" w:space="0" w:color="auto"/>
            <w:right w:val="none" w:sz="0" w:space="0" w:color="auto"/>
          </w:divBdr>
        </w:div>
      </w:divsChild>
    </w:div>
    <w:div w:id="252782321">
      <w:marLeft w:val="0"/>
      <w:marRight w:val="0"/>
      <w:marTop w:val="120"/>
      <w:marBottom w:val="20"/>
      <w:divBdr>
        <w:top w:val="none" w:sz="0" w:space="0" w:color="auto"/>
        <w:left w:val="none" w:sz="0" w:space="0" w:color="auto"/>
        <w:bottom w:val="none" w:sz="0" w:space="0" w:color="auto"/>
        <w:right w:val="none" w:sz="0" w:space="0" w:color="auto"/>
      </w:divBdr>
    </w:div>
    <w:div w:id="254362452">
      <w:marLeft w:val="0"/>
      <w:marRight w:val="0"/>
      <w:marTop w:val="0"/>
      <w:marBottom w:val="0"/>
      <w:divBdr>
        <w:top w:val="none" w:sz="0" w:space="0" w:color="auto"/>
        <w:left w:val="none" w:sz="0" w:space="0" w:color="auto"/>
        <w:bottom w:val="none" w:sz="0" w:space="0" w:color="auto"/>
        <w:right w:val="none" w:sz="0" w:space="0" w:color="auto"/>
      </w:divBdr>
    </w:div>
    <w:div w:id="255604375">
      <w:marLeft w:val="0"/>
      <w:marRight w:val="0"/>
      <w:marTop w:val="120"/>
      <w:marBottom w:val="0"/>
      <w:divBdr>
        <w:top w:val="none" w:sz="0" w:space="0" w:color="auto"/>
        <w:left w:val="none" w:sz="0" w:space="0" w:color="auto"/>
        <w:bottom w:val="none" w:sz="0" w:space="0" w:color="auto"/>
        <w:right w:val="none" w:sz="0" w:space="0" w:color="auto"/>
      </w:divBdr>
    </w:div>
    <w:div w:id="256791169">
      <w:marLeft w:val="0"/>
      <w:marRight w:val="0"/>
      <w:marTop w:val="120"/>
      <w:marBottom w:val="120"/>
      <w:divBdr>
        <w:top w:val="none" w:sz="0" w:space="0" w:color="auto"/>
        <w:left w:val="none" w:sz="0" w:space="0" w:color="auto"/>
        <w:bottom w:val="none" w:sz="0" w:space="0" w:color="auto"/>
        <w:right w:val="none" w:sz="0" w:space="0" w:color="auto"/>
      </w:divBdr>
    </w:div>
    <w:div w:id="257491469">
      <w:marLeft w:val="0"/>
      <w:marRight w:val="0"/>
      <w:marTop w:val="120"/>
      <w:marBottom w:val="120"/>
      <w:divBdr>
        <w:top w:val="none" w:sz="0" w:space="0" w:color="auto"/>
        <w:left w:val="none" w:sz="0" w:space="0" w:color="auto"/>
        <w:bottom w:val="none" w:sz="0" w:space="0" w:color="auto"/>
        <w:right w:val="none" w:sz="0" w:space="0" w:color="auto"/>
      </w:divBdr>
    </w:div>
    <w:div w:id="259804022">
      <w:marLeft w:val="0"/>
      <w:marRight w:val="0"/>
      <w:marTop w:val="0"/>
      <w:marBottom w:val="0"/>
      <w:divBdr>
        <w:top w:val="none" w:sz="0" w:space="0" w:color="auto"/>
        <w:left w:val="none" w:sz="0" w:space="0" w:color="auto"/>
        <w:bottom w:val="none" w:sz="0" w:space="0" w:color="auto"/>
        <w:right w:val="none" w:sz="0" w:space="0" w:color="auto"/>
      </w:divBdr>
    </w:div>
    <w:div w:id="259875829">
      <w:marLeft w:val="0"/>
      <w:marRight w:val="0"/>
      <w:marTop w:val="120"/>
      <w:marBottom w:val="0"/>
      <w:divBdr>
        <w:top w:val="none" w:sz="0" w:space="0" w:color="auto"/>
        <w:left w:val="none" w:sz="0" w:space="0" w:color="auto"/>
        <w:bottom w:val="none" w:sz="0" w:space="0" w:color="auto"/>
        <w:right w:val="none" w:sz="0" w:space="0" w:color="auto"/>
      </w:divBdr>
    </w:div>
    <w:div w:id="262617588">
      <w:marLeft w:val="0"/>
      <w:marRight w:val="0"/>
      <w:marTop w:val="120"/>
      <w:marBottom w:val="180"/>
      <w:divBdr>
        <w:top w:val="none" w:sz="0" w:space="0" w:color="auto"/>
        <w:left w:val="none" w:sz="0" w:space="0" w:color="auto"/>
        <w:bottom w:val="none" w:sz="0" w:space="0" w:color="auto"/>
        <w:right w:val="none" w:sz="0" w:space="0" w:color="auto"/>
      </w:divBdr>
    </w:div>
    <w:div w:id="268393462">
      <w:marLeft w:val="0"/>
      <w:marRight w:val="0"/>
      <w:marTop w:val="120"/>
      <w:marBottom w:val="120"/>
      <w:divBdr>
        <w:top w:val="none" w:sz="0" w:space="0" w:color="auto"/>
        <w:left w:val="none" w:sz="0" w:space="0" w:color="auto"/>
        <w:bottom w:val="none" w:sz="0" w:space="0" w:color="auto"/>
        <w:right w:val="none" w:sz="0" w:space="0" w:color="auto"/>
      </w:divBdr>
    </w:div>
    <w:div w:id="269819571">
      <w:marLeft w:val="0"/>
      <w:marRight w:val="0"/>
      <w:marTop w:val="120"/>
      <w:marBottom w:val="120"/>
      <w:divBdr>
        <w:top w:val="none" w:sz="0" w:space="0" w:color="auto"/>
        <w:left w:val="none" w:sz="0" w:space="0" w:color="auto"/>
        <w:bottom w:val="none" w:sz="0" w:space="0" w:color="auto"/>
        <w:right w:val="none" w:sz="0" w:space="0" w:color="auto"/>
      </w:divBdr>
    </w:div>
    <w:div w:id="273169040">
      <w:marLeft w:val="0"/>
      <w:marRight w:val="0"/>
      <w:marTop w:val="180"/>
      <w:marBottom w:val="120"/>
      <w:divBdr>
        <w:top w:val="none" w:sz="0" w:space="0" w:color="auto"/>
        <w:left w:val="none" w:sz="0" w:space="0" w:color="auto"/>
        <w:bottom w:val="none" w:sz="0" w:space="0" w:color="auto"/>
        <w:right w:val="none" w:sz="0" w:space="0" w:color="auto"/>
      </w:divBdr>
    </w:div>
    <w:div w:id="274365608">
      <w:marLeft w:val="0"/>
      <w:marRight w:val="0"/>
      <w:marTop w:val="120"/>
      <w:marBottom w:val="0"/>
      <w:divBdr>
        <w:top w:val="none" w:sz="0" w:space="0" w:color="auto"/>
        <w:left w:val="none" w:sz="0" w:space="0" w:color="auto"/>
        <w:bottom w:val="none" w:sz="0" w:space="0" w:color="auto"/>
        <w:right w:val="none" w:sz="0" w:space="0" w:color="auto"/>
      </w:divBdr>
    </w:div>
    <w:div w:id="275210166">
      <w:marLeft w:val="0"/>
      <w:marRight w:val="0"/>
      <w:marTop w:val="120"/>
      <w:marBottom w:val="0"/>
      <w:divBdr>
        <w:top w:val="none" w:sz="0" w:space="0" w:color="auto"/>
        <w:left w:val="none" w:sz="0" w:space="0" w:color="auto"/>
        <w:bottom w:val="none" w:sz="0" w:space="0" w:color="auto"/>
        <w:right w:val="none" w:sz="0" w:space="0" w:color="auto"/>
      </w:divBdr>
    </w:div>
    <w:div w:id="275987588">
      <w:marLeft w:val="0"/>
      <w:marRight w:val="0"/>
      <w:marTop w:val="120"/>
      <w:marBottom w:val="0"/>
      <w:divBdr>
        <w:top w:val="none" w:sz="0" w:space="0" w:color="auto"/>
        <w:left w:val="none" w:sz="0" w:space="0" w:color="auto"/>
        <w:bottom w:val="none" w:sz="0" w:space="0" w:color="auto"/>
        <w:right w:val="none" w:sz="0" w:space="0" w:color="auto"/>
      </w:divBdr>
    </w:div>
    <w:div w:id="276453590">
      <w:marLeft w:val="0"/>
      <w:marRight w:val="0"/>
      <w:marTop w:val="120"/>
      <w:marBottom w:val="0"/>
      <w:divBdr>
        <w:top w:val="none" w:sz="0" w:space="0" w:color="auto"/>
        <w:left w:val="none" w:sz="0" w:space="0" w:color="auto"/>
        <w:bottom w:val="none" w:sz="0" w:space="0" w:color="auto"/>
        <w:right w:val="none" w:sz="0" w:space="0" w:color="auto"/>
      </w:divBdr>
    </w:div>
    <w:div w:id="281618502">
      <w:marLeft w:val="0"/>
      <w:marRight w:val="0"/>
      <w:marTop w:val="120"/>
      <w:marBottom w:val="0"/>
      <w:divBdr>
        <w:top w:val="none" w:sz="0" w:space="0" w:color="auto"/>
        <w:left w:val="none" w:sz="0" w:space="0" w:color="auto"/>
        <w:bottom w:val="none" w:sz="0" w:space="0" w:color="auto"/>
        <w:right w:val="none" w:sz="0" w:space="0" w:color="auto"/>
      </w:divBdr>
    </w:div>
    <w:div w:id="282925466">
      <w:marLeft w:val="0"/>
      <w:marRight w:val="0"/>
      <w:marTop w:val="120"/>
      <w:marBottom w:val="0"/>
      <w:divBdr>
        <w:top w:val="none" w:sz="0" w:space="0" w:color="auto"/>
        <w:left w:val="none" w:sz="0" w:space="0" w:color="auto"/>
        <w:bottom w:val="none" w:sz="0" w:space="0" w:color="auto"/>
        <w:right w:val="none" w:sz="0" w:space="0" w:color="auto"/>
      </w:divBdr>
    </w:div>
    <w:div w:id="284241099">
      <w:marLeft w:val="0"/>
      <w:marRight w:val="0"/>
      <w:marTop w:val="120"/>
      <w:marBottom w:val="120"/>
      <w:divBdr>
        <w:top w:val="none" w:sz="0" w:space="0" w:color="auto"/>
        <w:left w:val="none" w:sz="0" w:space="0" w:color="auto"/>
        <w:bottom w:val="none" w:sz="0" w:space="0" w:color="auto"/>
        <w:right w:val="none" w:sz="0" w:space="0" w:color="auto"/>
      </w:divBdr>
    </w:div>
    <w:div w:id="286666798">
      <w:marLeft w:val="0"/>
      <w:marRight w:val="0"/>
      <w:marTop w:val="120"/>
      <w:marBottom w:val="120"/>
      <w:divBdr>
        <w:top w:val="none" w:sz="0" w:space="0" w:color="auto"/>
        <w:left w:val="none" w:sz="0" w:space="0" w:color="auto"/>
        <w:bottom w:val="none" w:sz="0" w:space="0" w:color="auto"/>
        <w:right w:val="none" w:sz="0" w:space="0" w:color="auto"/>
      </w:divBdr>
    </w:div>
    <w:div w:id="286812470">
      <w:marLeft w:val="0"/>
      <w:marRight w:val="0"/>
      <w:marTop w:val="120"/>
      <w:marBottom w:val="0"/>
      <w:divBdr>
        <w:top w:val="none" w:sz="0" w:space="0" w:color="auto"/>
        <w:left w:val="none" w:sz="0" w:space="0" w:color="auto"/>
        <w:bottom w:val="none" w:sz="0" w:space="0" w:color="auto"/>
        <w:right w:val="none" w:sz="0" w:space="0" w:color="auto"/>
      </w:divBdr>
    </w:div>
    <w:div w:id="287207319">
      <w:marLeft w:val="0"/>
      <w:marRight w:val="0"/>
      <w:marTop w:val="60"/>
      <w:marBottom w:val="120"/>
      <w:divBdr>
        <w:top w:val="none" w:sz="0" w:space="0" w:color="auto"/>
        <w:left w:val="none" w:sz="0" w:space="0" w:color="auto"/>
        <w:bottom w:val="none" w:sz="0" w:space="0" w:color="auto"/>
        <w:right w:val="none" w:sz="0" w:space="0" w:color="auto"/>
      </w:divBdr>
    </w:div>
    <w:div w:id="288708102">
      <w:marLeft w:val="0"/>
      <w:marRight w:val="0"/>
      <w:marTop w:val="0"/>
      <w:marBottom w:val="0"/>
      <w:divBdr>
        <w:top w:val="none" w:sz="0" w:space="0" w:color="auto"/>
        <w:left w:val="none" w:sz="0" w:space="0" w:color="auto"/>
        <w:bottom w:val="none" w:sz="0" w:space="0" w:color="auto"/>
        <w:right w:val="none" w:sz="0" w:space="0" w:color="auto"/>
      </w:divBdr>
      <w:divsChild>
        <w:div w:id="1324048821">
          <w:marLeft w:val="0"/>
          <w:marRight w:val="0"/>
          <w:marTop w:val="0"/>
          <w:marBottom w:val="0"/>
          <w:divBdr>
            <w:top w:val="none" w:sz="0" w:space="0" w:color="auto"/>
            <w:left w:val="none" w:sz="0" w:space="0" w:color="auto"/>
            <w:bottom w:val="none" w:sz="0" w:space="0" w:color="auto"/>
            <w:right w:val="none" w:sz="0" w:space="0" w:color="auto"/>
          </w:divBdr>
        </w:div>
      </w:divsChild>
    </w:div>
    <w:div w:id="292641992">
      <w:marLeft w:val="0"/>
      <w:marRight w:val="0"/>
      <w:marTop w:val="0"/>
      <w:marBottom w:val="0"/>
      <w:divBdr>
        <w:top w:val="none" w:sz="0" w:space="0" w:color="auto"/>
        <w:left w:val="none" w:sz="0" w:space="0" w:color="auto"/>
        <w:bottom w:val="none" w:sz="0" w:space="0" w:color="auto"/>
        <w:right w:val="none" w:sz="0" w:space="0" w:color="auto"/>
      </w:divBdr>
    </w:div>
    <w:div w:id="293223217">
      <w:marLeft w:val="0"/>
      <w:marRight w:val="0"/>
      <w:marTop w:val="180"/>
      <w:marBottom w:val="120"/>
      <w:divBdr>
        <w:top w:val="none" w:sz="0" w:space="0" w:color="auto"/>
        <w:left w:val="none" w:sz="0" w:space="0" w:color="auto"/>
        <w:bottom w:val="none" w:sz="0" w:space="0" w:color="auto"/>
        <w:right w:val="none" w:sz="0" w:space="0" w:color="auto"/>
      </w:divBdr>
    </w:div>
    <w:div w:id="293677470">
      <w:marLeft w:val="0"/>
      <w:marRight w:val="0"/>
      <w:marTop w:val="0"/>
      <w:marBottom w:val="120"/>
      <w:divBdr>
        <w:top w:val="none" w:sz="0" w:space="0" w:color="auto"/>
        <w:left w:val="none" w:sz="0" w:space="0" w:color="auto"/>
        <w:bottom w:val="none" w:sz="0" w:space="0" w:color="auto"/>
        <w:right w:val="none" w:sz="0" w:space="0" w:color="auto"/>
      </w:divBdr>
    </w:div>
    <w:div w:id="297340111">
      <w:marLeft w:val="0"/>
      <w:marRight w:val="0"/>
      <w:marTop w:val="120"/>
      <w:marBottom w:val="0"/>
      <w:divBdr>
        <w:top w:val="none" w:sz="0" w:space="0" w:color="auto"/>
        <w:left w:val="none" w:sz="0" w:space="0" w:color="auto"/>
        <w:bottom w:val="none" w:sz="0" w:space="0" w:color="auto"/>
        <w:right w:val="none" w:sz="0" w:space="0" w:color="auto"/>
      </w:divBdr>
    </w:div>
    <w:div w:id="297953265">
      <w:marLeft w:val="0"/>
      <w:marRight w:val="0"/>
      <w:marTop w:val="0"/>
      <w:marBottom w:val="0"/>
      <w:divBdr>
        <w:top w:val="none" w:sz="0" w:space="0" w:color="auto"/>
        <w:left w:val="none" w:sz="0" w:space="0" w:color="auto"/>
        <w:bottom w:val="none" w:sz="0" w:space="0" w:color="auto"/>
        <w:right w:val="none" w:sz="0" w:space="0" w:color="auto"/>
      </w:divBdr>
      <w:divsChild>
        <w:div w:id="1259677249">
          <w:marLeft w:val="0"/>
          <w:marRight w:val="0"/>
          <w:marTop w:val="0"/>
          <w:marBottom w:val="0"/>
          <w:divBdr>
            <w:top w:val="none" w:sz="0" w:space="0" w:color="auto"/>
            <w:left w:val="none" w:sz="0" w:space="0" w:color="auto"/>
            <w:bottom w:val="none" w:sz="0" w:space="0" w:color="auto"/>
            <w:right w:val="none" w:sz="0" w:space="0" w:color="auto"/>
          </w:divBdr>
        </w:div>
      </w:divsChild>
    </w:div>
    <w:div w:id="301010565">
      <w:marLeft w:val="0"/>
      <w:marRight w:val="0"/>
      <w:marTop w:val="120"/>
      <w:marBottom w:val="120"/>
      <w:divBdr>
        <w:top w:val="none" w:sz="0" w:space="0" w:color="auto"/>
        <w:left w:val="none" w:sz="0" w:space="0" w:color="auto"/>
        <w:bottom w:val="none" w:sz="0" w:space="0" w:color="auto"/>
        <w:right w:val="none" w:sz="0" w:space="0" w:color="auto"/>
      </w:divBdr>
    </w:div>
    <w:div w:id="302122082">
      <w:marLeft w:val="0"/>
      <w:marRight w:val="0"/>
      <w:marTop w:val="0"/>
      <w:marBottom w:val="0"/>
      <w:divBdr>
        <w:top w:val="none" w:sz="0" w:space="0" w:color="auto"/>
        <w:left w:val="none" w:sz="0" w:space="0" w:color="auto"/>
        <w:bottom w:val="none" w:sz="0" w:space="0" w:color="auto"/>
        <w:right w:val="none" w:sz="0" w:space="0" w:color="auto"/>
      </w:divBdr>
    </w:div>
    <w:div w:id="307173777">
      <w:marLeft w:val="0"/>
      <w:marRight w:val="0"/>
      <w:marTop w:val="120"/>
      <w:marBottom w:val="120"/>
      <w:divBdr>
        <w:top w:val="none" w:sz="0" w:space="0" w:color="auto"/>
        <w:left w:val="none" w:sz="0" w:space="0" w:color="auto"/>
        <w:bottom w:val="none" w:sz="0" w:space="0" w:color="auto"/>
        <w:right w:val="none" w:sz="0" w:space="0" w:color="auto"/>
      </w:divBdr>
    </w:div>
    <w:div w:id="307394324">
      <w:marLeft w:val="0"/>
      <w:marRight w:val="0"/>
      <w:marTop w:val="120"/>
      <w:marBottom w:val="120"/>
      <w:divBdr>
        <w:top w:val="none" w:sz="0" w:space="0" w:color="auto"/>
        <w:left w:val="none" w:sz="0" w:space="0" w:color="auto"/>
        <w:bottom w:val="none" w:sz="0" w:space="0" w:color="auto"/>
        <w:right w:val="none" w:sz="0" w:space="0" w:color="auto"/>
      </w:divBdr>
    </w:div>
    <w:div w:id="307979740">
      <w:marLeft w:val="0"/>
      <w:marRight w:val="0"/>
      <w:marTop w:val="120"/>
      <w:marBottom w:val="0"/>
      <w:divBdr>
        <w:top w:val="none" w:sz="0" w:space="0" w:color="auto"/>
        <w:left w:val="none" w:sz="0" w:space="0" w:color="auto"/>
        <w:bottom w:val="none" w:sz="0" w:space="0" w:color="auto"/>
        <w:right w:val="none" w:sz="0" w:space="0" w:color="auto"/>
      </w:divBdr>
    </w:div>
    <w:div w:id="309292681">
      <w:marLeft w:val="0"/>
      <w:marRight w:val="0"/>
      <w:marTop w:val="0"/>
      <w:marBottom w:val="0"/>
      <w:divBdr>
        <w:top w:val="none" w:sz="0" w:space="0" w:color="auto"/>
        <w:left w:val="none" w:sz="0" w:space="0" w:color="auto"/>
        <w:bottom w:val="none" w:sz="0" w:space="0" w:color="auto"/>
        <w:right w:val="none" w:sz="0" w:space="0" w:color="auto"/>
      </w:divBdr>
    </w:div>
    <w:div w:id="310065370">
      <w:marLeft w:val="0"/>
      <w:marRight w:val="0"/>
      <w:marTop w:val="0"/>
      <w:marBottom w:val="0"/>
      <w:divBdr>
        <w:top w:val="none" w:sz="0" w:space="0" w:color="auto"/>
        <w:left w:val="none" w:sz="0" w:space="0" w:color="auto"/>
        <w:bottom w:val="none" w:sz="0" w:space="0" w:color="auto"/>
        <w:right w:val="none" w:sz="0" w:space="0" w:color="auto"/>
      </w:divBdr>
    </w:div>
    <w:div w:id="312024036">
      <w:marLeft w:val="0"/>
      <w:marRight w:val="0"/>
      <w:marTop w:val="120"/>
      <w:marBottom w:val="0"/>
      <w:divBdr>
        <w:top w:val="none" w:sz="0" w:space="0" w:color="auto"/>
        <w:left w:val="none" w:sz="0" w:space="0" w:color="auto"/>
        <w:bottom w:val="none" w:sz="0" w:space="0" w:color="auto"/>
        <w:right w:val="none" w:sz="0" w:space="0" w:color="auto"/>
      </w:divBdr>
    </w:div>
    <w:div w:id="312679413">
      <w:marLeft w:val="0"/>
      <w:marRight w:val="0"/>
      <w:marTop w:val="120"/>
      <w:marBottom w:val="0"/>
      <w:divBdr>
        <w:top w:val="none" w:sz="0" w:space="0" w:color="auto"/>
        <w:left w:val="none" w:sz="0" w:space="0" w:color="auto"/>
        <w:bottom w:val="none" w:sz="0" w:space="0" w:color="auto"/>
        <w:right w:val="none" w:sz="0" w:space="0" w:color="auto"/>
      </w:divBdr>
    </w:div>
    <w:div w:id="314916922">
      <w:marLeft w:val="0"/>
      <w:marRight w:val="0"/>
      <w:marTop w:val="120"/>
      <w:marBottom w:val="180"/>
      <w:divBdr>
        <w:top w:val="none" w:sz="0" w:space="0" w:color="auto"/>
        <w:left w:val="none" w:sz="0" w:space="0" w:color="auto"/>
        <w:bottom w:val="none" w:sz="0" w:space="0" w:color="auto"/>
        <w:right w:val="none" w:sz="0" w:space="0" w:color="auto"/>
      </w:divBdr>
    </w:div>
    <w:div w:id="321545241">
      <w:marLeft w:val="0"/>
      <w:marRight w:val="0"/>
      <w:marTop w:val="180"/>
      <w:marBottom w:val="120"/>
      <w:divBdr>
        <w:top w:val="none" w:sz="0" w:space="0" w:color="auto"/>
        <w:left w:val="none" w:sz="0" w:space="0" w:color="auto"/>
        <w:bottom w:val="none" w:sz="0" w:space="0" w:color="auto"/>
        <w:right w:val="none" w:sz="0" w:space="0" w:color="auto"/>
      </w:divBdr>
    </w:div>
    <w:div w:id="326400702">
      <w:marLeft w:val="0"/>
      <w:marRight w:val="0"/>
      <w:marTop w:val="0"/>
      <w:marBottom w:val="120"/>
      <w:divBdr>
        <w:top w:val="none" w:sz="0" w:space="0" w:color="auto"/>
        <w:left w:val="none" w:sz="0" w:space="0" w:color="auto"/>
        <w:bottom w:val="none" w:sz="0" w:space="0" w:color="auto"/>
        <w:right w:val="none" w:sz="0" w:space="0" w:color="auto"/>
      </w:divBdr>
    </w:div>
    <w:div w:id="326786491">
      <w:marLeft w:val="0"/>
      <w:marRight w:val="0"/>
      <w:marTop w:val="60"/>
      <w:marBottom w:val="0"/>
      <w:divBdr>
        <w:top w:val="none" w:sz="0" w:space="0" w:color="auto"/>
        <w:left w:val="none" w:sz="0" w:space="0" w:color="auto"/>
        <w:bottom w:val="none" w:sz="0" w:space="0" w:color="auto"/>
        <w:right w:val="none" w:sz="0" w:space="0" w:color="auto"/>
      </w:divBdr>
    </w:div>
    <w:div w:id="328942964">
      <w:marLeft w:val="0"/>
      <w:marRight w:val="0"/>
      <w:marTop w:val="120"/>
      <w:marBottom w:val="20"/>
      <w:divBdr>
        <w:top w:val="none" w:sz="0" w:space="0" w:color="auto"/>
        <w:left w:val="none" w:sz="0" w:space="0" w:color="auto"/>
        <w:bottom w:val="none" w:sz="0" w:space="0" w:color="auto"/>
        <w:right w:val="none" w:sz="0" w:space="0" w:color="auto"/>
      </w:divBdr>
    </w:div>
    <w:div w:id="329023301">
      <w:marLeft w:val="0"/>
      <w:marRight w:val="0"/>
      <w:marTop w:val="0"/>
      <w:marBottom w:val="0"/>
      <w:divBdr>
        <w:top w:val="none" w:sz="0" w:space="0" w:color="auto"/>
        <w:left w:val="none" w:sz="0" w:space="0" w:color="auto"/>
        <w:bottom w:val="none" w:sz="0" w:space="0" w:color="auto"/>
        <w:right w:val="none" w:sz="0" w:space="0" w:color="auto"/>
      </w:divBdr>
    </w:div>
    <w:div w:id="330375329">
      <w:marLeft w:val="0"/>
      <w:marRight w:val="0"/>
      <w:marTop w:val="120"/>
      <w:marBottom w:val="0"/>
      <w:divBdr>
        <w:top w:val="none" w:sz="0" w:space="0" w:color="auto"/>
        <w:left w:val="none" w:sz="0" w:space="0" w:color="auto"/>
        <w:bottom w:val="none" w:sz="0" w:space="0" w:color="auto"/>
        <w:right w:val="none" w:sz="0" w:space="0" w:color="auto"/>
      </w:divBdr>
    </w:div>
    <w:div w:id="330526495">
      <w:marLeft w:val="0"/>
      <w:marRight w:val="0"/>
      <w:marTop w:val="0"/>
      <w:marBottom w:val="120"/>
      <w:divBdr>
        <w:top w:val="none" w:sz="0" w:space="0" w:color="auto"/>
        <w:left w:val="none" w:sz="0" w:space="0" w:color="auto"/>
        <w:bottom w:val="none" w:sz="0" w:space="0" w:color="auto"/>
        <w:right w:val="none" w:sz="0" w:space="0" w:color="auto"/>
      </w:divBdr>
    </w:div>
    <w:div w:id="331107082">
      <w:marLeft w:val="0"/>
      <w:marRight w:val="0"/>
      <w:marTop w:val="120"/>
      <w:marBottom w:val="0"/>
      <w:divBdr>
        <w:top w:val="none" w:sz="0" w:space="0" w:color="auto"/>
        <w:left w:val="none" w:sz="0" w:space="0" w:color="auto"/>
        <w:bottom w:val="none" w:sz="0" w:space="0" w:color="auto"/>
        <w:right w:val="none" w:sz="0" w:space="0" w:color="auto"/>
      </w:divBdr>
    </w:div>
    <w:div w:id="331226746">
      <w:marLeft w:val="0"/>
      <w:marRight w:val="0"/>
      <w:marTop w:val="120"/>
      <w:marBottom w:val="0"/>
      <w:divBdr>
        <w:top w:val="none" w:sz="0" w:space="0" w:color="auto"/>
        <w:left w:val="none" w:sz="0" w:space="0" w:color="auto"/>
        <w:bottom w:val="none" w:sz="0" w:space="0" w:color="auto"/>
        <w:right w:val="none" w:sz="0" w:space="0" w:color="auto"/>
      </w:divBdr>
    </w:div>
    <w:div w:id="331880425">
      <w:marLeft w:val="0"/>
      <w:marRight w:val="0"/>
      <w:marTop w:val="120"/>
      <w:marBottom w:val="120"/>
      <w:divBdr>
        <w:top w:val="none" w:sz="0" w:space="0" w:color="auto"/>
        <w:left w:val="none" w:sz="0" w:space="0" w:color="auto"/>
        <w:bottom w:val="none" w:sz="0" w:space="0" w:color="auto"/>
        <w:right w:val="none" w:sz="0" w:space="0" w:color="auto"/>
      </w:divBdr>
    </w:div>
    <w:div w:id="332294092">
      <w:marLeft w:val="0"/>
      <w:marRight w:val="0"/>
      <w:marTop w:val="240"/>
      <w:marBottom w:val="0"/>
      <w:divBdr>
        <w:top w:val="none" w:sz="0" w:space="0" w:color="auto"/>
        <w:left w:val="none" w:sz="0" w:space="0" w:color="auto"/>
        <w:bottom w:val="none" w:sz="0" w:space="0" w:color="auto"/>
        <w:right w:val="none" w:sz="0" w:space="0" w:color="auto"/>
      </w:divBdr>
    </w:div>
    <w:div w:id="333142963">
      <w:marLeft w:val="0"/>
      <w:marRight w:val="0"/>
      <w:marTop w:val="0"/>
      <w:marBottom w:val="0"/>
      <w:divBdr>
        <w:top w:val="none" w:sz="0" w:space="0" w:color="auto"/>
        <w:left w:val="none" w:sz="0" w:space="0" w:color="auto"/>
        <w:bottom w:val="none" w:sz="0" w:space="0" w:color="auto"/>
        <w:right w:val="none" w:sz="0" w:space="0" w:color="auto"/>
      </w:divBdr>
    </w:div>
    <w:div w:id="333343836">
      <w:marLeft w:val="0"/>
      <w:marRight w:val="0"/>
      <w:marTop w:val="0"/>
      <w:marBottom w:val="0"/>
      <w:divBdr>
        <w:top w:val="none" w:sz="0" w:space="0" w:color="auto"/>
        <w:left w:val="none" w:sz="0" w:space="0" w:color="auto"/>
        <w:bottom w:val="none" w:sz="0" w:space="0" w:color="auto"/>
        <w:right w:val="none" w:sz="0" w:space="0" w:color="auto"/>
      </w:divBdr>
      <w:divsChild>
        <w:div w:id="1183209679">
          <w:marLeft w:val="0"/>
          <w:marRight w:val="0"/>
          <w:marTop w:val="0"/>
          <w:marBottom w:val="0"/>
          <w:divBdr>
            <w:top w:val="none" w:sz="0" w:space="0" w:color="auto"/>
            <w:left w:val="none" w:sz="0" w:space="0" w:color="auto"/>
            <w:bottom w:val="none" w:sz="0" w:space="0" w:color="auto"/>
            <w:right w:val="none" w:sz="0" w:space="0" w:color="auto"/>
          </w:divBdr>
        </w:div>
      </w:divsChild>
    </w:div>
    <w:div w:id="336270206">
      <w:marLeft w:val="0"/>
      <w:marRight w:val="0"/>
      <w:marTop w:val="120"/>
      <w:marBottom w:val="0"/>
      <w:divBdr>
        <w:top w:val="none" w:sz="0" w:space="0" w:color="auto"/>
        <w:left w:val="none" w:sz="0" w:space="0" w:color="auto"/>
        <w:bottom w:val="none" w:sz="0" w:space="0" w:color="auto"/>
        <w:right w:val="none" w:sz="0" w:space="0" w:color="auto"/>
      </w:divBdr>
    </w:div>
    <w:div w:id="339046316">
      <w:marLeft w:val="0"/>
      <w:marRight w:val="0"/>
      <w:marTop w:val="0"/>
      <w:marBottom w:val="0"/>
      <w:divBdr>
        <w:top w:val="none" w:sz="0" w:space="0" w:color="auto"/>
        <w:left w:val="none" w:sz="0" w:space="0" w:color="auto"/>
        <w:bottom w:val="none" w:sz="0" w:space="0" w:color="auto"/>
        <w:right w:val="none" w:sz="0" w:space="0" w:color="auto"/>
      </w:divBdr>
      <w:divsChild>
        <w:div w:id="1470197985">
          <w:marLeft w:val="0"/>
          <w:marRight w:val="0"/>
          <w:marTop w:val="0"/>
          <w:marBottom w:val="0"/>
          <w:divBdr>
            <w:top w:val="none" w:sz="0" w:space="0" w:color="auto"/>
            <w:left w:val="none" w:sz="0" w:space="0" w:color="auto"/>
            <w:bottom w:val="none" w:sz="0" w:space="0" w:color="auto"/>
            <w:right w:val="none" w:sz="0" w:space="0" w:color="auto"/>
          </w:divBdr>
        </w:div>
      </w:divsChild>
    </w:div>
    <w:div w:id="341206739">
      <w:marLeft w:val="0"/>
      <w:marRight w:val="0"/>
      <w:marTop w:val="120"/>
      <w:marBottom w:val="120"/>
      <w:divBdr>
        <w:top w:val="none" w:sz="0" w:space="0" w:color="auto"/>
        <w:left w:val="none" w:sz="0" w:space="0" w:color="auto"/>
        <w:bottom w:val="none" w:sz="0" w:space="0" w:color="auto"/>
        <w:right w:val="none" w:sz="0" w:space="0" w:color="auto"/>
      </w:divBdr>
    </w:div>
    <w:div w:id="341468728">
      <w:marLeft w:val="0"/>
      <w:marRight w:val="0"/>
      <w:marTop w:val="120"/>
      <w:marBottom w:val="120"/>
      <w:divBdr>
        <w:top w:val="none" w:sz="0" w:space="0" w:color="auto"/>
        <w:left w:val="none" w:sz="0" w:space="0" w:color="auto"/>
        <w:bottom w:val="none" w:sz="0" w:space="0" w:color="auto"/>
        <w:right w:val="none" w:sz="0" w:space="0" w:color="auto"/>
      </w:divBdr>
      <w:divsChild>
        <w:div w:id="2130081937">
          <w:marLeft w:val="0"/>
          <w:marRight w:val="0"/>
          <w:marTop w:val="0"/>
          <w:marBottom w:val="0"/>
          <w:divBdr>
            <w:top w:val="none" w:sz="0" w:space="0" w:color="auto"/>
            <w:left w:val="none" w:sz="0" w:space="0" w:color="auto"/>
            <w:bottom w:val="none" w:sz="0" w:space="0" w:color="auto"/>
            <w:right w:val="none" w:sz="0" w:space="0" w:color="auto"/>
          </w:divBdr>
        </w:div>
        <w:div w:id="1967807841">
          <w:marLeft w:val="0"/>
          <w:marRight w:val="0"/>
          <w:marTop w:val="0"/>
          <w:marBottom w:val="0"/>
          <w:divBdr>
            <w:top w:val="none" w:sz="0" w:space="0" w:color="auto"/>
            <w:left w:val="none" w:sz="0" w:space="0" w:color="auto"/>
            <w:bottom w:val="none" w:sz="0" w:space="0" w:color="auto"/>
            <w:right w:val="none" w:sz="0" w:space="0" w:color="auto"/>
          </w:divBdr>
        </w:div>
        <w:div w:id="121464871">
          <w:marLeft w:val="0"/>
          <w:marRight w:val="0"/>
          <w:marTop w:val="0"/>
          <w:marBottom w:val="0"/>
          <w:divBdr>
            <w:top w:val="none" w:sz="0" w:space="0" w:color="auto"/>
            <w:left w:val="none" w:sz="0" w:space="0" w:color="auto"/>
            <w:bottom w:val="none" w:sz="0" w:space="0" w:color="auto"/>
            <w:right w:val="none" w:sz="0" w:space="0" w:color="auto"/>
          </w:divBdr>
        </w:div>
        <w:div w:id="979921400">
          <w:marLeft w:val="0"/>
          <w:marRight w:val="0"/>
          <w:marTop w:val="0"/>
          <w:marBottom w:val="0"/>
          <w:divBdr>
            <w:top w:val="none" w:sz="0" w:space="0" w:color="auto"/>
            <w:left w:val="none" w:sz="0" w:space="0" w:color="auto"/>
            <w:bottom w:val="none" w:sz="0" w:space="0" w:color="auto"/>
            <w:right w:val="none" w:sz="0" w:space="0" w:color="auto"/>
          </w:divBdr>
        </w:div>
        <w:div w:id="1850948803">
          <w:marLeft w:val="0"/>
          <w:marRight w:val="0"/>
          <w:marTop w:val="0"/>
          <w:marBottom w:val="0"/>
          <w:divBdr>
            <w:top w:val="none" w:sz="0" w:space="0" w:color="auto"/>
            <w:left w:val="none" w:sz="0" w:space="0" w:color="auto"/>
            <w:bottom w:val="none" w:sz="0" w:space="0" w:color="auto"/>
            <w:right w:val="none" w:sz="0" w:space="0" w:color="auto"/>
          </w:divBdr>
        </w:div>
      </w:divsChild>
    </w:div>
    <w:div w:id="343821530">
      <w:marLeft w:val="0"/>
      <w:marRight w:val="0"/>
      <w:marTop w:val="0"/>
      <w:marBottom w:val="0"/>
      <w:divBdr>
        <w:top w:val="none" w:sz="0" w:space="0" w:color="auto"/>
        <w:left w:val="none" w:sz="0" w:space="0" w:color="auto"/>
        <w:bottom w:val="none" w:sz="0" w:space="0" w:color="auto"/>
        <w:right w:val="none" w:sz="0" w:space="0" w:color="auto"/>
      </w:divBdr>
      <w:divsChild>
        <w:div w:id="1803230344">
          <w:marLeft w:val="0"/>
          <w:marRight w:val="0"/>
          <w:marTop w:val="0"/>
          <w:marBottom w:val="0"/>
          <w:divBdr>
            <w:top w:val="none" w:sz="0" w:space="0" w:color="auto"/>
            <w:left w:val="none" w:sz="0" w:space="0" w:color="auto"/>
            <w:bottom w:val="none" w:sz="0" w:space="0" w:color="auto"/>
            <w:right w:val="none" w:sz="0" w:space="0" w:color="auto"/>
          </w:divBdr>
        </w:div>
      </w:divsChild>
    </w:div>
    <w:div w:id="344094275">
      <w:marLeft w:val="0"/>
      <w:marRight w:val="0"/>
      <w:marTop w:val="180"/>
      <w:marBottom w:val="120"/>
      <w:divBdr>
        <w:top w:val="none" w:sz="0" w:space="0" w:color="auto"/>
        <w:left w:val="none" w:sz="0" w:space="0" w:color="auto"/>
        <w:bottom w:val="none" w:sz="0" w:space="0" w:color="auto"/>
        <w:right w:val="none" w:sz="0" w:space="0" w:color="auto"/>
      </w:divBdr>
    </w:div>
    <w:div w:id="345326266">
      <w:marLeft w:val="0"/>
      <w:marRight w:val="0"/>
      <w:marTop w:val="120"/>
      <w:marBottom w:val="0"/>
      <w:divBdr>
        <w:top w:val="none" w:sz="0" w:space="0" w:color="auto"/>
        <w:left w:val="none" w:sz="0" w:space="0" w:color="auto"/>
        <w:bottom w:val="none" w:sz="0" w:space="0" w:color="auto"/>
        <w:right w:val="none" w:sz="0" w:space="0" w:color="auto"/>
      </w:divBdr>
    </w:div>
    <w:div w:id="347146136">
      <w:marLeft w:val="0"/>
      <w:marRight w:val="0"/>
      <w:marTop w:val="0"/>
      <w:marBottom w:val="0"/>
      <w:divBdr>
        <w:top w:val="none" w:sz="0" w:space="0" w:color="auto"/>
        <w:left w:val="none" w:sz="0" w:space="0" w:color="auto"/>
        <w:bottom w:val="none" w:sz="0" w:space="0" w:color="auto"/>
        <w:right w:val="none" w:sz="0" w:space="0" w:color="auto"/>
      </w:divBdr>
      <w:divsChild>
        <w:div w:id="1629896462">
          <w:marLeft w:val="0"/>
          <w:marRight w:val="0"/>
          <w:marTop w:val="0"/>
          <w:marBottom w:val="0"/>
          <w:divBdr>
            <w:top w:val="none" w:sz="0" w:space="0" w:color="auto"/>
            <w:left w:val="none" w:sz="0" w:space="0" w:color="auto"/>
            <w:bottom w:val="none" w:sz="0" w:space="0" w:color="auto"/>
            <w:right w:val="none" w:sz="0" w:space="0" w:color="auto"/>
          </w:divBdr>
        </w:div>
      </w:divsChild>
    </w:div>
    <w:div w:id="349642956">
      <w:marLeft w:val="0"/>
      <w:marRight w:val="0"/>
      <w:marTop w:val="0"/>
      <w:marBottom w:val="0"/>
      <w:divBdr>
        <w:top w:val="none" w:sz="0" w:space="0" w:color="auto"/>
        <w:left w:val="none" w:sz="0" w:space="0" w:color="auto"/>
        <w:bottom w:val="none" w:sz="0" w:space="0" w:color="auto"/>
        <w:right w:val="none" w:sz="0" w:space="0" w:color="auto"/>
      </w:divBdr>
      <w:divsChild>
        <w:div w:id="872494464">
          <w:marLeft w:val="0"/>
          <w:marRight w:val="0"/>
          <w:marTop w:val="0"/>
          <w:marBottom w:val="0"/>
          <w:divBdr>
            <w:top w:val="none" w:sz="0" w:space="0" w:color="auto"/>
            <w:left w:val="none" w:sz="0" w:space="0" w:color="auto"/>
            <w:bottom w:val="none" w:sz="0" w:space="0" w:color="auto"/>
            <w:right w:val="none" w:sz="0" w:space="0" w:color="auto"/>
          </w:divBdr>
        </w:div>
      </w:divsChild>
    </w:div>
    <w:div w:id="356780607">
      <w:marLeft w:val="0"/>
      <w:marRight w:val="0"/>
      <w:marTop w:val="120"/>
      <w:marBottom w:val="0"/>
      <w:divBdr>
        <w:top w:val="none" w:sz="0" w:space="0" w:color="auto"/>
        <w:left w:val="none" w:sz="0" w:space="0" w:color="auto"/>
        <w:bottom w:val="none" w:sz="0" w:space="0" w:color="auto"/>
        <w:right w:val="none" w:sz="0" w:space="0" w:color="auto"/>
      </w:divBdr>
    </w:div>
    <w:div w:id="362219354">
      <w:marLeft w:val="0"/>
      <w:marRight w:val="0"/>
      <w:marTop w:val="120"/>
      <w:marBottom w:val="120"/>
      <w:divBdr>
        <w:top w:val="none" w:sz="0" w:space="0" w:color="auto"/>
        <w:left w:val="none" w:sz="0" w:space="0" w:color="auto"/>
        <w:bottom w:val="none" w:sz="0" w:space="0" w:color="auto"/>
        <w:right w:val="none" w:sz="0" w:space="0" w:color="auto"/>
      </w:divBdr>
    </w:div>
    <w:div w:id="363138823">
      <w:marLeft w:val="0"/>
      <w:marRight w:val="0"/>
      <w:marTop w:val="0"/>
      <w:marBottom w:val="0"/>
      <w:divBdr>
        <w:top w:val="none" w:sz="0" w:space="0" w:color="auto"/>
        <w:left w:val="none" w:sz="0" w:space="0" w:color="auto"/>
        <w:bottom w:val="none" w:sz="0" w:space="0" w:color="auto"/>
        <w:right w:val="none" w:sz="0" w:space="0" w:color="auto"/>
      </w:divBdr>
    </w:div>
    <w:div w:id="365253189">
      <w:marLeft w:val="0"/>
      <w:marRight w:val="0"/>
      <w:marTop w:val="120"/>
      <w:marBottom w:val="0"/>
      <w:divBdr>
        <w:top w:val="none" w:sz="0" w:space="0" w:color="auto"/>
        <w:left w:val="none" w:sz="0" w:space="0" w:color="auto"/>
        <w:bottom w:val="none" w:sz="0" w:space="0" w:color="auto"/>
        <w:right w:val="none" w:sz="0" w:space="0" w:color="auto"/>
      </w:divBdr>
      <w:divsChild>
        <w:div w:id="1273784225">
          <w:marLeft w:val="0"/>
          <w:marRight w:val="0"/>
          <w:marTop w:val="0"/>
          <w:marBottom w:val="0"/>
          <w:divBdr>
            <w:top w:val="none" w:sz="0" w:space="0" w:color="auto"/>
            <w:left w:val="none" w:sz="0" w:space="0" w:color="auto"/>
            <w:bottom w:val="none" w:sz="0" w:space="0" w:color="auto"/>
            <w:right w:val="none" w:sz="0" w:space="0" w:color="auto"/>
          </w:divBdr>
        </w:div>
      </w:divsChild>
    </w:div>
    <w:div w:id="365563058">
      <w:marLeft w:val="0"/>
      <w:marRight w:val="0"/>
      <w:marTop w:val="0"/>
      <w:marBottom w:val="0"/>
      <w:divBdr>
        <w:top w:val="none" w:sz="0" w:space="0" w:color="auto"/>
        <w:left w:val="none" w:sz="0" w:space="0" w:color="auto"/>
        <w:bottom w:val="none" w:sz="0" w:space="0" w:color="auto"/>
        <w:right w:val="none" w:sz="0" w:space="0" w:color="auto"/>
      </w:divBdr>
    </w:div>
    <w:div w:id="365912701">
      <w:marLeft w:val="0"/>
      <w:marRight w:val="0"/>
      <w:marTop w:val="120"/>
      <w:marBottom w:val="120"/>
      <w:divBdr>
        <w:top w:val="none" w:sz="0" w:space="0" w:color="auto"/>
        <w:left w:val="none" w:sz="0" w:space="0" w:color="auto"/>
        <w:bottom w:val="none" w:sz="0" w:space="0" w:color="auto"/>
        <w:right w:val="none" w:sz="0" w:space="0" w:color="auto"/>
      </w:divBdr>
    </w:div>
    <w:div w:id="367412658">
      <w:marLeft w:val="0"/>
      <w:marRight w:val="0"/>
      <w:marTop w:val="60"/>
      <w:marBottom w:val="120"/>
      <w:divBdr>
        <w:top w:val="none" w:sz="0" w:space="0" w:color="auto"/>
        <w:left w:val="none" w:sz="0" w:space="0" w:color="auto"/>
        <w:bottom w:val="none" w:sz="0" w:space="0" w:color="auto"/>
        <w:right w:val="none" w:sz="0" w:space="0" w:color="auto"/>
      </w:divBdr>
    </w:div>
    <w:div w:id="368722759">
      <w:marLeft w:val="0"/>
      <w:marRight w:val="0"/>
      <w:marTop w:val="120"/>
      <w:marBottom w:val="0"/>
      <w:divBdr>
        <w:top w:val="none" w:sz="0" w:space="0" w:color="auto"/>
        <w:left w:val="none" w:sz="0" w:space="0" w:color="auto"/>
        <w:bottom w:val="none" w:sz="0" w:space="0" w:color="auto"/>
        <w:right w:val="none" w:sz="0" w:space="0" w:color="auto"/>
      </w:divBdr>
    </w:div>
    <w:div w:id="370695425">
      <w:marLeft w:val="0"/>
      <w:marRight w:val="0"/>
      <w:marTop w:val="120"/>
      <w:marBottom w:val="120"/>
      <w:divBdr>
        <w:top w:val="none" w:sz="0" w:space="0" w:color="auto"/>
        <w:left w:val="none" w:sz="0" w:space="0" w:color="auto"/>
        <w:bottom w:val="none" w:sz="0" w:space="0" w:color="auto"/>
        <w:right w:val="none" w:sz="0" w:space="0" w:color="auto"/>
      </w:divBdr>
    </w:div>
    <w:div w:id="371224336">
      <w:marLeft w:val="0"/>
      <w:marRight w:val="0"/>
      <w:marTop w:val="120"/>
      <w:marBottom w:val="120"/>
      <w:divBdr>
        <w:top w:val="none" w:sz="0" w:space="0" w:color="auto"/>
        <w:left w:val="none" w:sz="0" w:space="0" w:color="auto"/>
        <w:bottom w:val="none" w:sz="0" w:space="0" w:color="auto"/>
        <w:right w:val="none" w:sz="0" w:space="0" w:color="auto"/>
      </w:divBdr>
    </w:div>
    <w:div w:id="371465206">
      <w:marLeft w:val="0"/>
      <w:marRight w:val="0"/>
      <w:marTop w:val="0"/>
      <w:marBottom w:val="0"/>
      <w:divBdr>
        <w:top w:val="none" w:sz="0" w:space="0" w:color="auto"/>
        <w:left w:val="none" w:sz="0" w:space="0" w:color="auto"/>
        <w:bottom w:val="none" w:sz="0" w:space="0" w:color="auto"/>
        <w:right w:val="none" w:sz="0" w:space="0" w:color="auto"/>
      </w:divBdr>
      <w:divsChild>
        <w:div w:id="2013751804">
          <w:marLeft w:val="0"/>
          <w:marRight w:val="0"/>
          <w:marTop w:val="0"/>
          <w:marBottom w:val="0"/>
          <w:divBdr>
            <w:top w:val="none" w:sz="0" w:space="0" w:color="auto"/>
            <w:left w:val="none" w:sz="0" w:space="0" w:color="auto"/>
            <w:bottom w:val="none" w:sz="0" w:space="0" w:color="auto"/>
            <w:right w:val="none" w:sz="0" w:space="0" w:color="auto"/>
          </w:divBdr>
        </w:div>
      </w:divsChild>
    </w:div>
    <w:div w:id="372463007">
      <w:marLeft w:val="0"/>
      <w:marRight w:val="0"/>
      <w:marTop w:val="120"/>
      <w:marBottom w:val="120"/>
      <w:divBdr>
        <w:top w:val="none" w:sz="0" w:space="0" w:color="auto"/>
        <w:left w:val="none" w:sz="0" w:space="0" w:color="auto"/>
        <w:bottom w:val="none" w:sz="0" w:space="0" w:color="auto"/>
        <w:right w:val="none" w:sz="0" w:space="0" w:color="auto"/>
      </w:divBdr>
    </w:div>
    <w:div w:id="372967930">
      <w:marLeft w:val="0"/>
      <w:marRight w:val="0"/>
      <w:marTop w:val="0"/>
      <w:marBottom w:val="0"/>
      <w:divBdr>
        <w:top w:val="none" w:sz="0" w:space="0" w:color="auto"/>
        <w:left w:val="none" w:sz="0" w:space="0" w:color="auto"/>
        <w:bottom w:val="none" w:sz="0" w:space="0" w:color="auto"/>
        <w:right w:val="none" w:sz="0" w:space="0" w:color="auto"/>
      </w:divBdr>
    </w:div>
    <w:div w:id="376391486">
      <w:marLeft w:val="0"/>
      <w:marRight w:val="0"/>
      <w:marTop w:val="60"/>
      <w:marBottom w:val="120"/>
      <w:divBdr>
        <w:top w:val="none" w:sz="0" w:space="0" w:color="auto"/>
        <w:left w:val="none" w:sz="0" w:space="0" w:color="auto"/>
        <w:bottom w:val="none" w:sz="0" w:space="0" w:color="auto"/>
        <w:right w:val="none" w:sz="0" w:space="0" w:color="auto"/>
      </w:divBdr>
      <w:divsChild>
        <w:div w:id="770855671">
          <w:marLeft w:val="0"/>
          <w:marRight w:val="0"/>
          <w:marTop w:val="0"/>
          <w:marBottom w:val="0"/>
          <w:divBdr>
            <w:top w:val="none" w:sz="0" w:space="0" w:color="auto"/>
            <w:left w:val="none" w:sz="0" w:space="0" w:color="auto"/>
            <w:bottom w:val="none" w:sz="0" w:space="0" w:color="auto"/>
            <w:right w:val="none" w:sz="0" w:space="0" w:color="auto"/>
          </w:divBdr>
        </w:div>
      </w:divsChild>
    </w:div>
    <w:div w:id="382558329">
      <w:marLeft w:val="0"/>
      <w:marRight w:val="0"/>
      <w:marTop w:val="120"/>
      <w:marBottom w:val="0"/>
      <w:divBdr>
        <w:top w:val="none" w:sz="0" w:space="0" w:color="auto"/>
        <w:left w:val="none" w:sz="0" w:space="0" w:color="auto"/>
        <w:bottom w:val="none" w:sz="0" w:space="0" w:color="auto"/>
        <w:right w:val="none" w:sz="0" w:space="0" w:color="auto"/>
      </w:divBdr>
      <w:divsChild>
        <w:div w:id="1330208500">
          <w:marLeft w:val="0"/>
          <w:marRight w:val="0"/>
          <w:marTop w:val="0"/>
          <w:marBottom w:val="0"/>
          <w:divBdr>
            <w:top w:val="none" w:sz="0" w:space="0" w:color="auto"/>
            <w:left w:val="none" w:sz="0" w:space="0" w:color="auto"/>
            <w:bottom w:val="none" w:sz="0" w:space="0" w:color="auto"/>
            <w:right w:val="none" w:sz="0" w:space="0" w:color="auto"/>
          </w:divBdr>
        </w:div>
        <w:div w:id="1271933956">
          <w:marLeft w:val="0"/>
          <w:marRight w:val="0"/>
          <w:marTop w:val="0"/>
          <w:marBottom w:val="0"/>
          <w:divBdr>
            <w:top w:val="none" w:sz="0" w:space="0" w:color="auto"/>
            <w:left w:val="none" w:sz="0" w:space="0" w:color="auto"/>
            <w:bottom w:val="none" w:sz="0" w:space="0" w:color="auto"/>
            <w:right w:val="none" w:sz="0" w:space="0" w:color="auto"/>
          </w:divBdr>
        </w:div>
        <w:div w:id="979773263">
          <w:marLeft w:val="0"/>
          <w:marRight w:val="0"/>
          <w:marTop w:val="0"/>
          <w:marBottom w:val="0"/>
          <w:divBdr>
            <w:top w:val="none" w:sz="0" w:space="0" w:color="auto"/>
            <w:left w:val="none" w:sz="0" w:space="0" w:color="auto"/>
            <w:bottom w:val="none" w:sz="0" w:space="0" w:color="auto"/>
            <w:right w:val="none" w:sz="0" w:space="0" w:color="auto"/>
          </w:divBdr>
        </w:div>
        <w:div w:id="452099662">
          <w:marLeft w:val="0"/>
          <w:marRight w:val="0"/>
          <w:marTop w:val="0"/>
          <w:marBottom w:val="0"/>
          <w:divBdr>
            <w:top w:val="none" w:sz="0" w:space="0" w:color="auto"/>
            <w:left w:val="none" w:sz="0" w:space="0" w:color="auto"/>
            <w:bottom w:val="none" w:sz="0" w:space="0" w:color="auto"/>
            <w:right w:val="none" w:sz="0" w:space="0" w:color="auto"/>
          </w:divBdr>
        </w:div>
        <w:div w:id="441532944">
          <w:marLeft w:val="0"/>
          <w:marRight w:val="0"/>
          <w:marTop w:val="0"/>
          <w:marBottom w:val="0"/>
          <w:divBdr>
            <w:top w:val="none" w:sz="0" w:space="0" w:color="auto"/>
            <w:left w:val="none" w:sz="0" w:space="0" w:color="auto"/>
            <w:bottom w:val="none" w:sz="0" w:space="0" w:color="auto"/>
            <w:right w:val="none" w:sz="0" w:space="0" w:color="auto"/>
          </w:divBdr>
        </w:div>
        <w:div w:id="40400889">
          <w:marLeft w:val="0"/>
          <w:marRight w:val="0"/>
          <w:marTop w:val="0"/>
          <w:marBottom w:val="0"/>
          <w:divBdr>
            <w:top w:val="none" w:sz="0" w:space="0" w:color="auto"/>
            <w:left w:val="none" w:sz="0" w:space="0" w:color="auto"/>
            <w:bottom w:val="none" w:sz="0" w:space="0" w:color="auto"/>
            <w:right w:val="none" w:sz="0" w:space="0" w:color="auto"/>
          </w:divBdr>
        </w:div>
        <w:div w:id="806706711">
          <w:marLeft w:val="0"/>
          <w:marRight w:val="0"/>
          <w:marTop w:val="0"/>
          <w:marBottom w:val="0"/>
          <w:divBdr>
            <w:top w:val="none" w:sz="0" w:space="0" w:color="auto"/>
            <w:left w:val="none" w:sz="0" w:space="0" w:color="auto"/>
            <w:bottom w:val="none" w:sz="0" w:space="0" w:color="auto"/>
            <w:right w:val="none" w:sz="0" w:space="0" w:color="auto"/>
          </w:divBdr>
        </w:div>
      </w:divsChild>
    </w:div>
    <w:div w:id="384261730">
      <w:marLeft w:val="0"/>
      <w:marRight w:val="0"/>
      <w:marTop w:val="120"/>
      <w:marBottom w:val="0"/>
      <w:divBdr>
        <w:top w:val="none" w:sz="0" w:space="0" w:color="auto"/>
        <w:left w:val="none" w:sz="0" w:space="0" w:color="auto"/>
        <w:bottom w:val="none" w:sz="0" w:space="0" w:color="auto"/>
        <w:right w:val="none" w:sz="0" w:space="0" w:color="auto"/>
      </w:divBdr>
    </w:div>
    <w:div w:id="386026867">
      <w:marLeft w:val="0"/>
      <w:marRight w:val="0"/>
      <w:marTop w:val="120"/>
      <w:marBottom w:val="0"/>
      <w:divBdr>
        <w:top w:val="none" w:sz="0" w:space="0" w:color="auto"/>
        <w:left w:val="none" w:sz="0" w:space="0" w:color="auto"/>
        <w:bottom w:val="none" w:sz="0" w:space="0" w:color="auto"/>
        <w:right w:val="none" w:sz="0" w:space="0" w:color="auto"/>
      </w:divBdr>
    </w:div>
    <w:div w:id="388648970">
      <w:marLeft w:val="0"/>
      <w:marRight w:val="0"/>
      <w:marTop w:val="120"/>
      <w:marBottom w:val="0"/>
      <w:divBdr>
        <w:top w:val="none" w:sz="0" w:space="0" w:color="auto"/>
        <w:left w:val="none" w:sz="0" w:space="0" w:color="auto"/>
        <w:bottom w:val="none" w:sz="0" w:space="0" w:color="auto"/>
        <w:right w:val="none" w:sz="0" w:space="0" w:color="auto"/>
      </w:divBdr>
    </w:div>
    <w:div w:id="389501311">
      <w:marLeft w:val="0"/>
      <w:marRight w:val="0"/>
      <w:marTop w:val="0"/>
      <w:marBottom w:val="0"/>
      <w:divBdr>
        <w:top w:val="none" w:sz="0" w:space="0" w:color="auto"/>
        <w:left w:val="none" w:sz="0" w:space="0" w:color="auto"/>
        <w:bottom w:val="none" w:sz="0" w:space="0" w:color="auto"/>
        <w:right w:val="none" w:sz="0" w:space="0" w:color="auto"/>
      </w:divBdr>
    </w:div>
    <w:div w:id="389811234">
      <w:marLeft w:val="0"/>
      <w:marRight w:val="0"/>
      <w:marTop w:val="120"/>
      <w:marBottom w:val="120"/>
      <w:divBdr>
        <w:top w:val="none" w:sz="0" w:space="0" w:color="auto"/>
        <w:left w:val="none" w:sz="0" w:space="0" w:color="auto"/>
        <w:bottom w:val="none" w:sz="0" w:space="0" w:color="auto"/>
        <w:right w:val="none" w:sz="0" w:space="0" w:color="auto"/>
      </w:divBdr>
    </w:div>
    <w:div w:id="390539677">
      <w:marLeft w:val="0"/>
      <w:marRight w:val="0"/>
      <w:marTop w:val="120"/>
      <w:marBottom w:val="120"/>
      <w:divBdr>
        <w:top w:val="none" w:sz="0" w:space="0" w:color="auto"/>
        <w:left w:val="none" w:sz="0" w:space="0" w:color="auto"/>
        <w:bottom w:val="none" w:sz="0" w:space="0" w:color="auto"/>
        <w:right w:val="none" w:sz="0" w:space="0" w:color="auto"/>
      </w:divBdr>
    </w:div>
    <w:div w:id="391317924">
      <w:marLeft w:val="0"/>
      <w:marRight w:val="0"/>
      <w:marTop w:val="120"/>
      <w:marBottom w:val="120"/>
      <w:divBdr>
        <w:top w:val="none" w:sz="0" w:space="0" w:color="auto"/>
        <w:left w:val="none" w:sz="0" w:space="0" w:color="auto"/>
        <w:bottom w:val="none" w:sz="0" w:space="0" w:color="auto"/>
        <w:right w:val="none" w:sz="0" w:space="0" w:color="auto"/>
      </w:divBdr>
    </w:div>
    <w:div w:id="392243758">
      <w:marLeft w:val="0"/>
      <w:marRight w:val="0"/>
      <w:marTop w:val="120"/>
      <w:marBottom w:val="0"/>
      <w:divBdr>
        <w:top w:val="none" w:sz="0" w:space="0" w:color="auto"/>
        <w:left w:val="none" w:sz="0" w:space="0" w:color="auto"/>
        <w:bottom w:val="none" w:sz="0" w:space="0" w:color="auto"/>
        <w:right w:val="none" w:sz="0" w:space="0" w:color="auto"/>
      </w:divBdr>
    </w:div>
    <w:div w:id="393629974">
      <w:marLeft w:val="0"/>
      <w:marRight w:val="0"/>
      <w:marTop w:val="120"/>
      <w:marBottom w:val="0"/>
      <w:divBdr>
        <w:top w:val="none" w:sz="0" w:space="0" w:color="auto"/>
        <w:left w:val="none" w:sz="0" w:space="0" w:color="auto"/>
        <w:bottom w:val="none" w:sz="0" w:space="0" w:color="auto"/>
        <w:right w:val="none" w:sz="0" w:space="0" w:color="auto"/>
      </w:divBdr>
    </w:div>
    <w:div w:id="393740933">
      <w:marLeft w:val="0"/>
      <w:marRight w:val="0"/>
      <w:marTop w:val="120"/>
      <w:marBottom w:val="0"/>
      <w:divBdr>
        <w:top w:val="none" w:sz="0" w:space="0" w:color="auto"/>
        <w:left w:val="none" w:sz="0" w:space="0" w:color="auto"/>
        <w:bottom w:val="none" w:sz="0" w:space="0" w:color="auto"/>
        <w:right w:val="none" w:sz="0" w:space="0" w:color="auto"/>
      </w:divBdr>
      <w:divsChild>
        <w:div w:id="1988632122">
          <w:marLeft w:val="0"/>
          <w:marRight w:val="0"/>
          <w:marTop w:val="0"/>
          <w:marBottom w:val="0"/>
          <w:divBdr>
            <w:top w:val="none" w:sz="0" w:space="0" w:color="auto"/>
            <w:left w:val="none" w:sz="0" w:space="0" w:color="auto"/>
            <w:bottom w:val="none" w:sz="0" w:space="0" w:color="auto"/>
            <w:right w:val="none" w:sz="0" w:space="0" w:color="auto"/>
          </w:divBdr>
        </w:div>
        <w:div w:id="867835474">
          <w:marLeft w:val="0"/>
          <w:marRight w:val="0"/>
          <w:marTop w:val="0"/>
          <w:marBottom w:val="0"/>
          <w:divBdr>
            <w:top w:val="none" w:sz="0" w:space="0" w:color="auto"/>
            <w:left w:val="none" w:sz="0" w:space="0" w:color="auto"/>
            <w:bottom w:val="none" w:sz="0" w:space="0" w:color="auto"/>
            <w:right w:val="none" w:sz="0" w:space="0" w:color="auto"/>
          </w:divBdr>
        </w:div>
        <w:div w:id="1215392264">
          <w:marLeft w:val="0"/>
          <w:marRight w:val="0"/>
          <w:marTop w:val="0"/>
          <w:marBottom w:val="0"/>
          <w:divBdr>
            <w:top w:val="none" w:sz="0" w:space="0" w:color="auto"/>
            <w:left w:val="none" w:sz="0" w:space="0" w:color="auto"/>
            <w:bottom w:val="none" w:sz="0" w:space="0" w:color="auto"/>
            <w:right w:val="none" w:sz="0" w:space="0" w:color="auto"/>
          </w:divBdr>
        </w:div>
        <w:div w:id="1732459535">
          <w:marLeft w:val="0"/>
          <w:marRight w:val="0"/>
          <w:marTop w:val="0"/>
          <w:marBottom w:val="0"/>
          <w:divBdr>
            <w:top w:val="none" w:sz="0" w:space="0" w:color="auto"/>
            <w:left w:val="none" w:sz="0" w:space="0" w:color="auto"/>
            <w:bottom w:val="none" w:sz="0" w:space="0" w:color="auto"/>
            <w:right w:val="none" w:sz="0" w:space="0" w:color="auto"/>
          </w:divBdr>
        </w:div>
        <w:div w:id="555899325">
          <w:marLeft w:val="0"/>
          <w:marRight w:val="0"/>
          <w:marTop w:val="0"/>
          <w:marBottom w:val="0"/>
          <w:divBdr>
            <w:top w:val="none" w:sz="0" w:space="0" w:color="auto"/>
            <w:left w:val="none" w:sz="0" w:space="0" w:color="auto"/>
            <w:bottom w:val="none" w:sz="0" w:space="0" w:color="auto"/>
            <w:right w:val="none" w:sz="0" w:space="0" w:color="auto"/>
          </w:divBdr>
        </w:div>
        <w:div w:id="1454249658">
          <w:marLeft w:val="0"/>
          <w:marRight w:val="0"/>
          <w:marTop w:val="0"/>
          <w:marBottom w:val="0"/>
          <w:divBdr>
            <w:top w:val="none" w:sz="0" w:space="0" w:color="auto"/>
            <w:left w:val="none" w:sz="0" w:space="0" w:color="auto"/>
            <w:bottom w:val="none" w:sz="0" w:space="0" w:color="auto"/>
            <w:right w:val="none" w:sz="0" w:space="0" w:color="auto"/>
          </w:divBdr>
        </w:div>
        <w:div w:id="1646735821">
          <w:marLeft w:val="0"/>
          <w:marRight w:val="0"/>
          <w:marTop w:val="0"/>
          <w:marBottom w:val="0"/>
          <w:divBdr>
            <w:top w:val="none" w:sz="0" w:space="0" w:color="auto"/>
            <w:left w:val="none" w:sz="0" w:space="0" w:color="auto"/>
            <w:bottom w:val="none" w:sz="0" w:space="0" w:color="auto"/>
            <w:right w:val="none" w:sz="0" w:space="0" w:color="auto"/>
          </w:divBdr>
        </w:div>
        <w:div w:id="315304472">
          <w:marLeft w:val="0"/>
          <w:marRight w:val="0"/>
          <w:marTop w:val="0"/>
          <w:marBottom w:val="0"/>
          <w:divBdr>
            <w:top w:val="none" w:sz="0" w:space="0" w:color="auto"/>
            <w:left w:val="none" w:sz="0" w:space="0" w:color="auto"/>
            <w:bottom w:val="none" w:sz="0" w:space="0" w:color="auto"/>
            <w:right w:val="none" w:sz="0" w:space="0" w:color="auto"/>
          </w:divBdr>
        </w:div>
        <w:div w:id="1878157758">
          <w:marLeft w:val="0"/>
          <w:marRight w:val="0"/>
          <w:marTop w:val="0"/>
          <w:marBottom w:val="0"/>
          <w:divBdr>
            <w:top w:val="none" w:sz="0" w:space="0" w:color="auto"/>
            <w:left w:val="none" w:sz="0" w:space="0" w:color="auto"/>
            <w:bottom w:val="none" w:sz="0" w:space="0" w:color="auto"/>
            <w:right w:val="none" w:sz="0" w:space="0" w:color="auto"/>
          </w:divBdr>
        </w:div>
        <w:div w:id="1480271826">
          <w:marLeft w:val="0"/>
          <w:marRight w:val="0"/>
          <w:marTop w:val="0"/>
          <w:marBottom w:val="0"/>
          <w:divBdr>
            <w:top w:val="none" w:sz="0" w:space="0" w:color="auto"/>
            <w:left w:val="none" w:sz="0" w:space="0" w:color="auto"/>
            <w:bottom w:val="none" w:sz="0" w:space="0" w:color="auto"/>
            <w:right w:val="none" w:sz="0" w:space="0" w:color="auto"/>
          </w:divBdr>
        </w:div>
        <w:div w:id="604848660">
          <w:marLeft w:val="0"/>
          <w:marRight w:val="0"/>
          <w:marTop w:val="0"/>
          <w:marBottom w:val="0"/>
          <w:divBdr>
            <w:top w:val="none" w:sz="0" w:space="0" w:color="auto"/>
            <w:left w:val="none" w:sz="0" w:space="0" w:color="auto"/>
            <w:bottom w:val="none" w:sz="0" w:space="0" w:color="auto"/>
            <w:right w:val="none" w:sz="0" w:space="0" w:color="auto"/>
          </w:divBdr>
        </w:div>
        <w:div w:id="249462619">
          <w:marLeft w:val="0"/>
          <w:marRight w:val="0"/>
          <w:marTop w:val="0"/>
          <w:marBottom w:val="0"/>
          <w:divBdr>
            <w:top w:val="none" w:sz="0" w:space="0" w:color="auto"/>
            <w:left w:val="none" w:sz="0" w:space="0" w:color="auto"/>
            <w:bottom w:val="none" w:sz="0" w:space="0" w:color="auto"/>
            <w:right w:val="none" w:sz="0" w:space="0" w:color="auto"/>
          </w:divBdr>
        </w:div>
        <w:div w:id="1913540756">
          <w:marLeft w:val="0"/>
          <w:marRight w:val="0"/>
          <w:marTop w:val="0"/>
          <w:marBottom w:val="0"/>
          <w:divBdr>
            <w:top w:val="none" w:sz="0" w:space="0" w:color="auto"/>
            <w:left w:val="none" w:sz="0" w:space="0" w:color="auto"/>
            <w:bottom w:val="none" w:sz="0" w:space="0" w:color="auto"/>
            <w:right w:val="none" w:sz="0" w:space="0" w:color="auto"/>
          </w:divBdr>
        </w:div>
        <w:div w:id="1635523318">
          <w:marLeft w:val="0"/>
          <w:marRight w:val="0"/>
          <w:marTop w:val="0"/>
          <w:marBottom w:val="0"/>
          <w:divBdr>
            <w:top w:val="none" w:sz="0" w:space="0" w:color="auto"/>
            <w:left w:val="none" w:sz="0" w:space="0" w:color="auto"/>
            <w:bottom w:val="none" w:sz="0" w:space="0" w:color="auto"/>
            <w:right w:val="none" w:sz="0" w:space="0" w:color="auto"/>
          </w:divBdr>
        </w:div>
        <w:div w:id="1666855186">
          <w:marLeft w:val="0"/>
          <w:marRight w:val="0"/>
          <w:marTop w:val="0"/>
          <w:marBottom w:val="0"/>
          <w:divBdr>
            <w:top w:val="none" w:sz="0" w:space="0" w:color="auto"/>
            <w:left w:val="none" w:sz="0" w:space="0" w:color="auto"/>
            <w:bottom w:val="none" w:sz="0" w:space="0" w:color="auto"/>
            <w:right w:val="none" w:sz="0" w:space="0" w:color="auto"/>
          </w:divBdr>
        </w:div>
        <w:div w:id="56175952">
          <w:marLeft w:val="0"/>
          <w:marRight w:val="0"/>
          <w:marTop w:val="0"/>
          <w:marBottom w:val="0"/>
          <w:divBdr>
            <w:top w:val="none" w:sz="0" w:space="0" w:color="auto"/>
            <w:left w:val="none" w:sz="0" w:space="0" w:color="auto"/>
            <w:bottom w:val="none" w:sz="0" w:space="0" w:color="auto"/>
            <w:right w:val="none" w:sz="0" w:space="0" w:color="auto"/>
          </w:divBdr>
        </w:div>
        <w:div w:id="1494493496">
          <w:marLeft w:val="0"/>
          <w:marRight w:val="0"/>
          <w:marTop w:val="0"/>
          <w:marBottom w:val="0"/>
          <w:divBdr>
            <w:top w:val="none" w:sz="0" w:space="0" w:color="auto"/>
            <w:left w:val="none" w:sz="0" w:space="0" w:color="auto"/>
            <w:bottom w:val="none" w:sz="0" w:space="0" w:color="auto"/>
            <w:right w:val="none" w:sz="0" w:space="0" w:color="auto"/>
          </w:divBdr>
        </w:div>
        <w:div w:id="1399206989">
          <w:marLeft w:val="0"/>
          <w:marRight w:val="0"/>
          <w:marTop w:val="0"/>
          <w:marBottom w:val="0"/>
          <w:divBdr>
            <w:top w:val="none" w:sz="0" w:space="0" w:color="auto"/>
            <w:left w:val="none" w:sz="0" w:space="0" w:color="auto"/>
            <w:bottom w:val="none" w:sz="0" w:space="0" w:color="auto"/>
            <w:right w:val="none" w:sz="0" w:space="0" w:color="auto"/>
          </w:divBdr>
        </w:div>
        <w:div w:id="32388140">
          <w:marLeft w:val="0"/>
          <w:marRight w:val="0"/>
          <w:marTop w:val="0"/>
          <w:marBottom w:val="0"/>
          <w:divBdr>
            <w:top w:val="none" w:sz="0" w:space="0" w:color="auto"/>
            <w:left w:val="none" w:sz="0" w:space="0" w:color="auto"/>
            <w:bottom w:val="none" w:sz="0" w:space="0" w:color="auto"/>
            <w:right w:val="none" w:sz="0" w:space="0" w:color="auto"/>
          </w:divBdr>
        </w:div>
        <w:div w:id="531767969">
          <w:marLeft w:val="0"/>
          <w:marRight w:val="0"/>
          <w:marTop w:val="0"/>
          <w:marBottom w:val="0"/>
          <w:divBdr>
            <w:top w:val="none" w:sz="0" w:space="0" w:color="auto"/>
            <w:left w:val="none" w:sz="0" w:space="0" w:color="auto"/>
            <w:bottom w:val="none" w:sz="0" w:space="0" w:color="auto"/>
            <w:right w:val="none" w:sz="0" w:space="0" w:color="auto"/>
          </w:divBdr>
        </w:div>
        <w:div w:id="261762793">
          <w:marLeft w:val="0"/>
          <w:marRight w:val="0"/>
          <w:marTop w:val="0"/>
          <w:marBottom w:val="0"/>
          <w:divBdr>
            <w:top w:val="none" w:sz="0" w:space="0" w:color="auto"/>
            <w:left w:val="none" w:sz="0" w:space="0" w:color="auto"/>
            <w:bottom w:val="none" w:sz="0" w:space="0" w:color="auto"/>
            <w:right w:val="none" w:sz="0" w:space="0" w:color="auto"/>
          </w:divBdr>
        </w:div>
        <w:div w:id="1110705049">
          <w:marLeft w:val="0"/>
          <w:marRight w:val="0"/>
          <w:marTop w:val="0"/>
          <w:marBottom w:val="0"/>
          <w:divBdr>
            <w:top w:val="none" w:sz="0" w:space="0" w:color="auto"/>
            <w:left w:val="none" w:sz="0" w:space="0" w:color="auto"/>
            <w:bottom w:val="none" w:sz="0" w:space="0" w:color="auto"/>
            <w:right w:val="none" w:sz="0" w:space="0" w:color="auto"/>
          </w:divBdr>
        </w:div>
        <w:div w:id="450588565">
          <w:marLeft w:val="0"/>
          <w:marRight w:val="0"/>
          <w:marTop w:val="0"/>
          <w:marBottom w:val="0"/>
          <w:divBdr>
            <w:top w:val="none" w:sz="0" w:space="0" w:color="auto"/>
            <w:left w:val="none" w:sz="0" w:space="0" w:color="auto"/>
            <w:bottom w:val="none" w:sz="0" w:space="0" w:color="auto"/>
            <w:right w:val="none" w:sz="0" w:space="0" w:color="auto"/>
          </w:divBdr>
        </w:div>
      </w:divsChild>
    </w:div>
    <w:div w:id="395012631">
      <w:marLeft w:val="0"/>
      <w:marRight w:val="0"/>
      <w:marTop w:val="120"/>
      <w:marBottom w:val="0"/>
      <w:divBdr>
        <w:top w:val="none" w:sz="0" w:space="0" w:color="auto"/>
        <w:left w:val="none" w:sz="0" w:space="0" w:color="auto"/>
        <w:bottom w:val="none" w:sz="0" w:space="0" w:color="auto"/>
        <w:right w:val="none" w:sz="0" w:space="0" w:color="auto"/>
      </w:divBdr>
    </w:div>
    <w:div w:id="397365177">
      <w:marLeft w:val="0"/>
      <w:marRight w:val="0"/>
      <w:marTop w:val="120"/>
      <w:marBottom w:val="20"/>
      <w:divBdr>
        <w:top w:val="none" w:sz="0" w:space="0" w:color="auto"/>
        <w:left w:val="none" w:sz="0" w:space="0" w:color="auto"/>
        <w:bottom w:val="none" w:sz="0" w:space="0" w:color="auto"/>
        <w:right w:val="none" w:sz="0" w:space="0" w:color="auto"/>
      </w:divBdr>
    </w:div>
    <w:div w:id="400177208">
      <w:marLeft w:val="0"/>
      <w:marRight w:val="0"/>
      <w:marTop w:val="120"/>
      <w:marBottom w:val="60"/>
      <w:divBdr>
        <w:top w:val="none" w:sz="0" w:space="0" w:color="auto"/>
        <w:left w:val="none" w:sz="0" w:space="0" w:color="auto"/>
        <w:bottom w:val="none" w:sz="0" w:space="0" w:color="auto"/>
        <w:right w:val="none" w:sz="0" w:space="0" w:color="auto"/>
      </w:divBdr>
    </w:div>
    <w:div w:id="402606075">
      <w:marLeft w:val="0"/>
      <w:marRight w:val="0"/>
      <w:marTop w:val="0"/>
      <w:marBottom w:val="0"/>
      <w:divBdr>
        <w:top w:val="none" w:sz="0" w:space="0" w:color="auto"/>
        <w:left w:val="none" w:sz="0" w:space="0" w:color="auto"/>
        <w:bottom w:val="none" w:sz="0" w:space="0" w:color="auto"/>
        <w:right w:val="none" w:sz="0" w:space="0" w:color="auto"/>
      </w:divBdr>
    </w:div>
    <w:div w:id="402871329">
      <w:marLeft w:val="0"/>
      <w:marRight w:val="0"/>
      <w:marTop w:val="120"/>
      <w:marBottom w:val="0"/>
      <w:divBdr>
        <w:top w:val="none" w:sz="0" w:space="0" w:color="auto"/>
        <w:left w:val="none" w:sz="0" w:space="0" w:color="auto"/>
        <w:bottom w:val="none" w:sz="0" w:space="0" w:color="auto"/>
        <w:right w:val="none" w:sz="0" w:space="0" w:color="auto"/>
      </w:divBdr>
    </w:div>
    <w:div w:id="403840403">
      <w:marLeft w:val="0"/>
      <w:marRight w:val="0"/>
      <w:marTop w:val="120"/>
      <w:marBottom w:val="120"/>
      <w:divBdr>
        <w:top w:val="none" w:sz="0" w:space="0" w:color="auto"/>
        <w:left w:val="none" w:sz="0" w:space="0" w:color="auto"/>
        <w:bottom w:val="none" w:sz="0" w:space="0" w:color="auto"/>
        <w:right w:val="none" w:sz="0" w:space="0" w:color="auto"/>
      </w:divBdr>
    </w:div>
    <w:div w:id="403919332">
      <w:marLeft w:val="0"/>
      <w:marRight w:val="0"/>
      <w:marTop w:val="0"/>
      <w:marBottom w:val="0"/>
      <w:divBdr>
        <w:top w:val="none" w:sz="0" w:space="0" w:color="auto"/>
        <w:left w:val="none" w:sz="0" w:space="0" w:color="auto"/>
        <w:bottom w:val="none" w:sz="0" w:space="0" w:color="auto"/>
        <w:right w:val="none" w:sz="0" w:space="0" w:color="auto"/>
      </w:divBdr>
    </w:div>
    <w:div w:id="407844214">
      <w:marLeft w:val="0"/>
      <w:marRight w:val="0"/>
      <w:marTop w:val="0"/>
      <w:marBottom w:val="0"/>
      <w:divBdr>
        <w:top w:val="none" w:sz="0" w:space="0" w:color="auto"/>
        <w:left w:val="none" w:sz="0" w:space="0" w:color="auto"/>
        <w:bottom w:val="none" w:sz="0" w:space="0" w:color="auto"/>
        <w:right w:val="none" w:sz="0" w:space="0" w:color="auto"/>
      </w:divBdr>
      <w:divsChild>
        <w:div w:id="333189125">
          <w:marLeft w:val="0"/>
          <w:marRight w:val="0"/>
          <w:marTop w:val="0"/>
          <w:marBottom w:val="0"/>
          <w:divBdr>
            <w:top w:val="none" w:sz="0" w:space="0" w:color="auto"/>
            <w:left w:val="none" w:sz="0" w:space="0" w:color="auto"/>
            <w:bottom w:val="none" w:sz="0" w:space="0" w:color="auto"/>
            <w:right w:val="none" w:sz="0" w:space="0" w:color="auto"/>
          </w:divBdr>
        </w:div>
      </w:divsChild>
    </w:div>
    <w:div w:id="409622658">
      <w:marLeft w:val="0"/>
      <w:marRight w:val="0"/>
      <w:marTop w:val="120"/>
      <w:marBottom w:val="120"/>
      <w:divBdr>
        <w:top w:val="none" w:sz="0" w:space="0" w:color="auto"/>
        <w:left w:val="none" w:sz="0" w:space="0" w:color="auto"/>
        <w:bottom w:val="none" w:sz="0" w:space="0" w:color="auto"/>
        <w:right w:val="none" w:sz="0" w:space="0" w:color="auto"/>
      </w:divBdr>
    </w:div>
    <w:div w:id="414324163">
      <w:marLeft w:val="0"/>
      <w:marRight w:val="0"/>
      <w:marTop w:val="120"/>
      <w:marBottom w:val="0"/>
      <w:divBdr>
        <w:top w:val="none" w:sz="0" w:space="0" w:color="auto"/>
        <w:left w:val="none" w:sz="0" w:space="0" w:color="auto"/>
        <w:bottom w:val="none" w:sz="0" w:space="0" w:color="auto"/>
        <w:right w:val="none" w:sz="0" w:space="0" w:color="auto"/>
      </w:divBdr>
    </w:div>
    <w:div w:id="415632285">
      <w:marLeft w:val="0"/>
      <w:marRight w:val="0"/>
      <w:marTop w:val="0"/>
      <w:marBottom w:val="0"/>
      <w:divBdr>
        <w:top w:val="none" w:sz="0" w:space="0" w:color="auto"/>
        <w:left w:val="none" w:sz="0" w:space="0" w:color="auto"/>
        <w:bottom w:val="none" w:sz="0" w:space="0" w:color="auto"/>
        <w:right w:val="none" w:sz="0" w:space="0" w:color="auto"/>
      </w:divBdr>
    </w:div>
    <w:div w:id="424770100">
      <w:marLeft w:val="0"/>
      <w:marRight w:val="0"/>
      <w:marTop w:val="120"/>
      <w:marBottom w:val="0"/>
      <w:divBdr>
        <w:top w:val="none" w:sz="0" w:space="0" w:color="auto"/>
        <w:left w:val="none" w:sz="0" w:space="0" w:color="auto"/>
        <w:bottom w:val="none" w:sz="0" w:space="0" w:color="auto"/>
        <w:right w:val="none" w:sz="0" w:space="0" w:color="auto"/>
      </w:divBdr>
    </w:div>
    <w:div w:id="426846014">
      <w:marLeft w:val="0"/>
      <w:marRight w:val="0"/>
      <w:marTop w:val="120"/>
      <w:marBottom w:val="120"/>
      <w:divBdr>
        <w:top w:val="none" w:sz="0" w:space="0" w:color="auto"/>
        <w:left w:val="none" w:sz="0" w:space="0" w:color="auto"/>
        <w:bottom w:val="none" w:sz="0" w:space="0" w:color="auto"/>
        <w:right w:val="none" w:sz="0" w:space="0" w:color="auto"/>
      </w:divBdr>
    </w:div>
    <w:div w:id="427116170">
      <w:marLeft w:val="0"/>
      <w:marRight w:val="0"/>
      <w:marTop w:val="0"/>
      <w:marBottom w:val="0"/>
      <w:divBdr>
        <w:top w:val="none" w:sz="0" w:space="0" w:color="auto"/>
        <w:left w:val="none" w:sz="0" w:space="0" w:color="auto"/>
        <w:bottom w:val="none" w:sz="0" w:space="0" w:color="auto"/>
        <w:right w:val="none" w:sz="0" w:space="0" w:color="auto"/>
      </w:divBdr>
    </w:div>
    <w:div w:id="428474531">
      <w:marLeft w:val="0"/>
      <w:marRight w:val="0"/>
      <w:marTop w:val="120"/>
      <w:marBottom w:val="120"/>
      <w:divBdr>
        <w:top w:val="none" w:sz="0" w:space="0" w:color="auto"/>
        <w:left w:val="none" w:sz="0" w:space="0" w:color="auto"/>
        <w:bottom w:val="none" w:sz="0" w:space="0" w:color="auto"/>
        <w:right w:val="none" w:sz="0" w:space="0" w:color="auto"/>
      </w:divBdr>
    </w:div>
    <w:div w:id="433093811">
      <w:marLeft w:val="0"/>
      <w:marRight w:val="0"/>
      <w:marTop w:val="0"/>
      <w:marBottom w:val="0"/>
      <w:divBdr>
        <w:top w:val="none" w:sz="0" w:space="0" w:color="auto"/>
        <w:left w:val="none" w:sz="0" w:space="0" w:color="auto"/>
        <w:bottom w:val="none" w:sz="0" w:space="0" w:color="auto"/>
        <w:right w:val="none" w:sz="0" w:space="0" w:color="auto"/>
      </w:divBdr>
    </w:div>
    <w:div w:id="434177357">
      <w:marLeft w:val="0"/>
      <w:marRight w:val="0"/>
      <w:marTop w:val="120"/>
      <w:marBottom w:val="0"/>
      <w:divBdr>
        <w:top w:val="none" w:sz="0" w:space="0" w:color="auto"/>
        <w:left w:val="none" w:sz="0" w:space="0" w:color="auto"/>
        <w:bottom w:val="none" w:sz="0" w:space="0" w:color="auto"/>
        <w:right w:val="none" w:sz="0" w:space="0" w:color="auto"/>
      </w:divBdr>
    </w:div>
    <w:div w:id="435028055">
      <w:marLeft w:val="0"/>
      <w:marRight w:val="0"/>
      <w:marTop w:val="0"/>
      <w:marBottom w:val="0"/>
      <w:divBdr>
        <w:top w:val="none" w:sz="0" w:space="0" w:color="auto"/>
        <w:left w:val="none" w:sz="0" w:space="0" w:color="auto"/>
        <w:bottom w:val="none" w:sz="0" w:space="0" w:color="auto"/>
        <w:right w:val="none" w:sz="0" w:space="0" w:color="auto"/>
      </w:divBdr>
      <w:divsChild>
        <w:div w:id="1327054760">
          <w:marLeft w:val="0"/>
          <w:marRight w:val="0"/>
          <w:marTop w:val="0"/>
          <w:marBottom w:val="0"/>
          <w:divBdr>
            <w:top w:val="none" w:sz="0" w:space="0" w:color="auto"/>
            <w:left w:val="none" w:sz="0" w:space="0" w:color="auto"/>
            <w:bottom w:val="none" w:sz="0" w:space="0" w:color="auto"/>
            <w:right w:val="none" w:sz="0" w:space="0" w:color="auto"/>
          </w:divBdr>
        </w:div>
      </w:divsChild>
    </w:div>
    <w:div w:id="438337319">
      <w:marLeft w:val="0"/>
      <w:marRight w:val="0"/>
      <w:marTop w:val="180"/>
      <w:marBottom w:val="120"/>
      <w:divBdr>
        <w:top w:val="none" w:sz="0" w:space="0" w:color="auto"/>
        <w:left w:val="none" w:sz="0" w:space="0" w:color="auto"/>
        <w:bottom w:val="none" w:sz="0" w:space="0" w:color="auto"/>
        <w:right w:val="none" w:sz="0" w:space="0" w:color="auto"/>
      </w:divBdr>
    </w:div>
    <w:div w:id="438912885">
      <w:marLeft w:val="0"/>
      <w:marRight w:val="0"/>
      <w:marTop w:val="0"/>
      <w:marBottom w:val="0"/>
      <w:divBdr>
        <w:top w:val="none" w:sz="0" w:space="0" w:color="auto"/>
        <w:left w:val="none" w:sz="0" w:space="0" w:color="auto"/>
        <w:bottom w:val="none" w:sz="0" w:space="0" w:color="auto"/>
        <w:right w:val="none" w:sz="0" w:space="0" w:color="auto"/>
      </w:divBdr>
    </w:div>
    <w:div w:id="441994135">
      <w:marLeft w:val="0"/>
      <w:marRight w:val="0"/>
      <w:marTop w:val="0"/>
      <w:marBottom w:val="0"/>
      <w:divBdr>
        <w:top w:val="none" w:sz="0" w:space="0" w:color="auto"/>
        <w:left w:val="none" w:sz="0" w:space="0" w:color="auto"/>
        <w:bottom w:val="none" w:sz="0" w:space="0" w:color="auto"/>
        <w:right w:val="none" w:sz="0" w:space="0" w:color="auto"/>
      </w:divBdr>
    </w:div>
    <w:div w:id="444033655">
      <w:marLeft w:val="0"/>
      <w:marRight w:val="0"/>
      <w:marTop w:val="60"/>
      <w:marBottom w:val="0"/>
      <w:divBdr>
        <w:top w:val="none" w:sz="0" w:space="0" w:color="auto"/>
        <w:left w:val="none" w:sz="0" w:space="0" w:color="auto"/>
        <w:bottom w:val="none" w:sz="0" w:space="0" w:color="auto"/>
        <w:right w:val="none" w:sz="0" w:space="0" w:color="auto"/>
      </w:divBdr>
    </w:div>
    <w:div w:id="447816257">
      <w:marLeft w:val="0"/>
      <w:marRight w:val="0"/>
      <w:marTop w:val="0"/>
      <w:marBottom w:val="0"/>
      <w:divBdr>
        <w:top w:val="none" w:sz="0" w:space="0" w:color="auto"/>
        <w:left w:val="none" w:sz="0" w:space="0" w:color="auto"/>
        <w:bottom w:val="none" w:sz="0" w:space="0" w:color="auto"/>
        <w:right w:val="none" w:sz="0" w:space="0" w:color="auto"/>
      </w:divBdr>
      <w:divsChild>
        <w:div w:id="300429816">
          <w:marLeft w:val="0"/>
          <w:marRight w:val="0"/>
          <w:marTop w:val="0"/>
          <w:marBottom w:val="0"/>
          <w:divBdr>
            <w:top w:val="none" w:sz="0" w:space="0" w:color="auto"/>
            <w:left w:val="none" w:sz="0" w:space="0" w:color="auto"/>
            <w:bottom w:val="none" w:sz="0" w:space="0" w:color="auto"/>
            <w:right w:val="none" w:sz="0" w:space="0" w:color="auto"/>
          </w:divBdr>
        </w:div>
      </w:divsChild>
    </w:div>
    <w:div w:id="450514375">
      <w:marLeft w:val="0"/>
      <w:marRight w:val="0"/>
      <w:marTop w:val="120"/>
      <w:marBottom w:val="60"/>
      <w:divBdr>
        <w:top w:val="none" w:sz="0" w:space="0" w:color="auto"/>
        <w:left w:val="none" w:sz="0" w:space="0" w:color="auto"/>
        <w:bottom w:val="none" w:sz="0" w:space="0" w:color="auto"/>
        <w:right w:val="none" w:sz="0" w:space="0" w:color="auto"/>
      </w:divBdr>
    </w:div>
    <w:div w:id="451873352">
      <w:marLeft w:val="0"/>
      <w:marRight w:val="0"/>
      <w:marTop w:val="120"/>
      <w:marBottom w:val="120"/>
      <w:divBdr>
        <w:top w:val="none" w:sz="0" w:space="0" w:color="auto"/>
        <w:left w:val="none" w:sz="0" w:space="0" w:color="auto"/>
        <w:bottom w:val="none" w:sz="0" w:space="0" w:color="auto"/>
        <w:right w:val="none" w:sz="0" w:space="0" w:color="auto"/>
      </w:divBdr>
    </w:div>
    <w:div w:id="451943358">
      <w:marLeft w:val="0"/>
      <w:marRight w:val="0"/>
      <w:marTop w:val="180"/>
      <w:marBottom w:val="120"/>
      <w:divBdr>
        <w:top w:val="none" w:sz="0" w:space="0" w:color="auto"/>
        <w:left w:val="none" w:sz="0" w:space="0" w:color="auto"/>
        <w:bottom w:val="none" w:sz="0" w:space="0" w:color="auto"/>
        <w:right w:val="none" w:sz="0" w:space="0" w:color="auto"/>
      </w:divBdr>
    </w:div>
    <w:div w:id="453989067">
      <w:marLeft w:val="0"/>
      <w:marRight w:val="0"/>
      <w:marTop w:val="0"/>
      <w:marBottom w:val="0"/>
      <w:divBdr>
        <w:top w:val="none" w:sz="0" w:space="0" w:color="auto"/>
        <w:left w:val="none" w:sz="0" w:space="0" w:color="auto"/>
        <w:bottom w:val="none" w:sz="0" w:space="0" w:color="auto"/>
        <w:right w:val="none" w:sz="0" w:space="0" w:color="auto"/>
      </w:divBdr>
      <w:divsChild>
        <w:div w:id="1849175387">
          <w:marLeft w:val="0"/>
          <w:marRight w:val="0"/>
          <w:marTop w:val="0"/>
          <w:marBottom w:val="0"/>
          <w:divBdr>
            <w:top w:val="none" w:sz="0" w:space="0" w:color="auto"/>
            <w:left w:val="none" w:sz="0" w:space="0" w:color="auto"/>
            <w:bottom w:val="none" w:sz="0" w:space="0" w:color="auto"/>
            <w:right w:val="none" w:sz="0" w:space="0" w:color="auto"/>
          </w:divBdr>
        </w:div>
      </w:divsChild>
    </w:div>
    <w:div w:id="454838229">
      <w:marLeft w:val="0"/>
      <w:marRight w:val="0"/>
      <w:marTop w:val="120"/>
      <w:marBottom w:val="0"/>
      <w:divBdr>
        <w:top w:val="none" w:sz="0" w:space="0" w:color="auto"/>
        <w:left w:val="none" w:sz="0" w:space="0" w:color="auto"/>
        <w:bottom w:val="none" w:sz="0" w:space="0" w:color="auto"/>
        <w:right w:val="none" w:sz="0" w:space="0" w:color="auto"/>
      </w:divBdr>
    </w:div>
    <w:div w:id="462306152">
      <w:marLeft w:val="0"/>
      <w:marRight w:val="0"/>
      <w:marTop w:val="120"/>
      <w:marBottom w:val="120"/>
      <w:divBdr>
        <w:top w:val="none" w:sz="0" w:space="0" w:color="auto"/>
        <w:left w:val="none" w:sz="0" w:space="0" w:color="auto"/>
        <w:bottom w:val="none" w:sz="0" w:space="0" w:color="auto"/>
        <w:right w:val="none" w:sz="0" w:space="0" w:color="auto"/>
      </w:divBdr>
    </w:div>
    <w:div w:id="462382627">
      <w:marLeft w:val="0"/>
      <w:marRight w:val="0"/>
      <w:marTop w:val="0"/>
      <w:marBottom w:val="0"/>
      <w:divBdr>
        <w:top w:val="none" w:sz="0" w:space="0" w:color="auto"/>
        <w:left w:val="none" w:sz="0" w:space="0" w:color="auto"/>
        <w:bottom w:val="none" w:sz="0" w:space="0" w:color="auto"/>
        <w:right w:val="none" w:sz="0" w:space="0" w:color="auto"/>
      </w:divBdr>
    </w:div>
    <w:div w:id="464860567">
      <w:marLeft w:val="0"/>
      <w:marRight w:val="0"/>
      <w:marTop w:val="0"/>
      <w:marBottom w:val="0"/>
      <w:divBdr>
        <w:top w:val="none" w:sz="0" w:space="0" w:color="auto"/>
        <w:left w:val="none" w:sz="0" w:space="0" w:color="auto"/>
        <w:bottom w:val="none" w:sz="0" w:space="0" w:color="auto"/>
        <w:right w:val="none" w:sz="0" w:space="0" w:color="auto"/>
      </w:divBdr>
    </w:div>
    <w:div w:id="469597612">
      <w:marLeft w:val="0"/>
      <w:marRight w:val="0"/>
      <w:marTop w:val="0"/>
      <w:marBottom w:val="0"/>
      <w:divBdr>
        <w:top w:val="none" w:sz="0" w:space="0" w:color="auto"/>
        <w:left w:val="none" w:sz="0" w:space="0" w:color="auto"/>
        <w:bottom w:val="none" w:sz="0" w:space="0" w:color="auto"/>
        <w:right w:val="none" w:sz="0" w:space="0" w:color="auto"/>
      </w:divBdr>
    </w:div>
    <w:div w:id="470632239">
      <w:marLeft w:val="0"/>
      <w:marRight w:val="0"/>
      <w:marTop w:val="0"/>
      <w:marBottom w:val="0"/>
      <w:divBdr>
        <w:top w:val="none" w:sz="0" w:space="0" w:color="auto"/>
        <w:left w:val="none" w:sz="0" w:space="0" w:color="auto"/>
        <w:bottom w:val="none" w:sz="0" w:space="0" w:color="auto"/>
        <w:right w:val="none" w:sz="0" w:space="0" w:color="auto"/>
      </w:divBdr>
      <w:divsChild>
        <w:div w:id="2100441082">
          <w:marLeft w:val="0"/>
          <w:marRight w:val="0"/>
          <w:marTop w:val="0"/>
          <w:marBottom w:val="0"/>
          <w:divBdr>
            <w:top w:val="none" w:sz="0" w:space="0" w:color="auto"/>
            <w:left w:val="none" w:sz="0" w:space="0" w:color="auto"/>
            <w:bottom w:val="none" w:sz="0" w:space="0" w:color="auto"/>
            <w:right w:val="none" w:sz="0" w:space="0" w:color="auto"/>
          </w:divBdr>
        </w:div>
      </w:divsChild>
    </w:div>
    <w:div w:id="472068356">
      <w:marLeft w:val="0"/>
      <w:marRight w:val="0"/>
      <w:marTop w:val="120"/>
      <w:marBottom w:val="0"/>
      <w:divBdr>
        <w:top w:val="none" w:sz="0" w:space="0" w:color="auto"/>
        <w:left w:val="none" w:sz="0" w:space="0" w:color="auto"/>
        <w:bottom w:val="none" w:sz="0" w:space="0" w:color="auto"/>
        <w:right w:val="none" w:sz="0" w:space="0" w:color="auto"/>
      </w:divBdr>
    </w:div>
    <w:div w:id="473521284">
      <w:marLeft w:val="0"/>
      <w:marRight w:val="0"/>
      <w:marTop w:val="0"/>
      <w:marBottom w:val="0"/>
      <w:divBdr>
        <w:top w:val="none" w:sz="0" w:space="0" w:color="auto"/>
        <w:left w:val="none" w:sz="0" w:space="0" w:color="auto"/>
        <w:bottom w:val="none" w:sz="0" w:space="0" w:color="auto"/>
        <w:right w:val="none" w:sz="0" w:space="0" w:color="auto"/>
      </w:divBdr>
    </w:div>
    <w:div w:id="474681817">
      <w:marLeft w:val="0"/>
      <w:marRight w:val="0"/>
      <w:marTop w:val="0"/>
      <w:marBottom w:val="0"/>
      <w:divBdr>
        <w:top w:val="none" w:sz="0" w:space="0" w:color="auto"/>
        <w:left w:val="none" w:sz="0" w:space="0" w:color="auto"/>
        <w:bottom w:val="none" w:sz="0" w:space="0" w:color="auto"/>
        <w:right w:val="none" w:sz="0" w:space="0" w:color="auto"/>
      </w:divBdr>
    </w:div>
    <w:div w:id="476731423">
      <w:marLeft w:val="0"/>
      <w:marRight w:val="0"/>
      <w:marTop w:val="0"/>
      <w:marBottom w:val="0"/>
      <w:divBdr>
        <w:top w:val="none" w:sz="0" w:space="0" w:color="auto"/>
        <w:left w:val="none" w:sz="0" w:space="0" w:color="auto"/>
        <w:bottom w:val="none" w:sz="0" w:space="0" w:color="auto"/>
        <w:right w:val="none" w:sz="0" w:space="0" w:color="auto"/>
      </w:divBdr>
      <w:divsChild>
        <w:div w:id="647786341">
          <w:marLeft w:val="0"/>
          <w:marRight w:val="0"/>
          <w:marTop w:val="0"/>
          <w:marBottom w:val="0"/>
          <w:divBdr>
            <w:top w:val="none" w:sz="0" w:space="0" w:color="auto"/>
            <w:left w:val="none" w:sz="0" w:space="0" w:color="auto"/>
            <w:bottom w:val="none" w:sz="0" w:space="0" w:color="auto"/>
            <w:right w:val="none" w:sz="0" w:space="0" w:color="auto"/>
          </w:divBdr>
        </w:div>
      </w:divsChild>
    </w:div>
    <w:div w:id="482280222">
      <w:marLeft w:val="0"/>
      <w:marRight w:val="0"/>
      <w:marTop w:val="0"/>
      <w:marBottom w:val="0"/>
      <w:divBdr>
        <w:top w:val="none" w:sz="0" w:space="0" w:color="auto"/>
        <w:left w:val="none" w:sz="0" w:space="0" w:color="auto"/>
        <w:bottom w:val="none" w:sz="0" w:space="0" w:color="auto"/>
        <w:right w:val="none" w:sz="0" w:space="0" w:color="auto"/>
      </w:divBdr>
    </w:div>
    <w:div w:id="484125408">
      <w:marLeft w:val="0"/>
      <w:marRight w:val="0"/>
      <w:marTop w:val="120"/>
      <w:marBottom w:val="120"/>
      <w:divBdr>
        <w:top w:val="none" w:sz="0" w:space="0" w:color="auto"/>
        <w:left w:val="none" w:sz="0" w:space="0" w:color="auto"/>
        <w:bottom w:val="none" w:sz="0" w:space="0" w:color="auto"/>
        <w:right w:val="none" w:sz="0" w:space="0" w:color="auto"/>
      </w:divBdr>
    </w:div>
    <w:div w:id="485173889">
      <w:marLeft w:val="0"/>
      <w:marRight w:val="0"/>
      <w:marTop w:val="120"/>
      <w:marBottom w:val="0"/>
      <w:divBdr>
        <w:top w:val="none" w:sz="0" w:space="0" w:color="auto"/>
        <w:left w:val="none" w:sz="0" w:space="0" w:color="auto"/>
        <w:bottom w:val="none" w:sz="0" w:space="0" w:color="auto"/>
        <w:right w:val="none" w:sz="0" w:space="0" w:color="auto"/>
      </w:divBdr>
    </w:div>
    <w:div w:id="485247008">
      <w:marLeft w:val="0"/>
      <w:marRight w:val="0"/>
      <w:marTop w:val="0"/>
      <w:marBottom w:val="0"/>
      <w:divBdr>
        <w:top w:val="none" w:sz="0" w:space="0" w:color="auto"/>
        <w:left w:val="none" w:sz="0" w:space="0" w:color="auto"/>
        <w:bottom w:val="none" w:sz="0" w:space="0" w:color="auto"/>
        <w:right w:val="none" w:sz="0" w:space="0" w:color="auto"/>
      </w:divBdr>
      <w:divsChild>
        <w:div w:id="1210921675">
          <w:marLeft w:val="0"/>
          <w:marRight w:val="0"/>
          <w:marTop w:val="0"/>
          <w:marBottom w:val="0"/>
          <w:divBdr>
            <w:top w:val="none" w:sz="0" w:space="0" w:color="auto"/>
            <w:left w:val="none" w:sz="0" w:space="0" w:color="auto"/>
            <w:bottom w:val="none" w:sz="0" w:space="0" w:color="auto"/>
            <w:right w:val="none" w:sz="0" w:space="0" w:color="auto"/>
          </w:divBdr>
        </w:div>
      </w:divsChild>
    </w:div>
    <w:div w:id="487792759">
      <w:marLeft w:val="0"/>
      <w:marRight w:val="0"/>
      <w:marTop w:val="0"/>
      <w:marBottom w:val="0"/>
      <w:divBdr>
        <w:top w:val="none" w:sz="0" w:space="0" w:color="auto"/>
        <w:left w:val="none" w:sz="0" w:space="0" w:color="auto"/>
        <w:bottom w:val="none" w:sz="0" w:space="0" w:color="auto"/>
        <w:right w:val="none" w:sz="0" w:space="0" w:color="auto"/>
      </w:divBdr>
      <w:divsChild>
        <w:div w:id="182286882">
          <w:marLeft w:val="0"/>
          <w:marRight w:val="0"/>
          <w:marTop w:val="0"/>
          <w:marBottom w:val="0"/>
          <w:divBdr>
            <w:top w:val="none" w:sz="0" w:space="0" w:color="auto"/>
            <w:left w:val="none" w:sz="0" w:space="0" w:color="auto"/>
            <w:bottom w:val="none" w:sz="0" w:space="0" w:color="auto"/>
            <w:right w:val="none" w:sz="0" w:space="0" w:color="auto"/>
          </w:divBdr>
        </w:div>
      </w:divsChild>
    </w:div>
    <w:div w:id="492381818">
      <w:marLeft w:val="0"/>
      <w:marRight w:val="0"/>
      <w:marTop w:val="120"/>
      <w:marBottom w:val="120"/>
      <w:divBdr>
        <w:top w:val="none" w:sz="0" w:space="0" w:color="auto"/>
        <w:left w:val="none" w:sz="0" w:space="0" w:color="auto"/>
        <w:bottom w:val="none" w:sz="0" w:space="0" w:color="auto"/>
        <w:right w:val="none" w:sz="0" w:space="0" w:color="auto"/>
      </w:divBdr>
    </w:div>
    <w:div w:id="493490681">
      <w:marLeft w:val="0"/>
      <w:marRight w:val="0"/>
      <w:marTop w:val="0"/>
      <w:marBottom w:val="0"/>
      <w:divBdr>
        <w:top w:val="none" w:sz="0" w:space="0" w:color="auto"/>
        <w:left w:val="none" w:sz="0" w:space="0" w:color="auto"/>
        <w:bottom w:val="none" w:sz="0" w:space="0" w:color="auto"/>
        <w:right w:val="none" w:sz="0" w:space="0" w:color="auto"/>
      </w:divBdr>
    </w:div>
    <w:div w:id="494147138">
      <w:marLeft w:val="0"/>
      <w:marRight w:val="0"/>
      <w:marTop w:val="0"/>
      <w:marBottom w:val="0"/>
      <w:divBdr>
        <w:top w:val="none" w:sz="0" w:space="0" w:color="auto"/>
        <w:left w:val="none" w:sz="0" w:space="0" w:color="auto"/>
        <w:bottom w:val="none" w:sz="0" w:space="0" w:color="auto"/>
        <w:right w:val="none" w:sz="0" w:space="0" w:color="auto"/>
      </w:divBdr>
    </w:div>
    <w:div w:id="500003752">
      <w:marLeft w:val="0"/>
      <w:marRight w:val="0"/>
      <w:marTop w:val="0"/>
      <w:marBottom w:val="0"/>
      <w:divBdr>
        <w:top w:val="none" w:sz="0" w:space="0" w:color="auto"/>
        <w:left w:val="none" w:sz="0" w:space="0" w:color="auto"/>
        <w:bottom w:val="none" w:sz="0" w:space="0" w:color="auto"/>
        <w:right w:val="none" w:sz="0" w:space="0" w:color="auto"/>
      </w:divBdr>
    </w:div>
    <w:div w:id="500388714">
      <w:marLeft w:val="0"/>
      <w:marRight w:val="0"/>
      <w:marTop w:val="120"/>
      <w:marBottom w:val="120"/>
      <w:divBdr>
        <w:top w:val="none" w:sz="0" w:space="0" w:color="auto"/>
        <w:left w:val="none" w:sz="0" w:space="0" w:color="auto"/>
        <w:bottom w:val="none" w:sz="0" w:space="0" w:color="auto"/>
        <w:right w:val="none" w:sz="0" w:space="0" w:color="auto"/>
      </w:divBdr>
    </w:div>
    <w:div w:id="500394898">
      <w:marLeft w:val="0"/>
      <w:marRight w:val="0"/>
      <w:marTop w:val="120"/>
      <w:marBottom w:val="0"/>
      <w:divBdr>
        <w:top w:val="none" w:sz="0" w:space="0" w:color="auto"/>
        <w:left w:val="none" w:sz="0" w:space="0" w:color="auto"/>
        <w:bottom w:val="none" w:sz="0" w:space="0" w:color="auto"/>
        <w:right w:val="none" w:sz="0" w:space="0" w:color="auto"/>
      </w:divBdr>
    </w:div>
    <w:div w:id="503010673">
      <w:marLeft w:val="0"/>
      <w:marRight w:val="0"/>
      <w:marTop w:val="240"/>
      <w:marBottom w:val="120"/>
      <w:divBdr>
        <w:top w:val="none" w:sz="0" w:space="0" w:color="auto"/>
        <w:left w:val="none" w:sz="0" w:space="0" w:color="auto"/>
        <w:bottom w:val="none" w:sz="0" w:space="0" w:color="auto"/>
        <w:right w:val="none" w:sz="0" w:space="0" w:color="auto"/>
      </w:divBdr>
    </w:div>
    <w:div w:id="504320308">
      <w:marLeft w:val="0"/>
      <w:marRight w:val="0"/>
      <w:marTop w:val="0"/>
      <w:marBottom w:val="0"/>
      <w:divBdr>
        <w:top w:val="none" w:sz="0" w:space="0" w:color="auto"/>
        <w:left w:val="none" w:sz="0" w:space="0" w:color="auto"/>
        <w:bottom w:val="none" w:sz="0" w:space="0" w:color="auto"/>
        <w:right w:val="none" w:sz="0" w:space="0" w:color="auto"/>
      </w:divBdr>
      <w:divsChild>
        <w:div w:id="308675461">
          <w:marLeft w:val="0"/>
          <w:marRight w:val="0"/>
          <w:marTop w:val="0"/>
          <w:marBottom w:val="0"/>
          <w:divBdr>
            <w:top w:val="none" w:sz="0" w:space="0" w:color="auto"/>
            <w:left w:val="none" w:sz="0" w:space="0" w:color="auto"/>
            <w:bottom w:val="none" w:sz="0" w:space="0" w:color="auto"/>
            <w:right w:val="none" w:sz="0" w:space="0" w:color="auto"/>
          </w:divBdr>
        </w:div>
      </w:divsChild>
    </w:div>
    <w:div w:id="504518344">
      <w:marLeft w:val="0"/>
      <w:marRight w:val="0"/>
      <w:marTop w:val="120"/>
      <w:marBottom w:val="0"/>
      <w:divBdr>
        <w:top w:val="none" w:sz="0" w:space="0" w:color="auto"/>
        <w:left w:val="none" w:sz="0" w:space="0" w:color="auto"/>
        <w:bottom w:val="none" w:sz="0" w:space="0" w:color="auto"/>
        <w:right w:val="none" w:sz="0" w:space="0" w:color="auto"/>
      </w:divBdr>
      <w:divsChild>
        <w:div w:id="1839348943">
          <w:marLeft w:val="0"/>
          <w:marRight w:val="0"/>
          <w:marTop w:val="0"/>
          <w:marBottom w:val="0"/>
          <w:divBdr>
            <w:top w:val="none" w:sz="0" w:space="0" w:color="auto"/>
            <w:left w:val="none" w:sz="0" w:space="0" w:color="auto"/>
            <w:bottom w:val="none" w:sz="0" w:space="0" w:color="auto"/>
            <w:right w:val="none" w:sz="0" w:space="0" w:color="auto"/>
          </w:divBdr>
        </w:div>
        <w:div w:id="2089691297">
          <w:marLeft w:val="0"/>
          <w:marRight w:val="0"/>
          <w:marTop w:val="0"/>
          <w:marBottom w:val="0"/>
          <w:divBdr>
            <w:top w:val="none" w:sz="0" w:space="0" w:color="auto"/>
            <w:left w:val="none" w:sz="0" w:space="0" w:color="auto"/>
            <w:bottom w:val="none" w:sz="0" w:space="0" w:color="auto"/>
            <w:right w:val="none" w:sz="0" w:space="0" w:color="auto"/>
          </w:divBdr>
        </w:div>
        <w:div w:id="1261334376">
          <w:marLeft w:val="0"/>
          <w:marRight w:val="0"/>
          <w:marTop w:val="0"/>
          <w:marBottom w:val="0"/>
          <w:divBdr>
            <w:top w:val="none" w:sz="0" w:space="0" w:color="auto"/>
            <w:left w:val="none" w:sz="0" w:space="0" w:color="auto"/>
            <w:bottom w:val="none" w:sz="0" w:space="0" w:color="auto"/>
            <w:right w:val="none" w:sz="0" w:space="0" w:color="auto"/>
          </w:divBdr>
        </w:div>
        <w:div w:id="307173675">
          <w:marLeft w:val="0"/>
          <w:marRight w:val="0"/>
          <w:marTop w:val="0"/>
          <w:marBottom w:val="0"/>
          <w:divBdr>
            <w:top w:val="none" w:sz="0" w:space="0" w:color="auto"/>
            <w:left w:val="none" w:sz="0" w:space="0" w:color="auto"/>
            <w:bottom w:val="none" w:sz="0" w:space="0" w:color="auto"/>
            <w:right w:val="none" w:sz="0" w:space="0" w:color="auto"/>
          </w:divBdr>
        </w:div>
        <w:div w:id="243801133">
          <w:marLeft w:val="0"/>
          <w:marRight w:val="0"/>
          <w:marTop w:val="0"/>
          <w:marBottom w:val="0"/>
          <w:divBdr>
            <w:top w:val="none" w:sz="0" w:space="0" w:color="auto"/>
            <w:left w:val="none" w:sz="0" w:space="0" w:color="auto"/>
            <w:bottom w:val="none" w:sz="0" w:space="0" w:color="auto"/>
            <w:right w:val="none" w:sz="0" w:space="0" w:color="auto"/>
          </w:divBdr>
        </w:div>
        <w:div w:id="1869680615">
          <w:marLeft w:val="0"/>
          <w:marRight w:val="0"/>
          <w:marTop w:val="0"/>
          <w:marBottom w:val="0"/>
          <w:divBdr>
            <w:top w:val="none" w:sz="0" w:space="0" w:color="auto"/>
            <w:left w:val="none" w:sz="0" w:space="0" w:color="auto"/>
            <w:bottom w:val="none" w:sz="0" w:space="0" w:color="auto"/>
            <w:right w:val="none" w:sz="0" w:space="0" w:color="auto"/>
          </w:divBdr>
        </w:div>
        <w:div w:id="590898164">
          <w:marLeft w:val="0"/>
          <w:marRight w:val="0"/>
          <w:marTop w:val="0"/>
          <w:marBottom w:val="0"/>
          <w:divBdr>
            <w:top w:val="none" w:sz="0" w:space="0" w:color="auto"/>
            <w:left w:val="none" w:sz="0" w:space="0" w:color="auto"/>
            <w:bottom w:val="none" w:sz="0" w:space="0" w:color="auto"/>
            <w:right w:val="none" w:sz="0" w:space="0" w:color="auto"/>
          </w:divBdr>
        </w:div>
        <w:div w:id="609438358">
          <w:marLeft w:val="0"/>
          <w:marRight w:val="0"/>
          <w:marTop w:val="0"/>
          <w:marBottom w:val="0"/>
          <w:divBdr>
            <w:top w:val="none" w:sz="0" w:space="0" w:color="auto"/>
            <w:left w:val="none" w:sz="0" w:space="0" w:color="auto"/>
            <w:bottom w:val="none" w:sz="0" w:space="0" w:color="auto"/>
            <w:right w:val="none" w:sz="0" w:space="0" w:color="auto"/>
          </w:divBdr>
        </w:div>
        <w:div w:id="2131043361">
          <w:marLeft w:val="0"/>
          <w:marRight w:val="0"/>
          <w:marTop w:val="0"/>
          <w:marBottom w:val="0"/>
          <w:divBdr>
            <w:top w:val="none" w:sz="0" w:space="0" w:color="auto"/>
            <w:left w:val="none" w:sz="0" w:space="0" w:color="auto"/>
            <w:bottom w:val="none" w:sz="0" w:space="0" w:color="auto"/>
            <w:right w:val="none" w:sz="0" w:space="0" w:color="auto"/>
          </w:divBdr>
        </w:div>
        <w:div w:id="609896233">
          <w:marLeft w:val="0"/>
          <w:marRight w:val="0"/>
          <w:marTop w:val="0"/>
          <w:marBottom w:val="0"/>
          <w:divBdr>
            <w:top w:val="none" w:sz="0" w:space="0" w:color="auto"/>
            <w:left w:val="none" w:sz="0" w:space="0" w:color="auto"/>
            <w:bottom w:val="none" w:sz="0" w:space="0" w:color="auto"/>
            <w:right w:val="none" w:sz="0" w:space="0" w:color="auto"/>
          </w:divBdr>
        </w:div>
        <w:div w:id="335152190">
          <w:marLeft w:val="0"/>
          <w:marRight w:val="0"/>
          <w:marTop w:val="0"/>
          <w:marBottom w:val="0"/>
          <w:divBdr>
            <w:top w:val="none" w:sz="0" w:space="0" w:color="auto"/>
            <w:left w:val="none" w:sz="0" w:space="0" w:color="auto"/>
            <w:bottom w:val="none" w:sz="0" w:space="0" w:color="auto"/>
            <w:right w:val="none" w:sz="0" w:space="0" w:color="auto"/>
          </w:divBdr>
        </w:div>
        <w:div w:id="1406299918">
          <w:marLeft w:val="0"/>
          <w:marRight w:val="0"/>
          <w:marTop w:val="0"/>
          <w:marBottom w:val="0"/>
          <w:divBdr>
            <w:top w:val="none" w:sz="0" w:space="0" w:color="auto"/>
            <w:left w:val="none" w:sz="0" w:space="0" w:color="auto"/>
            <w:bottom w:val="none" w:sz="0" w:space="0" w:color="auto"/>
            <w:right w:val="none" w:sz="0" w:space="0" w:color="auto"/>
          </w:divBdr>
        </w:div>
        <w:div w:id="526603325">
          <w:marLeft w:val="0"/>
          <w:marRight w:val="0"/>
          <w:marTop w:val="0"/>
          <w:marBottom w:val="0"/>
          <w:divBdr>
            <w:top w:val="none" w:sz="0" w:space="0" w:color="auto"/>
            <w:left w:val="none" w:sz="0" w:space="0" w:color="auto"/>
            <w:bottom w:val="none" w:sz="0" w:space="0" w:color="auto"/>
            <w:right w:val="none" w:sz="0" w:space="0" w:color="auto"/>
          </w:divBdr>
        </w:div>
        <w:div w:id="1085421390">
          <w:marLeft w:val="0"/>
          <w:marRight w:val="0"/>
          <w:marTop w:val="0"/>
          <w:marBottom w:val="0"/>
          <w:divBdr>
            <w:top w:val="none" w:sz="0" w:space="0" w:color="auto"/>
            <w:left w:val="none" w:sz="0" w:space="0" w:color="auto"/>
            <w:bottom w:val="none" w:sz="0" w:space="0" w:color="auto"/>
            <w:right w:val="none" w:sz="0" w:space="0" w:color="auto"/>
          </w:divBdr>
        </w:div>
        <w:div w:id="1108622053">
          <w:marLeft w:val="0"/>
          <w:marRight w:val="0"/>
          <w:marTop w:val="0"/>
          <w:marBottom w:val="0"/>
          <w:divBdr>
            <w:top w:val="none" w:sz="0" w:space="0" w:color="auto"/>
            <w:left w:val="none" w:sz="0" w:space="0" w:color="auto"/>
            <w:bottom w:val="none" w:sz="0" w:space="0" w:color="auto"/>
            <w:right w:val="none" w:sz="0" w:space="0" w:color="auto"/>
          </w:divBdr>
        </w:div>
        <w:div w:id="147483956">
          <w:marLeft w:val="0"/>
          <w:marRight w:val="0"/>
          <w:marTop w:val="0"/>
          <w:marBottom w:val="0"/>
          <w:divBdr>
            <w:top w:val="none" w:sz="0" w:space="0" w:color="auto"/>
            <w:left w:val="none" w:sz="0" w:space="0" w:color="auto"/>
            <w:bottom w:val="none" w:sz="0" w:space="0" w:color="auto"/>
            <w:right w:val="none" w:sz="0" w:space="0" w:color="auto"/>
          </w:divBdr>
        </w:div>
        <w:div w:id="76362452">
          <w:marLeft w:val="0"/>
          <w:marRight w:val="0"/>
          <w:marTop w:val="0"/>
          <w:marBottom w:val="0"/>
          <w:divBdr>
            <w:top w:val="none" w:sz="0" w:space="0" w:color="auto"/>
            <w:left w:val="none" w:sz="0" w:space="0" w:color="auto"/>
            <w:bottom w:val="none" w:sz="0" w:space="0" w:color="auto"/>
            <w:right w:val="none" w:sz="0" w:space="0" w:color="auto"/>
          </w:divBdr>
        </w:div>
        <w:div w:id="229507116">
          <w:marLeft w:val="0"/>
          <w:marRight w:val="0"/>
          <w:marTop w:val="0"/>
          <w:marBottom w:val="0"/>
          <w:divBdr>
            <w:top w:val="none" w:sz="0" w:space="0" w:color="auto"/>
            <w:left w:val="none" w:sz="0" w:space="0" w:color="auto"/>
            <w:bottom w:val="none" w:sz="0" w:space="0" w:color="auto"/>
            <w:right w:val="none" w:sz="0" w:space="0" w:color="auto"/>
          </w:divBdr>
        </w:div>
        <w:div w:id="580481827">
          <w:marLeft w:val="0"/>
          <w:marRight w:val="0"/>
          <w:marTop w:val="0"/>
          <w:marBottom w:val="0"/>
          <w:divBdr>
            <w:top w:val="none" w:sz="0" w:space="0" w:color="auto"/>
            <w:left w:val="none" w:sz="0" w:space="0" w:color="auto"/>
            <w:bottom w:val="none" w:sz="0" w:space="0" w:color="auto"/>
            <w:right w:val="none" w:sz="0" w:space="0" w:color="auto"/>
          </w:divBdr>
        </w:div>
        <w:div w:id="700084309">
          <w:marLeft w:val="0"/>
          <w:marRight w:val="0"/>
          <w:marTop w:val="0"/>
          <w:marBottom w:val="0"/>
          <w:divBdr>
            <w:top w:val="none" w:sz="0" w:space="0" w:color="auto"/>
            <w:left w:val="none" w:sz="0" w:space="0" w:color="auto"/>
            <w:bottom w:val="none" w:sz="0" w:space="0" w:color="auto"/>
            <w:right w:val="none" w:sz="0" w:space="0" w:color="auto"/>
          </w:divBdr>
        </w:div>
        <w:div w:id="489102548">
          <w:marLeft w:val="0"/>
          <w:marRight w:val="0"/>
          <w:marTop w:val="0"/>
          <w:marBottom w:val="0"/>
          <w:divBdr>
            <w:top w:val="none" w:sz="0" w:space="0" w:color="auto"/>
            <w:left w:val="none" w:sz="0" w:space="0" w:color="auto"/>
            <w:bottom w:val="none" w:sz="0" w:space="0" w:color="auto"/>
            <w:right w:val="none" w:sz="0" w:space="0" w:color="auto"/>
          </w:divBdr>
        </w:div>
        <w:div w:id="1988704591">
          <w:marLeft w:val="0"/>
          <w:marRight w:val="0"/>
          <w:marTop w:val="0"/>
          <w:marBottom w:val="0"/>
          <w:divBdr>
            <w:top w:val="none" w:sz="0" w:space="0" w:color="auto"/>
            <w:left w:val="none" w:sz="0" w:space="0" w:color="auto"/>
            <w:bottom w:val="none" w:sz="0" w:space="0" w:color="auto"/>
            <w:right w:val="none" w:sz="0" w:space="0" w:color="auto"/>
          </w:divBdr>
        </w:div>
        <w:div w:id="574584602">
          <w:marLeft w:val="0"/>
          <w:marRight w:val="0"/>
          <w:marTop w:val="0"/>
          <w:marBottom w:val="0"/>
          <w:divBdr>
            <w:top w:val="none" w:sz="0" w:space="0" w:color="auto"/>
            <w:left w:val="none" w:sz="0" w:space="0" w:color="auto"/>
            <w:bottom w:val="none" w:sz="0" w:space="0" w:color="auto"/>
            <w:right w:val="none" w:sz="0" w:space="0" w:color="auto"/>
          </w:divBdr>
        </w:div>
        <w:div w:id="1424953172">
          <w:marLeft w:val="0"/>
          <w:marRight w:val="0"/>
          <w:marTop w:val="0"/>
          <w:marBottom w:val="0"/>
          <w:divBdr>
            <w:top w:val="none" w:sz="0" w:space="0" w:color="auto"/>
            <w:left w:val="none" w:sz="0" w:space="0" w:color="auto"/>
            <w:bottom w:val="none" w:sz="0" w:space="0" w:color="auto"/>
            <w:right w:val="none" w:sz="0" w:space="0" w:color="auto"/>
          </w:divBdr>
        </w:div>
      </w:divsChild>
    </w:div>
    <w:div w:id="505242852">
      <w:marLeft w:val="0"/>
      <w:marRight w:val="0"/>
      <w:marTop w:val="240"/>
      <w:marBottom w:val="0"/>
      <w:divBdr>
        <w:top w:val="none" w:sz="0" w:space="0" w:color="auto"/>
        <w:left w:val="none" w:sz="0" w:space="0" w:color="auto"/>
        <w:bottom w:val="none" w:sz="0" w:space="0" w:color="auto"/>
        <w:right w:val="none" w:sz="0" w:space="0" w:color="auto"/>
      </w:divBdr>
    </w:div>
    <w:div w:id="506486492">
      <w:marLeft w:val="0"/>
      <w:marRight w:val="0"/>
      <w:marTop w:val="180"/>
      <w:marBottom w:val="120"/>
      <w:divBdr>
        <w:top w:val="none" w:sz="0" w:space="0" w:color="auto"/>
        <w:left w:val="none" w:sz="0" w:space="0" w:color="auto"/>
        <w:bottom w:val="none" w:sz="0" w:space="0" w:color="auto"/>
        <w:right w:val="none" w:sz="0" w:space="0" w:color="auto"/>
      </w:divBdr>
    </w:div>
    <w:div w:id="511650146">
      <w:marLeft w:val="0"/>
      <w:marRight w:val="0"/>
      <w:marTop w:val="120"/>
      <w:marBottom w:val="0"/>
      <w:divBdr>
        <w:top w:val="none" w:sz="0" w:space="0" w:color="auto"/>
        <w:left w:val="none" w:sz="0" w:space="0" w:color="auto"/>
        <w:bottom w:val="none" w:sz="0" w:space="0" w:color="auto"/>
        <w:right w:val="none" w:sz="0" w:space="0" w:color="auto"/>
      </w:divBdr>
    </w:div>
    <w:div w:id="512302754">
      <w:marLeft w:val="0"/>
      <w:marRight w:val="0"/>
      <w:marTop w:val="120"/>
      <w:marBottom w:val="120"/>
      <w:divBdr>
        <w:top w:val="none" w:sz="0" w:space="0" w:color="auto"/>
        <w:left w:val="none" w:sz="0" w:space="0" w:color="auto"/>
        <w:bottom w:val="none" w:sz="0" w:space="0" w:color="auto"/>
        <w:right w:val="none" w:sz="0" w:space="0" w:color="auto"/>
      </w:divBdr>
    </w:div>
    <w:div w:id="515312752">
      <w:marLeft w:val="0"/>
      <w:marRight w:val="0"/>
      <w:marTop w:val="0"/>
      <w:marBottom w:val="0"/>
      <w:divBdr>
        <w:top w:val="none" w:sz="0" w:space="0" w:color="auto"/>
        <w:left w:val="none" w:sz="0" w:space="0" w:color="auto"/>
        <w:bottom w:val="none" w:sz="0" w:space="0" w:color="auto"/>
        <w:right w:val="none" w:sz="0" w:space="0" w:color="auto"/>
      </w:divBdr>
      <w:divsChild>
        <w:div w:id="1365784918">
          <w:marLeft w:val="0"/>
          <w:marRight w:val="0"/>
          <w:marTop w:val="0"/>
          <w:marBottom w:val="0"/>
          <w:divBdr>
            <w:top w:val="none" w:sz="0" w:space="0" w:color="auto"/>
            <w:left w:val="none" w:sz="0" w:space="0" w:color="auto"/>
            <w:bottom w:val="none" w:sz="0" w:space="0" w:color="auto"/>
            <w:right w:val="none" w:sz="0" w:space="0" w:color="auto"/>
          </w:divBdr>
        </w:div>
      </w:divsChild>
    </w:div>
    <w:div w:id="515508540">
      <w:marLeft w:val="0"/>
      <w:marRight w:val="0"/>
      <w:marTop w:val="120"/>
      <w:marBottom w:val="120"/>
      <w:divBdr>
        <w:top w:val="none" w:sz="0" w:space="0" w:color="auto"/>
        <w:left w:val="none" w:sz="0" w:space="0" w:color="auto"/>
        <w:bottom w:val="none" w:sz="0" w:space="0" w:color="auto"/>
        <w:right w:val="none" w:sz="0" w:space="0" w:color="auto"/>
      </w:divBdr>
    </w:div>
    <w:div w:id="516847315">
      <w:marLeft w:val="0"/>
      <w:marRight w:val="0"/>
      <w:marTop w:val="120"/>
      <w:marBottom w:val="120"/>
      <w:divBdr>
        <w:top w:val="none" w:sz="0" w:space="0" w:color="auto"/>
        <w:left w:val="none" w:sz="0" w:space="0" w:color="auto"/>
        <w:bottom w:val="none" w:sz="0" w:space="0" w:color="auto"/>
        <w:right w:val="none" w:sz="0" w:space="0" w:color="auto"/>
      </w:divBdr>
    </w:div>
    <w:div w:id="521627813">
      <w:marLeft w:val="0"/>
      <w:marRight w:val="0"/>
      <w:marTop w:val="120"/>
      <w:marBottom w:val="120"/>
      <w:divBdr>
        <w:top w:val="none" w:sz="0" w:space="0" w:color="auto"/>
        <w:left w:val="none" w:sz="0" w:space="0" w:color="auto"/>
        <w:bottom w:val="none" w:sz="0" w:space="0" w:color="auto"/>
        <w:right w:val="none" w:sz="0" w:space="0" w:color="auto"/>
      </w:divBdr>
    </w:div>
    <w:div w:id="522673322">
      <w:marLeft w:val="0"/>
      <w:marRight w:val="0"/>
      <w:marTop w:val="0"/>
      <w:marBottom w:val="0"/>
      <w:divBdr>
        <w:top w:val="none" w:sz="0" w:space="0" w:color="auto"/>
        <w:left w:val="none" w:sz="0" w:space="0" w:color="auto"/>
        <w:bottom w:val="none" w:sz="0" w:space="0" w:color="auto"/>
        <w:right w:val="none" w:sz="0" w:space="0" w:color="auto"/>
      </w:divBdr>
      <w:divsChild>
        <w:div w:id="482353992">
          <w:marLeft w:val="0"/>
          <w:marRight w:val="0"/>
          <w:marTop w:val="0"/>
          <w:marBottom w:val="0"/>
          <w:divBdr>
            <w:top w:val="none" w:sz="0" w:space="0" w:color="auto"/>
            <w:left w:val="none" w:sz="0" w:space="0" w:color="auto"/>
            <w:bottom w:val="none" w:sz="0" w:space="0" w:color="auto"/>
            <w:right w:val="none" w:sz="0" w:space="0" w:color="auto"/>
          </w:divBdr>
        </w:div>
      </w:divsChild>
    </w:div>
    <w:div w:id="522984787">
      <w:marLeft w:val="0"/>
      <w:marRight w:val="0"/>
      <w:marTop w:val="0"/>
      <w:marBottom w:val="0"/>
      <w:divBdr>
        <w:top w:val="none" w:sz="0" w:space="0" w:color="auto"/>
        <w:left w:val="none" w:sz="0" w:space="0" w:color="auto"/>
        <w:bottom w:val="none" w:sz="0" w:space="0" w:color="auto"/>
        <w:right w:val="none" w:sz="0" w:space="0" w:color="auto"/>
      </w:divBdr>
    </w:div>
    <w:div w:id="523132893">
      <w:marLeft w:val="0"/>
      <w:marRight w:val="0"/>
      <w:marTop w:val="0"/>
      <w:marBottom w:val="0"/>
      <w:divBdr>
        <w:top w:val="none" w:sz="0" w:space="0" w:color="auto"/>
        <w:left w:val="none" w:sz="0" w:space="0" w:color="auto"/>
        <w:bottom w:val="none" w:sz="0" w:space="0" w:color="auto"/>
        <w:right w:val="none" w:sz="0" w:space="0" w:color="auto"/>
      </w:divBdr>
    </w:div>
    <w:div w:id="528446351">
      <w:marLeft w:val="0"/>
      <w:marRight w:val="0"/>
      <w:marTop w:val="0"/>
      <w:marBottom w:val="0"/>
      <w:divBdr>
        <w:top w:val="none" w:sz="0" w:space="0" w:color="auto"/>
        <w:left w:val="none" w:sz="0" w:space="0" w:color="auto"/>
        <w:bottom w:val="none" w:sz="0" w:space="0" w:color="auto"/>
        <w:right w:val="none" w:sz="0" w:space="0" w:color="auto"/>
      </w:divBdr>
      <w:divsChild>
        <w:div w:id="2084905894">
          <w:marLeft w:val="0"/>
          <w:marRight w:val="0"/>
          <w:marTop w:val="0"/>
          <w:marBottom w:val="0"/>
          <w:divBdr>
            <w:top w:val="none" w:sz="0" w:space="0" w:color="auto"/>
            <w:left w:val="none" w:sz="0" w:space="0" w:color="auto"/>
            <w:bottom w:val="none" w:sz="0" w:space="0" w:color="auto"/>
            <w:right w:val="none" w:sz="0" w:space="0" w:color="auto"/>
          </w:divBdr>
        </w:div>
      </w:divsChild>
    </w:div>
    <w:div w:id="530385730">
      <w:marLeft w:val="0"/>
      <w:marRight w:val="0"/>
      <w:marTop w:val="120"/>
      <w:marBottom w:val="0"/>
      <w:divBdr>
        <w:top w:val="none" w:sz="0" w:space="0" w:color="auto"/>
        <w:left w:val="none" w:sz="0" w:space="0" w:color="auto"/>
        <w:bottom w:val="none" w:sz="0" w:space="0" w:color="auto"/>
        <w:right w:val="none" w:sz="0" w:space="0" w:color="auto"/>
      </w:divBdr>
    </w:div>
    <w:div w:id="534462782">
      <w:marLeft w:val="0"/>
      <w:marRight w:val="0"/>
      <w:marTop w:val="0"/>
      <w:marBottom w:val="0"/>
      <w:divBdr>
        <w:top w:val="none" w:sz="0" w:space="0" w:color="auto"/>
        <w:left w:val="none" w:sz="0" w:space="0" w:color="auto"/>
        <w:bottom w:val="none" w:sz="0" w:space="0" w:color="auto"/>
        <w:right w:val="none" w:sz="0" w:space="0" w:color="auto"/>
      </w:divBdr>
      <w:divsChild>
        <w:div w:id="2099404053">
          <w:marLeft w:val="0"/>
          <w:marRight w:val="0"/>
          <w:marTop w:val="0"/>
          <w:marBottom w:val="0"/>
          <w:divBdr>
            <w:top w:val="none" w:sz="0" w:space="0" w:color="auto"/>
            <w:left w:val="none" w:sz="0" w:space="0" w:color="auto"/>
            <w:bottom w:val="none" w:sz="0" w:space="0" w:color="auto"/>
            <w:right w:val="none" w:sz="0" w:space="0" w:color="auto"/>
          </w:divBdr>
        </w:div>
      </w:divsChild>
    </w:div>
    <w:div w:id="535697471">
      <w:marLeft w:val="0"/>
      <w:marRight w:val="0"/>
      <w:marTop w:val="120"/>
      <w:marBottom w:val="120"/>
      <w:divBdr>
        <w:top w:val="none" w:sz="0" w:space="0" w:color="auto"/>
        <w:left w:val="none" w:sz="0" w:space="0" w:color="auto"/>
        <w:bottom w:val="none" w:sz="0" w:space="0" w:color="auto"/>
        <w:right w:val="none" w:sz="0" w:space="0" w:color="auto"/>
      </w:divBdr>
    </w:div>
    <w:div w:id="535702108">
      <w:marLeft w:val="0"/>
      <w:marRight w:val="0"/>
      <w:marTop w:val="120"/>
      <w:marBottom w:val="0"/>
      <w:divBdr>
        <w:top w:val="none" w:sz="0" w:space="0" w:color="auto"/>
        <w:left w:val="none" w:sz="0" w:space="0" w:color="auto"/>
        <w:bottom w:val="none" w:sz="0" w:space="0" w:color="auto"/>
        <w:right w:val="none" w:sz="0" w:space="0" w:color="auto"/>
      </w:divBdr>
    </w:div>
    <w:div w:id="536310634">
      <w:marLeft w:val="0"/>
      <w:marRight w:val="0"/>
      <w:marTop w:val="120"/>
      <w:marBottom w:val="120"/>
      <w:divBdr>
        <w:top w:val="none" w:sz="0" w:space="0" w:color="auto"/>
        <w:left w:val="none" w:sz="0" w:space="0" w:color="auto"/>
        <w:bottom w:val="none" w:sz="0" w:space="0" w:color="auto"/>
        <w:right w:val="none" w:sz="0" w:space="0" w:color="auto"/>
      </w:divBdr>
    </w:div>
    <w:div w:id="539781128">
      <w:marLeft w:val="0"/>
      <w:marRight w:val="0"/>
      <w:marTop w:val="120"/>
      <w:marBottom w:val="0"/>
      <w:divBdr>
        <w:top w:val="none" w:sz="0" w:space="0" w:color="auto"/>
        <w:left w:val="none" w:sz="0" w:space="0" w:color="auto"/>
        <w:bottom w:val="none" w:sz="0" w:space="0" w:color="auto"/>
        <w:right w:val="none" w:sz="0" w:space="0" w:color="auto"/>
      </w:divBdr>
    </w:div>
    <w:div w:id="540022334">
      <w:marLeft w:val="0"/>
      <w:marRight w:val="0"/>
      <w:marTop w:val="120"/>
      <w:marBottom w:val="0"/>
      <w:divBdr>
        <w:top w:val="none" w:sz="0" w:space="0" w:color="auto"/>
        <w:left w:val="none" w:sz="0" w:space="0" w:color="auto"/>
        <w:bottom w:val="none" w:sz="0" w:space="0" w:color="auto"/>
        <w:right w:val="none" w:sz="0" w:space="0" w:color="auto"/>
      </w:divBdr>
    </w:div>
    <w:div w:id="540096988">
      <w:marLeft w:val="0"/>
      <w:marRight w:val="0"/>
      <w:marTop w:val="120"/>
      <w:marBottom w:val="0"/>
      <w:divBdr>
        <w:top w:val="none" w:sz="0" w:space="0" w:color="auto"/>
        <w:left w:val="none" w:sz="0" w:space="0" w:color="auto"/>
        <w:bottom w:val="none" w:sz="0" w:space="0" w:color="auto"/>
        <w:right w:val="none" w:sz="0" w:space="0" w:color="auto"/>
      </w:divBdr>
    </w:div>
    <w:div w:id="541790816">
      <w:marLeft w:val="0"/>
      <w:marRight w:val="0"/>
      <w:marTop w:val="120"/>
      <w:marBottom w:val="0"/>
      <w:divBdr>
        <w:top w:val="none" w:sz="0" w:space="0" w:color="auto"/>
        <w:left w:val="none" w:sz="0" w:space="0" w:color="auto"/>
        <w:bottom w:val="none" w:sz="0" w:space="0" w:color="auto"/>
        <w:right w:val="none" w:sz="0" w:space="0" w:color="auto"/>
      </w:divBdr>
    </w:div>
    <w:div w:id="542132622">
      <w:marLeft w:val="0"/>
      <w:marRight w:val="0"/>
      <w:marTop w:val="0"/>
      <w:marBottom w:val="0"/>
      <w:divBdr>
        <w:top w:val="none" w:sz="0" w:space="0" w:color="auto"/>
        <w:left w:val="none" w:sz="0" w:space="0" w:color="auto"/>
        <w:bottom w:val="none" w:sz="0" w:space="0" w:color="auto"/>
        <w:right w:val="none" w:sz="0" w:space="0" w:color="auto"/>
      </w:divBdr>
    </w:div>
    <w:div w:id="542333507">
      <w:marLeft w:val="0"/>
      <w:marRight w:val="0"/>
      <w:marTop w:val="0"/>
      <w:marBottom w:val="0"/>
      <w:divBdr>
        <w:top w:val="none" w:sz="0" w:space="0" w:color="auto"/>
        <w:left w:val="none" w:sz="0" w:space="0" w:color="auto"/>
        <w:bottom w:val="none" w:sz="0" w:space="0" w:color="auto"/>
        <w:right w:val="none" w:sz="0" w:space="0" w:color="auto"/>
      </w:divBdr>
    </w:div>
    <w:div w:id="544635591">
      <w:marLeft w:val="0"/>
      <w:marRight w:val="0"/>
      <w:marTop w:val="120"/>
      <w:marBottom w:val="120"/>
      <w:divBdr>
        <w:top w:val="none" w:sz="0" w:space="0" w:color="auto"/>
        <w:left w:val="none" w:sz="0" w:space="0" w:color="auto"/>
        <w:bottom w:val="none" w:sz="0" w:space="0" w:color="auto"/>
        <w:right w:val="none" w:sz="0" w:space="0" w:color="auto"/>
      </w:divBdr>
    </w:div>
    <w:div w:id="546453221">
      <w:marLeft w:val="0"/>
      <w:marRight w:val="0"/>
      <w:marTop w:val="120"/>
      <w:marBottom w:val="120"/>
      <w:divBdr>
        <w:top w:val="none" w:sz="0" w:space="0" w:color="auto"/>
        <w:left w:val="none" w:sz="0" w:space="0" w:color="auto"/>
        <w:bottom w:val="none" w:sz="0" w:space="0" w:color="auto"/>
        <w:right w:val="none" w:sz="0" w:space="0" w:color="auto"/>
      </w:divBdr>
    </w:div>
    <w:div w:id="546991507">
      <w:marLeft w:val="0"/>
      <w:marRight w:val="0"/>
      <w:marTop w:val="120"/>
      <w:marBottom w:val="120"/>
      <w:divBdr>
        <w:top w:val="none" w:sz="0" w:space="0" w:color="auto"/>
        <w:left w:val="none" w:sz="0" w:space="0" w:color="auto"/>
        <w:bottom w:val="none" w:sz="0" w:space="0" w:color="auto"/>
        <w:right w:val="none" w:sz="0" w:space="0" w:color="auto"/>
      </w:divBdr>
    </w:div>
    <w:div w:id="547423017">
      <w:marLeft w:val="0"/>
      <w:marRight w:val="0"/>
      <w:marTop w:val="120"/>
      <w:marBottom w:val="120"/>
      <w:divBdr>
        <w:top w:val="none" w:sz="0" w:space="0" w:color="auto"/>
        <w:left w:val="none" w:sz="0" w:space="0" w:color="auto"/>
        <w:bottom w:val="none" w:sz="0" w:space="0" w:color="auto"/>
        <w:right w:val="none" w:sz="0" w:space="0" w:color="auto"/>
      </w:divBdr>
    </w:div>
    <w:div w:id="550190430">
      <w:marLeft w:val="0"/>
      <w:marRight w:val="0"/>
      <w:marTop w:val="0"/>
      <w:marBottom w:val="0"/>
      <w:divBdr>
        <w:top w:val="none" w:sz="0" w:space="0" w:color="auto"/>
        <w:left w:val="none" w:sz="0" w:space="0" w:color="auto"/>
        <w:bottom w:val="none" w:sz="0" w:space="0" w:color="auto"/>
        <w:right w:val="none" w:sz="0" w:space="0" w:color="auto"/>
      </w:divBdr>
    </w:div>
    <w:div w:id="552430169">
      <w:marLeft w:val="0"/>
      <w:marRight w:val="0"/>
      <w:marTop w:val="0"/>
      <w:marBottom w:val="0"/>
      <w:divBdr>
        <w:top w:val="none" w:sz="0" w:space="0" w:color="auto"/>
        <w:left w:val="none" w:sz="0" w:space="0" w:color="auto"/>
        <w:bottom w:val="none" w:sz="0" w:space="0" w:color="auto"/>
        <w:right w:val="none" w:sz="0" w:space="0" w:color="auto"/>
      </w:divBdr>
    </w:div>
    <w:div w:id="553542949">
      <w:marLeft w:val="0"/>
      <w:marRight w:val="0"/>
      <w:marTop w:val="120"/>
      <w:marBottom w:val="0"/>
      <w:divBdr>
        <w:top w:val="none" w:sz="0" w:space="0" w:color="auto"/>
        <w:left w:val="none" w:sz="0" w:space="0" w:color="auto"/>
        <w:bottom w:val="none" w:sz="0" w:space="0" w:color="auto"/>
        <w:right w:val="none" w:sz="0" w:space="0" w:color="auto"/>
      </w:divBdr>
    </w:div>
    <w:div w:id="557401970">
      <w:marLeft w:val="0"/>
      <w:marRight w:val="0"/>
      <w:marTop w:val="120"/>
      <w:marBottom w:val="0"/>
      <w:divBdr>
        <w:top w:val="none" w:sz="0" w:space="0" w:color="auto"/>
        <w:left w:val="none" w:sz="0" w:space="0" w:color="auto"/>
        <w:bottom w:val="none" w:sz="0" w:space="0" w:color="auto"/>
        <w:right w:val="none" w:sz="0" w:space="0" w:color="auto"/>
      </w:divBdr>
    </w:div>
    <w:div w:id="560167659">
      <w:marLeft w:val="0"/>
      <w:marRight w:val="0"/>
      <w:marTop w:val="60"/>
      <w:marBottom w:val="120"/>
      <w:divBdr>
        <w:top w:val="none" w:sz="0" w:space="0" w:color="auto"/>
        <w:left w:val="none" w:sz="0" w:space="0" w:color="auto"/>
        <w:bottom w:val="none" w:sz="0" w:space="0" w:color="auto"/>
        <w:right w:val="none" w:sz="0" w:space="0" w:color="auto"/>
      </w:divBdr>
    </w:div>
    <w:div w:id="560598907">
      <w:marLeft w:val="0"/>
      <w:marRight w:val="0"/>
      <w:marTop w:val="0"/>
      <w:marBottom w:val="0"/>
      <w:divBdr>
        <w:top w:val="none" w:sz="0" w:space="0" w:color="auto"/>
        <w:left w:val="none" w:sz="0" w:space="0" w:color="auto"/>
        <w:bottom w:val="none" w:sz="0" w:space="0" w:color="auto"/>
        <w:right w:val="none" w:sz="0" w:space="0" w:color="auto"/>
      </w:divBdr>
    </w:div>
    <w:div w:id="563641918">
      <w:marLeft w:val="0"/>
      <w:marRight w:val="0"/>
      <w:marTop w:val="120"/>
      <w:marBottom w:val="0"/>
      <w:divBdr>
        <w:top w:val="none" w:sz="0" w:space="0" w:color="auto"/>
        <w:left w:val="none" w:sz="0" w:space="0" w:color="auto"/>
        <w:bottom w:val="none" w:sz="0" w:space="0" w:color="auto"/>
        <w:right w:val="none" w:sz="0" w:space="0" w:color="auto"/>
      </w:divBdr>
    </w:div>
    <w:div w:id="564995880">
      <w:marLeft w:val="0"/>
      <w:marRight w:val="0"/>
      <w:marTop w:val="180"/>
      <w:marBottom w:val="120"/>
      <w:divBdr>
        <w:top w:val="none" w:sz="0" w:space="0" w:color="auto"/>
        <w:left w:val="none" w:sz="0" w:space="0" w:color="auto"/>
        <w:bottom w:val="none" w:sz="0" w:space="0" w:color="auto"/>
        <w:right w:val="none" w:sz="0" w:space="0" w:color="auto"/>
      </w:divBdr>
    </w:div>
    <w:div w:id="566040997">
      <w:marLeft w:val="0"/>
      <w:marRight w:val="0"/>
      <w:marTop w:val="120"/>
      <w:marBottom w:val="120"/>
      <w:divBdr>
        <w:top w:val="none" w:sz="0" w:space="0" w:color="auto"/>
        <w:left w:val="none" w:sz="0" w:space="0" w:color="auto"/>
        <w:bottom w:val="none" w:sz="0" w:space="0" w:color="auto"/>
        <w:right w:val="none" w:sz="0" w:space="0" w:color="auto"/>
      </w:divBdr>
    </w:div>
    <w:div w:id="570389476">
      <w:marLeft w:val="0"/>
      <w:marRight w:val="0"/>
      <w:marTop w:val="120"/>
      <w:marBottom w:val="0"/>
      <w:divBdr>
        <w:top w:val="none" w:sz="0" w:space="0" w:color="auto"/>
        <w:left w:val="none" w:sz="0" w:space="0" w:color="auto"/>
        <w:bottom w:val="none" w:sz="0" w:space="0" w:color="auto"/>
        <w:right w:val="none" w:sz="0" w:space="0" w:color="auto"/>
      </w:divBdr>
    </w:div>
    <w:div w:id="572282605">
      <w:marLeft w:val="0"/>
      <w:marRight w:val="0"/>
      <w:marTop w:val="180"/>
      <w:marBottom w:val="120"/>
      <w:divBdr>
        <w:top w:val="none" w:sz="0" w:space="0" w:color="auto"/>
        <w:left w:val="none" w:sz="0" w:space="0" w:color="auto"/>
        <w:bottom w:val="none" w:sz="0" w:space="0" w:color="auto"/>
        <w:right w:val="none" w:sz="0" w:space="0" w:color="auto"/>
      </w:divBdr>
    </w:div>
    <w:div w:id="572667490">
      <w:marLeft w:val="0"/>
      <w:marRight w:val="0"/>
      <w:marTop w:val="120"/>
      <w:marBottom w:val="120"/>
      <w:divBdr>
        <w:top w:val="none" w:sz="0" w:space="0" w:color="auto"/>
        <w:left w:val="none" w:sz="0" w:space="0" w:color="auto"/>
        <w:bottom w:val="none" w:sz="0" w:space="0" w:color="auto"/>
        <w:right w:val="none" w:sz="0" w:space="0" w:color="auto"/>
      </w:divBdr>
    </w:div>
    <w:div w:id="573398313">
      <w:marLeft w:val="0"/>
      <w:marRight w:val="0"/>
      <w:marTop w:val="180"/>
      <w:marBottom w:val="0"/>
      <w:divBdr>
        <w:top w:val="none" w:sz="0" w:space="0" w:color="auto"/>
        <w:left w:val="none" w:sz="0" w:space="0" w:color="auto"/>
        <w:bottom w:val="none" w:sz="0" w:space="0" w:color="auto"/>
        <w:right w:val="none" w:sz="0" w:space="0" w:color="auto"/>
      </w:divBdr>
    </w:div>
    <w:div w:id="574242621">
      <w:marLeft w:val="0"/>
      <w:marRight w:val="0"/>
      <w:marTop w:val="0"/>
      <w:marBottom w:val="0"/>
      <w:divBdr>
        <w:top w:val="none" w:sz="0" w:space="0" w:color="auto"/>
        <w:left w:val="none" w:sz="0" w:space="0" w:color="auto"/>
        <w:bottom w:val="none" w:sz="0" w:space="0" w:color="auto"/>
        <w:right w:val="none" w:sz="0" w:space="0" w:color="auto"/>
      </w:divBdr>
      <w:divsChild>
        <w:div w:id="1751268310">
          <w:marLeft w:val="0"/>
          <w:marRight w:val="0"/>
          <w:marTop w:val="0"/>
          <w:marBottom w:val="0"/>
          <w:divBdr>
            <w:top w:val="none" w:sz="0" w:space="0" w:color="auto"/>
            <w:left w:val="none" w:sz="0" w:space="0" w:color="auto"/>
            <w:bottom w:val="none" w:sz="0" w:space="0" w:color="auto"/>
            <w:right w:val="none" w:sz="0" w:space="0" w:color="auto"/>
          </w:divBdr>
        </w:div>
      </w:divsChild>
    </w:div>
    <w:div w:id="575283925">
      <w:marLeft w:val="0"/>
      <w:marRight w:val="0"/>
      <w:marTop w:val="120"/>
      <w:marBottom w:val="0"/>
      <w:divBdr>
        <w:top w:val="none" w:sz="0" w:space="0" w:color="auto"/>
        <w:left w:val="none" w:sz="0" w:space="0" w:color="auto"/>
        <w:bottom w:val="none" w:sz="0" w:space="0" w:color="auto"/>
        <w:right w:val="none" w:sz="0" w:space="0" w:color="auto"/>
      </w:divBdr>
    </w:div>
    <w:div w:id="579946424">
      <w:marLeft w:val="0"/>
      <w:marRight w:val="0"/>
      <w:marTop w:val="120"/>
      <w:marBottom w:val="120"/>
      <w:divBdr>
        <w:top w:val="none" w:sz="0" w:space="0" w:color="auto"/>
        <w:left w:val="none" w:sz="0" w:space="0" w:color="auto"/>
        <w:bottom w:val="none" w:sz="0" w:space="0" w:color="auto"/>
        <w:right w:val="none" w:sz="0" w:space="0" w:color="auto"/>
      </w:divBdr>
    </w:div>
    <w:div w:id="580990875">
      <w:marLeft w:val="0"/>
      <w:marRight w:val="0"/>
      <w:marTop w:val="120"/>
      <w:marBottom w:val="0"/>
      <w:divBdr>
        <w:top w:val="none" w:sz="0" w:space="0" w:color="auto"/>
        <w:left w:val="none" w:sz="0" w:space="0" w:color="auto"/>
        <w:bottom w:val="none" w:sz="0" w:space="0" w:color="auto"/>
        <w:right w:val="none" w:sz="0" w:space="0" w:color="auto"/>
      </w:divBdr>
    </w:div>
    <w:div w:id="581329522">
      <w:marLeft w:val="0"/>
      <w:marRight w:val="0"/>
      <w:marTop w:val="120"/>
      <w:marBottom w:val="120"/>
      <w:divBdr>
        <w:top w:val="none" w:sz="0" w:space="0" w:color="auto"/>
        <w:left w:val="none" w:sz="0" w:space="0" w:color="auto"/>
        <w:bottom w:val="none" w:sz="0" w:space="0" w:color="auto"/>
        <w:right w:val="none" w:sz="0" w:space="0" w:color="auto"/>
      </w:divBdr>
    </w:div>
    <w:div w:id="582763705">
      <w:marLeft w:val="0"/>
      <w:marRight w:val="0"/>
      <w:marTop w:val="120"/>
      <w:marBottom w:val="120"/>
      <w:divBdr>
        <w:top w:val="none" w:sz="0" w:space="0" w:color="auto"/>
        <w:left w:val="none" w:sz="0" w:space="0" w:color="auto"/>
        <w:bottom w:val="none" w:sz="0" w:space="0" w:color="auto"/>
        <w:right w:val="none" w:sz="0" w:space="0" w:color="auto"/>
      </w:divBdr>
    </w:div>
    <w:div w:id="586228857">
      <w:marLeft w:val="0"/>
      <w:marRight w:val="0"/>
      <w:marTop w:val="120"/>
      <w:marBottom w:val="0"/>
      <w:divBdr>
        <w:top w:val="none" w:sz="0" w:space="0" w:color="auto"/>
        <w:left w:val="none" w:sz="0" w:space="0" w:color="auto"/>
        <w:bottom w:val="none" w:sz="0" w:space="0" w:color="auto"/>
        <w:right w:val="none" w:sz="0" w:space="0" w:color="auto"/>
      </w:divBdr>
    </w:div>
    <w:div w:id="588387679">
      <w:marLeft w:val="0"/>
      <w:marRight w:val="0"/>
      <w:marTop w:val="120"/>
      <w:marBottom w:val="120"/>
      <w:divBdr>
        <w:top w:val="none" w:sz="0" w:space="0" w:color="auto"/>
        <w:left w:val="none" w:sz="0" w:space="0" w:color="auto"/>
        <w:bottom w:val="none" w:sz="0" w:space="0" w:color="auto"/>
        <w:right w:val="none" w:sz="0" w:space="0" w:color="auto"/>
      </w:divBdr>
    </w:div>
    <w:div w:id="593052255">
      <w:marLeft w:val="0"/>
      <w:marRight w:val="0"/>
      <w:marTop w:val="0"/>
      <w:marBottom w:val="0"/>
      <w:divBdr>
        <w:top w:val="none" w:sz="0" w:space="0" w:color="auto"/>
        <w:left w:val="none" w:sz="0" w:space="0" w:color="auto"/>
        <w:bottom w:val="none" w:sz="0" w:space="0" w:color="auto"/>
        <w:right w:val="none" w:sz="0" w:space="0" w:color="auto"/>
      </w:divBdr>
      <w:divsChild>
        <w:div w:id="515507932">
          <w:marLeft w:val="0"/>
          <w:marRight w:val="0"/>
          <w:marTop w:val="0"/>
          <w:marBottom w:val="0"/>
          <w:divBdr>
            <w:top w:val="none" w:sz="0" w:space="0" w:color="auto"/>
            <w:left w:val="none" w:sz="0" w:space="0" w:color="auto"/>
            <w:bottom w:val="none" w:sz="0" w:space="0" w:color="auto"/>
            <w:right w:val="none" w:sz="0" w:space="0" w:color="auto"/>
          </w:divBdr>
        </w:div>
      </w:divsChild>
    </w:div>
    <w:div w:id="594097653">
      <w:marLeft w:val="0"/>
      <w:marRight w:val="0"/>
      <w:marTop w:val="0"/>
      <w:marBottom w:val="0"/>
      <w:divBdr>
        <w:top w:val="none" w:sz="0" w:space="0" w:color="auto"/>
        <w:left w:val="none" w:sz="0" w:space="0" w:color="auto"/>
        <w:bottom w:val="none" w:sz="0" w:space="0" w:color="auto"/>
        <w:right w:val="none" w:sz="0" w:space="0" w:color="auto"/>
      </w:divBdr>
    </w:div>
    <w:div w:id="595940536">
      <w:marLeft w:val="0"/>
      <w:marRight w:val="0"/>
      <w:marTop w:val="120"/>
      <w:marBottom w:val="120"/>
      <w:divBdr>
        <w:top w:val="none" w:sz="0" w:space="0" w:color="auto"/>
        <w:left w:val="none" w:sz="0" w:space="0" w:color="auto"/>
        <w:bottom w:val="none" w:sz="0" w:space="0" w:color="auto"/>
        <w:right w:val="none" w:sz="0" w:space="0" w:color="auto"/>
      </w:divBdr>
    </w:div>
    <w:div w:id="601642646">
      <w:marLeft w:val="0"/>
      <w:marRight w:val="0"/>
      <w:marTop w:val="120"/>
      <w:marBottom w:val="120"/>
      <w:divBdr>
        <w:top w:val="none" w:sz="0" w:space="0" w:color="auto"/>
        <w:left w:val="none" w:sz="0" w:space="0" w:color="auto"/>
        <w:bottom w:val="none" w:sz="0" w:space="0" w:color="auto"/>
        <w:right w:val="none" w:sz="0" w:space="0" w:color="auto"/>
      </w:divBdr>
    </w:div>
    <w:div w:id="607665341">
      <w:marLeft w:val="0"/>
      <w:marRight w:val="0"/>
      <w:marTop w:val="0"/>
      <w:marBottom w:val="0"/>
      <w:divBdr>
        <w:top w:val="none" w:sz="0" w:space="0" w:color="auto"/>
        <w:left w:val="none" w:sz="0" w:space="0" w:color="auto"/>
        <w:bottom w:val="none" w:sz="0" w:space="0" w:color="auto"/>
        <w:right w:val="none" w:sz="0" w:space="0" w:color="auto"/>
      </w:divBdr>
      <w:divsChild>
        <w:div w:id="2063405995">
          <w:marLeft w:val="0"/>
          <w:marRight w:val="0"/>
          <w:marTop w:val="0"/>
          <w:marBottom w:val="0"/>
          <w:divBdr>
            <w:top w:val="none" w:sz="0" w:space="0" w:color="auto"/>
            <w:left w:val="none" w:sz="0" w:space="0" w:color="auto"/>
            <w:bottom w:val="none" w:sz="0" w:space="0" w:color="auto"/>
            <w:right w:val="none" w:sz="0" w:space="0" w:color="auto"/>
          </w:divBdr>
        </w:div>
      </w:divsChild>
    </w:div>
    <w:div w:id="608632996">
      <w:marLeft w:val="0"/>
      <w:marRight w:val="0"/>
      <w:marTop w:val="120"/>
      <w:marBottom w:val="0"/>
      <w:divBdr>
        <w:top w:val="none" w:sz="0" w:space="0" w:color="auto"/>
        <w:left w:val="none" w:sz="0" w:space="0" w:color="auto"/>
        <w:bottom w:val="none" w:sz="0" w:space="0" w:color="auto"/>
        <w:right w:val="none" w:sz="0" w:space="0" w:color="auto"/>
      </w:divBdr>
    </w:div>
    <w:div w:id="609240393">
      <w:marLeft w:val="0"/>
      <w:marRight w:val="0"/>
      <w:marTop w:val="120"/>
      <w:marBottom w:val="0"/>
      <w:divBdr>
        <w:top w:val="none" w:sz="0" w:space="0" w:color="auto"/>
        <w:left w:val="none" w:sz="0" w:space="0" w:color="auto"/>
        <w:bottom w:val="none" w:sz="0" w:space="0" w:color="auto"/>
        <w:right w:val="none" w:sz="0" w:space="0" w:color="auto"/>
      </w:divBdr>
    </w:div>
    <w:div w:id="611745319">
      <w:marLeft w:val="0"/>
      <w:marRight w:val="0"/>
      <w:marTop w:val="120"/>
      <w:marBottom w:val="20"/>
      <w:divBdr>
        <w:top w:val="none" w:sz="0" w:space="0" w:color="auto"/>
        <w:left w:val="none" w:sz="0" w:space="0" w:color="auto"/>
        <w:bottom w:val="none" w:sz="0" w:space="0" w:color="auto"/>
        <w:right w:val="none" w:sz="0" w:space="0" w:color="auto"/>
      </w:divBdr>
    </w:div>
    <w:div w:id="613174563">
      <w:marLeft w:val="0"/>
      <w:marRight w:val="0"/>
      <w:marTop w:val="240"/>
      <w:marBottom w:val="120"/>
      <w:divBdr>
        <w:top w:val="none" w:sz="0" w:space="0" w:color="auto"/>
        <w:left w:val="none" w:sz="0" w:space="0" w:color="auto"/>
        <w:bottom w:val="none" w:sz="0" w:space="0" w:color="auto"/>
        <w:right w:val="none" w:sz="0" w:space="0" w:color="auto"/>
      </w:divBdr>
    </w:div>
    <w:div w:id="613823895">
      <w:marLeft w:val="0"/>
      <w:marRight w:val="0"/>
      <w:marTop w:val="120"/>
      <w:marBottom w:val="120"/>
      <w:divBdr>
        <w:top w:val="none" w:sz="0" w:space="0" w:color="auto"/>
        <w:left w:val="none" w:sz="0" w:space="0" w:color="auto"/>
        <w:bottom w:val="none" w:sz="0" w:space="0" w:color="auto"/>
        <w:right w:val="none" w:sz="0" w:space="0" w:color="auto"/>
      </w:divBdr>
    </w:div>
    <w:div w:id="616529197">
      <w:marLeft w:val="0"/>
      <w:marRight w:val="0"/>
      <w:marTop w:val="120"/>
      <w:marBottom w:val="120"/>
      <w:divBdr>
        <w:top w:val="none" w:sz="0" w:space="0" w:color="auto"/>
        <w:left w:val="none" w:sz="0" w:space="0" w:color="auto"/>
        <w:bottom w:val="none" w:sz="0" w:space="0" w:color="auto"/>
        <w:right w:val="none" w:sz="0" w:space="0" w:color="auto"/>
      </w:divBdr>
    </w:div>
    <w:div w:id="621810927">
      <w:marLeft w:val="0"/>
      <w:marRight w:val="0"/>
      <w:marTop w:val="120"/>
      <w:marBottom w:val="0"/>
      <w:divBdr>
        <w:top w:val="none" w:sz="0" w:space="0" w:color="auto"/>
        <w:left w:val="none" w:sz="0" w:space="0" w:color="auto"/>
        <w:bottom w:val="none" w:sz="0" w:space="0" w:color="auto"/>
        <w:right w:val="none" w:sz="0" w:space="0" w:color="auto"/>
      </w:divBdr>
    </w:div>
    <w:div w:id="622735570">
      <w:marLeft w:val="0"/>
      <w:marRight w:val="0"/>
      <w:marTop w:val="240"/>
      <w:marBottom w:val="120"/>
      <w:divBdr>
        <w:top w:val="none" w:sz="0" w:space="0" w:color="auto"/>
        <w:left w:val="none" w:sz="0" w:space="0" w:color="auto"/>
        <w:bottom w:val="none" w:sz="0" w:space="0" w:color="auto"/>
        <w:right w:val="none" w:sz="0" w:space="0" w:color="auto"/>
      </w:divBdr>
    </w:div>
    <w:div w:id="622809829">
      <w:marLeft w:val="0"/>
      <w:marRight w:val="0"/>
      <w:marTop w:val="0"/>
      <w:marBottom w:val="0"/>
      <w:divBdr>
        <w:top w:val="none" w:sz="0" w:space="0" w:color="auto"/>
        <w:left w:val="none" w:sz="0" w:space="0" w:color="auto"/>
        <w:bottom w:val="none" w:sz="0" w:space="0" w:color="auto"/>
        <w:right w:val="none" w:sz="0" w:space="0" w:color="auto"/>
      </w:divBdr>
    </w:div>
    <w:div w:id="623968685">
      <w:marLeft w:val="0"/>
      <w:marRight w:val="0"/>
      <w:marTop w:val="60"/>
      <w:marBottom w:val="0"/>
      <w:divBdr>
        <w:top w:val="none" w:sz="0" w:space="0" w:color="auto"/>
        <w:left w:val="none" w:sz="0" w:space="0" w:color="auto"/>
        <w:bottom w:val="none" w:sz="0" w:space="0" w:color="auto"/>
        <w:right w:val="none" w:sz="0" w:space="0" w:color="auto"/>
      </w:divBdr>
    </w:div>
    <w:div w:id="625697049">
      <w:marLeft w:val="0"/>
      <w:marRight w:val="0"/>
      <w:marTop w:val="180"/>
      <w:marBottom w:val="120"/>
      <w:divBdr>
        <w:top w:val="none" w:sz="0" w:space="0" w:color="auto"/>
        <w:left w:val="none" w:sz="0" w:space="0" w:color="auto"/>
        <w:bottom w:val="none" w:sz="0" w:space="0" w:color="auto"/>
        <w:right w:val="none" w:sz="0" w:space="0" w:color="auto"/>
      </w:divBdr>
    </w:div>
    <w:div w:id="627049086">
      <w:marLeft w:val="0"/>
      <w:marRight w:val="0"/>
      <w:marTop w:val="0"/>
      <w:marBottom w:val="0"/>
      <w:divBdr>
        <w:top w:val="none" w:sz="0" w:space="0" w:color="auto"/>
        <w:left w:val="none" w:sz="0" w:space="0" w:color="auto"/>
        <w:bottom w:val="none" w:sz="0" w:space="0" w:color="auto"/>
        <w:right w:val="none" w:sz="0" w:space="0" w:color="auto"/>
      </w:divBdr>
    </w:div>
    <w:div w:id="630940875">
      <w:marLeft w:val="0"/>
      <w:marRight w:val="0"/>
      <w:marTop w:val="180"/>
      <w:marBottom w:val="120"/>
      <w:divBdr>
        <w:top w:val="none" w:sz="0" w:space="0" w:color="auto"/>
        <w:left w:val="none" w:sz="0" w:space="0" w:color="auto"/>
        <w:bottom w:val="none" w:sz="0" w:space="0" w:color="auto"/>
        <w:right w:val="none" w:sz="0" w:space="0" w:color="auto"/>
      </w:divBdr>
    </w:div>
    <w:div w:id="632176055">
      <w:marLeft w:val="0"/>
      <w:marRight w:val="0"/>
      <w:marTop w:val="0"/>
      <w:marBottom w:val="0"/>
      <w:divBdr>
        <w:top w:val="none" w:sz="0" w:space="0" w:color="auto"/>
        <w:left w:val="none" w:sz="0" w:space="0" w:color="auto"/>
        <w:bottom w:val="none" w:sz="0" w:space="0" w:color="auto"/>
        <w:right w:val="none" w:sz="0" w:space="0" w:color="auto"/>
      </w:divBdr>
    </w:div>
    <w:div w:id="641620421">
      <w:marLeft w:val="0"/>
      <w:marRight w:val="0"/>
      <w:marTop w:val="120"/>
      <w:marBottom w:val="0"/>
      <w:divBdr>
        <w:top w:val="none" w:sz="0" w:space="0" w:color="auto"/>
        <w:left w:val="none" w:sz="0" w:space="0" w:color="auto"/>
        <w:bottom w:val="none" w:sz="0" w:space="0" w:color="auto"/>
        <w:right w:val="none" w:sz="0" w:space="0" w:color="auto"/>
      </w:divBdr>
    </w:div>
    <w:div w:id="647326287">
      <w:marLeft w:val="0"/>
      <w:marRight w:val="0"/>
      <w:marTop w:val="120"/>
      <w:marBottom w:val="0"/>
      <w:divBdr>
        <w:top w:val="none" w:sz="0" w:space="0" w:color="auto"/>
        <w:left w:val="none" w:sz="0" w:space="0" w:color="auto"/>
        <w:bottom w:val="none" w:sz="0" w:space="0" w:color="auto"/>
        <w:right w:val="none" w:sz="0" w:space="0" w:color="auto"/>
      </w:divBdr>
    </w:div>
    <w:div w:id="655689059">
      <w:marLeft w:val="0"/>
      <w:marRight w:val="0"/>
      <w:marTop w:val="0"/>
      <w:marBottom w:val="0"/>
      <w:divBdr>
        <w:top w:val="none" w:sz="0" w:space="0" w:color="auto"/>
        <w:left w:val="none" w:sz="0" w:space="0" w:color="auto"/>
        <w:bottom w:val="none" w:sz="0" w:space="0" w:color="auto"/>
        <w:right w:val="none" w:sz="0" w:space="0" w:color="auto"/>
      </w:divBdr>
    </w:div>
    <w:div w:id="656347328">
      <w:marLeft w:val="0"/>
      <w:marRight w:val="0"/>
      <w:marTop w:val="120"/>
      <w:marBottom w:val="0"/>
      <w:divBdr>
        <w:top w:val="none" w:sz="0" w:space="0" w:color="auto"/>
        <w:left w:val="none" w:sz="0" w:space="0" w:color="auto"/>
        <w:bottom w:val="none" w:sz="0" w:space="0" w:color="auto"/>
        <w:right w:val="none" w:sz="0" w:space="0" w:color="auto"/>
      </w:divBdr>
    </w:div>
    <w:div w:id="657659238">
      <w:marLeft w:val="0"/>
      <w:marRight w:val="0"/>
      <w:marTop w:val="0"/>
      <w:marBottom w:val="0"/>
      <w:divBdr>
        <w:top w:val="none" w:sz="0" w:space="0" w:color="auto"/>
        <w:left w:val="none" w:sz="0" w:space="0" w:color="auto"/>
        <w:bottom w:val="none" w:sz="0" w:space="0" w:color="auto"/>
        <w:right w:val="none" w:sz="0" w:space="0" w:color="auto"/>
      </w:divBdr>
    </w:div>
    <w:div w:id="663243350">
      <w:marLeft w:val="0"/>
      <w:marRight w:val="0"/>
      <w:marTop w:val="120"/>
      <w:marBottom w:val="0"/>
      <w:divBdr>
        <w:top w:val="none" w:sz="0" w:space="0" w:color="auto"/>
        <w:left w:val="none" w:sz="0" w:space="0" w:color="auto"/>
        <w:bottom w:val="none" w:sz="0" w:space="0" w:color="auto"/>
        <w:right w:val="none" w:sz="0" w:space="0" w:color="auto"/>
      </w:divBdr>
    </w:div>
    <w:div w:id="664362551">
      <w:marLeft w:val="0"/>
      <w:marRight w:val="0"/>
      <w:marTop w:val="120"/>
      <w:marBottom w:val="0"/>
      <w:divBdr>
        <w:top w:val="none" w:sz="0" w:space="0" w:color="auto"/>
        <w:left w:val="none" w:sz="0" w:space="0" w:color="auto"/>
        <w:bottom w:val="none" w:sz="0" w:space="0" w:color="auto"/>
        <w:right w:val="none" w:sz="0" w:space="0" w:color="auto"/>
      </w:divBdr>
    </w:div>
    <w:div w:id="669217013">
      <w:marLeft w:val="0"/>
      <w:marRight w:val="0"/>
      <w:marTop w:val="180"/>
      <w:marBottom w:val="120"/>
      <w:divBdr>
        <w:top w:val="none" w:sz="0" w:space="0" w:color="auto"/>
        <w:left w:val="none" w:sz="0" w:space="0" w:color="auto"/>
        <w:bottom w:val="none" w:sz="0" w:space="0" w:color="auto"/>
        <w:right w:val="none" w:sz="0" w:space="0" w:color="auto"/>
      </w:divBdr>
    </w:div>
    <w:div w:id="669679072">
      <w:marLeft w:val="0"/>
      <w:marRight w:val="0"/>
      <w:marTop w:val="120"/>
      <w:marBottom w:val="120"/>
      <w:divBdr>
        <w:top w:val="none" w:sz="0" w:space="0" w:color="auto"/>
        <w:left w:val="none" w:sz="0" w:space="0" w:color="auto"/>
        <w:bottom w:val="none" w:sz="0" w:space="0" w:color="auto"/>
        <w:right w:val="none" w:sz="0" w:space="0" w:color="auto"/>
      </w:divBdr>
    </w:div>
    <w:div w:id="670572559">
      <w:marLeft w:val="0"/>
      <w:marRight w:val="0"/>
      <w:marTop w:val="120"/>
      <w:marBottom w:val="120"/>
      <w:divBdr>
        <w:top w:val="none" w:sz="0" w:space="0" w:color="auto"/>
        <w:left w:val="none" w:sz="0" w:space="0" w:color="auto"/>
        <w:bottom w:val="none" w:sz="0" w:space="0" w:color="auto"/>
        <w:right w:val="none" w:sz="0" w:space="0" w:color="auto"/>
      </w:divBdr>
    </w:div>
    <w:div w:id="675351616">
      <w:marLeft w:val="0"/>
      <w:marRight w:val="0"/>
      <w:marTop w:val="0"/>
      <w:marBottom w:val="120"/>
      <w:divBdr>
        <w:top w:val="none" w:sz="0" w:space="0" w:color="auto"/>
        <w:left w:val="none" w:sz="0" w:space="0" w:color="auto"/>
        <w:bottom w:val="none" w:sz="0" w:space="0" w:color="auto"/>
        <w:right w:val="none" w:sz="0" w:space="0" w:color="auto"/>
      </w:divBdr>
    </w:div>
    <w:div w:id="677267000">
      <w:marLeft w:val="0"/>
      <w:marRight w:val="0"/>
      <w:marTop w:val="120"/>
      <w:marBottom w:val="120"/>
      <w:divBdr>
        <w:top w:val="none" w:sz="0" w:space="0" w:color="auto"/>
        <w:left w:val="none" w:sz="0" w:space="0" w:color="auto"/>
        <w:bottom w:val="none" w:sz="0" w:space="0" w:color="auto"/>
        <w:right w:val="none" w:sz="0" w:space="0" w:color="auto"/>
      </w:divBdr>
    </w:div>
    <w:div w:id="678696916">
      <w:marLeft w:val="0"/>
      <w:marRight w:val="0"/>
      <w:marTop w:val="120"/>
      <w:marBottom w:val="120"/>
      <w:divBdr>
        <w:top w:val="none" w:sz="0" w:space="0" w:color="auto"/>
        <w:left w:val="none" w:sz="0" w:space="0" w:color="auto"/>
        <w:bottom w:val="none" w:sz="0" w:space="0" w:color="auto"/>
        <w:right w:val="none" w:sz="0" w:space="0" w:color="auto"/>
      </w:divBdr>
    </w:div>
    <w:div w:id="682628908">
      <w:marLeft w:val="0"/>
      <w:marRight w:val="0"/>
      <w:marTop w:val="120"/>
      <w:marBottom w:val="120"/>
      <w:divBdr>
        <w:top w:val="none" w:sz="0" w:space="0" w:color="auto"/>
        <w:left w:val="none" w:sz="0" w:space="0" w:color="auto"/>
        <w:bottom w:val="none" w:sz="0" w:space="0" w:color="auto"/>
        <w:right w:val="none" w:sz="0" w:space="0" w:color="auto"/>
      </w:divBdr>
    </w:div>
    <w:div w:id="685059232">
      <w:marLeft w:val="0"/>
      <w:marRight w:val="0"/>
      <w:marTop w:val="0"/>
      <w:marBottom w:val="0"/>
      <w:divBdr>
        <w:top w:val="none" w:sz="0" w:space="0" w:color="auto"/>
        <w:left w:val="none" w:sz="0" w:space="0" w:color="auto"/>
        <w:bottom w:val="none" w:sz="0" w:space="0" w:color="auto"/>
        <w:right w:val="none" w:sz="0" w:space="0" w:color="auto"/>
      </w:divBdr>
    </w:div>
    <w:div w:id="685325665">
      <w:marLeft w:val="0"/>
      <w:marRight w:val="0"/>
      <w:marTop w:val="120"/>
      <w:marBottom w:val="0"/>
      <w:divBdr>
        <w:top w:val="none" w:sz="0" w:space="0" w:color="auto"/>
        <w:left w:val="none" w:sz="0" w:space="0" w:color="auto"/>
        <w:bottom w:val="none" w:sz="0" w:space="0" w:color="auto"/>
        <w:right w:val="none" w:sz="0" w:space="0" w:color="auto"/>
      </w:divBdr>
    </w:div>
    <w:div w:id="685978830">
      <w:marLeft w:val="0"/>
      <w:marRight w:val="0"/>
      <w:marTop w:val="120"/>
      <w:marBottom w:val="0"/>
      <w:divBdr>
        <w:top w:val="none" w:sz="0" w:space="0" w:color="auto"/>
        <w:left w:val="none" w:sz="0" w:space="0" w:color="auto"/>
        <w:bottom w:val="none" w:sz="0" w:space="0" w:color="auto"/>
        <w:right w:val="none" w:sz="0" w:space="0" w:color="auto"/>
      </w:divBdr>
    </w:div>
    <w:div w:id="687029649">
      <w:marLeft w:val="0"/>
      <w:marRight w:val="0"/>
      <w:marTop w:val="120"/>
      <w:marBottom w:val="0"/>
      <w:divBdr>
        <w:top w:val="none" w:sz="0" w:space="0" w:color="auto"/>
        <w:left w:val="none" w:sz="0" w:space="0" w:color="auto"/>
        <w:bottom w:val="none" w:sz="0" w:space="0" w:color="auto"/>
        <w:right w:val="none" w:sz="0" w:space="0" w:color="auto"/>
      </w:divBdr>
    </w:div>
    <w:div w:id="691345121">
      <w:marLeft w:val="0"/>
      <w:marRight w:val="0"/>
      <w:marTop w:val="0"/>
      <w:marBottom w:val="0"/>
      <w:divBdr>
        <w:top w:val="none" w:sz="0" w:space="0" w:color="auto"/>
        <w:left w:val="none" w:sz="0" w:space="0" w:color="auto"/>
        <w:bottom w:val="none" w:sz="0" w:space="0" w:color="auto"/>
        <w:right w:val="none" w:sz="0" w:space="0" w:color="auto"/>
      </w:divBdr>
      <w:divsChild>
        <w:div w:id="930971454">
          <w:marLeft w:val="0"/>
          <w:marRight w:val="0"/>
          <w:marTop w:val="0"/>
          <w:marBottom w:val="0"/>
          <w:divBdr>
            <w:top w:val="none" w:sz="0" w:space="0" w:color="auto"/>
            <w:left w:val="none" w:sz="0" w:space="0" w:color="auto"/>
            <w:bottom w:val="none" w:sz="0" w:space="0" w:color="auto"/>
            <w:right w:val="none" w:sz="0" w:space="0" w:color="auto"/>
          </w:divBdr>
        </w:div>
      </w:divsChild>
    </w:div>
    <w:div w:id="691885609">
      <w:marLeft w:val="0"/>
      <w:marRight w:val="0"/>
      <w:marTop w:val="120"/>
      <w:marBottom w:val="120"/>
      <w:divBdr>
        <w:top w:val="none" w:sz="0" w:space="0" w:color="auto"/>
        <w:left w:val="none" w:sz="0" w:space="0" w:color="auto"/>
        <w:bottom w:val="none" w:sz="0" w:space="0" w:color="auto"/>
        <w:right w:val="none" w:sz="0" w:space="0" w:color="auto"/>
      </w:divBdr>
    </w:div>
    <w:div w:id="691955366">
      <w:marLeft w:val="0"/>
      <w:marRight w:val="0"/>
      <w:marTop w:val="120"/>
      <w:marBottom w:val="0"/>
      <w:divBdr>
        <w:top w:val="none" w:sz="0" w:space="0" w:color="auto"/>
        <w:left w:val="none" w:sz="0" w:space="0" w:color="auto"/>
        <w:bottom w:val="none" w:sz="0" w:space="0" w:color="auto"/>
        <w:right w:val="none" w:sz="0" w:space="0" w:color="auto"/>
      </w:divBdr>
    </w:div>
    <w:div w:id="691958145">
      <w:marLeft w:val="0"/>
      <w:marRight w:val="0"/>
      <w:marTop w:val="60"/>
      <w:marBottom w:val="0"/>
      <w:divBdr>
        <w:top w:val="none" w:sz="0" w:space="0" w:color="auto"/>
        <w:left w:val="none" w:sz="0" w:space="0" w:color="auto"/>
        <w:bottom w:val="none" w:sz="0" w:space="0" w:color="auto"/>
        <w:right w:val="none" w:sz="0" w:space="0" w:color="auto"/>
      </w:divBdr>
    </w:div>
    <w:div w:id="693307769">
      <w:marLeft w:val="0"/>
      <w:marRight w:val="0"/>
      <w:marTop w:val="120"/>
      <w:marBottom w:val="0"/>
      <w:divBdr>
        <w:top w:val="none" w:sz="0" w:space="0" w:color="auto"/>
        <w:left w:val="none" w:sz="0" w:space="0" w:color="auto"/>
        <w:bottom w:val="none" w:sz="0" w:space="0" w:color="auto"/>
        <w:right w:val="none" w:sz="0" w:space="0" w:color="auto"/>
      </w:divBdr>
    </w:div>
    <w:div w:id="693386931">
      <w:marLeft w:val="0"/>
      <w:marRight w:val="0"/>
      <w:marTop w:val="120"/>
      <w:marBottom w:val="0"/>
      <w:divBdr>
        <w:top w:val="none" w:sz="0" w:space="0" w:color="auto"/>
        <w:left w:val="none" w:sz="0" w:space="0" w:color="auto"/>
        <w:bottom w:val="none" w:sz="0" w:space="0" w:color="auto"/>
        <w:right w:val="none" w:sz="0" w:space="0" w:color="auto"/>
      </w:divBdr>
    </w:div>
    <w:div w:id="693530805">
      <w:marLeft w:val="0"/>
      <w:marRight w:val="0"/>
      <w:marTop w:val="120"/>
      <w:marBottom w:val="0"/>
      <w:divBdr>
        <w:top w:val="none" w:sz="0" w:space="0" w:color="auto"/>
        <w:left w:val="none" w:sz="0" w:space="0" w:color="auto"/>
        <w:bottom w:val="none" w:sz="0" w:space="0" w:color="auto"/>
        <w:right w:val="none" w:sz="0" w:space="0" w:color="auto"/>
      </w:divBdr>
    </w:div>
    <w:div w:id="695039924">
      <w:marLeft w:val="0"/>
      <w:marRight w:val="0"/>
      <w:marTop w:val="120"/>
      <w:marBottom w:val="120"/>
      <w:divBdr>
        <w:top w:val="none" w:sz="0" w:space="0" w:color="auto"/>
        <w:left w:val="none" w:sz="0" w:space="0" w:color="auto"/>
        <w:bottom w:val="none" w:sz="0" w:space="0" w:color="auto"/>
        <w:right w:val="none" w:sz="0" w:space="0" w:color="auto"/>
      </w:divBdr>
    </w:div>
    <w:div w:id="695958847">
      <w:marLeft w:val="0"/>
      <w:marRight w:val="0"/>
      <w:marTop w:val="0"/>
      <w:marBottom w:val="0"/>
      <w:divBdr>
        <w:top w:val="none" w:sz="0" w:space="0" w:color="auto"/>
        <w:left w:val="none" w:sz="0" w:space="0" w:color="auto"/>
        <w:bottom w:val="none" w:sz="0" w:space="0" w:color="auto"/>
        <w:right w:val="none" w:sz="0" w:space="0" w:color="auto"/>
      </w:divBdr>
      <w:divsChild>
        <w:div w:id="1327780681">
          <w:marLeft w:val="0"/>
          <w:marRight w:val="0"/>
          <w:marTop w:val="0"/>
          <w:marBottom w:val="0"/>
          <w:divBdr>
            <w:top w:val="none" w:sz="0" w:space="0" w:color="auto"/>
            <w:left w:val="none" w:sz="0" w:space="0" w:color="auto"/>
            <w:bottom w:val="none" w:sz="0" w:space="0" w:color="auto"/>
            <w:right w:val="none" w:sz="0" w:space="0" w:color="auto"/>
          </w:divBdr>
        </w:div>
      </w:divsChild>
    </w:div>
    <w:div w:id="697389983">
      <w:marLeft w:val="0"/>
      <w:marRight w:val="0"/>
      <w:marTop w:val="120"/>
      <w:marBottom w:val="0"/>
      <w:divBdr>
        <w:top w:val="none" w:sz="0" w:space="0" w:color="auto"/>
        <w:left w:val="none" w:sz="0" w:space="0" w:color="auto"/>
        <w:bottom w:val="none" w:sz="0" w:space="0" w:color="auto"/>
        <w:right w:val="none" w:sz="0" w:space="0" w:color="auto"/>
      </w:divBdr>
    </w:div>
    <w:div w:id="701056530">
      <w:marLeft w:val="0"/>
      <w:marRight w:val="0"/>
      <w:marTop w:val="0"/>
      <w:marBottom w:val="0"/>
      <w:divBdr>
        <w:top w:val="none" w:sz="0" w:space="0" w:color="auto"/>
        <w:left w:val="none" w:sz="0" w:space="0" w:color="auto"/>
        <w:bottom w:val="none" w:sz="0" w:space="0" w:color="auto"/>
        <w:right w:val="none" w:sz="0" w:space="0" w:color="auto"/>
      </w:divBdr>
    </w:div>
    <w:div w:id="702438234">
      <w:marLeft w:val="0"/>
      <w:marRight w:val="0"/>
      <w:marTop w:val="0"/>
      <w:marBottom w:val="0"/>
      <w:divBdr>
        <w:top w:val="none" w:sz="0" w:space="0" w:color="auto"/>
        <w:left w:val="none" w:sz="0" w:space="0" w:color="auto"/>
        <w:bottom w:val="none" w:sz="0" w:space="0" w:color="auto"/>
        <w:right w:val="none" w:sz="0" w:space="0" w:color="auto"/>
      </w:divBdr>
    </w:div>
    <w:div w:id="704714821">
      <w:marLeft w:val="0"/>
      <w:marRight w:val="0"/>
      <w:marTop w:val="0"/>
      <w:marBottom w:val="0"/>
      <w:divBdr>
        <w:top w:val="none" w:sz="0" w:space="0" w:color="auto"/>
        <w:left w:val="none" w:sz="0" w:space="0" w:color="auto"/>
        <w:bottom w:val="none" w:sz="0" w:space="0" w:color="auto"/>
        <w:right w:val="none" w:sz="0" w:space="0" w:color="auto"/>
      </w:divBdr>
    </w:div>
    <w:div w:id="707267445">
      <w:marLeft w:val="0"/>
      <w:marRight w:val="0"/>
      <w:marTop w:val="120"/>
      <w:marBottom w:val="120"/>
      <w:divBdr>
        <w:top w:val="none" w:sz="0" w:space="0" w:color="auto"/>
        <w:left w:val="none" w:sz="0" w:space="0" w:color="auto"/>
        <w:bottom w:val="none" w:sz="0" w:space="0" w:color="auto"/>
        <w:right w:val="none" w:sz="0" w:space="0" w:color="auto"/>
      </w:divBdr>
    </w:div>
    <w:div w:id="707684805">
      <w:marLeft w:val="0"/>
      <w:marRight w:val="0"/>
      <w:marTop w:val="120"/>
      <w:marBottom w:val="120"/>
      <w:divBdr>
        <w:top w:val="none" w:sz="0" w:space="0" w:color="auto"/>
        <w:left w:val="none" w:sz="0" w:space="0" w:color="auto"/>
        <w:bottom w:val="none" w:sz="0" w:space="0" w:color="auto"/>
        <w:right w:val="none" w:sz="0" w:space="0" w:color="auto"/>
      </w:divBdr>
    </w:div>
    <w:div w:id="708335736">
      <w:marLeft w:val="0"/>
      <w:marRight w:val="0"/>
      <w:marTop w:val="0"/>
      <w:marBottom w:val="0"/>
      <w:divBdr>
        <w:top w:val="none" w:sz="0" w:space="0" w:color="auto"/>
        <w:left w:val="none" w:sz="0" w:space="0" w:color="auto"/>
        <w:bottom w:val="none" w:sz="0" w:space="0" w:color="auto"/>
        <w:right w:val="none" w:sz="0" w:space="0" w:color="auto"/>
      </w:divBdr>
    </w:div>
    <w:div w:id="714542315">
      <w:marLeft w:val="0"/>
      <w:marRight w:val="0"/>
      <w:marTop w:val="180"/>
      <w:marBottom w:val="120"/>
      <w:divBdr>
        <w:top w:val="none" w:sz="0" w:space="0" w:color="auto"/>
        <w:left w:val="none" w:sz="0" w:space="0" w:color="auto"/>
        <w:bottom w:val="none" w:sz="0" w:space="0" w:color="auto"/>
        <w:right w:val="none" w:sz="0" w:space="0" w:color="auto"/>
      </w:divBdr>
    </w:div>
    <w:div w:id="720712870">
      <w:marLeft w:val="0"/>
      <w:marRight w:val="0"/>
      <w:marTop w:val="120"/>
      <w:marBottom w:val="120"/>
      <w:divBdr>
        <w:top w:val="none" w:sz="0" w:space="0" w:color="auto"/>
        <w:left w:val="none" w:sz="0" w:space="0" w:color="auto"/>
        <w:bottom w:val="none" w:sz="0" w:space="0" w:color="auto"/>
        <w:right w:val="none" w:sz="0" w:space="0" w:color="auto"/>
      </w:divBdr>
    </w:div>
    <w:div w:id="724569228">
      <w:marLeft w:val="0"/>
      <w:marRight w:val="0"/>
      <w:marTop w:val="0"/>
      <w:marBottom w:val="120"/>
      <w:divBdr>
        <w:top w:val="none" w:sz="0" w:space="0" w:color="auto"/>
        <w:left w:val="none" w:sz="0" w:space="0" w:color="auto"/>
        <w:bottom w:val="none" w:sz="0" w:space="0" w:color="auto"/>
        <w:right w:val="none" w:sz="0" w:space="0" w:color="auto"/>
      </w:divBdr>
    </w:div>
    <w:div w:id="724641339">
      <w:marLeft w:val="0"/>
      <w:marRight w:val="0"/>
      <w:marTop w:val="0"/>
      <w:marBottom w:val="0"/>
      <w:divBdr>
        <w:top w:val="none" w:sz="0" w:space="0" w:color="auto"/>
        <w:left w:val="none" w:sz="0" w:space="0" w:color="auto"/>
        <w:bottom w:val="none" w:sz="0" w:space="0" w:color="auto"/>
        <w:right w:val="none" w:sz="0" w:space="0" w:color="auto"/>
      </w:divBdr>
    </w:div>
    <w:div w:id="724836172">
      <w:marLeft w:val="0"/>
      <w:marRight w:val="0"/>
      <w:marTop w:val="120"/>
      <w:marBottom w:val="0"/>
      <w:divBdr>
        <w:top w:val="none" w:sz="0" w:space="0" w:color="auto"/>
        <w:left w:val="none" w:sz="0" w:space="0" w:color="auto"/>
        <w:bottom w:val="none" w:sz="0" w:space="0" w:color="auto"/>
        <w:right w:val="none" w:sz="0" w:space="0" w:color="auto"/>
      </w:divBdr>
    </w:div>
    <w:div w:id="725301963">
      <w:marLeft w:val="0"/>
      <w:marRight w:val="0"/>
      <w:marTop w:val="120"/>
      <w:marBottom w:val="0"/>
      <w:divBdr>
        <w:top w:val="none" w:sz="0" w:space="0" w:color="auto"/>
        <w:left w:val="none" w:sz="0" w:space="0" w:color="auto"/>
        <w:bottom w:val="none" w:sz="0" w:space="0" w:color="auto"/>
        <w:right w:val="none" w:sz="0" w:space="0" w:color="auto"/>
      </w:divBdr>
    </w:div>
    <w:div w:id="733235736">
      <w:marLeft w:val="0"/>
      <w:marRight w:val="0"/>
      <w:marTop w:val="0"/>
      <w:marBottom w:val="0"/>
      <w:divBdr>
        <w:top w:val="none" w:sz="0" w:space="0" w:color="auto"/>
        <w:left w:val="none" w:sz="0" w:space="0" w:color="auto"/>
        <w:bottom w:val="none" w:sz="0" w:space="0" w:color="auto"/>
        <w:right w:val="none" w:sz="0" w:space="0" w:color="auto"/>
      </w:divBdr>
      <w:divsChild>
        <w:div w:id="1152988849">
          <w:marLeft w:val="0"/>
          <w:marRight w:val="0"/>
          <w:marTop w:val="0"/>
          <w:marBottom w:val="0"/>
          <w:divBdr>
            <w:top w:val="none" w:sz="0" w:space="0" w:color="auto"/>
            <w:left w:val="none" w:sz="0" w:space="0" w:color="auto"/>
            <w:bottom w:val="none" w:sz="0" w:space="0" w:color="auto"/>
            <w:right w:val="none" w:sz="0" w:space="0" w:color="auto"/>
          </w:divBdr>
        </w:div>
      </w:divsChild>
    </w:div>
    <w:div w:id="734548786">
      <w:marLeft w:val="0"/>
      <w:marRight w:val="0"/>
      <w:marTop w:val="0"/>
      <w:marBottom w:val="0"/>
      <w:divBdr>
        <w:top w:val="none" w:sz="0" w:space="0" w:color="auto"/>
        <w:left w:val="none" w:sz="0" w:space="0" w:color="auto"/>
        <w:bottom w:val="none" w:sz="0" w:space="0" w:color="auto"/>
        <w:right w:val="none" w:sz="0" w:space="0" w:color="auto"/>
      </w:divBdr>
      <w:divsChild>
        <w:div w:id="458840929">
          <w:marLeft w:val="0"/>
          <w:marRight w:val="0"/>
          <w:marTop w:val="0"/>
          <w:marBottom w:val="0"/>
          <w:divBdr>
            <w:top w:val="none" w:sz="0" w:space="0" w:color="auto"/>
            <w:left w:val="none" w:sz="0" w:space="0" w:color="auto"/>
            <w:bottom w:val="none" w:sz="0" w:space="0" w:color="auto"/>
            <w:right w:val="none" w:sz="0" w:space="0" w:color="auto"/>
          </w:divBdr>
        </w:div>
      </w:divsChild>
    </w:div>
    <w:div w:id="736053553">
      <w:marLeft w:val="0"/>
      <w:marRight w:val="0"/>
      <w:marTop w:val="0"/>
      <w:marBottom w:val="0"/>
      <w:divBdr>
        <w:top w:val="none" w:sz="0" w:space="0" w:color="auto"/>
        <w:left w:val="none" w:sz="0" w:space="0" w:color="auto"/>
        <w:bottom w:val="none" w:sz="0" w:space="0" w:color="auto"/>
        <w:right w:val="none" w:sz="0" w:space="0" w:color="auto"/>
      </w:divBdr>
      <w:divsChild>
        <w:div w:id="194276197">
          <w:marLeft w:val="0"/>
          <w:marRight w:val="0"/>
          <w:marTop w:val="0"/>
          <w:marBottom w:val="0"/>
          <w:divBdr>
            <w:top w:val="none" w:sz="0" w:space="0" w:color="auto"/>
            <w:left w:val="none" w:sz="0" w:space="0" w:color="auto"/>
            <w:bottom w:val="none" w:sz="0" w:space="0" w:color="auto"/>
            <w:right w:val="none" w:sz="0" w:space="0" w:color="auto"/>
          </w:divBdr>
        </w:div>
      </w:divsChild>
    </w:div>
    <w:div w:id="737363093">
      <w:marLeft w:val="0"/>
      <w:marRight w:val="0"/>
      <w:marTop w:val="120"/>
      <w:marBottom w:val="120"/>
      <w:divBdr>
        <w:top w:val="none" w:sz="0" w:space="0" w:color="auto"/>
        <w:left w:val="none" w:sz="0" w:space="0" w:color="auto"/>
        <w:bottom w:val="none" w:sz="0" w:space="0" w:color="auto"/>
        <w:right w:val="none" w:sz="0" w:space="0" w:color="auto"/>
      </w:divBdr>
    </w:div>
    <w:div w:id="740491506">
      <w:marLeft w:val="0"/>
      <w:marRight w:val="0"/>
      <w:marTop w:val="120"/>
      <w:marBottom w:val="120"/>
      <w:divBdr>
        <w:top w:val="none" w:sz="0" w:space="0" w:color="auto"/>
        <w:left w:val="none" w:sz="0" w:space="0" w:color="auto"/>
        <w:bottom w:val="none" w:sz="0" w:space="0" w:color="auto"/>
        <w:right w:val="none" w:sz="0" w:space="0" w:color="auto"/>
      </w:divBdr>
    </w:div>
    <w:div w:id="741025716">
      <w:marLeft w:val="0"/>
      <w:marRight w:val="0"/>
      <w:marTop w:val="240"/>
      <w:marBottom w:val="120"/>
      <w:divBdr>
        <w:top w:val="none" w:sz="0" w:space="0" w:color="auto"/>
        <w:left w:val="none" w:sz="0" w:space="0" w:color="auto"/>
        <w:bottom w:val="none" w:sz="0" w:space="0" w:color="auto"/>
        <w:right w:val="none" w:sz="0" w:space="0" w:color="auto"/>
      </w:divBdr>
    </w:div>
    <w:div w:id="741171908">
      <w:marLeft w:val="0"/>
      <w:marRight w:val="0"/>
      <w:marTop w:val="120"/>
      <w:marBottom w:val="0"/>
      <w:divBdr>
        <w:top w:val="none" w:sz="0" w:space="0" w:color="auto"/>
        <w:left w:val="none" w:sz="0" w:space="0" w:color="auto"/>
        <w:bottom w:val="none" w:sz="0" w:space="0" w:color="auto"/>
        <w:right w:val="none" w:sz="0" w:space="0" w:color="auto"/>
      </w:divBdr>
    </w:div>
    <w:div w:id="742799426">
      <w:marLeft w:val="0"/>
      <w:marRight w:val="0"/>
      <w:marTop w:val="120"/>
      <w:marBottom w:val="120"/>
      <w:divBdr>
        <w:top w:val="none" w:sz="0" w:space="0" w:color="auto"/>
        <w:left w:val="none" w:sz="0" w:space="0" w:color="auto"/>
        <w:bottom w:val="none" w:sz="0" w:space="0" w:color="auto"/>
        <w:right w:val="none" w:sz="0" w:space="0" w:color="auto"/>
      </w:divBdr>
    </w:div>
    <w:div w:id="744497219">
      <w:marLeft w:val="0"/>
      <w:marRight w:val="0"/>
      <w:marTop w:val="0"/>
      <w:marBottom w:val="0"/>
      <w:divBdr>
        <w:top w:val="none" w:sz="0" w:space="0" w:color="auto"/>
        <w:left w:val="none" w:sz="0" w:space="0" w:color="auto"/>
        <w:bottom w:val="none" w:sz="0" w:space="0" w:color="auto"/>
        <w:right w:val="none" w:sz="0" w:space="0" w:color="auto"/>
      </w:divBdr>
    </w:div>
    <w:div w:id="750470727">
      <w:marLeft w:val="0"/>
      <w:marRight w:val="0"/>
      <w:marTop w:val="120"/>
      <w:marBottom w:val="0"/>
      <w:divBdr>
        <w:top w:val="none" w:sz="0" w:space="0" w:color="auto"/>
        <w:left w:val="none" w:sz="0" w:space="0" w:color="auto"/>
        <w:bottom w:val="none" w:sz="0" w:space="0" w:color="auto"/>
        <w:right w:val="none" w:sz="0" w:space="0" w:color="auto"/>
      </w:divBdr>
    </w:div>
    <w:div w:id="755442037">
      <w:marLeft w:val="0"/>
      <w:marRight w:val="0"/>
      <w:marTop w:val="0"/>
      <w:marBottom w:val="0"/>
      <w:divBdr>
        <w:top w:val="none" w:sz="0" w:space="0" w:color="auto"/>
        <w:left w:val="none" w:sz="0" w:space="0" w:color="auto"/>
        <w:bottom w:val="none" w:sz="0" w:space="0" w:color="auto"/>
        <w:right w:val="none" w:sz="0" w:space="0" w:color="auto"/>
      </w:divBdr>
    </w:div>
    <w:div w:id="755517066">
      <w:marLeft w:val="0"/>
      <w:marRight w:val="0"/>
      <w:marTop w:val="0"/>
      <w:marBottom w:val="0"/>
      <w:divBdr>
        <w:top w:val="none" w:sz="0" w:space="0" w:color="auto"/>
        <w:left w:val="none" w:sz="0" w:space="0" w:color="auto"/>
        <w:bottom w:val="none" w:sz="0" w:space="0" w:color="auto"/>
        <w:right w:val="none" w:sz="0" w:space="0" w:color="auto"/>
      </w:divBdr>
    </w:div>
    <w:div w:id="759760964">
      <w:marLeft w:val="0"/>
      <w:marRight w:val="0"/>
      <w:marTop w:val="240"/>
      <w:marBottom w:val="120"/>
      <w:divBdr>
        <w:top w:val="none" w:sz="0" w:space="0" w:color="auto"/>
        <w:left w:val="none" w:sz="0" w:space="0" w:color="auto"/>
        <w:bottom w:val="none" w:sz="0" w:space="0" w:color="auto"/>
        <w:right w:val="none" w:sz="0" w:space="0" w:color="auto"/>
      </w:divBdr>
    </w:div>
    <w:div w:id="761268298">
      <w:marLeft w:val="0"/>
      <w:marRight w:val="0"/>
      <w:marTop w:val="0"/>
      <w:marBottom w:val="0"/>
      <w:divBdr>
        <w:top w:val="none" w:sz="0" w:space="0" w:color="auto"/>
        <w:left w:val="none" w:sz="0" w:space="0" w:color="auto"/>
        <w:bottom w:val="none" w:sz="0" w:space="0" w:color="auto"/>
        <w:right w:val="none" w:sz="0" w:space="0" w:color="auto"/>
      </w:divBdr>
    </w:div>
    <w:div w:id="761953977">
      <w:marLeft w:val="0"/>
      <w:marRight w:val="0"/>
      <w:marTop w:val="120"/>
      <w:marBottom w:val="120"/>
      <w:divBdr>
        <w:top w:val="none" w:sz="0" w:space="0" w:color="auto"/>
        <w:left w:val="none" w:sz="0" w:space="0" w:color="auto"/>
        <w:bottom w:val="none" w:sz="0" w:space="0" w:color="auto"/>
        <w:right w:val="none" w:sz="0" w:space="0" w:color="auto"/>
      </w:divBdr>
    </w:div>
    <w:div w:id="763650039">
      <w:marLeft w:val="0"/>
      <w:marRight w:val="0"/>
      <w:marTop w:val="120"/>
      <w:marBottom w:val="120"/>
      <w:divBdr>
        <w:top w:val="none" w:sz="0" w:space="0" w:color="auto"/>
        <w:left w:val="none" w:sz="0" w:space="0" w:color="auto"/>
        <w:bottom w:val="none" w:sz="0" w:space="0" w:color="auto"/>
        <w:right w:val="none" w:sz="0" w:space="0" w:color="auto"/>
      </w:divBdr>
    </w:div>
    <w:div w:id="764618727">
      <w:marLeft w:val="0"/>
      <w:marRight w:val="0"/>
      <w:marTop w:val="0"/>
      <w:marBottom w:val="120"/>
      <w:divBdr>
        <w:top w:val="none" w:sz="0" w:space="0" w:color="auto"/>
        <w:left w:val="none" w:sz="0" w:space="0" w:color="auto"/>
        <w:bottom w:val="none" w:sz="0" w:space="0" w:color="auto"/>
        <w:right w:val="none" w:sz="0" w:space="0" w:color="auto"/>
      </w:divBdr>
    </w:div>
    <w:div w:id="764689902">
      <w:marLeft w:val="0"/>
      <w:marRight w:val="0"/>
      <w:marTop w:val="120"/>
      <w:marBottom w:val="0"/>
      <w:divBdr>
        <w:top w:val="none" w:sz="0" w:space="0" w:color="auto"/>
        <w:left w:val="none" w:sz="0" w:space="0" w:color="auto"/>
        <w:bottom w:val="none" w:sz="0" w:space="0" w:color="auto"/>
        <w:right w:val="none" w:sz="0" w:space="0" w:color="auto"/>
      </w:divBdr>
    </w:div>
    <w:div w:id="766538638">
      <w:marLeft w:val="0"/>
      <w:marRight w:val="0"/>
      <w:marTop w:val="0"/>
      <w:marBottom w:val="0"/>
      <w:divBdr>
        <w:top w:val="none" w:sz="0" w:space="0" w:color="auto"/>
        <w:left w:val="none" w:sz="0" w:space="0" w:color="auto"/>
        <w:bottom w:val="none" w:sz="0" w:space="0" w:color="auto"/>
        <w:right w:val="none" w:sz="0" w:space="0" w:color="auto"/>
      </w:divBdr>
      <w:divsChild>
        <w:div w:id="349257407">
          <w:marLeft w:val="0"/>
          <w:marRight w:val="0"/>
          <w:marTop w:val="0"/>
          <w:marBottom w:val="0"/>
          <w:divBdr>
            <w:top w:val="none" w:sz="0" w:space="0" w:color="auto"/>
            <w:left w:val="none" w:sz="0" w:space="0" w:color="auto"/>
            <w:bottom w:val="none" w:sz="0" w:space="0" w:color="auto"/>
            <w:right w:val="none" w:sz="0" w:space="0" w:color="auto"/>
          </w:divBdr>
        </w:div>
      </w:divsChild>
    </w:div>
    <w:div w:id="770274846">
      <w:marLeft w:val="0"/>
      <w:marRight w:val="0"/>
      <w:marTop w:val="120"/>
      <w:marBottom w:val="0"/>
      <w:divBdr>
        <w:top w:val="none" w:sz="0" w:space="0" w:color="auto"/>
        <w:left w:val="none" w:sz="0" w:space="0" w:color="auto"/>
        <w:bottom w:val="none" w:sz="0" w:space="0" w:color="auto"/>
        <w:right w:val="none" w:sz="0" w:space="0" w:color="auto"/>
      </w:divBdr>
    </w:div>
    <w:div w:id="770321640">
      <w:marLeft w:val="0"/>
      <w:marRight w:val="0"/>
      <w:marTop w:val="120"/>
      <w:marBottom w:val="120"/>
      <w:divBdr>
        <w:top w:val="none" w:sz="0" w:space="0" w:color="auto"/>
        <w:left w:val="none" w:sz="0" w:space="0" w:color="auto"/>
        <w:bottom w:val="none" w:sz="0" w:space="0" w:color="auto"/>
        <w:right w:val="none" w:sz="0" w:space="0" w:color="auto"/>
      </w:divBdr>
    </w:div>
    <w:div w:id="774524088">
      <w:marLeft w:val="0"/>
      <w:marRight w:val="0"/>
      <w:marTop w:val="0"/>
      <w:marBottom w:val="0"/>
      <w:divBdr>
        <w:top w:val="none" w:sz="0" w:space="0" w:color="auto"/>
        <w:left w:val="none" w:sz="0" w:space="0" w:color="auto"/>
        <w:bottom w:val="none" w:sz="0" w:space="0" w:color="auto"/>
        <w:right w:val="none" w:sz="0" w:space="0" w:color="auto"/>
      </w:divBdr>
    </w:div>
    <w:div w:id="776682109">
      <w:marLeft w:val="0"/>
      <w:marRight w:val="0"/>
      <w:marTop w:val="180"/>
      <w:marBottom w:val="0"/>
      <w:divBdr>
        <w:top w:val="none" w:sz="0" w:space="0" w:color="auto"/>
        <w:left w:val="none" w:sz="0" w:space="0" w:color="auto"/>
        <w:bottom w:val="none" w:sz="0" w:space="0" w:color="auto"/>
        <w:right w:val="none" w:sz="0" w:space="0" w:color="auto"/>
      </w:divBdr>
    </w:div>
    <w:div w:id="778186143">
      <w:marLeft w:val="0"/>
      <w:marRight w:val="0"/>
      <w:marTop w:val="120"/>
      <w:marBottom w:val="0"/>
      <w:divBdr>
        <w:top w:val="none" w:sz="0" w:space="0" w:color="auto"/>
        <w:left w:val="none" w:sz="0" w:space="0" w:color="auto"/>
        <w:bottom w:val="none" w:sz="0" w:space="0" w:color="auto"/>
        <w:right w:val="none" w:sz="0" w:space="0" w:color="auto"/>
      </w:divBdr>
    </w:div>
    <w:div w:id="779839641">
      <w:marLeft w:val="0"/>
      <w:marRight w:val="0"/>
      <w:marTop w:val="180"/>
      <w:marBottom w:val="0"/>
      <w:divBdr>
        <w:top w:val="none" w:sz="0" w:space="0" w:color="auto"/>
        <w:left w:val="none" w:sz="0" w:space="0" w:color="auto"/>
        <w:bottom w:val="none" w:sz="0" w:space="0" w:color="auto"/>
        <w:right w:val="none" w:sz="0" w:space="0" w:color="auto"/>
      </w:divBdr>
    </w:div>
    <w:div w:id="779957983">
      <w:marLeft w:val="0"/>
      <w:marRight w:val="0"/>
      <w:marTop w:val="120"/>
      <w:marBottom w:val="0"/>
      <w:divBdr>
        <w:top w:val="none" w:sz="0" w:space="0" w:color="auto"/>
        <w:left w:val="none" w:sz="0" w:space="0" w:color="auto"/>
        <w:bottom w:val="none" w:sz="0" w:space="0" w:color="auto"/>
        <w:right w:val="none" w:sz="0" w:space="0" w:color="auto"/>
      </w:divBdr>
    </w:div>
    <w:div w:id="780144682">
      <w:marLeft w:val="0"/>
      <w:marRight w:val="0"/>
      <w:marTop w:val="120"/>
      <w:marBottom w:val="0"/>
      <w:divBdr>
        <w:top w:val="none" w:sz="0" w:space="0" w:color="auto"/>
        <w:left w:val="none" w:sz="0" w:space="0" w:color="auto"/>
        <w:bottom w:val="none" w:sz="0" w:space="0" w:color="auto"/>
        <w:right w:val="none" w:sz="0" w:space="0" w:color="auto"/>
      </w:divBdr>
    </w:div>
    <w:div w:id="784272482">
      <w:marLeft w:val="0"/>
      <w:marRight w:val="0"/>
      <w:marTop w:val="0"/>
      <w:marBottom w:val="0"/>
      <w:divBdr>
        <w:top w:val="none" w:sz="0" w:space="0" w:color="auto"/>
        <w:left w:val="none" w:sz="0" w:space="0" w:color="auto"/>
        <w:bottom w:val="none" w:sz="0" w:space="0" w:color="auto"/>
        <w:right w:val="none" w:sz="0" w:space="0" w:color="auto"/>
      </w:divBdr>
    </w:div>
    <w:div w:id="784540791">
      <w:marLeft w:val="0"/>
      <w:marRight w:val="0"/>
      <w:marTop w:val="120"/>
      <w:marBottom w:val="120"/>
      <w:divBdr>
        <w:top w:val="none" w:sz="0" w:space="0" w:color="auto"/>
        <w:left w:val="none" w:sz="0" w:space="0" w:color="auto"/>
        <w:bottom w:val="none" w:sz="0" w:space="0" w:color="auto"/>
        <w:right w:val="none" w:sz="0" w:space="0" w:color="auto"/>
      </w:divBdr>
    </w:div>
    <w:div w:id="784689051">
      <w:marLeft w:val="0"/>
      <w:marRight w:val="0"/>
      <w:marTop w:val="120"/>
      <w:marBottom w:val="120"/>
      <w:divBdr>
        <w:top w:val="none" w:sz="0" w:space="0" w:color="auto"/>
        <w:left w:val="none" w:sz="0" w:space="0" w:color="auto"/>
        <w:bottom w:val="none" w:sz="0" w:space="0" w:color="auto"/>
        <w:right w:val="none" w:sz="0" w:space="0" w:color="auto"/>
      </w:divBdr>
    </w:div>
    <w:div w:id="785974629">
      <w:marLeft w:val="0"/>
      <w:marRight w:val="0"/>
      <w:marTop w:val="0"/>
      <w:marBottom w:val="0"/>
      <w:divBdr>
        <w:top w:val="none" w:sz="0" w:space="0" w:color="auto"/>
        <w:left w:val="none" w:sz="0" w:space="0" w:color="auto"/>
        <w:bottom w:val="none" w:sz="0" w:space="0" w:color="auto"/>
        <w:right w:val="none" w:sz="0" w:space="0" w:color="auto"/>
      </w:divBdr>
    </w:div>
    <w:div w:id="786388051">
      <w:marLeft w:val="0"/>
      <w:marRight w:val="0"/>
      <w:marTop w:val="120"/>
      <w:marBottom w:val="120"/>
      <w:divBdr>
        <w:top w:val="none" w:sz="0" w:space="0" w:color="auto"/>
        <w:left w:val="none" w:sz="0" w:space="0" w:color="auto"/>
        <w:bottom w:val="none" w:sz="0" w:space="0" w:color="auto"/>
        <w:right w:val="none" w:sz="0" w:space="0" w:color="auto"/>
      </w:divBdr>
    </w:div>
    <w:div w:id="789325028">
      <w:marLeft w:val="0"/>
      <w:marRight w:val="0"/>
      <w:marTop w:val="0"/>
      <w:marBottom w:val="120"/>
      <w:divBdr>
        <w:top w:val="none" w:sz="0" w:space="0" w:color="auto"/>
        <w:left w:val="none" w:sz="0" w:space="0" w:color="auto"/>
        <w:bottom w:val="none" w:sz="0" w:space="0" w:color="auto"/>
        <w:right w:val="none" w:sz="0" w:space="0" w:color="auto"/>
      </w:divBdr>
    </w:div>
    <w:div w:id="790974289">
      <w:marLeft w:val="0"/>
      <w:marRight w:val="0"/>
      <w:marTop w:val="120"/>
      <w:marBottom w:val="0"/>
      <w:divBdr>
        <w:top w:val="none" w:sz="0" w:space="0" w:color="auto"/>
        <w:left w:val="none" w:sz="0" w:space="0" w:color="auto"/>
        <w:bottom w:val="none" w:sz="0" w:space="0" w:color="auto"/>
        <w:right w:val="none" w:sz="0" w:space="0" w:color="auto"/>
      </w:divBdr>
    </w:div>
    <w:div w:id="790978960">
      <w:marLeft w:val="0"/>
      <w:marRight w:val="0"/>
      <w:marTop w:val="0"/>
      <w:marBottom w:val="0"/>
      <w:divBdr>
        <w:top w:val="none" w:sz="0" w:space="0" w:color="auto"/>
        <w:left w:val="none" w:sz="0" w:space="0" w:color="auto"/>
        <w:bottom w:val="none" w:sz="0" w:space="0" w:color="auto"/>
        <w:right w:val="none" w:sz="0" w:space="0" w:color="auto"/>
      </w:divBdr>
      <w:divsChild>
        <w:div w:id="489640043">
          <w:marLeft w:val="0"/>
          <w:marRight w:val="0"/>
          <w:marTop w:val="0"/>
          <w:marBottom w:val="0"/>
          <w:divBdr>
            <w:top w:val="none" w:sz="0" w:space="0" w:color="auto"/>
            <w:left w:val="none" w:sz="0" w:space="0" w:color="auto"/>
            <w:bottom w:val="none" w:sz="0" w:space="0" w:color="auto"/>
            <w:right w:val="none" w:sz="0" w:space="0" w:color="auto"/>
          </w:divBdr>
        </w:div>
      </w:divsChild>
    </w:div>
    <w:div w:id="791675271">
      <w:marLeft w:val="0"/>
      <w:marRight w:val="0"/>
      <w:marTop w:val="0"/>
      <w:marBottom w:val="0"/>
      <w:divBdr>
        <w:top w:val="none" w:sz="0" w:space="0" w:color="auto"/>
        <w:left w:val="none" w:sz="0" w:space="0" w:color="auto"/>
        <w:bottom w:val="none" w:sz="0" w:space="0" w:color="auto"/>
        <w:right w:val="none" w:sz="0" w:space="0" w:color="auto"/>
      </w:divBdr>
    </w:div>
    <w:div w:id="794568985">
      <w:marLeft w:val="0"/>
      <w:marRight w:val="0"/>
      <w:marTop w:val="0"/>
      <w:marBottom w:val="0"/>
      <w:divBdr>
        <w:top w:val="none" w:sz="0" w:space="0" w:color="auto"/>
        <w:left w:val="none" w:sz="0" w:space="0" w:color="auto"/>
        <w:bottom w:val="none" w:sz="0" w:space="0" w:color="auto"/>
        <w:right w:val="none" w:sz="0" w:space="0" w:color="auto"/>
      </w:divBdr>
      <w:divsChild>
        <w:div w:id="198861699">
          <w:marLeft w:val="0"/>
          <w:marRight w:val="0"/>
          <w:marTop w:val="0"/>
          <w:marBottom w:val="0"/>
          <w:divBdr>
            <w:top w:val="none" w:sz="0" w:space="0" w:color="auto"/>
            <w:left w:val="none" w:sz="0" w:space="0" w:color="auto"/>
            <w:bottom w:val="none" w:sz="0" w:space="0" w:color="auto"/>
            <w:right w:val="none" w:sz="0" w:space="0" w:color="auto"/>
          </w:divBdr>
        </w:div>
      </w:divsChild>
    </w:div>
    <w:div w:id="795489660">
      <w:marLeft w:val="0"/>
      <w:marRight w:val="0"/>
      <w:marTop w:val="0"/>
      <w:marBottom w:val="0"/>
      <w:divBdr>
        <w:top w:val="none" w:sz="0" w:space="0" w:color="auto"/>
        <w:left w:val="none" w:sz="0" w:space="0" w:color="auto"/>
        <w:bottom w:val="none" w:sz="0" w:space="0" w:color="auto"/>
        <w:right w:val="none" w:sz="0" w:space="0" w:color="auto"/>
      </w:divBdr>
    </w:div>
    <w:div w:id="798062819">
      <w:marLeft w:val="0"/>
      <w:marRight w:val="0"/>
      <w:marTop w:val="0"/>
      <w:marBottom w:val="0"/>
      <w:divBdr>
        <w:top w:val="none" w:sz="0" w:space="0" w:color="auto"/>
        <w:left w:val="none" w:sz="0" w:space="0" w:color="auto"/>
        <w:bottom w:val="none" w:sz="0" w:space="0" w:color="auto"/>
        <w:right w:val="none" w:sz="0" w:space="0" w:color="auto"/>
      </w:divBdr>
      <w:divsChild>
        <w:div w:id="1721325702">
          <w:marLeft w:val="0"/>
          <w:marRight w:val="0"/>
          <w:marTop w:val="0"/>
          <w:marBottom w:val="0"/>
          <w:divBdr>
            <w:top w:val="none" w:sz="0" w:space="0" w:color="auto"/>
            <w:left w:val="none" w:sz="0" w:space="0" w:color="auto"/>
            <w:bottom w:val="none" w:sz="0" w:space="0" w:color="auto"/>
            <w:right w:val="none" w:sz="0" w:space="0" w:color="auto"/>
          </w:divBdr>
        </w:div>
      </w:divsChild>
    </w:div>
    <w:div w:id="803698819">
      <w:marLeft w:val="0"/>
      <w:marRight w:val="0"/>
      <w:marTop w:val="120"/>
      <w:marBottom w:val="120"/>
      <w:divBdr>
        <w:top w:val="none" w:sz="0" w:space="0" w:color="auto"/>
        <w:left w:val="none" w:sz="0" w:space="0" w:color="auto"/>
        <w:bottom w:val="none" w:sz="0" w:space="0" w:color="auto"/>
        <w:right w:val="none" w:sz="0" w:space="0" w:color="auto"/>
      </w:divBdr>
    </w:div>
    <w:div w:id="805783719">
      <w:marLeft w:val="0"/>
      <w:marRight w:val="0"/>
      <w:marTop w:val="120"/>
      <w:marBottom w:val="0"/>
      <w:divBdr>
        <w:top w:val="none" w:sz="0" w:space="0" w:color="auto"/>
        <w:left w:val="none" w:sz="0" w:space="0" w:color="auto"/>
        <w:bottom w:val="none" w:sz="0" w:space="0" w:color="auto"/>
        <w:right w:val="none" w:sz="0" w:space="0" w:color="auto"/>
      </w:divBdr>
    </w:div>
    <w:div w:id="806973724">
      <w:marLeft w:val="0"/>
      <w:marRight w:val="0"/>
      <w:marTop w:val="120"/>
      <w:marBottom w:val="120"/>
      <w:divBdr>
        <w:top w:val="none" w:sz="0" w:space="0" w:color="auto"/>
        <w:left w:val="none" w:sz="0" w:space="0" w:color="auto"/>
        <w:bottom w:val="none" w:sz="0" w:space="0" w:color="auto"/>
        <w:right w:val="none" w:sz="0" w:space="0" w:color="auto"/>
      </w:divBdr>
    </w:div>
    <w:div w:id="807287183">
      <w:marLeft w:val="0"/>
      <w:marRight w:val="0"/>
      <w:marTop w:val="0"/>
      <w:marBottom w:val="0"/>
      <w:divBdr>
        <w:top w:val="none" w:sz="0" w:space="0" w:color="auto"/>
        <w:left w:val="none" w:sz="0" w:space="0" w:color="auto"/>
        <w:bottom w:val="none" w:sz="0" w:space="0" w:color="auto"/>
        <w:right w:val="none" w:sz="0" w:space="0" w:color="auto"/>
      </w:divBdr>
      <w:divsChild>
        <w:div w:id="1799373566">
          <w:marLeft w:val="0"/>
          <w:marRight w:val="0"/>
          <w:marTop w:val="0"/>
          <w:marBottom w:val="0"/>
          <w:divBdr>
            <w:top w:val="none" w:sz="0" w:space="0" w:color="auto"/>
            <w:left w:val="none" w:sz="0" w:space="0" w:color="auto"/>
            <w:bottom w:val="none" w:sz="0" w:space="0" w:color="auto"/>
            <w:right w:val="none" w:sz="0" w:space="0" w:color="auto"/>
          </w:divBdr>
        </w:div>
      </w:divsChild>
    </w:div>
    <w:div w:id="809054930">
      <w:marLeft w:val="0"/>
      <w:marRight w:val="0"/>
      <w:marTop w:val="120"/>
      <w:marBottom w:val="0"/>
      <w:divBdr>
        <w:top w:val="none" w:sz="0" w:space="0" w:color="auto"/>
        <w:left w:val="none" w:sz="0" w:space="0" w:color="auto"/>
        <w:bottom w:val="none" w:sz="0" w:space="0" w:color="auto"/>
        <w:right w:val="none" w:sz="0" w:space="0" w:color="auto"/>
      </w:divBdr>
    </w:div>
    <w:div w:id="809983489">
      <w:marLeft w:val="0"/>
      <w:marRight w:val="0"/>
      <w:marTop w:val="240"/>
      <w:marBottom w:val="120"/>
      <w:divBdr>
        <w:top w:val="none" w:sz="0" w:space="0" w:color="auto"/>
        <w:left w:val="none" w:sz="0" w:space="0" w:color="auto"/>
        <w:bottom w:val="none" w:sz="0" w:space="0" w:color="auto"/>
        <w:right w:val="none" w:sz="0" w:space="0" w:color="auto"/>
      </w:divBdr>
    </w:div>
    <w:div w:id="811563720">
      <w:marLeft w:val="0"/>
      <w:marRight w:val="0"/>
      <w:marTop w:val="0"/>
      <w:marBottom w:val="0"/>
      <w:divBdr>
        <w:top w:val="none" w:sz="0" w:space="0" w:color="auto"/>
        <w:left w:val="none" w:sz="0" w:space="0" w:color="auto"/>
        <w:bottom w:val="none" w:sz="0" w:space="0" w:color="auto"/>
        <w:right w:val="none" w:sz="0" w:space="0" w:color="auto"/>
      </w:divBdr>
      <w:divsChild>
        <w:div w:id="54816106">
          <w:marLeft w:val="0"/>
          <w:marRight w:val="0"/>
          <w:marTop w:val="0"/>
          <w:marBottom w:val="0"/>
          <w:divBdr>
            <w:top w:val="none" w:sz="0" w:space="0" w:color="auto"/>
            <w:left w:val="none" w:sz="0" w:space="0" w:color="auto"/>
            <w:bottom w:val="none" w:sz="0" w:space="0" w:color="auto"/>
            <w:right w:val="none" w:sz="0" w:space="0" w:color="auto"/>
          </w:divBdr>
        </w:div>
      </w:divsChild>
    </w:div>
    <w:div w:id="813064676">
      <w:marLeft w:val="0"/>
      <w:marRight w:val="0"/>
      <w:marTop w:val="0"/>
      <w:marBottom w:val="0"/>
      <w:divBdr>
        <w:top w:val="none" w:sz="0" w:space="0" w:color="auto"/>
        <w:left w:val="none" w:sz="0" w:space="0" w:color="auto"/>
        <w:bottom w:val="none" w:sz="0" w:space="0" w:color="auto"/>
        <w:right w:val="none" w:sz="0" w:space="0" w:color="auto"/>
      </w:divBdr>
      <w:divsChild>
        <w:div w:id="2059547669">
          <w:marLeft w:val="0"/>
          <w:marRight w:val="0"/>
          <w:marTop w:val="0"/>
          <w:marBottom w:val="0"/>
          <w:divBdr>
            <w:top w:val="none" w:sz="0" w:space="0" w:color="auto"/>
            <w:left w:val="none" w:sz="0" w:space="0" w:color="auto"/>
            <w:bottom w:val="none" w:sz="0" w:space="0" w:color="auto"/>
            <w:right w:val="none" w:sz="0" w:space="0" w:color="auto"/>
          </w:divBdr>
        </w:div>
      </w:divsChild>
    </w:div>
    <w:div w:id="814490240">
      <w:marLeft w:val="0"/>
      <w:marRight w:val="0"/>
      <w:marTop w:val="0"/>
      <w:marBottom w:val="0"/>
      <w:divBdr>
        <w:top w:val="none" w:sz="0" w:space="0" w:color="auto"/>
        <w:left w:val="none" w:sz="0" w:space="0" w:color="auto"/>
        <w:bottom w:val="none" w:sz="0" w:space="0" w:color="auto"/>
        <w:right w:val="none" w:sz="0" w:space="0" w:color="auto"/>
      </w:divBdr>
    </w:div>
    <w:div w:id="814565396">
      <w:marLeft w:val="0"/>
      <w:marRight w:val="0"/>
      <w:marTop w:val="0"/>
      <w:marBottom w:val="0"/>
      <w:divBdr>
        <w:top w:val="none" w:sz="0" w:space="0" w:color="auto"/>
        <w:left w:val="none" w:sz="0" w:space="0" w:color="auto"/>
        <w:bottom w:val="none" w:sz="0" w:space="0" w:color="auto"/>
        <w:right w:val="none" w:sz="0" w:space="0" w:color="auto"/>
      </w:divBdr>
    </w:div>
    <w:div w:id="815757331">
      <w:marLeft w:val="0"/>
      <w:marRight w:val="0"/>
      <w:marTop w:val="0"/>
      <w:marBottom w:val="0"/>
      <w:divBdr>
        <w:top w:val="none" w:sz="0" w:space="0" w:color="auto"/>
        <w:left w:val="none" w:sz="0" w:space="0" w:color="auto"/>
        <w:bottom w:val="none" w:sz="0" w:space="0" w:color="auto"/>
        <w:right w:val="none" w:sz="0" w:space="0" w:color="auto"/>
      </w:divBdr>
      <w:divsChild>
        <w:div w:id="173694503">
          <w:marLeft w:val="0"/>
          <w:marRight w:val="0"/>
          <w:marTop w:val="0"/>
          <w:marBottom w:val="0"/>
          <w:divBdr>
            <w:top w:val="none" w:sz="0" w:space="0" w:color="auto"/>
            <w:left w:val="none" w:sz="0" w:space="0" w:color="auto"/>
            <w:bottom w:val="none" w:sz="0" w:space="0" w:color="auto"/>
            <w:right w:val="none" w:sz="0" w:space="0" w:color="auto"/>
          </w:divBdr>
        </w:div>
      </w:divsChild>
    </w:div>
    <w:div w:id="820585581">
      <w:marLeft w:val="0"/>
      <w:marRight w:val="0"/>
      <w:marTop w:val="120"/>
      <w:marBottom w:val="0"/>
      <w:divBdr>
        <w:top w:val="none" w:sz="0" w:space="0" w:color="auto"/>
        <w:left w:val="none" w:sz="0" w:space="0" w:color="auto"/>
        <w:bottom w:val="none" w:sz="0" w:space="0" w:color="auto"/>
        <w:right w:val="none" w:sz="0" w:space="0" w:color="auto"/>
      </w:divBdr>
    </w:div>
    <w:div w:id="826360991">
      <w:marLeft w:val="0"/>
      <w:marRight w:val="0"/>
      <w:marTop w:val="0"/>
      <w:marBottom w:val="0"/>
      <w:divBdr>
        <w:top w:val="none" w:sz="0" w:space="0" w:color="auto"/>
        <w:left w:val="none" w:sz="0" w:space="0" w:color="auto"/>
        <w:bottom w:val="none" w:sz="0" w:space="0" w:color="auto"/>
        <w:right w:val="none" w:sz="0" w:space="0" w:color="auto"/>
      </w:divBdr>
      <w:divsChild>
        <w:div w:id="994913174">
          <w:marLeft w:val="0"/>
          <w:marRight w:val="0"/>
          <w:marTop w:val="0"/>
          <w:marBottom w:val="0"/>
          <w:divBdr>
            <w:top w:val="none" w:sz="0" w:space="0" w:color="auto"/>
            <w:left w:val="none" w:sz="0" w:space="0" w:color="auto"/>
            <w:bottom w:val="none" w:sz="0" w:space="0" w:color="auto"/>
            <w:right w:val="none" w:sz="0" w:space="0" w:color="auto"/>
          </w:divBdr>
        </w:div>
      </w:divsChild>
    </w:div>
    <w:div w:id="828669873">
      <w:marLeft w:val="0"/>
      <w:marRight w:val="0"/>
      <w:marTop w:val="0"/>
      <w:marBottom w:val="0"/>
      <w:divBdr>
        <w:top w:val="none" w:sz="0" w:space="0" w:color="auto"/>
        <w:left w:val="none" w:sz="0" w:space="0" w:color="auto"/>
        <w:bottom w:val="none" w:sz="0" w:space="0" w:color="auto"/>
        <w:right w:val="none" w:sz="0" w:space="0" w:color="auto"/>
      </w:divBdr>
    </w:div>
    <w:div w:id="830946818">
      <w:marLeft w:val="0"/>
      <w:marRight w:val="0"/>
      <w:marTop w:val="180"/>
      <w:marBottom w:val="0"/>
      <w:divBdr>
        <w:top w:val="none" w:sz="0" w:space="0" w:color="auto"/>
        <w:left w:val="none" w:sz="0" w:space="0" w:color="auto"/>
        <w:bottom w:val="none" w:sz="0" w:space="0" w:color="auto"/>
        <w:right w:val="none" w:sz="0" w:space="0" w:color="auto"/>
      </w:divBdr>
    </w:div>
    <w:div w:id="831138803">
      <w:marLeft w:val="0"/>
      <w:marRight w:val="0"/>
      <w:marTop w:val="0"/>
      <w:marBottom w:val="0"/>
      <w:divBdr>
        <w:top w:val="none" w:sz="0" w:space="0" w:color="auto"/>
        <w:left w:val="none" w:sz="0" w:space="0" w:color="auto"/>
        <w:bottom w:val="none" w:sz="0" w:space="0" w:color="auto"/>
        <w:right w:val="none" w:sz="0" w:space="0" w:color="auto"/>
      </w:divBdr>
      <w:divsChild>
        <w:div w:id="712967630">
          <w:marLeft w:val="0"/>
          <w:marRight w:val="0"/>
          <w:marTop w:val="0"/>
          <w:marBottom w:val="0"/>
          <w:divBdr>
            <w:top w:val="none" w:sz="0" w:space="0" w:color="auto"/>
            <w:left w:val="none" w:sz="0" w:space="0" w:color="auto"/>
            <w:bottom w:val="none" w:sz="0" w:space="0" w:color="auto"/>
            <w:right w:val="none" w:sz="0" w:space="0" w:color="auto"/>
          </w:divBdr>
        </w:div>
      </w:divsChild>
    </w:div>
    <w:div w:id="831412074">
      <w:marLeft w:val="0"/>
      <w:marRight w:val="0"/>
      <w:marTop w:val="120"/>
      <w:marBottom w:val="0"/>
      <w:divBdr>
        <w:top w:val="none" w:sz="0" w:space="0" w:color="auto"/>
        <w:left w:val="none" w:sz="0" w:space="0" w:color="auto"/>
        <w:bottom w:val="none" w:sz="0" w:space="0" w:color="auto"/>
        <w:right w:val="none" w:sz="0" w:space="0" w:color="auto"/>
      </w:divBdr>
    </w:div>
    <w:div w:id="832256948">
      <w:marLeft w:val="0"/>
      <w:marRight w:val="0"/>
      <w:marTop w:val="120"/>
      <w:marBottom w:val="0"/>
      <w:divBdr>
        <w:top w:val="none" w:sz="0" w:space="0" w:color="auto"/>
        <w:left w:val="none" w:sz="0" w:space="0" w:color="auto"/>
        <w:bottom w:val="none" w:sz="0" w:space="0" w:color="auto"/>
        <w:right w:val="none" w:sz="0" w:space="0" w:color="auto"/>
      </w:divBdr>
    </w:div>
    <w:div w:id="832793620">
      <w:marLeft w:val="0"/>
      <w:marRight w:val="0"/>
      <w:marTop w:val="0"/>
      <w:marBottom w:val="0"/>
      <w:divBdr>
        <w:top w:val="none" w:sz="0" w:space="0" w:color="auto"/>
        <w:left w:val="none" w:sz="0" w:space="0" w:color="auto"/>
        <w:bottom w:val="none" w:sz="0" w:space="0" w:color="auto"/>
        <w:right w:val="none" w:sz="0" w:space="0" w:color="auto"/>
      </w:divBdr>
    </w:div>
    <w:div w:id="835682192">
      <w:marLeft w:val="0"/>
      <w:marRight w:val="0"/>
      <w:marTop w:val="120"/>
      <w:marBottom w:val="0"/>
      <w:divBdr>
        <w:top w:val="none" w:sz="0" w:space="0" w:color="auto"/>
        <w:left w:val="none" w:sz="0" w:space="0" w:color="auto"/>
        <w:bottom w:val="none" w:sz="0" w:space="0" w:color="auto"/>
        <w:right w:val="none" w:sz="0" w:space="0" w:color="auto"/>
      </w:divBdr>
    </w:div>
    <w:div w:id="836387096">
      <w:marLeft w:val="0"/>
      <w:marRight w:val="0"/>
      <w:marTop w:val="120"/>
      <w:marBottom w:val="120"/>
      <w:divBdr>
        <w:top w:val="none" w:sz="0" w:space="0" w:color="auto"/>
        <w:left w:val="none" w:sz="0" w:space="0" w:color="auto"/>
        <w:bottom w:val="none" w:sz="0" w:space="0" w:color="auto"/>
        <w:right w:val="none" w:sz="0" w:space="0" w:color="auto"/>
      </w:divBdr>
    </w:div>
    <w:div w:id="839543293">
      <w:marLeft w:val="0"/>
      <w:marRight w:val="0"/>
      <w:marTop w:val="120"/>
      <w:marBottom w:val="0"/>
      <w:divBdr>
        <w:top w:val="none" w:sz="0" w:space="0" w:color="auto"/>
        <w:left w:val="none" w:sz="0" w:space="0" w:color="auto"/>
        <w:bottom w:val="none" w:sz="0" w:space="0" w:color="auto"/>
        <w:right w:val="none" w:sz="0" w:space="0" w:color="auto"/>
      </w:divBdr>
    </w:div>
    <w:div w:id="839732303">
      <w:marLeft w:val="0"/>
      <w:marRight w:val="0"/>
      <w:marTop w:val="120"/>
      <w:marBottom w:val="120"/>
      <w:divBdr>
        <w:top w:val="none" w:sz="0" w:space="0" w:color="auto"/>
        <w:left w:val="none" w:sz="0" w:space="0" w:color="auto"/>
        <w:bottom w:val="none" w:sz="0" w:space="0" w:color="auto"/>
        <w:right w:val="none" w:sz="0" w:space="0" w:color="auto"/>
      </w:divBdr>
    </w:div>
    <w:div w:id="843978440">
      <w:marLeft w:val="0"/>
      <w:marRight w:val="0"/>
      <w:marTop w:val="120"/>
      <w:marBottom w:val="120"/>
      <w:divBdr>
        <w:top w:val="none" w:sz="0" w:space="0" w:color="auto"/>
        <w:left w:val="none" w:sz="0" w:space="0" w:color="auto"/>
        <w:bottom w:val="none" w:sz="0" w:space="0" w:color="auto"/>
        <w:right w:val="none" w:sz="0" w:space="0" w:color="auto"/>
      </w:divBdr>
    </w:div>
    <w:div w:id="844393155">
      <w:marLeft w:val="0"/>
      <w:marRight w:val="0"/>
      <w:marTop w:val="0"/>
      <w:marBottom w:val="0"/>
      <w:divBdr>
        <w:top w:val="none" w:sz="0" w:space="0" w:color="auto"/>
        <w:left w:val="none" w:sz="0" w:space="0" w:color="auto"/>
        <w:bottom w:val="none" w:sz="0" w:space="0" w:color="auto"/>
        <w:right w:val="none" w:sz="0" w:space="0" w:color="auto"/>
      </w:divBdr>
    </w:div>
    <w:div w:id="849221696">
      <w:marLeft w:val="0"/>
      <w:marRight w:val="0"/>
      <w:marTop w:val="0"/>
      <w:marBottom w:val="0"/>
      <w:divBdr>
        <w:top w:val="none" w:sz="0" w:space="0" w:color="auto"/>
        <w:left w:val="none" w:sz="0" w:space="0" w:color="auto"/>
        <w:bottom w:val="none" w:sz="0" w:space="0" w:color="auto"/>
        <w:right w:val="none" w:sz="0" w:space="0" w:color="auto"/>
      </w:divBdr>
      <w:divsChild>
        <w:div w:id="381179808">
          <w:marLeft w:val="0"/>
          <w:marRight w:val="0"/>
          <w:marTop w:val="0"/>
          <w:marBottom w:val="0"/>
          <w:divBdr>
            <w:top w:val="none" w:sz="0" w:space="0" w:color="auto"/>
            <w:left w:val="none" w:sz="0" w:space="0" w:color="auto"/>
            <w:bottom w:val="none" w:sz="0" w:space="0" w:color="auto"/>
            <w:right w:val="none" w:sz="0" w:space="0" w:color="auto"/>
          </w:divBdr>
        </w:div>
      </w:divsChild>
    </w:div>
    <w:div w:id="849373914">
      <w:marLeft w:val="0"/>
      <w:marRight w:val="0"/>
      <w:marTop w:val="120"/>
      <w:marBottom w:val="120"/>
      <w:divBdr>
        <w:top w:val="none" w:sz="0" w:space="0" w:color="auto"/>
        <w:left w:val="none" w:sz="0" w:space="0" w:color="auto"/>
        <w:bottom w:val="none" w:sz="0" w:space="0" w:color="auto"/>
        <w:right w:val="none" w:sz="0" w:space="0" w:color="auto"/>
      </w:divBdr>
    </w:div>
    <w:div w:id="852306905">
      <w:marLeft w:val="0"/>
      <w:marRight w:val="0"/>
      <w:marTop w:val="120"/>
      <w:marBottom w:val="0"/>
      <w:divBdr>
        <w:top w:val="none" w:sz="0" w:space="0" w:color="auto"/>
        <w:left w:val="none" w:sz="0" w:space="0" w:color="auto"/>
        <w:bottom w:val="none" w:sz="0" w:space="0" w:color="auto"/>
        <w:right w:val="none" w:sz="0" w:space="0" w:color="auto"/>
      </w:divBdr>
    </w:div>
    <w:div w:id="853112842">
      <w:marLeft w:val="0"/>
      <w:marRight w:val="0"/>
      <w:marTop w:val="0"/>
      <w:marBottom w:val="0"/>
      <w:divBdr>
        <w:top w:val="none" w:sz="0" w:space="0" w:color="auto"/>
        <w:left w:val="none" w:sz="0" w:space="0" w:color="auto"/>
        <w:bottom w:val="none" w:sz="0" w:space="0" w:color="auto"/>
        <w:right w:val="none" w:sz="0" w:space="0" w:color="auto"/>
      </w:divBdr>
    </w:div>
    <w:div w:id="853812255">
      <w:marLeft w:val="0"/>
      <w:marRight w:val="0"/>
      <w:marTop w:val="120"/>
      <w:marBottom w:val="120"/>
      <w:divBdr>
        <w:top w:val="none" w:sz="0" w:space="0" w:color="auto"/>
        <w:left w:val="none" w:sz="0" w:space="0" w:color="auto"/>
        <w:bottom w:val="none" w:sz="0" w:space="0" w:color="auto"/>
        <w:right w:val="none" w:sz="0" w:space="0" w:color="auto"/>
      </w:divBdr>
    </w:div>
    <w:div w:id="855729082">
      <w:marLeft w:val="0"/>
      <w:marRight w:val="0"/>
      <w:marTop w:val="120"/>
      <w:marBottom w:val="0"/>
      <w:divBdr>
        <w:top w:val="none" w:sz="0" w:space="0" w:color="auto"/>
        <w:left w:val="none" w:sz="0" w:space="0" w:color="auto"/>
        <w:bottom w:val="none" w:sz="0" w:space="0" w:color="auto"/>
        <w:right w:val="none" w:sz="0" w:space="0" w:color="auto"/>
      </w:divBdr>
    </w:div>
    <w:div w:id="860356787">
      <w:marLeft w:val="0"/>
      <w:marRight w:val="0"/>
      <w:marTop w:val="120"/>
      <w:marBottom w:val="120"/>
      <w:divBdr>
        <w:top w:val="none" w:sz="0" w:space="0" w:color="auto"/>
        <w:left w:val="none" w:sz="0" w:space="0" w:color="auto"/>
        <w:bottom w:val="none" w:sz="0" w:space="0" w:color="auto"/>
        <w:right w:val="none" w:sz="0" w:space="0" w:color="auto"/>
      </w:divBdr>
    </w:div>
    <w:div w:id="860707351">
      <w:marLeft w:val="0"/>
      <w:marRight w:val="0"/>
      <w:marTop w:val="0"/>
      <w:marBottom w:val="0"/>
      <w:divBdr>
        <w:top w:val="none" w:sz="0" w:space="0" w:color="auto"/>
        <w:left w:val="none" w:sz="0" w:space="0" w:color="auto"/>
        <w:bottom w:val="none" w:sz="0" w:space="0" w:color="auto"/>
        <w:right w:val="none" w:sz="0" w:space="0" w:color="auto"/>
      </w:divBdr>
    </w:div>
    <w:div w:id="860824456">
      <w:marLeft w:val="0"/>
      <w:marRight w:val="0"/>
      <w:marTop w:val="0"/>
      <w:marBottom w:val="0"/>
      <w:divBdr>
        <w:top w:val="none" w:sz="0" w:space="0" w:color="auto"/>
        <w:left w:val="none" w:sz="0" w:space="0" w:color="auto"/>
        <w:bottom w:val="none" w:sz="0" w:space="0" w:color="auto"/>
        <w:right w:val="none" w:sz="0" w:space="0" w:color="auto"/>
      </w:divBdr>
      <w:divsChild>
        <w:div w:id="166020149">
          <w:marLeft w:val="0"/>
          <w:marRight w:val="0"/>
          <w:marTop w:val="0"/>
          <w:marBottom w:val="0"/>
          <w:divBdr>
            <w:top w:val="none" w:sz="0" w:space="0" w:color="auto"/>
            <w:left w:val="none" w:sz="0" w:space="0" w:color="auto"/>
            <w:bottom w:val="none" w:sz="0" w:space="0" w:color="auto"/>
            <w:right w:val="none" w:sz="0" w:space="0" w:color="auto"/>
          </w:divBdr>
        </w:div>
      </w:divsChild>
    </w:div>
    <w:div w:id="863178091">
      <w:marLeft w:val="0"/>
      <w:marRight w:val="0"/>
      <w:marTop w:val="120"/>
      <w:marBottom w:val="0"/>
      <w:divBdr>
        <w:top w:val="none" w:sz="0" w:space="0" w:color="auto"/>
        <w:left w:val="none" w:sz="0" w:space="0" w:color="auto"/>
        <w:bottom w:val="none" w:sz="0" w:space="0" w:color="auto"/>
        <w:right w:val="none" w:sz="0" w:space="0" w:color="auto"/>
      </w:divBdr>
    </w:div>
    <w:div w:id="863252525">
      <w:marLeft w:val="0"/>
      <w:marRight w:val="0"/>
      <w:marTop w:val="120"/>
      <w:marBottom w:val="0"/>
      <w:divBdr>
        <w:top w:val="none" w:sz="0" w:space="0" w:color="auto"/>
        <w:left w:val="none" w:sz="0" w:space="0" w:color="auto"/>
        <w:bottom w:val="none" w:sz="0" w:space="0" w:color="auto"/>
        <w:right w:val="none" w:sz="0" w:space="0" w:color="auto"/>
      </w:divBdr>
    </w:div>
    <w:div w:id="864633717">
      <w:marLeft w:val="0"/>
      <w:marRight w:val="0"/>
      <w:marTop w:val="120"/>
      <w:marBottom w:val="0"/>
      <w:divBdr>
        <w:top w:val="none" w:sz="0" w:space="0" w:color="auto"/>
        <w:left w:val="none" w:sz="0" w:space="0" w:color="auto"/>
        <w:bottom w:val="none" w:sz="0" w:space="0" w:color="auto"/>
        <w:right w:val="none" w:sz="0" w:space="0" w:color="auto"/>
      </w:divBdr>
    </w:div>
    <w:div w:id="864749666">
      <w:marLeft w:val="0"/>
      <w:marRight w:val="0"/>
      <w:marTop w:val="120"/>
      <w:marBottom w:val="120"/>
      <w:divBdr>
        <w:top w:val="none" w:sz="0" w:space="0" w:color="auto"/>
        <w:left w:val="none" w:sz="0" w:space="0" w:color="auto"/>
        <w:bottom w:val="none" w:sz="0" w:space="0" w:color="auto"/>
        <w:right w:val="none" w:sz="0" w:space="0" w:color="auto"/>
      </w:divBdr>
    </w:div>
    <w:div w:id="865753973">
      <w:marLeft w:val="0"/>
      <w:marRight w:val="0"/>
      <w:marTop w:val="0"/>
      <w:marBottom w:val="0"/>
      <w:divBdr>
        <w:top w:val="none" w:sz="0" w:space="0" w:color="auto"/>
        <w:left w:val="none" w:sz="0" w:space="0" w:color="auto"/>
        <w:bottom w:val="none" w:sz="0" w:space="0" w:color="auto"/>
        <w:right w:val="none" w:sz="0" w:space="0" w:color="auto"/>
      </w:divBdr>
    </w:div>
    <w:div w:id="866913405">
      <w:marLeft w:val="0"/>
      <w:marRight w:val="0"/>
      <w:marTop w:val="0"/>
      <w:marBottom w:val="0"/>
      <w:divBdr>
        <w:top w:val="none" w:sz="0" w:space="0" w:color="auto"/>
        <w:left w:val="none" w:sz="0" w:space="0" w:color="auto"/>
        <w:bottom w:val="none" w:sz="0" w:space="0" w:color="auto"/>
        <w:right w:val="none" w:sz="0" w:space="0" w:color="auto"/>
      </w:divBdr>
      <w:divsChild>
        <w:div w:id="1457526840">
          <w:marLeft w:val="0"/>
          <w:marRight w:val="0"/>
          <w:marTop w:val="0"/>
          <w:marBottom w:val="0"/>
          <w:divBdr>
            <w:top w:val="none" w:sz="0" w:space="0" w:color="auto"/>
            <w:left w:val="none" w:sz="0" w:space="0" w:color="auto"/>
            <w:bottom w:val="none" w:sz="0" w:space="0" w:color="auto"/>
            <w:right w:val="none" w:sz="0" w:space="0" w:color="auto"/>
          </w:divBdr>
        </w:div>
      </w:divsChild>
    </w:div>
    <w:div w:id="867911884">
      <w:marLeft w:val="0"/>
      <w:marRight w:val="0"/>
      <w:marTop w:val="120"/>
      <w:marBottom w:val="120"/>
      <w:divBdr>
        <w:top w:val="none" w:sz="0" w:space="0" w:color="auto"/>
        <w:left w:val="none" w:sz="0" w:space="0" w:color="auto"/>
        <w:bottom w:val="none" w:sz="0" w:space="0" w:color="auto"/>
        <w:right w:val="none" w:sz="0" w:space="0" w:color="auto"/>
      </w:divBdr>
    </w:div>
    <w:div w:id="870262759">
      <w:marLeft w:val="0"/>
      <w:marRight w:val="0"/>
      <w:marTop w:val="120"/>
      <w:marBottom w:val="120"/>
      <w:divBdr>
        <w:top w:val="none" w:sz="0" w:space="0" w:color="auto"/>
        <w:left w:val="none" w:sz="0" w:space="0" w:color="auto"/>
        <w:bottom w:val="none" w:sz="0" w:space="0" w:color="auto"/>
        <w:right w:val="none" w:sz="0" w:space="0" w:color="auto"/>
      </w:divBdr>
    </w:div>
    <w:div w:id="875966298">
      <w:marLeft w:val="0"/>
      <w:marRight w:val="0"/>
      <w:marTop w:val="0"/>
      <w:marBottom w:val="0"/>
      <w:divBdr>
        <w:top w:val="none" w:sz="0" w:space="0" w:color="auto"/>
        <w:left w:val="none" w:sz="0" w:space="0" w:color="auto"/>
        <w:bottom w:val="none" w:sz="0" w:space="0" w:color="auto"/>
        <w:right w:val="none" w:sz="0" w:space="0" w:color="auto"/>
      </w:divBdr>
    </w:div>
    <w:div w:id="876744949">
      <w:marLeft w:val="0"/>
      <w:marRight w:val="0"/>
      <w:marTop w:val="0"/>
      <w:marBottom w:val="0"/>
      <w:divBdr>
        <w:top w:val="none" w:sz="0" w:space="0" w:color="auto"/>
        <w:left w:val="none" w:sz="0" w:space="0" w:color="auto"/>
        <w:bottom w:val="none" w:sz="0" w:space="0" w:color="auto"/>
        <w:right w:val="none" w:sz="0" w:space="0" w:color="auto"/>
      </w:divBdr>
    </w:div>
    <w:div w:id="879590372">
      <w:marLeft w:val="0"/>
      <w:marRight w:val="0"/>
      <w:marTop w:val="240"/>
      <w:marBottom w:val="0"/>
      <w:divBdr>
        <w:top w:val="none" w:sz="0" w:space="0" w:color="auto"/>
        <w:left w:val="none" w:sz="0" w:space="0" w:color="auto"/>
        <w:bottom w:val="none" w:sz="0" w:space="0" w:color="auto"/>
        <w:right w:val="none" w:sz="0" w:space="0" w:color="auto"/>
      </w:divBdr>
    </w:div>
    <w:div w:id="887180075">
      <w:marLeft w:val="0"/>
      <w:marRight w:val="0"/>
      <w:marTop w:val="180"/>
      <w:marBottom w:val="120"/>
      <w:divBdr>
        <w:top w:val="none" w:sz="0" w:space="0" w:color="auto"/>
        <w:left w:val="none" w:sz="0" w:space="0" w:color="auto"/>
        <w:bottom w:val="none" w:sz="0" w:space="0" w:color="auto"/>
        <w:right w:val="none" w:sz="0" w:space="0" w:color="auto"/>
      </w:divBdr>
    </w:div>
    <w:div w:id="888567059">
      <w:marLeft w:val="0"/>
      <w:marRight w:val="0"/>
      <w:marTop w:val="0"/>
      <w:marBottom w:val="0"/>
      <w:divBdr>
        <w:top w:val="none" w:sz="0" w:space="0" w:color="auto"/>
        <w:left w:val="none" w:sz="0" w:space="0" w:color="auto"/>
        <w:bottom w:val="none" w:sz="0" w:space="0" w:color="auto"/>
        <w:right w:val="none" w:sz="0" w:space="0" w:color="auto"/>
      </w:divBdr>
      <w:divsChild>
        <w:div w:id="1497185462">
          <w:marLeft w:val="0"/>
          <w:marRight w:val="0"/>
          <w:marTop w:val="0"/>
          <w:marBottom w:val="0"/>
          <w:divBdr>
            <w:top w:val="none" w:sz="0" w:space="0" w:color="auto"/>
            <w:left w:val="none" w:sz="0" w:space="0" w:color="auto"/>
            <w:bottom w:val="none" w:sz="0" w:space="0" w:color="auto"/>
            <w:right w:val="none" w:sz="0" w:space="0" w:color="auto"/>
          </w:divBdr>
        </w:div>
      </w:divsChild>
    </w:div>
    <w:div w:id="888953560">
      <w:marLeft w:val="0"/>
      <w:marRight w:val="0"/>
      <w:marTop w:val="120"/>
      <w:marBottom w:val="120"/>
      <w:divBdr>
        <w:top w:val="none" w:sz="0" w:space="0" w:color="auto"/>
        <w:left w:val="none" w:sz="0" w:space="0" w:color="auto"/>
        <w:bottom w:val="none" w:sz="0" w:space="0" w:color="auto"/>
        <w:right w:val="none" w:sz="0" w:space="0" w:color="auto"/>
      </w:divBdr>
    </w:div>
    <w:div w:id="897744320">
      <w:marLeft w:val="0"/>
      <w:marRight w:val="0"/>
      <w:marTop w:val="120"/>
      <w:marBottom w:val="0"/>
      <w:divBdr>
        <w:top w:val="none" w:sz="0" w:space="0" w:color="auto"/>
        <w:left w:val="none" w:sz="0" w:space="0" w:color="auto"/>
        <w:bottom w:val="none" w:sz="0" w:space="0" w:color="auto"/>
        <w:right w:val="none" w:sz="0" w:space="0" w:color="auto"/>
      </w:divBdr>
    </w:div>
    <w:div w:id="901209325">
      <w:marLeft w:val="0"/>
      <w:marRight w:val="0"/>
      <w:marTop w:val="0"/>
      <w:marBottom w:val="0"/>
      <w:divBdr>
        <w:top w:val="none" w:sz="0" w:space="0" w:color="auto"/>
        <w:left w:val="none" w:sz="0" w:space="0" w:color="auto"/>
        <w:bottom w:val="none" w:sz="0" w:space="0" w:color="auto"/>
        <w:right w:val="none" w:sz="0" w:space="0" w:color="auto"/>
      </w:divBdr>
      <w:divsChild>
        <w:div w:id="302856050">
          <w:marLeft w:val="0"/>
          <w:marRight w:val="0"/>
          <w:marTop w:val="0"/>
          <w:marBottom w:val="0"/>
          <w:divBdr>
            <w:top w:val="none" w:sz="0" w:space="0" w:color="auto"/>
            <w:left w:val="none" w:sz="0" w:space="0" w:color="auto"/>
            <w:bottom w:val="none" w:sz="0" w:space="0" w:color="auto"/>
            <w:right w:val="none" w:sz="0" w:space="0" w:color="auto"/>
          </w:divBdr>
        </w:div>
      </w:divsChild>
    </w:div>
    <w:div w:id="905459467">
      <w:marLeft w:val="0"/>
      <w:marRight w:val="0"/>
      <w:marTop w:val="120"/>
      <w:marBottom w:val="0"/>
      <w:divBdr>
        <w:top w:val="none" w:sz="0" w:space="0" w:color="auto"/>
        <w:left w:val="none" w:sz="0" w:space="0" w:color="auto"/>
        <w:bottom w:val="none" w:sz="0" w:space="0" w:color="auto"/>
        <w:right w:val="none" w:sz="0" w:space="0" w:color="auto"/>
      </w:divBdr>
    </w:div>
    <w:div w:id="908268093">
      <w:marLeft w:val="0"/>
      <w:marRight w:val="0"/>
      <w:marTop w:val="120"/>
      <w:marBottom w:val="120"/>
      <w:divBdr>
        <w:top w:val="none" w:sz="0" w:space="0" w:color="auto"/>
        <w:left w:val="none" w:sz="0" w:space="0" w:color="auto"/>
        <w:bottom w:val="none" w:sz="0" w:space="0" w:color="auto"/>
        <w:right w:val="none" w:sz="0" w:space="0" w:color="auto"/>
      </w:divBdr>
      <w:divsChild>
        <w:div w:id="867720866">
          <w:marLeft w:val="0"/>
          <w:marRight w:val="0"/>
          <w:marTop w:val="0"/>
          <w:marBottom w:val="0"/>
          <w:divBdr>
            <w:top w:val="none" w:sz="0" w:space="0" w:color="auto"/>
            <w:left w:val="none" w:sz="0" w:space="0" w:color="auto"/>
            <w:bottom w:val="none" w:sz="0" w:space="0" w:color="auto"/>
            <w:right w:val="none" w:sz="0" w:space="0" w:color="auto"/>
          </w:divBdr>
        </w:div>
        <w:div w:id="40985767">
          <w:marLeft w:val="0"/>
          <w:marRight w:val="0"/>
          <w:marTop w:val="0"/>
          <w:marBottom w:val="0"/>
          <w:divBdr>
            <w:top w:val="none" w:sz="0" w:space="0" w:color="auto"/>
            <w:left w:val="none" w:sz="0" w:space="0" w:color="auto"/>
            <w:bottom w:val="none" w:sz="0" w:space="0" w:color="auto"/>
            <w:right w:val="none" w:sz="0" w:space="0" w:color="auto"/>
          </w:divBdr>
        </w:div>
        <w:div w:id="1952348625">
          <w:marLeft w:val="0"/>
          <w:marRight w:val="0"/>
          <w:marTop w:val="0"/>
          <w:marBottom w:val="0"/>
          <w:divBdr>
            <w:top w:val="none" w:sz="0" w:space="0" w:color="auto"/>
            <w:left w:val="none" w:sz="0" w:space="0" w:color="auto"/>
            <w:bottom w:val="none" w:sz="0" w:space="0" w:color="auto"/>
            <w:right w:val="none" w:sz="0" w:space="0" w:color="auto"/>
          </w:divBdr>
        </w:div>
        <w:div w:id="59141383">
          <w:marLeft w:val="0"/>
          <w:marRight w:val="0"/>
          <w:marTop w:val="0"/>
          <w:marBottom w:val="0"/>
          <w:divBdr>
            <w:top w:val="none" w:sz="0" w:space="0" w:color="auto"/>
            <w:left w:val="none" w:sz="0" w:space="0" w:color="auto"/>
            <w:bottom w:val="none" w:sz="0" w:space="0" w:color="auto"/>
            <w:right w:val="none" w:sz="0" w:space="0" w:color="auto"/>
          </w:divBdr>
        </w:div>
      </w:divsChild>
    </w:div>
    <w:div w:id="908423797">
      <w:marLeft w:val="0"/>
      <w:marRight w:val="0"/>
      <w:marTop w:val="0"/>
      <w:marBottom w:val="0"/>
      <w:divBdr>
        <w:top w:val="none" w:sz="0" w:space="0" w:color="auto"/>
        <w:left w:val="none" w:sz="0" w:space="0" w:color="auto"/>
        <w:bottom w:val="none" w:sz="0" w:space="0" w:color="auto"/>
        <w:right w:val="none" w:sz="0" w:space="0" w:color="auto"/>
      </w:divBdr>
    </w:div>
    <w:div w:id="908925377">
      <w:marLeft w:val="0"/>
      <w:marRight w:val="0"/>
      <w:marTop w:val="0"/>
      <w:marBottom w:val="0"/>
      <w:divBdr>
        <w:top w:val="none" w:sz="0" w:space="0" w:color="auto"/>
        <w:left w:val="none" w:sz="0" w:space="0" w:color="auto"/>
        <w:bottom w:val="none" w:sz="0" w:space="0" w:color="auto"/>
        <w:right w:val="none" w:sz="0" w:space="0" w:color="auto"/>
      </w:divBdr>
    </w:div>
    <w:div w:id="909576735">
      <w:marLeft w:val="0"/>
      <w:marRight w:val="0"/>
      <w:marTop w:val="0"/>
      <w:marBottom w:val="0"/>
      <w:divBdr>
        <w:top w:val="none" w:sz="0" w:space="0" w:color="auto"/>
        <w:left w:val="none" w:sz="0" w:space="0" w:color="auto"/>
        <w:bottom w:val="none" w:sz="0" w:space="0" w:color="auto"/>
        <w:right w:val="none" w:sz="0" w:space="0" w:color="auto"/>
      </w:divBdr>
    </w:div>
    <w:div w:id="910697818">
      <w:marLeft w:val="0"/>
      <w:marRight w:val="0"/>
      <w:marTop w:val="120"/>
      <w:marBottom w:val="120"/>
      <w:divBdr>
        <w:top w:val="none" w:sz="0" w:space="0" w:color="auto"/>
        <w:left w:val="none" w:sz="0" w:space="0" w:color="auto"/>
        <w:bottom w:val="none" w:sz="0" w:space="0" w:color="auto"/>
        <w:right w:val="none" w:sz="0" w:space="0" w:color="auto"/>
      </w:divBdr>
    </w:div>
    <w:div w:id="911740779">
      <w:marLeft w:val="0"/>
      <w:marRight w:val="0"/>
      <w:marTop w:val="120"/>
      <w:marBottom w:val="120"/>
      <w:divBdr>
        <w:top w:val="none" w:sz="0" w:space="0" w:color="auto"/>
        <w:left w:val="none" w:sz="0" w:space="0" w:color="auto"/>
        <w:bottom w:val="none" w:sz="0" w:space="0" w:color="auto"/>
        <w:right w:val="none" w:sz="0" w:space="0" w:color="auto"/>
      </w:divBdr>
    </w:div>
    <w:div w:id="917783822">
      <w:marLeft w:val="0"/>
      <w:marRight w:val="0"/>
      <w:marTop w:val="180"/>
      <w:marBottom w:val="120"/>
      <w:divBdr>
        <w:top w:val="none" w:sz="0" w:space="0" w:color="auto"/>
        <w:left w:val="none" w:sz="0" w:space="0" w:color="auto"/>
        <w:bottom w:val="none" w:sz="0" w:space="0" w:color="auto"/>
        <w:right w:val="none" w:sz="0" w:space="0" w:color="auto"/>
      </w:divBdr>
    </w:div>
    <w:div w:id="918712256">
      <w:marLeft w:val="0"/>
      <w:marRight w:val="0"/>
      <w:marTop w:val="240"/>
      <w:marBottom w:val="120"/>
      <w:divBdr>
        <w:top w:val="none" w:sz="0" w:space="0" w:color="auto"/>
        <w:left w:val="none" w:sz="0" w:space="0" w:color="auto"/>
        <w:bottom w:val="none" w:sz="0" w:space="0" w:color="auto"/>
        <w:right w:val="none" w:sz="0" w:space="0" w:color="auto"/>
      </w:divBdr>
    </w:div>
    <w:div w:id="919100114">
      <w:marLeft w:val="0"/>
      <w:marRight w:val="0"/>
      <w:marTop w:val="120"/>
      <w:marBottom w:val="120"/>
      <w:divBdr>
        <w:top w:val="none" w:sz="0" w:space="0" w:color="auto"/>
        <w:left w:val="none" w:sz="0" w:space="0" w:color="auto"/>
        <w:bottom w:val="none" w:sz="0" w:space="0" w:color="auto"/>
        <w:right w:val="none" w:sz="0" w:space="0" w:color="auto"/>
      </w:divBdr>
    </w:div>
    <w:div w:id="924150790">
      <w:marLeft w:val="0"/>
      <w:marRight w:val="0"/>
      <w:marTop w:val="120"/>
      <w:marBottom w:val="120"/>
      <w:divBdr>
        <w:top w:val="none" w:sz="0" w:space="0" w:color="auto"/>
        <w:left w:val="none" w:sz="0" w:space="0" w:color="auto"/>
        <w:bottom w:val="none" w:sz="0" w:space="0" w:color="auto"/>
        <w:right w:val="none" w:sz="0" w:space="0" w:color="auto"/>
      </w:divBdr>
    </w:div>
    <w:div w:id="925650041">
      <w:marLeft w:val="0"/>
      <w:marRight w:val="0"/>
      <w:marTop w:val="120"/>
      <w:marBottom w:val="0"/>
      <w:divBdr>
        <w:top w:val="none" w:sz="0" w:space="0" w:color="auto"/>
        <w:left w:val="none" w:sz="0" w:space="0" w:color="auto"/>
        <w:bottom w:val="none" w:sz="0" w:space="0" w:color="auto"/>
        <w:right w:val="none" w:sz="0" w:space="0" w:color="auto"/>
      </w:divBdr>
    </w:div>
    <w:div w:id="927998940">
      <w:marLeft w:val="0"/>
      <w:marRight w:val="0"/>
      <w:marTop w:val="120"/>
      <w:marBottom w:val="0"/>
      <w:divBdr>
        <w:top w:val="none" w:sz="0" w:space="0" w:color="auto"/>
        <w:left w:val="none" w:sz="0" w:space="0" w:color="auto"/>
        <w:bottom w:val="none" w:sz="0" w:space="0" w:color="auto"/>
        <w:right w:val="none" w:sz="0" w:space="0" w:color="auto"/>
      </w:divBdr>
    </w:div>
    <w:div w:id="930897938">
      <w:marLeft w:val="0"/>
      <w:marRight w:val="0"/>
      <w:marTop w:val="240"/>
      <w:marBottom w:val="120"/>
      <w:divBdr>
        <w:top w:val="none" w:sz="0" w:space="0" w:color="auto"/>
        <w:left w:val="none" w:sz="0" w:space="0" w:color="auto"/>
        <w:bottom w:val="none" w:sz="0" w:space="0" w:color="auto"/>
        <w:right w:val="none" w:sz="0" w:space="0" w:color="auto"/>
      </w:divBdr>
    </w:div>
    <w:div w:id="931746737">
      <w:marLeft w:val="0"/>
      <w:marRight w:val="0"/>
      <w:marTop w:val="0"/>
      <w:marBottom w:val="0"/>
      <w:divBdr>
        <w:top w:val="none" w:sz="0" w:space="0" w:color="auto"/>
        <w:left w:val="none" w:sz="0" w:space="0" w:color="auto"/>
        <w:bottom w:val="none" w:sz="0" w:space="0" w:color="auto"/>
        <w:right w:val="none" w:sz="0" w:space="0" w:color="auto"/>
      </w:divBdr>
      <w:divsChild>
        <w:div w:id="77748445">
          <w:marLeft w:val="0"/>
          <w:marRight w:val="0"/>
          <w:marTop w:val="0"/>
          <w:marBottom w:val="0"/>
          <w:divBdr>
            <w:top w:val="none" w:sz="0" w:space="0" w:color="auto"/>
            <w:left w:val="none" w:sz="0" w:space="0" w:color="auto"/>
            <w:bottom w:val="none" w:sz="0" w:space="0" w:color="auto"/>
            <w:right w:val="none" w:sz="0" w:space="0" w:color="auto"/>
          </w:divBdr>
        </w:div>
      </w:divsChild>
    </w:div>
    <w:div w:id="932587777">
      <w:marLeft w:val="0"/>
      <w:marRight w:val="0"/>
      <w:marTop w:val="120"/>
      <w:marBottom w:val="0"/>
      <w:divBdr>
        <w:top w:val="none" w:sz="0" w:space="0" w:color="auto"/>
        <w:left w:val="none" w:sz="0" w:space="0" w:color="auto"/>
        <w:bottom w:val="none" w:sz="0" w:space="0" w:color="auto"/>
        <w:right w:val="none" w:sz="0" w:space="0" w:color="auto"/>
      </w:divBdr>
    </w:div>
    <w:div w:id="936013049">
      <w:marLeft w:val="0"/>
      <w:marRight w:val="0"/>
      <w:marTop w:val="120"/>
      <w:marBottom w:val="120"/>
      <w:divBdr>
        <w:top w:val="none" w:sz="0" w:space="0" w:color="auto"/>
        <w:left w:val="none" w:sz="0" w:space="0" w:color="auto"/>
        <w:bottom w:val="none" w:sz="0" w:space="0" w:color="auto"/>
        <w:right w:val="none" w:sz="0" w:space="0" w:color="auto"/>
      </w:divBdr>
    </w:div>
    <w:div w:id="940572849">
      <w:marLeft w:val="0"/>
      <w:marRight w:val="0"/>
      <w:marTop w:val="0"/>
      <w:marBottom w:val="0"/>
      <w:divBdr>
        <w:top w:val="none" w:sz="0" w:space="0" w:color="auto"/>
        <w:left w:val="none" w:sz="0" w:space="0" w:color="auto"/>
        <w:bottom w:val="none" w:sz="0" w:space="0" w:color="auto"/>
        <w:right w:val="none" w:sz="0" w:space="0" w:color="auto"/>
      </w:divBdr>
      <w:divsChild>
        <w:div w:id="781533737">
          <w:marLeft w:val="0"/>
          <w:marRight w:val="0"/>
          <w:marTop w:val="0"/>
          <w:marBottom w:val="0"/>
          <w:divBdr>
            <w:top w:val="none" w:sz="0" w:space="0" w:color="auto"/>
            <w:left w:val="none" w:sz="0" w:space="0" w:color="auto"/>
            <w:bottom w:val="none" w:sz="0" w:space="0" w:color="auto"/>
            <w:right w:val="none" w:sz="0" w:space="0" w:color="auto"/>
          </w:divBdr>
        </w:div>
      </w:divsChild>
    </w:div>
    <w:div w:id="941034522">
      <w:marLeft w:val="0"/>
      <w:marRight w:val="0"/>
      <w:marTop w:val="0"/>
      <w:marBottom w:val="0"/>
      <w:divBdr>
        <w:top w:val="none" w:sz="0" w:space="0" w:color="auto"/>
        <w:left w:val="none" w:sz="0" w:space="0" w:color="auto"/>
        <w:bottom w:val="none" w:sz="0" w:space="0" w:color="auto"/>
        <w:right w:val="none" w:sz="0" w:space="0" w:color="auto"/>
      </w:divBdr>
    </w:div>
    <w:div w:id="942958858">
      <w:marLeft w:val="0"/>
      <w:marRight w:val="0"/>
      <w:marTop w:val="120"/>
      <w:marBottom w:val="0"/>
      <w:divBdr>
        <w:top w:val="none" w:sz="0" w:space="0" w:color="auto"/>
        <w:left w:val="none" w:sz="0" w:space="0" w:color="auto"/>
        <w:bottom w:val="none" w:sz="0" w:space="0" w:color="auto"/>
        <w:right w:val="none" w:sz="0" w:space="0" w:color="auto"/>
      </w:divBdr>
    </w:div>
    <w:div w:id="943655590">
      <w:marLeft w:val="0"/>
      <w:marRight w:val="0"/>
      <w:marTop w:val="0"/>
      <w:marBottom w:val="0"/>
      <w:divBdr>
        <w:top w:val="none" w:sz="0" w:space="0" w:color="auto"/>
        <w:left w:val="none" w:sz="0" w:space="0" w:color="auto"/>
        <w:bottom w:val="none" w:sz="0" w:space="0" w:color="auto"/>
        <w:right w:val="none" w:sz="0" w:space="0" w:color="auto"/>
      </w:divBdr>
      <w:divsChild>
        <w:div w:id="1179464726">
          <w:marLeft w:val="0"/>
          <w:marRight w:val="0"/>
          <w:marTop w:val="0"/>
          <w:marBottom w:val="0"/>
          <w:divBdr>
            <w:top w:val="none" w:sz="0" w:space="0" w:color="auto"/>
            <w:left w:val="none" w:sz="0" w:space="0" w:color="auto"/>
            <w:bottom w:val="none" w:sz="0" w:space="0" w:color="auto"/>
            <w:right w:val="none" w:sz="0" w:space="0" w:color="auto"/>
          </w:divBdr>
        </w:div>
      </w:divsChild>
    </w:div>
    <w:div w:id="947276540">
      <w:marLeft w:val="0"/>
      <w:marRight w:val="0"/>
      <w:marTop w:val="120"/>
      <w:marBottom w:val="120"/>
      <w:divBdr>
        <w:top w:val="none" w:sz="0" w:space="0" w:color="auto"/>
        <w:left w:val="none" w:sz="0" w:space="0" w:color="auto"/>
        <w:bottom w:val="none" w:sz="0" w:space="0" w:color="auto"/>
        <w:right w:val="none" w:sz="0" w:space="0" w:color="auto"/>
      </w:divBdr>
    </w:div>
    <w:div w:id="948701915">
      <w:marLeft w:val="0"/>
      <w:marRight w:val="0"/>
      <w:marTop w:val="0"/>
      <w:marBottom w:val="0"/>
      <w:divBdr>
        <w:top w:val="none" w:sz="0" w:space="0" w:color="auto"/>
        <w:left w:val="none" w:sz="0" w:space="0" w:color="auto"/>
        <w:bottom w:val="none" w:sz="0" w:space="0" w:color="auto"/>
        <w:right w:val="none" w:sz="0" w:space="0" w:color="auto"/>
      </w:divBdr>
    </w:div>
    <w:div w:id="950091627">
      <w:marLeft w:val="0"/>
      <w:marRight w:val="0"/>
      <w:marTop w:val="0"/>
      <w:marBottom w:val="0"/>
      <w:divBdr>
        <w:top w:val="none" w:sz="0" w:space="0" w:color="auto"/>
        <w:left w:val="none" w:sz="0" w:space="0" w:color="auto"/>
        <w:bottom w:val="none" w:sz="0" w:space="0" w:color="auto"/>
        <w:right w:val="none" w:sz="0" w:space="0" w:color="auto"/>
      </w:divBdr>
    </w:div>
    <w:div w:id="953484394">
      <w:marLeft w:val="0"/>
      <w:marRight w:val="0"/>
      <w:marTop w:val="120"/>
      <w:marBottom w:val="120"/>
      <w:divBdr>
        <w:top w:val="none" w:sz="0" w:space="0" w:color="auto"/>
        <w:left w:val="none" w:sz="0" w:space="0" w:color="auto"/>
        <w:bottom w:val="none" w:sz="0" w:space="0" w:color="auto"/>
        <w:right w:val="none" w:sz="0" w:space="0" w:color="auto"/>
      </w:divBdr>
    </w:div>
    <w:div w:id="955479694">
      <w:marLeft w:val="0"/>
      <w:marRight w:val="0"/>
      <w:marTop w:val="120"/>
      <w:marBottom w:val="0"/>
      <w:divBdr>
        <w:top w:val="none" w:sz="0" w:space="0" w:color="auto"/>
        <w:left w:val="none" w:sz="0" w:space="0" w:color="auto"/>
        <w:bottom w:val="none" w:sz="0" w:space="0" w:color="auto"/>
        <w:right w:val="none" w:sz="0" w:space="0" w:color="auto"/>
      </w:divBdr>
    </w:div>
    <w:div w:id="956067219">
      <w:marLeft w:val="0"/>
      <w:marRight w:val="0"/>
      <w:marTop w:val="120"/>
      <w:marBottom w:val="0"/>
      <w:divBdr>
        <w:top w:val="none" w:sz="0" w:space="0" w:color="auto"/>
        <w:left w:val="none" w:sz="0" w:space="0" w:color="auto"/>
        <w:bottom w:val="none" w:sz="0" w:space="0" w:color="auto"/>
        <w:right w:val="none" w:sz="0" w:space="0" w:color="auto"/>
      </w:divBdr>
    </w:div>
    <w:div w:id="956764517">
      <w:marLeft w:val="0"/>
      <w:marRight w:val="0"/>
      <w:marTop w:val="120"/>
      <w:marBottom w:val="0"/>
      <w:divBdr>
        <w:top w:val="none" w:sz="0" w:space="0" w:color="auto"/>
        <w:left w:val="none" w:sz="0" w:space="0" w:color="auto"/>
        <w:bottom w:val="none" w:sz="0" w:space="0" w:color="auto"/>
        <w:right w:val="none" w:sz="0" w:space="0" w:color="auto"/>
      </w:divBdr>
    </w:div>
    <w:div w:id="960955951">
      <w:marLeft w:val="0"/>
      <w:marRight w:val="0"/>
      <w:marTop w:val="120"/>
      <w:marBottom w:val="120"/>
      <w:divBdr>
        <w:top w:val="none" w:sz="0" w:space="0" w:color="auto"/>
        <w:left w:val="none" w:sz="0" w:space="0" w:color="auto"/>
        <w:bottom w:val="none" w:sz="0" w:space="0" w:color="auto"/>
        <w:right w:val="none" w:sz="0" w:space="0" w:color="auto"/>
      </w:divBdr>
    </w:div>
    <w:div w:id="961768415">
      <w:marLeft w:val="0"/>
      <w:marRight w:val="0"/>
      <w:marTop w:val="120"/>
      <w:marBottom w:val="120"/>
      <w:divBdr>
        <w:top w:val="none" w:sz="0" w:space="0" w:color="auto"/>
        <w:left w:val="none" w:sz="0" w:space="0" w:color="auto"/>
        <w:bottom w:val="none" w:sz="0" w:space="0" w:color="auto"/>
        <w:right w:val="none" w:sz="0" w:space="0" w:color="auto"/>
      </w:divBdr>
    </w:div>
    <w:div w:id="962420916">
      <w:marLeft w:val="0"/>
      <w:marRight w:val="0"/>
      <w:marTop w:val="0"/>
      <w:marBottom w:val="120"/>
      <w:divBdr>
        <w:top w:val="none" w:sz="0" w:space="0" w:color="auto"/>
        <w:left w:val="none" w:sz="0" w:space="0" w:color="auto"/>
        <w:bottom w:val="none" w:sz="0" w:space="0" w:color="auto"/>
        <w:right w:val="none" w:sz="0" w:space="0" w:color="auto"/>
      </w:divBdr>
    </w:div>
    <w:div w:id="962658519">
      <w:marLeft w:val="0"/>
      <w:marRight w:val="0"/>
      <w:marTop w:val="120"/>
      <w:marBottom w:val="120"/>
      <w:divBdr>
        <w:top w:val="none" w:sz="0" w:space="0" w:color="auto"/>
        <w:left w:val="none" w:sz="0" w:space="0" w:color="auto"/>
        <w:bottom w:val="none" w:sz="0" w:space="0" w:color="auto"/>
        <w:right w:val="none" w:sz="0" w:space="0" w:color="auto"/>
      </w:divBdr>
    </w:div>
    <w:div w:id="963920895">
      <w:marLeft w:val="0"/>
      <w:marRight w:val="0"/>
      <w:marTop w:val="120"/>
      <w:marBottom w:val="120"/>
      <w:divBdr>
        <w:top w:val="none" w:sz="0" w:space="0" w:color="auto"/>
        <w:left w:val="none" w:sz="0" w:space="0" w:color="auto"/>
        <w:bottom w:val="none" w:sz="0" w:space="0" w:color="auto"/>
        <w:right w:val="none" w:sz="0" w:space="0" w:color="auto"/>
      </w:divBdr>
    </w:div>
    <w:div w:id="964121624">
      <w:marLeft w:val="0"/>
      <w:marRight w:val="0"/>
      <w:marTop w:val="120"/>
      <w:marBottom w:val="120"/>
      <w:divBdr>
        <w:top w:val="none" w:sz="0" w:space="0" w:color="auto"/>
        <w:left w:val="none" w:sz="0" w:space="0" w:color="auto"/>
        <w:bottom w:val="none" w:sz="0" w:space="0" w:color="auto"/>
        <w:right w:val="none" w:sz="0" w:space="0" w:color="auto"/>
      </w:divBdr>
    </w:div>
    <w:div w:id="965500466">
      <w:marLeft w:val="0"/>
      <w:marRight w:val="0"/>
      <w:marTop w:val="180"/>
      <w:marBottom w:val="120"/>
      <w:divBdr>
        <w:top w:val="none" w:sz="0" w:space="0" w:color="auto"/>
        <w:left w:val="none" w:sz="0" w:space="0" w:color="auto"/>
        <w:bottom w:val="none" w:sz="0" w:space="0" w:color="auto"/>
        <w:right w:val="none" w:sz="0" w:space="0" w:color="auto"/>
      </w:divBdr>
    </w:div>
    <w:div w:id="966198766">
      <w:marLeft w:val="0"/>
      <w:marRight w:val="0"/>
      <w:marTop w:val="120"/>
      <w:marBottom w:val="0"/>
      <w:divBdr>
        <w:top w:val="none" w:sz="0" w:space="0" w:color="auto"/>
        <w:left w:val="none" w:sz="0" w:space="0" w:color="auto"/>
        <w:bottom w:val="none" w:sz="0" w:space="0" w:color="auto"/>
        <w:right w:val="none" w:sz="0" w:space="0" w:color="auto"/>
      </w:divBdr>
    </w:div>
    <w:div w:id="968587826">
      <w:marLeft w:val="0"/>
      <w:marRight w:val="0"/>
      <w:marTop w:val="120"/>
      <w:marBottom w:val="0"/>
      <w:divBdr>
        <w:top w:val="none" w:sz="0" w:space="0" w:color="auto"/>
        <w:left w:val="none" w:sz="0" w:space="0" w:color="auto"/>
        <w:bottom w:val="none" w:sz="0" w:space="0" w:color="auto"/>
        <w:right w:val="none" w:sz="0" w:space="0" w:color="auto"/>
      </w:divBdr>
      <w:divsChild>
        <w:div w:id="1198347903">
          <w:marLeft w:val="0"/>
          <w:marRight w:val="0"/>
          <w:marTop w:val="0"/>
          <w:marBottom w:val="0"/>
          <w:divBdr>
            <w:top w:val="none" w:sz="0" w:space="0" w:color="auto"/>
            <w:left w:val="none" w:sz="0" w:space="0" w:color="auto"/>
            <w:bottom w:val="none" w:sz="0" w:space="0" w:color="auto"/>
            <w:right w:val="none" w:sz="0" w:space="0" w:color="auto"/>
          </w:divBdr>
        </w:div>
        <w:div w:id="1984120687">
          <w:marLeft w:val="0"/>
          <w:marRight w:val="0"/>
          <w:marTop w:val="0"/>
          <w:marBottom w:val="0"/>
          <w:divBdr>
            <w:top w:val="none" w:sz="0" w:space="0" w:color="auto"/>
            <w:left w:val="none" w:sz="0" w:space="0" w:color="auto"/>
            <w:bottom w:val="none" w:sz="0" w:space="0" w:color="auto"/>
            <w:right w:val="none" w:sz="0" w:space="0" w:color="auto"/>
          </w:divBdr>
        </w:div>
        <w:div w:id="16199784">
          <w:marLeft w:val="0"/>
          <w:marRight w:val="0"/>
          <w:marTop w:val="0"/>
          <w:marBottom w:val="0"/>
          <w:divBdr>
            <w:top w:val="none" w:sz="0" w:space="0" w:color="auto"/>
            <w:left w:val="none" w:sz="0" w:space="0" w:color="auto"/>
            <w:bottom w:val="none" w:sz="0" w:space="0" w:color="auto"/>
            <w:right w:val="none" w:sz="0" w:space="0" w:color="auto"/>
          </w:divBdr>
        </w:div>
        <w:div w:id="250284324">
          <w:marLeft w:val="0"/>
          <w:marRight w:val="0"/>
          <w:marTop w:val="0"/>
          <w:marBottom w:val="0"/>
          <w:divBdr>
            <w:top w:val="none" w:sz="0" w:space="0" w:color="auto"/>
            <w:left w:val="none" w:sz="0" w:space="0" w:color="auto"/>
            <w:bottom w:val="none" w:sz="0" w:space="0" w:color="auto"/>
            <w:right w:val="none" w:sz="0" w:space="0" w:color="auto"/>
          </w:divBdr>
        </w:div>
        <w:div w:id="1063409841">
          <w:marLeft w:val="0"/>
          <w:marRight w:val="0"/>
          <w:marTop w:val="0"/>
          <w:marBottom w:val="0"/>
          <w:divBdr>
            <w:top w:val="none" w:sz="0" w:space="0" w:color="auto"/>
            <w:left w:val="none" w:sz="0" w:space="0" w:color="auto"/>
            <w:bottom w:val="none" w:sz="0" w:space="0" w:color="auto"/>
            <w:right w:val="none" w:sz="0" w:space="0" w:color="auto"/>
          </w:divBdr>
        </w:div>
        <w:div w:id="861670555">
          <w:marLeft w:val="0"/>
          <w:marRight w:val="0"/>
          <w:marTop w:val="0"/>
          <w:marBottom w:val="0"/>
          <w:divBdr>
            <w:top w:val="none" w:sz="0" w:space="0" w:color="auto"/>
            <w:left w:val="none" w:sz="0" w:space="0" w:color="auto"/>
            <w:bottom w:val="none" w:sz="0" w:space="0" w:color="auto"/>
            <w:right w:val="none" w:sz="0" w:space="0" w:color="auto"/>
          </w:divBdr>
        </w:div>
        <w:div w:id="390737717">
          <w:marLeft w:val="0"/>
          <w:marRight w:val="0"/>
          <w:marTop w:val="0"/>
          <w:marBottom w:val="0"/>
          <w:divBdr>
            <w:top w:val="none" w:sz="0" w:space="0" w:color="auto"/>
            <w:left w:val="none" w:sz="0" w:space="0" w:color="auto"/>
            <w:bottom w:val="none" w:sz="0" w:space="0" w:color="auto"/>
            <w:right w:val="none" w:sz="0" w:space="0" w:color="auto"/>
          </w:divBdr>
        </w:div>
        <w:div w:id="517888221">
          <w:marLeft w:val="0"/>
          <w:marRight w:val="0"/>
          <w:marTop w:val="0"/>
          <w:marBottom w:val="0"/>
          <w:divBdr>
            <w:top w:val="none" w:sz="0" w:space="0" w:color="auto"/>
            <w:left w:val="none" w:sz="0" w:space="0" w:color="auto"/>
            <w:bottom w:val="none" w:sz="0" w:space="0" w:color="auto"/>
            <w:right w:val="none" w:sz="0" w:space="0" w:color="auto"/>
          </w:divBdr>
        </w:div>
        <w:div w:id="1109004926">
          <w:marLeft w:val="0"/>
          <w:marRight w:val="0"/>
          <w:marTop w:val="0"/>
          <w:marBottom w:val="0"/>
          <w:divBdr>
            <w:top w:val="none" w:sz="0" w:space="0" w:color="auto"/>
            <w:left w:val="none" w:sz="0" w:space="0" w:color="auto"/>
            <w:bottom w:val="none" w:sz="0" w:space="0" w:color="auto"/>
            <w:right w:val="none" w:sz="0" w:space="0" w:color="auto"/>
          </w:divBdr>
        </w:div>
        <w:div w:id="2060087394">
          <w:marLeft w:val="0"/>
          <w:marRight w:val="0"/>
          <w:marTop w:val="0"/>
          <w:marBottom w:val="0"/>
          <w:divBdr>
            <w:top w:val="none" w:sz="0" w:space="0" w:color="auto"/>
            <w:left w:val="none" w:sz="0" w:space="0" w:color="auto"/>
            <w:bottom w:val="none" w:sz="0" w:space="0" w:color="auto"/>
            <w:right w:val="none" w:sz="0" w:space="0" w:color="auto"/>
          </w:divBdr>
        </w:div>
        <w:div w:id="227107748">
          <w:marLeft w:val="0"/>
          <w:marRight w:val="0"/>
          <w:marTop w:val="0"/>
          <w:marBottom w:val="0"/>
          <w:divBdr>
            <w:top w:val="none" w:sz="0" w:space="0" w:color="auto"/>
            <w:left w:val="none" w:sz="0" w:space="0" w:color="auto"/>
            <w:bottom w:val="none" w:sz="0" w:space="0" w:color="auto"/>
            <w:right w:val="none" w:sz="0" w:space="0" w:color="auto"/>
          </w:divBdr>
        </w:div>
        <w:div w:id="824318320">
          <w:marLeft w:val="0"/>
          <w:marRight w:val="0"/>
          <w:marTop w:val="0"/>
          <w:marBottom w:val="0"/>
          <w:divBdr>
            <w:top w:val="none" w:sz="0" w:space="0" w:color="auto"/>
            <w:left w:val="none" w:sz="0" w:space="0" w:color="auto"/>
            <w:bottom w:val="none" w:sz="0" w:space="0" w:color="auto"/>
            <w:right w:val="none" w:sz="0" w:space="0" w:color="auto"/>
          </w:divBdr>
        </w:div>
        <w:div w:id="2061202154">
          <w:marLeft w:val="0"/>
          <w:marRight w:val="0"/>
          <w:marTop w:val="0"/>
          <w:marBottom w:val="0"/>
          <w:divBdr>
            <w:top w:val="none" w:sz="0" w:space="0" w:color="auto"/>
            <w:left w:val="none" w:sz="0" w:space="0" w:color="auto"/>
            <w:bottom w:val="none" w:sz="0" w:space="0" w:color="auto"/>
            <w:right w:val="none" w:sz="0" w:space="0" w:color="auto"/>
          </w:divBdr>
        </w:div>
        <w:div w:id="463471182">
          <w:marLeft w:val="0"/>
          <w:marRight w:val="0"/>
          <w:marTop w:val="0"/>
          <w:marBottom w:val="0"/>
          <w:divBdr>
            <w:top w:val="none" w:sz="0" w:space="0" w:color="auto"/>
            <w:left w:val="none" w:sz="0" w:space="0" w:color="auto"/>
            <w:bottom w:val="none" w:sz="0" w:space="0" w:color="auto"/>
            <w:right w:val="none" w:sz="0" w:space="0" w:color="auto"/>
          </w:divBdr>
        </w:div>
        <w:div w:id="2053990698">
          <w:marLeft w:val="0"/>
          <w:marRight w:val="0"/>
          <w:marTop w:val="0"/>
          <w:marBottom w:val="0"/>
          <w:divBdr>
            <w:top w:val="none" w:sz="0" w:space="0" w:color="auto"/>
            <w:left w:val="none" w:sz="0" w:space="0" w:color="auto"/>
            <w:bottom w:val="none" w:sz="0" w:space="0" w:color="auto"/>
            <w:right w:val="none" w:sz="0" w:space="0" w:color="auto"/>
          </w:divBdr>
        </w:div>
        <w:div w:id="284890869">
          <w:marLeft w:val="0"/>
          <w:marRight w:val="0"/>
          <w:marTop w:val="0"/>
          <w:marBottom w:val="0"/>
          <w:divBdr>
            <w:top w:val="none" w:sz="0" w:space="0" w:color="auto"/>
            <w:left w:val="none" w:sz="0" w:space="0" w:color="auto"/>
            <w:bottom w:val="none" w:sz="0" w:space="0" w:color="auto"/>
            <w:right w:val="none" w:sz="0" w:space="0" w:color="auto"/>
          </w:divBdr>
        </w:div>
        <w:div w:id="896011051">
          <w:marLeft w:val="0"/>
          <w:marRight w:val="0"/>
          <w:marTop w:val="0"/>
          <w:marBottom w:val="0"/>
          <w:divBdr>
            <w:top w:val="none" w:sz="0" w:space="0" w:color="auto"/>
            <w:left w:val="none" w:sz="0" w:space="0" w:color="auto"/>
            <w:bottom w:val="none" w:sz="0" w:space="0" w:color="auto"/>
            <w:right w:val="none" w:sz="0" w:space="0" w:color="auto"/>
          </w:divBdr>
        </w:div>
        <w:div w:id="1997686352">
          <w:marLeft w:val="0"/>
          <w:marRight w:val="0"/>
          <w:marTop w:val="0"/>
          <w:marBottom w:val="0"/>
          <w:divBdr>
            <w:top w:val="none" w:sz="0" w:space="0" w:color="auto"/>
            <w:left w:val="none" w:sz="0" w:space="0" w:color="auto"/>
            <w:bottom w:val="none" w:sz="0" w:space="0" w:color="auto"/>
            <w:right w:val="none" w:sz="0" w:space="0" w:color="auto"/>
          </w:divBdr>
        </w:div>
        <w:div w:id="2079591013">
          <w:marLeft w:val="0"/>
          <w:marRight w:val="0"/>
          <w:marTop w:val="0"/>
          <w:marBottom w:val="0"/>
          <w:divBdr>
            <w:top w:val="none" w:sz="0" w:space="0" w:color="auto"/>
            <w:left w:val="none" w:sz="0" w:space="0" w:color="auto"/>
            <w:bottom w:val="none" w:sz="0" w:space="0" w:color="auto"/>
            <w:right w:val="none" w:sz="0" w:space="0" w:color="auto"/>
          </w:divBdr>
        </w:div>
        <w:div w:id="1143234380">
          <w:marLeft w:val="0"/>
          <w:marRight w:val="0"/>
          <w:marTop w:val="0"/>
          <w:marBottom w:val="0"/>
          <w:divBdr>
            <w:top w:val="none" w:sz="0" w:space="0" w:color="auto"/>
            <w:left w:val="none" w:sz="0" w:space="0" w:color="auto"/>
            <w:bottom w:val="none" w:sz="0" w:space="0" w:color="auto"/>
            <w:right w:val="none" w:sz="0" w:space="0" w:color="auto"/>
          </w:divBdr>
        </w:div>
      </w:divsChild>
    </w:div>
    <w:div w:id="974873672">
      <w:marLeft w:val="0"/>
      <w:marRight w:val="0"/>
      <w:marTop w:val="120"/>
      <w:marBottom w:val="0"/>
      <w:divBdr>
        <w:top w:val="none" w:sz="0" w:space="0" w:color="auto"/>
        <w:left w:val="none" w:sz="0" w:space="0" w:color="auto"/>
        <w:bottom w:val="none" w:sz="0" w:space="0" w:color="auto"/>
        <w:right w:val="none" w:sz="0" w:space="0" w:color="auto"/>
      </w:divBdr>
    </w:div>
    <w:div w:id="975572807">
      <w:marLeft w:val="0"/>
      <w:marRight w:val="0"/>
      <w:marTop w:val="120"/>
      <w:marBottom w:val="0"/>
      <w:divBdr>
        <w:top w:val="none" w:sz="0" w:space="0" w:color="auto"/>
        <w:left w:val="none" w:sz="0" w:space="0" w:color="auto"/>
        <w:bottom w:val="none" w:sz="0" w:space="0" w:color="auto"/>
        <w:right w:val="none" w:sz="0" w:space="0" w:color="auto"/>
      </w:divBdr>
    </w:div>
    <w:div w:id="975834647">
      <w:marLeft w:val="0"/>
      <w:marRight w:val="0"/>
      <w:marTop w:val="0"/>
      <w:marBottom w:val="0"/>
      <w:divBdr>
        <w:top w:val="none" w:sz="0" w:space="0" w:color="auto"/>
        <w:left w:val="none" w:sz="0" w:space="0" w:color="auto"/>
        <w:bottom w:val="none" w:sz="0" w:space="0" w:color="auto"/>
        <w:right w:val="none" w:sz="0" w:space="0" w:color="auto"/>
      </w:divBdr>
    </w:div>
    <w:div w:id="978150408">
      <w:marLeft w:val="0"/>
      <w:marRight w:val="0"/>
      <w:marTop w:val="120"/>
      <w:marBottom w:val="120"/>
      <w:divBdr>
        <w:top w:val="none" w:sz="0" w:space="0" w:color="auto"/>
        <w:left w:val="none" w:sz="0" w:space="0" w:color="auto"/>
        <w:bottom w:val="none" w:sz="0" w:space="0" w:color="auto"/>
        <w:right w:val="none" w:sz="0" w:space="0" w:color="auto"/>
      </w:divBdr>
    </w:div>
    <w:div w:id="978846944">
      <w:marLeft w:val="0"/>
      <w:marRight w:val="0"/>
      <w:marTop w:val="120"/>
      <w:marBottom w:val="120"/>
      <w:divBdr>
        <w:top w:val="none" w:sz="0" w:space="0" w:color="auto"/>
        <w:left w:val="none" w:sz="0" w:space="0" w:color="auto"/>
        <w:bottom w:val="none" w:sz="0" w:space="0" w:color="auto"/>
        <w:right w:val="none" w:sz="0" w:space="0" w:color="auto"/>
      </w:divBdr>
    </w:div>
    <w:div w:id="984699456">
      <w:marLeft w:val="0"/>
      <w:marRight w:val="0"/>
      <w:marTop w:val="0"/>
      <w:marBottom w:val="0"/>
      <w:divBdr>
        <w:top w:val="none" w:sz="0" w:space="0" w:color="auto"/>
        <w:left w:val="none" w:sz="0" w:space="0" w:color="auto"/>
        <w:bottom w:val="none" w:sz="0" w:space="0" w:color="auto"/>
        <w:right w:val="none" w:sz="0" w:space="0" w:color="auto"/>
      </w:divBdr>
      <w:divsChild>
        <w:div w:id="1944193289">
          <w:marLeft w:val="0"/>
          <w:marRight w:val="0"/>
          <w:marTop w:val="0"/>
          <w:marBottom w:val="0"/>
          <w:divBdr>
            <w:top w:val="none" w:sz="0" w:space="0" w:color="auto"/>
            <w:left w:val="none" w:sz="0" w:space="0" w:color="auto"/>
            <w:bottom w:val="none" w:sz="0" w:space="0" w:color="auto"/>
            <w:right w:val="none" w:sz="0" w:space="0" w:color="auto"/>
          </w:divBdr>
        </w:div>
      </w:divsChild>
    </w:div>
    <w:div w:id="986784797">
      <w:marLeft w:val="0"/>
      <w:marRight w:val="0"/>
      <w:marTop w:val="120"/>
      <w:marBottom w:val="0"/>
      <w:divBdr>
        <w:top w:val="none" w:sz="0" w:space="0" w:color="auto"/>
        <w:left w:val="none" w:sz="0" w:space="0" w:color="auto"/>
        <w:bottom w:val="none" w:sz="0" w:space="0" w:color="auto"/>
        <w:right w:val="none" w:sz="0" w:space="0" w:color="auto"/>
      </w:divBdr>
    </w:div>
    <w:div w:id="988555697">
      <w:marLeft w:val="0"/>
      <w:marRight w:val="0"/>
      <w:marTop w:val="120"/>
      <w:marBottom w:val="120"/>
      <w:divBdr>
        <w:top w:val="none" w:sz="0" w:space="0" w:color="auto"/>
        <w:left w:val="none" w:sz="0" w:space="0" w:color="auto"/>
        <w:bottom w:val="none" w:sz="0" w:space="0" w:color="auto"/>
        <w:right w:val="none" w:sz="0" w:space="0" w:color="auto"/>
      </w:divBdr>
    </w:div>
    <w:div w:id="989942213">
      <w:marLeft w:val="0"/>
      <w:marRight w:val="0"/>
      <w:marTop w:val="120"/>
      <w:marBottom w:val="0"/>
      <w:divBdr>
        <w:top w:val="none" w:sz="0" w:space="0" w:color="auto"/>
        <w:left w:val="none" w:sz="0" w:space="0" w:color="auto"/>
        <w:bottom w:val="none" w:sz="0" w:space="0" w:color="auto"/>
        <w:right w:val="none" w:sz="0" w:space="0" w:color="auto"/>
      </w:divBdr>
      <w:divsChild>
        <w:div w:id="1816289203">
          <w:marLeft w:val="0"/>
          <w:marRight w:val="0"/>
          <w:marTop w:val="120"/>
          <w:marBottom w:val="0"/>
          <w:divBdr>
            <w:top w:val="none" w:sz="0" w:space="0" w:color="auto"/>
            <w:left w:val="none" w:sz="0" w:space="0" w:color="auto"/>
            <w:bottom w:val="none" w:sz="0" w:space="0" w:color="auto"/>
            <w:right w:val="none" w:sz="0" w:space="0" w:color="auto"/>
          </w:divBdr>
        </w:div>
      </w:divsChild>
    </w:div>
    <w:div w:id="991064720">
      <w:marLeft w:val="0"/>
      <w:marRight w:val="0"/>
      <w:marTop w:val="0"/>
      <w:marBottom w:val="0"/>
      <w:divBdr>
        <w:top w:val="none" w:sz="0" w:space="0" w:color="auto"/>
        <w:left w:val="none" w:sz="0" w:space="0" w:color="auto"/>
        <w:bottom w:val="none" w:sz="0" w:space="0" w:color="auto"/>
        <w:right w:val="none" w:sz="0" w:space="0" w:color="auto"/>
      </w:divBdr>
    </w:div>
    <w:div w:id="992220675">
      <w:marLeft w:val="0"/>
      <w:marRight w:val="0"/>
      <w:marTop w:val="120"/>
      <w:marBottom w:val="120"/>
      <w:divBdr>
        <w:top w:val="none" w:sz="0" w:space="0" w:color="auto"/>
        <w:left w:val="none" w:sz="0" w:space="0" w:color="auto"/>
        <w:bottom w:val="none" w:sz="0" w:space="0" w:color="auto"/>
        <w:right w:val="none" w:sz="0" w:space="0" w:color="auto"/>
      </w:divBdr>
    </w:div>
    <w:div w:id="993265602">
      <w:marLeft w:val="0"/>
      <w:marRight w:val="0"/>
      <w:marTop w:val="120"/>
      <w:marBottom w:val="0"/>
      <w:divBdr>
        <w:top w:val="none" w:sz="0" w:space="0" w:color="auto"/>
        <w:left w:val="none" w:sz="0" w:space="0" w:color="auto"/>
        <w:bottom w:val="none" w:sz="0" w:space="0" w:color="auto"/>
        <w:right w:val="none" w:sz="0" w:space="0" w:color="auto"/>
      </w:divBdr>
    </w:div>
    <w:div w:id="993413466">
      <w:marLeft w:val="0"/>
      <w:marRight w:val="0"/>
      <w:marTop w:val="120"/>
      <w:marBottom w:val="0"/>
      <w:divBdr>
        <w:top w:val="none" w:sz="0" w:space="0" w:color="auto"/>
        <w:left w:val="none" w:sz="0" w:space="0" w:color="auto"/>
        <w:bottom w:val="none" w:sz="0" w:space="0" w:color="auto"/>
        <w:right w:val="none" w:sz="0" w:space="0" w:color="auto"/>
      </w:divBdr>
    </w:div>
    <w:div w:id="993413975">
      <w:marLeft w:val="0"/>
      <w:marRight w:val="0"/>
      <w:marTop w:val="180"/>
      <w:marBottom w:val="120"/>
      <w:divBdr>
        <w:top w:val="none" w:sz="0" w:space="0" w:color="auto"/>
        <w:left w:val="none" w:sz="0" w:space="0" w:color="auto"/>
        <w:bottom w:val="none" w:sz="0" w:space="0" w:color="auto"/>
        <w:right w:val="none" w:sz="0" w:space="0" w:color="auto"/>
      </w:divBdr>
    </w:div>
    <w:div w:id="997806141">
      <w:marLeft w:val="0"/>
      <w:marRight w:val="0"/>
      <w:marTop w:val="0"/>
      <w:marBottom w:val="0"/>
      <w:divBdr>
        <w:top w:val="none" w:sz="0" w:space="0" w:color="auto"/>
        <w:left w:val="none" w:sz="0" w:space="0" w:color="auto"/>
        <w:bottom w:val="none" w:sz="0" w:space="0" w:color="auto"/>
        <w:right w:val="none" w:sz="0" w:space="0" w:color="auto"/>
      </w:divBdr>
      <w:divsChild>
        <w:div w:id="1692535310">
          <w:marLeft w:val="0"/>
          <w:marRight w:val="0"/>
          <w:marTop w:val="0"/>
          <w:marBottom w:val="0"/>
          <w:divBdr>
            <w:top w:val="none" w:sz="0" w:space="0" w:color="auto"/>
            <w:left w:val="none" w:sz="0" w:space="0" w:color="auto"/>
            <w:bottom w:val="none" w:sz="0" w:space="0" w:color="auto"/>
            <w:right w:val="none" w:sz="0" w:space="0" w:color="auto"/>
          </w:divBdr>
        </w:div>
      </w:divsChild>
    </w:div>
    <w:div w:id="998850001">
      <w:marLeft w:val="0"/>
      <w:marRight w:val="0"/>
      <w:marTop w:val="120"/>
      <w:marBottom w:val="60"/>
      <w:divBdr>
        <w:top w:val="none" w:sz="0" w:space="0" w:color="auto"/>
        <w:left w:val="none" w:sz="0" w:space="0" w:color="auto"/>
        <w:bottom w:val="none" w:sz="0" w:space="0" w:color="auto"/>
        <w:right w:val="none" w:sz="0" w:space="0" w:color="auto"/>
      </w:divBdr>
    </w:div>
    <w:div w:id="999231140">
      <w:marLeft w:val="0"/>
      <w:marRight w:val="0"/>
      <w:marTop w:val="120"/>
      <w:marBottom w:val="0"/>
      <w:divBdr>
        <w:top w:val="none" w:sz="0" w:space="0" w:color="auto"/>
        <w:left w:val="none" w:sz="0" w:space="0" w:color="auto"/>
        <w:bottom w:val="none" w:sz="0" w:space="0" w:color="auto"/>
        <w:right w:val="none" w:sz="0" w:space="0" w:color="auto"/>
      </w:divBdr>
    </w:div>
    <w:div w:id="1001274642">
      <w:marLeft w:val="0"/>
      <w:marRight w:val="0"/>
      <w:marTop w:val="0"/>
      <w:marBottom w:val="0"/>
      <w:divBdr>
        <w:top w:val="none" w:sz="0" w:space="0" w:color="auto"/>
        <w:left w:val="none" w:sz="0" w:space="0" w:color="auto"/>
        <w:bottom w:val="none" w:sz="0" w:space="0" w:color="auto"/>
        <w:right w:val="none" w:sz="0" w:space="0" w:color="auto"/>
      </w:divBdr>
      <w:divsChild>
        <w:div w:id="7224332">
          <w:marLeft w:val="0"/>
          <w:marRight w:val="0"/>
          <w:marTop w:val="0"/>
          <w:marBottom w:val="0"/>
          <w:divBdr>
            <w:top w:val="none" w:sz="0" w:space="0" w:color="auto"/>
            <w:left w:val="none" w:sz="0" w:space="0" w:color="auto"/>
            <w:bottom w:val="none" w:sz="0" w:space="0" w:color="auto"/>
            <w:right w:val="none" w:sz="0" w:space="0" w:color="auto"/>
          </w:divBdr>
        </w:div>
      </w:divsChild>
    </w:div>
    <w:div w:id="1002199116">
      <w:marLeft w:val="0"/>
      <w:marRight w:val="0"/>
      <w:marTop w:val="0"/>
      <w:marBottom w:val="0"/>
      <w:divBdr>
        <w:top w:val="none" w:sz="0" w:space="0" w:color="auto"/>
        <w:left w:val="none" w:sz="0" w:space="0" w:color="auto"/>
        <w:bottom w:val="none" w:sz="0" w:space="0" w:color="auto"/>
        <w:right w:val="none" w:sz="0" w:space="0" w:color="auto"/>
      </w:divBdr>
    </w:div>
    <w:div w:id="1011222024">
      <w:marLeft w:val="0"/>
      <w:marRight w:val="0"/>
      <w:marTop w:val="120"/>
      <w:marBottom w:val="120"/>
      <w:divBdr>
        <w:top w:val="none" w:sz="0" w:space="0" w:color="auto"/>
        <w:left w:val="none" w:sz="0" w:space="0" w:color="auto"/>
        <w:bottom w:val="none" w:sz="0" w:space="0" w:color="auto"/>
        <w:right w:val="none" w:sz="0" w:space="0" w:color="auto"/>
      </w:divBdr>
    </w:div>
    <w:div w:id="1012032337">
      <w:marLeft w:val="0"/>
      <w:marRight w:val="0"/>
      <w:marTop w:val="120"/>
      <w:marBottom w:val="120"/>
      <w:divBdr>
        <w:top w:val="none" w:sz="0" w:space="0" w:color="auto"/>
        <w:left w:val="none" w:sz="0" w:space="0" w:color="auto"/>
        <w:bottom w:val="none" w:sz="0" w:space="0" w:color="auto"/>
        <w:right w:val="none" w:sz="0" w:space="0" w:color="auto"/>
      </w:divBdr>
    </w:div>
    <w:div w:id="1018234957">
      <w:marLeft w:val="0"/>
      <w:marRight w:val="0"/>
      <w:marTop w:val="120"/>
      <w:marBottom w:val="0"/>
      <w:divBdr>
        <w:top w:val="none" w:sz="0" w:space="0" w:color="auto"/>
        <w:left w:val="none" w:sz="0" w:space="0" w:color="auto"/>
        <w:bottom w:val="none" w:sz="0" w:space="0" w:color="auto"/>
        <w:right w:val="none" w:sz="0" w:space="0" w:color="auto"/>
      </w:divBdr>
    </w:div>
    <w:div w:id="1019500904">
      <w:marLeft w:val="0"/>
      <w:marRight w:val="0"/>
      <w:marTop w:val="120"/>
      <w:marBottom w:val="120"/>
      <w:divBdr>
        <w:top w:val="none" w:sz="0" w:space="0" w:color="auto"/>
        <w:left w:val="none" w:sz="0" w:space="0" w:color="auto"/>
        <w:bottom w:val="none" w:sz="0" w:space="0" w:color="auto"/>
        <w:right w:val="none" w:sz="0" w:space="0" w:color="auto"/>
      </w:divBdr>
    </w:div>
    <w:div w:id="1020471485">
      <w:marLeft w:val="0"/>
      <w:marRight w:val="0"/>
      <w:marTop w:val="0"/>
      <w:marBottom w:val="0"/>
      <w:divBdr>
        <w:top w:val="none" w:sz="0" w:space="0" w:color="auto"/>
        <w:left w:val="none" w:sz="0" w:space="0" w:color="auto"/>
        <w:bottom w:val="none" w:sz="0" w:space="0" w:color="auto"/>
        <w:right w:val="none" w:sz="0" w:space="0" w:color="auto"/>
      </w:divBdr>
    </w:div>
    <w:div w:id="1023359325">
      <w:marLeft w:val="0"/>
      <w:marRight w:val="0"/>
      <w:marTop w:val="120"/>
      <w:marBottom w:val="0"/>
      <w:divBdr>
        <w:top w:val="none" w:sz="0" w:space="0" w:color="auto"/>
        <w:left w:val="none" w:sz="0" w:space="0" w:color="auto"/>
        <w:bottom w:val="none" w:sz="0" w:space="0" w:color="auto"/>
        <w:right w:val="none" w:sz="0" w:space="0" w:color="auto"/>
      </w:divBdr>
    </w:div>
    <w:div w:id="1023554163">
      <w:marLeft w:val="0"/>
      <w:marRight w:val="0"/>
      <w:marTop w:val="0"/>
      <w:marBottom w:val="0"/>
      <w:divBdr>
        <w:top w:val="none" w:sz="0" w:space="0" w:color="auto"/>
        <w:left w:val="none" w:sz="0" w:space="0" w:color="auto"/>
        <w:bottom w:val="none" w:sz="0" w:space="0" w:color="auto"/>
        <w:right w:val="none" w:sz="0" w:space="0" w:color="auto"/>
      </w:divBdr>
      <w:divsChild>
        <w:div w:id="1932008712">
          <w:marLeft w:val="0"/>
          <w:marRight w:val="0"/>
          <w:marTop w:val="0"/>
          <w:marBottom w:val="0"/>
          <w:divBdr>
            <w:top w:val="none" w:sz="0" w:space="0" w:color="auto"/>
            <w:left w:val="none" w:sz="0" w:space="0" w:color="auto"/>
            <w:bottom w:val="none" w:sz="0" w:space="0" w:color="auto"/>
            <w:right w:val="none" w:sz="0" w:space="0" w:color="auto"/>
          </w:divBdr>
        </w:div>
      </w:divsChild>
    </w:div>
    <w:div w:id="1025667785">
      <w:marLeft w:val="0"/>
      <w:marRight w:val="0"/>
      <w:marTop w:val="120"/>
      <w:marBottom w:val="120"/>
      <w:divBdr>
        <w:top w:val="none" w:sz="0" w:space="0" w:color="auto"/>
        <w:left w:val="none" w:sz="0" w:space="0" w:color="auto"/>
        <w:bottom w:val="none" w:sz="0" w:space="0" w:color="auto"/>
        <w:right w:val="none" w:sz="0" w:space="0" w:color="auto"/>
      </w:divBdr>
    </w:div>
    <w:div w:id="1026521821">
      <w:marLeft w:val="0"/>
      <w:marRight w:val="0"/>
      <w:marTop w:val="120"/>
      <w:marBottom w:val="0"/>
      <w:divBdr>
        <w:top w:val="none" w:sz="0" w:space="0" w:color="auto"/>
        <w:left w:val="none" w:sz="0" w:space="0" w:color="auto"/>
        <w:bottom w:val="none" w:sz="0" w:space="0" w:color="auto"/>
        <w:right w:val="none" w:sz="0" w:space="0" w:color="auto"/>
      </w:divBdr>
    </w:div>
    <w:div w:id="1028603485">
      <w:marLeft w:val="0"/>
      <w:marRight w:val="0"/>
      <w:marTop w:val="240"/>
      <w:marBottom w:val="0"/>
      <w:divBdr>
        <w:top w:val="none" w:sz="0" w:space="0" w:color="auto"/>
        <w:left w:val="none" w:sz="0" w:space="0" w:color="auto"/>
        <w:bottom w:val="none" w:sz="0" w:space="0" w:color="auto"/>
        <w:right w:val="none" w:sz="0" w:space="0" w:color="auto"/>
      </w:divBdr>
    </w:div>
    <w:div w:id="1028750732">
      <w:marLeft w:val="0"/>
      <w:marRight w:val="0"/>
      <w:marTop w:val="120"/>
      <w:marBottom w:val="60"/>
      <w:divBdr>
        <w:top w:val="none" w:sz="0" w:space="0" w:color="auto"/>
        <w:left w:val="none" w:sz="0" w:space="0" w:color="auto"/>
        <w:bottom w:val="none" w:sz="0" w:space="0" w:color="auto"/>
        <w:right w:val="none" w:sz="0" w:space="0" w:color="auto"/>
      </w:divBdr>
    </w:div>
    <w:div w:id="1030765037">
      <w:marLeft w:val="0"/>
      <w:marRight w:val="0"/>
      <w:marTop w:val="120"/>
      <w:marBottom w:val="120"/>
      <w:divBdr>
        <w:top w:val="none" w:sz="0" w:space="0" w:color="auto"/>
        <w:left w:val="none" w:sz="0" w:space="0" w:color="auto"/>
        <w:bottom w:val="none" w:sz="0" w:space="0" w:color="auto"/>
        <w:right w:val="none" w:sz="0" w:space="0" w:color="auto"/>
      </w:divBdr>
    </w:div>
    <w:div w:id="1032804284">
      <w:marLeft w:val="0"/>
      <w:marRight w:val="0"/>
      <w:marTop w:val="120"/>
      <w:marBottom w:val="120"/>
      <w:divBdr>
        <w:top w:val="none" w:sz="0" w:space="0" w:color="auto"/>
        <w:left w:val="none" w:sz="0" w:space="0" w:color="auto"/>
        <w:bottom w:val="none" w:sz="0" w:space="0" w:color="auto"/>
        <w:right w:val="none" w:sz="0" w:space="0" w:color="auto"/>
      </w:divBdr>
    </w:div>
    <w:div w:id="1033306993">
      <w:marLeft w:val="0"/>
      <w:marRight w:val="0"/>
      <w:marTop w:val="120"/>
      <w:marBottom w:val="0"/>
      <w:divBdr>
        <w:top w:val="none" w:sz="0" w:space="0" w:color="auto"/>
        <w:left w:val="none" w:sz="0" w:space="0" w:color="auto"/>
        <w:bottom w:val="none" w:sz="0" w:space="0" w:color="auto"/>
        <w:right w:val="none" w:sz="0" w:space="0" w:color="auto"/>
      </w:divBdr>
    </w:div>
    <w:div w:id="1037046810">
      <w:marLeft w:val="0"/>
      <w:marRight w:val="0"/>
      <w:marTop w:val="240"/>
      <w:marBottom w:val="120"/>
      <w:divBdr>
        <w:top w:val="none" w:sz="0" w:space="0" w:color="auto"/>
        <w:left w:val="none" w:sz="0" w:space="0" w:color="auto"/>
        <w:bottom w:val="none" w:sz="0" w:space="0" w:color="auto"/>
        <w:right w:val="none" w:sz="0" w:space="0" w:color="auto"/>
      </w:divBdr>
    </w:div>
    <w:div w:id="1037049082">
      <w:marLeft w:val="0"/>
      <w:marRight w:val="0"/>
      <w:marTop w:val="120"/>
      <w:marBottom w:val="0"/>
      <w:divBdr>
        <w:top w:val="none" w:sz="0" w:space="0" w:color="auto"/>
        <w:left w:val="none" w:sz="0" w:space="0" w:color="auto"/>
        <w:bottom w:val="none" w:sz="0" w:space="0" w:color="auto"/>
        <w:right w:val="none" w:sz="0" w:space="0" w:color="auto"/>
      </w:divBdr>
    </w:div>
    <w:div w:id="1037199241">
      <w:marLeft w:val="0"/>
      <w:marRight w:val="0"/>
      <w:marTop w:val="120"/>
      <w:marBottom w:val="120"/>
      <w:divBdr>
        <w:top w:val="none" w:sz="0" w:space="0" w:color="auto"/>
        <w:left w:val="none" w:sz="0" w:space="0" w:color="auto"/>
        <w:bottom w:val="none" w:sz="0" w:space="0" w:color="auto"/>
        <w:right w:val="none" w:sz="0" w:space="0" w:color="auto"/>
      </w:divBdr>
    </w:div>
    <w:div w:id="1037512134">
      <w:marLeft w:val="0"/>
      <w:marRight w:val="0"/>
      <w:marTop w:val="120"/>
      <w:marBottom w:val="120"/>
      <w:divBdr>
        <w:top w:val="none" w:sz="0" w:space="0" w:color="auto"/>
        <w:left w:val="none" w:sz="0" w:space="0" w:color="auto"/>
        <w:bottom w:val="none" w:sz="0" w:space="0" w:color="auto"/>
        <w:right w:val="none" w:sz="0" w:space="0" w:color="auto"/>
      </w:divBdr>
    </w:div>
    <w:div w:id="1041245178">
      <w:marLeft w:val="0"/>
      <w:marRight w:val="0"/>
      <w:marTop w:val="0"/>
      <w:marBottom w:val="0"/>
      <w:divBdr>
        <w:top w:val="none" w:sz="0" w:space="0" w:color="auto"/>
        <w:left w:val="none" w:sz="0" w:space="0" w:color="auto"/>
        <w:bottom w:val="none" w:sz="0" w:space="0" w:color="auto"/>
        <w:right w:val="none" w:sz="0" w:space="0" w:color="auto"/>
      </w:divBdr>
    </w:div>
    <w:div w:id="1041515463">
      <w:marLeft w:val="0"/>
      <w:marRight w:val="0"/>
      <w:marTop w:val="120"/>
      <w:marBottom w:val="0"/>
      <w:divBdr>
        <w:top w:val="none" w:sz="0" w:space="0" w:color="auto"/>
        <w:left w:val="none" w:sz="0" w:space="0" w:color="auto"/>
        <w:bottom w:val="none" w:sz="0" w:space="0" w:color="auto"/>
        <w:right w:val="none" w:sz="0" w:space="0" w:color="auto"/>
      </w:divBdr>
    </w:div>
    <w:div w:id="1042513252">
      <w:marLeft w:val="0"/>
      <w:marRight w:val="0"/>
      <w:marTop w:val="0"/>
      <w:marBottom w:val="120"/>
      <w:divBdr>
        <w:top w:val="none" w:sz="0" w:space="0" w:color="auto"/>
        <w:left w:val="none" w:sz="0" w:space="0" w:color="auto"/>
        <w:bottom w:val="none" w:sz="0" w:space="0" w:color="auto"/>
        <w:right w:val="none" w:sz="0" w:space="0" w:color="auto"/>
      </w:divBdr>
    </w:div>
    <w:div w:id="1043285293">
      <w:marLeft w:val="0"/>
      <w:marRight w:val="0"/>
      <w:marTop w:val="180"/>
      <w:marBottom w:val="120"/>
      <w:divBdr>
        <w:top w:val="none" w:sz="0" w:space="0" w:color="auto"/>
        <w:left w:val="none" w:sz="0" w:space="0" w:color="auto"/>
        <w:bottom w:val="none" w:sz="0" w:space="0" w:color="auto"/>
        <w:right w:val="none" w:sz="0" w:space="0" w:color="auto"/>
      </w:divBdr>
    </w:div>
    <w:div w:id="1048652075">
      <w:marLeft w:val="0"/>
      <w:marRight w:val="0"/>
      <w:marTop w:val="120"/>
      <w:marBottom w:val="120"/>
      <w:divBdr>
        <w:top w:val="none" w:sz="0" w:space="0" w:color="auto"/>
        <w:left w:val="none" w:sz="0" w:space="0" w:color="auto"/>
        <w:bottom w:val="none" w:sz="0" w:space="0" w:color="auto"/>
        <w:right w:val="none" w:sz="0" w:space="0" w:color="auto"/>
      </w:divBdr>
    </w:div>
    <w:div w:id="1048915878">
      <w:marLeft w:val="0"/>
      <w:marRight w:val="0"/>
      <w:marTop w:val="120"/>
      <w:marBottom w:val="0"/>
      <w:divBdr>
        <w:top w:val="none" w:sz="0" w:space="0" w:color="auto"/>
        <w:left w:val="none" w:sz="0" w:space="0" w:color="auto"/>
        <w:bottom w:val="none" w:sz="0" w:space="0" w:color="auto"/>
        <w:right w:val="none" w:sz="0" w:space="0" w:color="auto"/>
      </w:divBdr>
    </w:div>
    <w:div w:id="1051925101">
      <w:marLeft w:val="0"/>
      <w:marRight w:val="0"/>
      <w:marTop w:val="0"/>
      <w:marBottom w:val="0"/>
      <w:divBdr>
        <w:top w:val="none" w:sz="0" w:space="0" w:color="auto"/>
        <w:left w:val="none" w:sz="0" w:space="0" w:color="auto"/>
        <w:bottom w:val="none" w:sz="0" w:space="0" w:color="auto"/>
        <w:right w:val="none" w:sz="0" w:space="0" w:color="auto"/>
      </w:divBdr>
      <w:divsChild>
        <w:div w:id="1880896180">
          <w:marLeft w:val="0"/>
          <w:marRight w:val="0"/>
          <w:marTop w:val="0"/>
          <w:marBottom w:val="0"/>
          <w:divBdr>
            <w:top w:val="none" w:sz="0" w:space="0" w:color="auto"/>
            <w:left w:val="none" w:sz="0" w:space="0" w:color="auto"/>
            <w:bottom w:val="none" w:sz="0" w:space="0" w:color="auto"/>
            <w:right w:val="none" w:sz="0" w:space="0" w:color="auto"/>
          </w:divBdr>
        </w:div>
      </w:divsChild>
    </w:div>
    <w:div w:id="1052268585">
      <w:marLeft w:val="0"/>
      <w:marRight w:val="0"/>
      <w:marTop w:val="120"/>
      <w:marBottom w:val="0"/>
      <w:divBdr>
        <w:top w:val="none" w:sz="0" w:space="0" w:color="auto"/>
        <w:left w:val="none" w:sz="0" w:space="0" w:color="auto"/>
        <w:bottom w:val="none" w:sz="0" w:space="0" w:color="auto"/>
        <w:right w:val="none" w:sz="0" w:space="0" w:color="auto"/>
      </w:divBdr>
    </w:div>
    <w:div w:id="1056928715">
      <w:marLeft w:val="0"/>
      <w:marRight w:val="0"/>
      <w:marTop w:val="120"/>
      <w:marBottom w:val="120"/>
      <w:divBdr>
        <w:top w:val="none" w:sz="0" w:space="0" w:color="auto"/>
        <w:left w:val="none" w:sz="0" w:space="0" w:color="auto"/>
        <w:bottom w:val="none" w:sz="0" w:space="0" w:color="auto"/>
        <w:right w:val="none" w:sz="0" w:space="0" w:color="auto"/>
      </w:divBdr>
    </w:div>
    <w:div w:id="1058363589">
      <w:marLeft w:val="0"/>
      <w:marRight w:val="0"/>
      <w:marTop w:val="120"/>
      <w:marBottom w:val="0"/>
      <w:divBdr>
        <w:top w:val="none" w:sz="0" w:space="0" w:color="auto"/>
        <w:left w:val="none" w:sz="0" w:space="0" w:color="auto"/>
        <w:bottom w:val="none" w:sz="0" w:space="0" w:color="auto"/>
        <w:right w:val="none" w:sz="0" w:space="0" w:color="auto"/>
      </w:divBdr>
    </w:div>
    <w:div w:id="1068303259">
      <w:marLeft w:val="0"/>
      <w:marRight w:val="0"/>
      <w:marTop w:val="120"/>
      <w:marBottom w:val="0"/>
      <w:divBdr>
        <w:top w:val="none" w:sz="0" w:space="0" w:color="auto"/>
        <w:left w:val="none" w:sz="0" w:space="0" w:color="auto"/>
        <w:bottom w:val="none" w:sz="0" w:space="0" w:color="auto"/>
        <w:right w:val="none" w:sz="0" w:space="0" w:color="auto"/>
      </w:divBdr>
    </w:div>
    <w:div w:id="1068920914">
      <w:marLeft w:val="0"/>
      <w:marRight w:val="0"/>
      <w:marTop w:val="0"/>
      <w:marBottom w:val="120"/>
      <w:divBdr>
        <w:top w:val="none" w:sz="0" w:space="0" w:color="auto"/>
        <w:left w:val="none" w:sz="0" w:space="0" w:color="auto"/>
        <w:bottom w:val="none" w:sz="0" w:space="0" w:color="auto"/>
        <w:right w:val="none" w:sz="0" w:space="0" w:color="auto"/>
      </w:divBdr>
    </w:div>
    <w:div w:id="1072846399">
      <w:marLeft w:val="0"/>
      <w:marRight w:val="0"/>
      <w:marTop w:val="0"/>
      <w:marBottom w:val="0"/>
      <w:divBdr>
        <w:top w:val="none" w:sz="0" w:space="0" w:color="auto"/>
        <w:left w:val="none" w:sz="0" w:space="0" w:color="auto"/>
        <w:bottom w:val="none" w:sz="0" w:space="0" w:color="auto"/>
        <w:right w:val="none" w:sz="0" w:space="0" w:color="auto"/>
      </w:divBdr>
    </w:div>
    <w:div w:id="1072851435">
      <w:marLeft w:val="0"/>
      <w:marRight w:val="0"/>
      <w:marTop w:val="0"/>
      <w:marBottom w:val="0"/>
      <w:divBdr>
        <w:top w:val="none" w:sz="0" w:space="0" w:color="auto"/>
        <w:left w:val="none" w:sz="0" w:space="0" w:color="auto"/>
        <w:bottom w:val="none" w:sz="0" w:space="0" w:color="auto"/>
        <w:right w:val="none" w:sz="0" w:space="0" w:color="auto"/>
      </w:divBdr>
    </w:div>
    <w:div w:id="1074666409">
      <w:marLeft w:val="0"/>
      <w:marRight w:val="0"/>
      <w:marTop w:val="0"/>
      <w:marBottom w:val="0"/>
      <w:divBdr>
        <w:top w:val="none" w:sz="0" w:space="0" w:color="auto"/>
        <w:left w:val="none" w:sz="0" w:space="0" w:color="auto"/>
        <w:bottom w:val="none" w:sz="0" w:space="0" w:color="auto"/>
        <w:right w:val="none" w:sz="0" w:space="0" w:color="auto"/>
      </w:divBdr>
      <w:divsChild>
        <w:div w:id="1197893361">
          <w:marLeft w:val="0"/>
          <w:marRight w:val="0"/>
          <w:marTop w:val="0"/>
          <w:marBottom w:val="0"/>
          <w:divBdr>
            <w:top w:val="none" w:sz="0" w:space="0" w:color="auto"/>
            <w:left w:val="none" w:sz="0" w:space="0" w:color="auto"/>
            <w:bottom w:val="none" w:sz="0" w:space="0" w:color="auto"/>
            <w:right w:val="none" w:sz="0" w:space="0" w:color="auto"/>
          </w:divBdr>
        </w:div>
      </w:divsChild>
    </w:div>
    <w:div w:id="1075198655">
      <w:marLeft w:val="0"/>
      <w:marRight w:val="0"/>
      <w:marTop w:val="120"/>
      <w:marBottom w:val="0"/>
      <w:divBdr>
        <w:top w:val="none" w:sz="0" w:space="0" w:color="auto"/>
        <w:left w:val="none" w:sz="0" w:space="0" w:color="auto"/>
        <w:bottom w:val="none" w:sz="0" w:space="0" w:color="auto"/>
        <w:right w:val="none" w:sz="0" w:space="0" w:color="auto"/>
      </w:divBdr>
    </w:div>
    <w:div w:id="1075664607">
      <w:marLeft w:val="0"/>
      <w:marRight w:val="0"/>
      <w:marTop w:val="0"/>
      <w:marBottom w:val="0"/>
      <w:divBdr>
        <w:top w:val="none" w:sz="0" w:space="0" w:color="auto"/>
        <w:left w:val="none" w:sz="0" w:space="0" w:color="auto"/>
        <w:bottom w:val="none" w:sz="0" w:space="0" w:color="auto"/>
        <w:right w:val="none" w:sz="0" w:space="0" w:color="auto"/>
      </w:divBdr>
      <w:divsChild>
        <w:div w:id="1040132367">
          <w:marLeft w:val="0"/>
          <w:marRight w:val="0"/>
          <w:marTop w:val="0"/>
          <w:marBottom w:val="0"/>
          <w:divBdr>
            <w:top w:val="none" w:sz="0" w:space="0" w:color="auto"/>
            <w:left w:val="none" w:sz="0" w:space="0" w:color="auto"/>
            <w:bottom w:val="none" w:sz="0" w:space="0" w:color="auto"/>
            <w:right w:val="none" w:sz="0" w:space="0" w:color="auto"/>
          </w:divBdr>
        </w:div>
      </w:divsChild>
    </w:div>
    <w:div w:id="1077019579">
      <w:marLeft w:val="0"/>
      <w:marRight w:val="0"/>
      <w:marTop w:val="120"/>
      <w:marBottom w:val="0"/>
      <w:divBdr>
        <w:top w:val="none" w:sz="0" w:space="0" w:color="auto"/>
        <w:left w:val="none" w:sz="0" w:space="0" w:color="auto"/>
        <w:bottom w:val="none" w:sz="0" w:space="0" w:color="auto"/>
        <w:right w:val="none" w:sz="0" w:space="0" w:color="auto"/>
      </w:divBdr>
    </w:div>
    <w:div w:id="1080101308">
      <w:marLeft w:val="0"/>
      <w:marRight w:val="0"/>
      <w:marTop w:val="0"/>
      <w:marBottom w:val="0"/>
      <w:divBdr>
        <w:top w:val="none" w:sz="0" w:space="0" w:color="auto"/>
        <w:left w:val="none" w:sz="0" w:space="0" w:color="auto"/>
        <w:bottom w:val="none" w:sz="0" w:space="0" w:color="auto"/>
        <w:right w:val="none" w:sz="0" w:space="0" w:color="auto"/>
      </w:divBdr>
      <w:divsChild>
        <w:div w:id="352150663">
          <w:marLeft w:val="0"/>
          <w:marRight w:val="0"/>
          <w:marTop w:val="0"/>
          <w:marBottom w:val="0"/>
          <w:divBdr>
            <w:top w:val="none" w:sz="0" w:space="0" w:color="auto"/>
            <w:left w:val="none" w:sz="0" w:space="0" w:color="auto"/>
            <w:bottom w:val="none" w:sz="0" w:space="0" w:color="auto"/>
            <w:right w:val="none" w:sz="0" w:space="0" w:color="auto"/>
          </w:divBdr>
        </w:div>
      </w:divsChild>
    </w:div>
    <w:div w:id="1080251523">
      <w:marLeft w:val="0"/>
      <w:marRight w:val="0"/>
      <w:marTop w:val="120"/>
      <w:marBottom w:val="0"/>
      <w:divBdr>
        <w:top w:val="none" w:sz="0" w:space="0" w:color="auto"/>
        <w:left w:val="none" w:sz="0" w:space="0" w:color="auto"/>
        <w:bottom w:val="none" w:sz="0" w:space="0" w:color="auto"/>
        <w:right w:val="none" w:sz="0" w:space="0" w:color="auto"/>
      </w:divBdr>
    </w:div>
    <w:div w:id="1083331003">
      <w:marLeft w:val="0"/>
      <w:marRight w:val="0"/>
      <w:marTop w:val="0"/>
      <w:marBottom w:val="0"/>
      <w:divBdr>
        <w:top w:val="none" w:sz="0" w:space="0" w:color="auto"/>
        <w:left w:val="none" w:sz="0" w:space="0" w:color="auto"/>
        <w:bottom w:val="none" w:sz="0" w:space="0" w:color="auto"/>
        <w:right w:val="none" w:sz="0" w:space="0" w:color="auto"/>
      </w:divBdr>
    </w:div>
    <w:div w:id="1083455883">
      <w:marLeft w:val="0"/>
      <w:marRight w:val="0"/>
      <w:marTop w:val="0"/>
      <w:marBottom w:val="0"/>
      <w:divBdr>
        <w:top w:val="none" w:sz="0" w:space="0" w:color="auto"/>
        <w:left w:val="none" w:sz="0" w:space="0" w:color="auto"/>
        <w:bottom w:val="none" w:sz="0" w:space="0" w:color="auto"/>
        <w:right w:val="none" w:sz="0" w:space="0" w:color="auto"/>
      </w:divBdr>
      <w:divsChild>
        <w:div w:id="1690788826">
          <w:marLeft w:val="0"/>
          <w:marRight w:val="0"/>
          <w:marTop w:val="0"/>
          <w:marBottom w:val="0"/>
          <w:divBdr>
            <w:top w:val="none" w:sz="0" w:space="0" w:color="auto"/>
            <w:left w:val="none" w:sz="0" w:space="0" w:color="auto"/>
            <w:bottom w:val="none" w:sz="0" w:space="0" w:color="auto"/>
            <w:right w:val="none" w:sz="0" w:space="0" w:color="auto"/>
          </w:divBdr>
        </w:div>
      </w:divsChild>
    </w:div>
    <w:div w:id="1083602121">
      <w:marLeft w:val="0"/>
      <w:marRight w:val="0"/>
      <w:marTop w:val="120"/>
      <w:marBottom w:val="120"/>
      <w:divBdr>
        <w:top w:val="none" w:sz="0" w:space="0" w:color="auto"/>
        <w:left w:val="none" w:sz="0" w:space="0" w:color="auto"/>
        <w:bottom w:val="none" w:sz="0" w:space="0" w:color="auto"/>
        <w:right w:val="none" w:sz="0" w:space="0" w:color="auto"/>
      </w:divBdr>
    </w:div>
    <w:div w:id="1090658483">
      <w:marLeft w:val="0"/>
      <w:marRight w:val="0"/>
      <w:marTop w:val="120"/>
      <w:marBottom w:val="120"/>
      <w:divBdr>
        <w:top w:val="none" w:sz="0" w:space="0" w:color="auto"/>
        <w:left w:val="none" w:sz="0" w:space="0" w:color="auto"/>
        <w:bottom w:val="none" w:sz="0" w:space="0" w:color="auto"/>
        <w:right w:val="none" w:sz="0" w:space="0" w:color="auto"/>
      </w:divBdr>
      <w:divsChild>
        <w:div w:id="1324817916">
          <w:marLeft w:val="0"/>
          <w:marRight w:val="0"/>
          <w:marTop w:val="120"/>
          <w:marBottom w:val="0"/>
          <w:divBdr>
            <w:top w:val="none" w:sz="0" w:space="0" w:color="auto"/>
            <w:left w:val="none" w:sz="0" w:space="0" w:color="auto"/>
            <w:bottom w:val="none" w:sz="0" w:space="0" w:color="auto"/>
            <w:right w:val="none" w:sz="0" w:space="0" w:color="auto"/>
          </w:divBdr>
        </w:div>
        <w:div w:id="1873494282">
          <w:marLeft w:val="0"/>
          <w:marRight w:val="0"/>
          <w:marTop w:val="0"/>
          <w:marBottom w:val="0"/>
          <w:divBdr>
            <w:top w:val="none" w:sz="0" w:space="0" w:color="auto"/>
            <w:left w:val="none" w:sz="0" w:space="0" w:color="auto"/>
            <w:bottom w:val="none" w:sz="0" w:space="0" w:color="auto"/>
            <w:right w:val="none" w:sz="0" w:space="0" w:color="auto"/>
          </w:divBdr>
        </w:div>
        <w:div w:id="1203202504">
          <w:marLeft w:val="0"/>
          <w:marRight w:val="0"/>
          <w:marTop w:val="0"/>
          <w:marBottom w:val="0"/>
          <w:divBdr>
            <w:top w:val="none" w:sz="0" w:space="0" w:color="auto"/>
            <w:left w:val="none" w:sz="0" w:space="0" w:color="auto"/>
            <w:bottom w:val="none" w:sz="0" w:space="0" w:color="auto"/>
            <w:right w:val="none" w:sz="0" w:space="0" w:color="auto"/>
          </w:divBdr>
        </w:div>
      </w:divsChild>
    </w:div>
    <w:div w:id="1091660024">
      <w:marLeft w:val="0"/>
      <w:marRight w:val="0"/>
      <w:marTop w:val="120"/>
      <w:marBottom w:val="120"/>
      <w:divBdr>
        <w:top w:val="none" w:sz="0" w:space="0" w:color="auto"/>
        <w:left w:val="none" w:sz="0" w:space="0" w:color="auto"/>
        <w:bottom w:val="none" w:sz="0" w:space="0" w:color="auto"/>
        <w:right w:val="none" w:sz="0" w:space="0" w:color="auto"/>
      </w:divBdr>
    </w:div>
    <w:div w:id="1092627130">
      <w:marLeft w:val="0"/>
      <w:marRight w:val="0"/>
      <w:marTop w:val="120"/>
      <w:marBottom w:val="0"/>
      <w:divBdr>
        <w:top w:val="none" w:sz="0" w:space="0" w:color="auto"/>
        <w:left w:val="none" w:sz="0" w:space="0" w:color="auto"/>
        <w:bottom w:val="none" w:sz="0" w:space="0" w:color="auto"/>
        <w:right w:val="none" w:sz="0" w:space="0" w:color="auto"/>
      </w:divBdr>
    </w:div>
    <w:div w:id="1094663966">
      <w:marLeft w:val="0"/>
      <w:marRight w:val="0"/>
      <w:marTop w:val="0"/>
      <w:marBottom w:val="0"/>
      <w:divBdr>
        <w:top w:val="none" w:sz="0" w:space="0" w:color="auto"/>
        <w:left w:val="none" w:sz="0" w:space="0" w:color="auto"/>
        <w:bottom w:val="none" w:sz="0" w:space="0" w:color="auto"/>
        <w:right w:val="none" w:sz="0" w:space="0" w:color="auto"/>
      </w:divBdr>
      <w:divsChild>
        <w:div w:id="1729113333">
          <w:marLeft w:val="0"/>
          <w:marRight w:val="0"/>
          <w:marTop w:val="0"/>
          <w:marBottom w:val="0"/>
          <w:divBdr>
            <w:top w:val="none" w:sz="0" w:space="0" w:color="auto"/>
            <w:left w:val="none" w:sz="0" w:space="0" w:color="auto"/>
            <w:bottom w:val="none" w:sz="0" w:space="0" w:color="auto"/>
            <w:right w:val="none" w:sz="0" w:space="0" w:color="auto"/>
          </w:divBdr>
        </w:div>
      </w:divsChild>
    </w:div>
    <w:div w:id="1099640668">
      <w:marLeft w:val="0"/>
      <w:marRight w:val="0"/>
      <w:marTop w:val="120"/>
      <w:marBottom w:val="120"/>
      <w:divBdr>
        <w:top w:val="none" w:sz="0" w:space="0" w:color="auto"/>
        <w:left w:val="none" w:sz="0" w:space="0" w:color="auto"/>
        <w:bottom w:val="none" w:sz="0" w:space="0" w:color="auto"/>
        <w:right w:val="none" w:sz="0" w:space="0" w:color="auto"/>
      </w:divBdr>
    </w:div>
    <w:div w:id="1100376231">
      <w:marLeft w:val="0"/>
      <w:marRight w:val="0"/>
      <w:marTop w:val="180"/>
      <w:marBottom w:val="60"/>
      <w:divBdr>
        <w:top w:val="none" w:sz="0" w:space="0" w:color="auto"/>
        <w:left w:val="none" w:sz="0" w:space="0" w:color="auto"/>
        <w:bottom w:val="none" w:sz="0" w:space="0" w:color="auto"/>
        <w:right w:val="none" w:sz="0" w:space="0" w:color="auto"/>
      </w:divBdr>
      <w:divsChild>
        <w:div w:id="1866627783">
          <w:marLeft w:val="0"/>
          <w:marRight w:val="0"/>
          <w:marTop w:val="0"/>
          <w:marBottom w:val="0"/>
          <w:divBdr>
            <w:top w:val="none" w:sz="0" w:space="0" w:color="auto"/>
            <w:left w:val="none" w:sz="0" w:space="0" w:color="auto"/>
            <w:bottom w:val="none" w:sz="0" w:space="0" w:color="auto"/>
            <w:right w:val="none" w:sz="0" w:space="0" w:color="auto"/>
          </w:divBdr>
        </w:div>
        <w:div w:id="1386293385">
          <w:marLeft w:val="0"/>
          <w:marRight w:val="0"/>
          <w:marTop w:val="0"/>
          <w:marBottom w:val="0"/>
          <w:divBdr>
            <w:top w:val="none" w:sz="0" w:space="0" w:color="auto"/>
            <w:left w:val="none" w:sz="0" w:space="0" w:color="auto"/>
            <w:bottom w:val="none" w:sz="0" w:space="0" w:color="auto"/>
            <w:right w:val="none" w:sz="0" w:space="0" w:color="auto"/>
          </w:divBdr>
        </w:div>
        <w:div w:id="750395454">
          <w:marLeft w:val="0"/>
          <w:marRight w:val="0"/>
          <w:marTop w:val="0"/>
          <w:marBottom w:val="0"/>
          <w:divBdr>
            <w:top w:val="none" w:sz="0" w:space="0" w:color="auto"/>
            <w:left w:val="none" w:sz="0" w:space="0" w:color="auto"/>
            <w:bottom w:val="none" w:sz="0" w:space="0" w:color="auto"/>
            <w:right w:val="none" w:sz="0" w:space="0" w:color="auto"/>
          </w:divBdr>
        </w:div>
        <w:div w:id="2131245792">
          <w:marLeft w:val="0"/>
          <w:marRight w:val="0"/>
          <w:marTop w:val="0"/>
          <w:marBottom w:val="0"/>
          <w:divBdr>
            <w:top w:val="none" w:sz="0" w:space="0" w:color="auto"/>
            <w:left w:val="none" w:sz="0" w:space="0" w:color="auto"/>
            <w:bottom w:val="none" w:sz="0" w:space="0" w:color="auto"/>
            <w:right w:val="none" w:sz="0" w:space="0" w:color="auto"/>
          </w:divBdr>
        </w:div>
      </w:divsChild>
    </w:div>
    <w:div w:id="1103115403">
      <w:marLeft w:val="0"/>
      <w:marRight w:val="0"/>
      <w:marTop w:val="0"/>
      <w:marBottom w:val="0"/>
      <w:divBdr>
        <w:top w:val="none" w:sz="0" w:space="0" w:color="auto"/>
        <w:left w:val="none" w:sz="0" w:space="0" w:color="auto"/>
        <w:bottom w:val="none" w:sz="0" w:space="0" w:color="auto"/>
        <w:right w:val="none" w:sz="0" w:space="0" w:color="auto"/>
      </w:divBdr>
      <w:divsChild>
        <w:div w:id="1009337013">
          <w:marLeft w:val="0"/>
          <w:marRight w:val="0"/>
          <w:marTop w:val="0"/>
          <w:marBottom w:val="0"/>
          <w:divBdr>
            <w:top w:val="none" w:sz="0" w:space="0" w:color="auto"/>
            <w:left w:val="none" w:sz="0" w:space="0" w:color="auto"/>
            <w:bottom w:val="none" w:sz="0" w:space="0" w:color="auto"/>
            <w:right w:val="none" w:sz="0" w:space="0" w:color="auto"/>
          </w:divBdr>
        </w:div>
      </w:divsChild>
    </w:div>
    <w:div w:id="1103190020">
      <w:marLeft w:val="0"/>
      <w:marRight w:val="0"/>
      <w:marTop w:val="0"/>
      <w:marBottom w:val="0"/>
      <w:divBdr>
        <w:top w:val="none" w:sz="0" w:space="0" w:color="auto"/>
        <w:left w:val="none" w:sz="0" w:space="0" w:color="auto"/>
        <w:bottom w:val="none" w:sz="0" w:space="0" w:color="auto"/>
        <w:right w:val="none" w:sz="0" w:space="0" w:color="auto"/>
      </w:divBdr>
      <w:divsChild>
        <w:div w:id="1127971930">
          <w:marLeft w:val="0"/>
          <w:marRight w:val="0"/>
          <w:marTop w:val="0"/>
          <w:marBottom w:val="0"/>
          <w:divBdr>
            <w:top w:val="none" w:sz="0" w:space="0" w:color="auto"/>
            <w:left w:val="none" w:sz="0" w:space="0" w:color="auto"/>
            <w:bottom w:val="none" w:sz="0" w:space="0" w:color="auto"/>
            <w:right w:val="none" w:sz="0" w:space="0" w:color="auto"/>
          </w:divBdr>
        </w:div>
      </w:divsChild>
    </w:div>
    <w:div w:id="1103765786">
      <w:marLeft w:val="0"/>
      <w:marRight w:val="0"/>
      <w:marTop w:val="120"/>
      <w:marBottom w:val="0"/>
      <w:divBdr>
        <w:top w:val="none" w:sz="0" w:space="0" w:color="auto"/>
        <w:left w:val="none" w:sz="0" w:space="0" w:color="auto"/>
        <w:bottom w:val="none" w:sz="0" w:space="0" w:color="auto"/>
        <w:right w:val="none" w:sz="0" w:space="0" w:color="auto"/>
      </w:divBdr>
    </w:div>
    <w:div w:id="1106465956">
      <w:marLeft w:val="0"/>
      <w:marRight w:val="0"/>
      <w:marTop w:val="120"/>
      <w:marBottom w:val="120"/>
      <w:divBdr>
        <w:top w:val="none" w:sz="0" w:space="0" w:color="auto"/>
        <w:left w:val="none" w:sz="0" w:space="0" w:color="auto"/>
        <w:bottom w:val="none" w:sz="0" w:space="0" w:color="auto"/>
        <w:right w:val="none" w:sz="0" w:space="0" w:color="auto"/>
      </w:divBdr>
    </w:div>
    <w:div w:id="1107117138">
      <w:marLeft w:val="0"/>
      <w:marRight w:val="0"/>
      <w:marTop w:val="0"/>
      <w:marBottom w:val="0"/>
      <w:divBdr>
        <w:top w:val="none" w:sz="0" w:space="0" w:color="auto"/>
        <w:left w:val="none" w:sz="0" w:space="0" w:color="auto"/>
        <w:bottom w:val="none" w:sz="0" w:space="0" w:color="auto"/>
        <w:right w:val="none" w:sz="0" w:space="0" w:color="auto"/>
      </w:divBdr>
      <w:divsChild>
        <w:div w:id="624117456">
          <w:marLeft w:val="0"/>
          <w:marRight w:val="0"/>
          <w:marTop w:val="0"/>
          <w:marBottom w:val="0"/>
          <w:divBdr>
            <w:top w:val="none" w:sz="0" w:space="0" w:color="auto"/>
            <w:left w:val="none" w:sz="0" w:space="0" w:color="auto"/>
            <w:bottom w:val="none" w:sz="0" w:space="0" w:color="auto"/>
            <w:right w:val="none" w:sz="0" w:space="0" w:color="auto"/>
          </w:divBdr>
        </w:div>
      </w:divsChild>
    </w:div>
    <w:div w:id="1108356040">
      <w:marLeft w:val="0"/>
      <w:marRight w:val="0"/>
      <w:marTop w:val="0"/>
      <w:marBottom w:val="0"/>
      <w:divBdr>
        <w:top w:val="none" w:sz="0" w:space="0" w:color="auto"/>
        <w:left w:val="none" w:sz="0" w:space="0" w:color="auto"/>
        <w:bottom w:val="none" w:sz="0" w:space="0" w:color="auto"/>
        <w:right w:val="none" w:sz="0" w:space="0" w:color="auto"/>
      </w:divBdr>
      <w:divsChild>
        <w:div w:id="1901669464">
          <w:marLeft w:val="0"/>
          <w:marRight w:val="0"/>
          <w:marTop w:val="0"/>
          <w:marBottom w:val="0"/>
          <w:divBdr>
            <w:top w:val="none" w:sz="0" w:space="0" w:color="auto"/>
            <w:left w:val="none" w:sz="0" w:space="0" w:color="auto"/>
            <w:bottom w:val="none" w:sz="0" w:space="0" w:color="auto"/>
            <w:right w:val="none" w:sz="0" w:space="0" w:color="auto"/>
          </w:divBdr>
        </w:div>
      </w:divsChild>
    </w:div>
    <w:div w:id="1111822381">
      <w:marLeft w:val="0"/>
      <w:marRight w:val="0"/>
      <w:marTop w:val="0"/>
      <w:marBottom w:val="0"/>
      <w:divBdr>
        <w:top w:val="none" w:sz="0" w:space="0" w:color="auto"/>
        <w:left w:val="none" w:sz="0" w:space="0" w:color="auto"/>
        <w:bottom w:val="none" w:sz="0" w:space="0" w:color="auto"/>
        <w:right w:val="none" w:sz="0" w:space="0" w:color="auto"/>
      </w:divBdr>
    </w:div>
    <w:div w:id="1112745063">
      <w:marLeft w:val="0"/>
      <w:marRight w:val="0"/>
      <w:marTop w:val="120"/>
      <w:marBottom w:val="120"/>
      <w:divBdr>
        <w:top w:val="none" w:sz="0" w:space="0" w:color="auto"/>
        <w:left w:val="none" w:sz="0" w:space="0" w:color="auto"/>
        <w:bottom w:val="none" w:sz="0" w:space="0" w:color="auto"/>
        <w:right w:val="none" w:sz="0" w:space="0" w:color="auto"/>
      </w:divBdr>
    </w:div>
    <w:div w:id="1113131235">
      <w:marLeft w:val="0"/>
      <w:marRight w:val="0"/>
      <w:marTop w:val="120"/>
      <w:marBottom w:val="0"/>
      <w:divBdr>
        <w:top w:val="none" w:sz="0" w:space="0" w:color="auto"/>
        <w:left w:val="none" w:sz="0" w:space="0" w:color="auto"/>
        <w:bottom w:val="none" w:sz="0" w:space="0" w:color="auto"/>
        <w:right w:val="none" w:sz="0" w:space="0" w:color="auto"/>
      </w:divBdr>
    </w:div>
    <w:div w:id="1116605403">
      <w:marLeft w:val="0"/>
      <w:marRight w:val="0"/>
      <w:marTop w:val="120"/>
      <w:marBottom w:val="0"/>
      <w:divBdr>
        <w:top w:val="none" w:sz="0" w:space="0" w:color="auto"/>
        <w:left w:val="none" w:sz="0" w:space="0" w:color="auto"/>
        <w:bottom w:val="none" w:sz="0" w:space="0" w:color="auto"/>
        <w:right w:val="none" w:sz="0" w:space="0" w:color="auto"/>
      </w:divBdr>
    </w:div>
    <w:div w:id="1117215959">
      <w:marLeft w:val="0"/>
      <w:marRight w:val="0"/>
      <w:marTop w:val="0"/>
      <w:marBottom w:val="0"/>
      <w:divBdr>
        <w:top w:val="none" w:sz="0" w:space="0" w:color="auto"/>
        <w:left w:val="none" w:sz="0" w:space="0" w:color="auto"/>
        <w:bottom w:val="none" w:sz="0" w:space="0" w:color="auto"/>
        <w:right w:val="none" w:sz="0" w:space="0" w:color="auto"/>
      </w:divBdr>
      <w:divsChild>
        <w:div w:id="1095518859">
          <w:marLeft w:val="0"/>
          <w:marRight w:val="0"/>
          <w:marTop w:val="0"/>
          <w:marBottom w:val="0"/>
          <w:divBdr>
            <w:top w:val="none" w:sz="0" w:space="0" w:color="auto"/>
            <w:left w:val="none" w:sz="0" w:space="0" w:color="auto"/>
            <w:bottom w:val="none" w:sz="0" w:space="0" w:color="auto"/>
            <w:right w:val="none" w:sz="0" w:space="0" w:color="auto"/>
          </w:divBdr>
        </w:div>
      </w:divsChild>
    </w:div>
    <w:div w:id="1118795441">
      <w:marLeft w:val="0"/>
      <w:marRight w:val="0"/>
      <w:marTop w:val="120"/>
      <w:marBottom w:val="0"/>
      <w:divBdr>
        <w:top w:val="none" w:sz="0" w:space="0" w:color="auto"/>
        <w:left w:val="none" w:sz="0" w:space="0" w:color="auto"/>
        <w:bottom w:val="none" w:sz="0" w:space="0" w:color="auto"/>
        <w:right w:val="none" w:sz="0" w:space="0" w:color="auto"/>
      </w:divBdr>
    </w:div>
    <w:div w:id="1122111665">
      <w:marLeft w:val="0"/>
      <w:marRight w:val="0"/>
      <w:marTop w:val="120"/>
      <w:marBottom w:val="0"/>
      <w:divBdr>
        <w:top w:val="none" w:sz="0" w:space="0" w:color="auto"/>
        <w:left w:val="none" w:sz="0" w:space="0" w:color="auto"/>
        <w:bottom w:val="none" w:sz="0" w:space="0" w:color="auto"/>
        <w:right w:val="none" w:sz="0" w:space="0" w:color="auto"/>
      </w:divBdr>
    </w:div>
    <w:div w:id="1127432538">
      <w:marLeft w:val="0"/>
      <w:marRight w:val="0"/>
      <w:marTop w:val="0"/>
      <w:marBottom w:val="0"/>
      <w:divBdr>
        <w:top w:val="none" w:sz="0" w:space="0" w:color="auto"/>
        <w:left w:val="none" w:sz="0" w:space="0" w:color="auto"/>
        <w:bottom w:val="none" w:sz="0" w:space="0" w:color="auto"/>
        <w:right w:val="none" w:sz="0" w:space="0" w:color="auto"/>
      </w:divBdr>
      <w:divsChild>
        <w:div w:id="2134446680">
          <w:marLeft w:val="0"/>
          <w:marRight w:val="0"/>
          <w:marTop w:val="0"/>
          <w:marBottom w:val="0"/>
          <w:divBdr>
            <w:top w:val="none" w:sz="0" w:space="0" w:color="auto"/>
            <w:left w:val="none" w:sz="0" w:space="0" w:color="auto"/>
            <w:bottom w:val="none" w:sz="0" w:space="0" w:color="auto"/>
            <w:right w:val="none" w:sz="0" w:space="0" w:color="auto"/>
          </w:divBdr>
        </w:div>
      </w:divsChild>
    </w:div>
    <w:div w:id="1129470805">
      <w:marLeft w:val="0"/>
      <w:marRight w:val="0"/>
      <w:marTop w:val="120"/>
      <w:marBottom w:val="0"/>
      <w:divBdr>
        <w:top w:val="none" w:sz="0" w:space="0" w:color="auto"/>
        <w:left w:val="none" w:sz="0" w:space="0" w:color="auto"/>
        <w:bottom w:val="none" w:sz="0" w:space="0" w:color="auto"/>
        <w:right w:val="none" w:sz="0" w:space="0" w:color="auto"/>
      </w:divBdr>
    </w:div>
    <w:div w:id="1130440434">
      <w:marLeft w:val="0"/>
      <w:marRight w:val="0"/>
      <w:marTop w:val="0"/>
      <w:marBottom w:val="0"/>
      <w:divBdr>
        <w:top w:val="none" w:sz="0" w:space="0" w:color="auto"/>
        <w:left w:val="none" w:sz="0" w:space="0" w:color="auto"/>
        <w:bottom w:val="none" w:sz="0" w:space="0" w:color="auto"/>
        <w:right w:val="none" w:sz="0" w:space="0" w:color="auto"/>
      </w:divBdr>
      <w:divsChild>
        <w:div w:id="801273102">
          <w:marLeft w:val="0"/>
          <w:marRight w:val="0"/>
          <w:marTop w:val="0"/>
          <w:marBottom w:val="0"/>
          <w:divBdr>
            <w:top w:val="none" w:sz="0" w:space="0" w:color="auto"/>
            <w:left w:val="none" w:sz="0" w:space="0" w:color="auto"/>
            <w:bottom w:val="none" w:sz="0" w:space="0" w:color="auto"/>
            <w:right w:val="none" w:sz="0" w:space="0" w:color="auto"/>
          </w:divBdr>
        </w:div>
      </w:divsChild>
    </w:div>
    <w:div w:id="1130897279">
      <w:marLeft w:val="0"/>
      <w:marRight w:val="0"/>
      <w:marTop w:val="120"/>
      <w:marBottom w:val="0"/>
      <w:divBdr>
        <w:top w:val="none" w:sz="0" w:space="0" w:color="auto"/>
        <w:left w:val="none" w:sz="0" w:space="0" w:color="auto"/>
        <w:bottom w:val="none" w:sz="0" w:space="0" w:color="auto"/>
        <w:right w:val="none" w:sz="0" w:space="0" w:color="auto"/>
      </w:divBdr>
    </w:div>
    <w:div w:id="1131169392">
      <w:marLeft w:val="0"/>
      <w:marRight w:val="0"/>
      <w:marTop w:val="0"/>
      <w:marBottom w:val="0"/>
      <w:divBdr>
        <w:top w:val="none" w:sz="0" w:space="0" w:color="auto"/>
        <w:left w:val="none" w:sz="0" w:space="0" w:color="auto"/>
        <w:bottom w:val="none" w:sz="0" w:space="0" w:color="auto"/>
        <w:right w:val="none" w:sz="0" w:space="0" w:color="auto"/>
      </w:divBdr>
      <w:divsChild>
        <w:div w:id="1128862997">
          <w:marLeft w:val="0"/>
          <w:marRight w:val="0"/>
          <w:marTop w:val="0"/>
          <w:marBottom w:val="0"/>
          <w:divBdr>
            <w:top w:val="none" w:sz="0" w:space="0" w:color="auto"/>
            <w:left w:val="none" w:sz="0" w:space="0" w:color="auto"/>
            <w:bottom w:val="none" w:sz="0" w:space="0" w:color="auto"/>
            <w:right w:val="none" w:sz="0" w:space="0" w:color="auto"/>
          </w:divBdr>
        </w:div>
      </w:divsChild>
    </w:div>
    <w:div w:id="1131361887">
      <w:marLeft w:val="0"/>
      <w:marRight w:val="0"/>
      <w:marTop w:val="0"/>
      <w:marBottom w:val="120"/>
      <w:divBdr>
        <w:top w:val="none" w:sz="0" w:space="0" w:color="auto"/>
        <w:left w:val="none" w:sz="0" w:space="0" w:color="auto"/>
        <w:bottom w:val="none" w:sz="0" w:space="0" w:color="auto"/>
        <w:right w:val="none" w:sz="0" w:space="0" w:color="auto"/>
      </w:divBdr>
    </w:div>
    <w:div w:id="1133715941">
      <w:marLeft w:val="0"/>
      <w:marRight w:val="0"/>
      <w:marTop w:val="120"/>
      <w:marBottom w:val="120"/>
      <w:divBdr>
        <w:top w:val="none" w:sz="0" w:space="0" w:color="auto"/>
        <w:left w:val="none" w:sz="0" w:space="0" w:color="auto"/>
        <w:bottom w:val="none" w:sz="0" w:space="0" w:color="auto"/>
        <w:right w:val="none" w:sz="0" w:space="0" w:color="auto"/>
      </w:divBdr>
    </w:div>
    <w:div w:id="1133868651">
      <w:marLeft w:val="0"/>
      <w:marRight w:val="0"/>
      <w:marTop w:val="60"/>
      <w:marBottom w:val="120"/>
      <w:divBdr>
        <w:top w:val="none" w:sz="0" w:space="0" w:color="auto"/>
        <w:left w:val="none" w:sz="0" w:space="0" w:color="auto"/>
        <w:bottom w:val="none" w:sz="0" w:space="0" w:color="auto"/>
        <w:right w:val="none" w:sz="0" w:space="0" w:color="auto"/>
      </w:divBdr>
    </w:div>
    <w:div w:id="1134637498">
      <w:marLeft w:val="0"/>
      <w:marRight w:val="0"/>
      <w:marTop w:val="120"/>
      <w:marBottom w:val="120"/>
      <w:divBdr>
        <w:top w:val="none" w:sz="0" w:space="0" w:color="auto"/>
        <w:left w:val="none" w:sz="0" w:space="0" w:color="auto"/>
        <w:bottom w:val="none" w:sz="0" w:space="0" w:color="auto"/>
        <w:right w:val="none" w:sz="0" w:space="0" w:color="auto"/>
      </w:divBdr>
    </w:div>
    <w:div w:id="1141120462">
      <w:marLeft w:val="0"/>
      <w:marRight w:val="0"/>
      <w:marTop w:val="120"/>
      <w:marBottom w:val="120"/>
      <w:divBdr>
        <w:top w:val="none" w:sz="0" w:space="0" w:color="auto"/>
        <w:left w:val="none" w:sz="0" w:space="0" w:color="auto"/>
        <w:bottom w:val="none" w:sz="0" w:space="0" w:color="auto"/>
        <w:right w:val="none" w:sz="0" w:space="0" w:color="auto"/>
      </w:divBdr>
    </w:div>
    <w:div w:id="1141533879">
      <w:marLeft w:val="0"/>
      <w:marRight w:val="0"/>
      <w:marTop w:val="0"/>
      <w:marBottom w:val="0"/>
      <w:divBdr>
        <w:top w:val="none" w:sz="0" w:space="0" w:color="auto"/>
        <w:left w:val="none" w:sz="0" w:space="0" w:color="auto"/>
        <w:bottom w:val="none" w:sz="0" w:space="0" w:color="auto"/>
        <w:right w:val="none" w:sz="0" w:space="0" w:color="auto"/>
      </w:divBdr>
    </w:div>
    <w:div w:id="1143040747">
      <w:marLeft w:val="0"/>
      <w:marRight w:val="0"/>
      <w:marTop w:val="120"/>
      <w:marBottom w:val="120"/>
      <w:divBdr>
        <w:top w:val="none" w:sz="0" w:space="0" w:color="auto"/>
        <w:left w:val="none" w:sz="0" w:space="0" w:color="auto"/>
        <w:bottom w:val="none" w:sz="0" w:space="0" w:color="auto"/>
        <w:right w:val="none" w:sz="0" w:space="0" w:color="auto"/>
      </w:divBdr>
    </w:div>
    <w:div w:id="1143306628">
      <w:marLeft w:val="0"/>
      <w:marRight w:val="0"/>
      <w:marTop w:val="120"/>
      <w:marBottom w:val="120"/>
      <w:divBdr>
        <w:top w:val="none" w:sz="0" w:space="0" w:color="auto"/>
        <w:left w:val="none" w:sz="0" w:space="0" w:color="auto"/>
        <w:bottom w:val="none" w:sz="0" w:space="0" w:color="auto"/>
        <w:right w:val="none" w:sz="0" w:space="0" w:color="auto"/>
      </w:divBdr>
    </w:div>
    <w:div w:id="1144470904">
      <w:marLeft w:val="0"/>
      <w:marRight w:val="0"/>
      <w:marTop w:val="0"/>
      <w:marBottom w:val="0"/>
      <w:divBdr>
        <w:top w:val="none" w:sz="0" w:space="0" w:color="auto"/>
        <w:left w:val="none" w:sz="0" w:space="0" w:color="auto"/>
        <w:bottom w:val="none" w:sz="0" w:space="0" w:color="auto"/>
        <w:right w:val="none" w:sz="0" w:space="0" w:color="auto"/>
      </w:divBdr>
      <w:divsChild>
        <w:div w:id="201135527">
          <w:marLeft w:val="0"/>
          <w:marRight w:val="0"/>
          <w:marTop w:val="0"/>
          <w:marBottom w:val="0"/>
          <w:divBdr>
            <w:top w:val="none" w:sz="0" w:space="0" w:color="auto"/>
            <w:left w:val="none" w:sz="0" w:space="0" w:color="auto"/>
            <w:bottom w:val="none" w:sz="0" w:space="0" w:color="auto"/>
            <w:right w:val="none" w:sz="0" w:space="0" w:color="auto"/>
          </w:divBdr>
        </w:div>
      </w:divsChild>
    </w:div>
    <w:div w:id="1145052381">
      <w:marLeft w:val="0"/>
      <w:marRight w:val="0"/>
      <w:marTop w:val="60"/>
      <w:marBottom w:val="0"/>
      <w:divBdr>
        <w:top w:val="none" w:sz="0" w:space="0" w:color="auto"/>
        <w:left w:val="none" w:sz="0" w:space="0" w:color="auto"/>
        <w:bottom w:val="none" w:sz="0" w:space="0" w:color="auto"/>
        <w:right w:val="none" w:sz="0" w:space="0" w:color="auto"/>
      </w:divBdr>
    </w:div>
    <w:div w:id="1145199724">
      <w:marLeft w:val="0"/>
      <w:marRight w:val="0"/>
      <w:marTop w:val="120"/>
      <w:marBottom w:val="120"/>
      <w:divBdr>
        <w:top w:val="none" w:sz="0" w:space="0" w:color="auto"/>
        <w:left w:val="none" w:sz="0" w:space="0" w:color="auto"/>
        <w:bottom w:val="none" w:sz="0" w:space="0" w:color="auto"/>
        <w:right w:val="none" w:sz="0" w:space="0" w:color="auto"/>
      </w:divBdr>
    </w:div>
    <w:div w:id="1146244568">
      <w:marLeft w:val="0"/>
      <w:marRight w:val="0"/>
      <w:marTop w:val="120"/>
      <w:marBottom w:val="120"/>
      <w:divBdr>
        <w:top w:val="none" w:sz="0" w:space="0" w:color="auto"/>
        <w:left w:val="none" w:sz="0" w:space="0" w:color="auto"/>
        <w:bottom w:val="none" w:sz="0" w:space="0" w:color="auto"/>
        <w:right w:val="none" w:sz="0" w:space="0" w:color="auto"/>
      </w:divBdr>
    </w:div>
    <w:div w:id="1149783142">
      <w:marLeft w:val="0"/>
      <w:marRight w:val="0"/>
      <w:marTop w:val="120"/>
      <w:marBottom w:val="120"/>
      <w:divBdr>
        <w:top w:val="none" w:sz="0" w:space="0" w:color="auto"/>
        <w:left w:val="none" w:sz="0" w:space="0" w:color="auto"/>
        <w:bottom w:val="none" w:sz="0" w:space="0" w:color="auto"/>
        <w:right w:val="none" w:sz="0" w:space="0" w:color="auto"/>
      </w:divBdr>
    </w:div>
    <w:div w:id="1150097347">
      <w:marLeft w:val="0"/>
      <w:marRight w:val="0"/>
      <w:marTop w:val="120"/>
      <w:marBottom w:val="0"/>
      <w:divBdr>
        <w:top w:val="none" w:sz="0" w:space="0" w:color="auto"/>
        <w:left w:val="none" w:sz="0" w:space="0" w:color="auto"/>
        <w:bottom w:val="none" w:sz="0" w:space="0" w:color="auto"/>
        <w:right w:val="none" w:sz="0" w:space="0" w:color="auto"/>
      </w:divBdr>
    </w:div>
    <w:div w:id="1151482089">
      <w:marLeft w:val="0"/>
      <w:marRight w:val="0"/>
      <w:marTop w:val="120"/>
      <w:marBottom w:val="0"/>
      <w:divBdr>
        <w:top w:val="none" w:sz="0" w:space="0" w:color="auto"/>
        <w:left w:val="none" w:sz="0" w:space="0" w:color="auto"/>
        <w:bottom w:val="none" w:sz="0" w:space="0" w:color="auto"/>
        <w:right w:val="none" w:sz="0" w:space="0" w:color="auto"/>
      </w:divBdr>
    </w:div>
    <w:div w:id="1152213501">
      <w:marLeft w:val="0"/>
      <w:marRight w:val="0"/>
      <w:marTop w:val="120"/>
      <w:marBottom w:val="0"/>
      <w:divBdr>
        <w:top w:val="none" w:sz="0" w:space="0" w:color="auto"/>
        <w:left w:val="none" w:sz="0" w:space="0" w:color="auto"/>
        <w:bottom w:val="none" w:sz="0" w:space="0" w:color="auto"/>
        <w:right w:val="none" w:sz="0" w:space="0" w:color="auto"/>
      </w:divBdr>
    </w:div>
    <w:div w:id="1153835865">
      <w:marLeft w:val="0"/>
      <w:marRight w:val="0"/>
      <w:marTop w:val="120"/>
      <w:marBottom w:val="0"/>
      <w:divBdr>
        <w:top w:val="none" w:sz="0" w:space="0" w:color="auto"/>
        <w:left w:val="none" w:sz="0" w:space="0" w:color="auto"/>
        <w:bottom w:val="none" w:sz="0" w:space="0" w:color="auto"/>
        <w:right w:val="none" w:sz="0" w:space="0" w:color="auto"/>
      </w:divBdr>
    </w:div>
    <w:div w:id="1154639996">
      <w:marLeft w:val="0"/>
      <w:marRight w:val="0"/>
      <w:marTop w:val="120"/>
      <w:marBottom w:val="0"/>
      <w:divBdr>
        <w:top w:val="none" w:sz="0" w:space="0" w:color="auto"/>
        <w:left w:val="none" w:sz="0" w:space="0" w:color="auto"/>
        <w:bottom w:val="none" w:sz="0" w:space="0" w:color="auto"/>
        <w:right w:val="none" w:sz="0" w:space="0" w:color="auto"/>
      </w:divBdr>
    </w:div>
    <w:div w:id="1155491982">
      <w:marLeft w:val="0"/>
      <w:marRight w:val="0"/>
      <w:marTop w:val="120"/>
      <w:marBottom w:val="0"/>
      <w:divBdr>
        <w:top w:val="none" w:sz="0" w:space="0" w:color="auto"/>
        <w:left w:val="none" w:sz="0" w:space="0" w:color="auto"/>
        <w:bottom w:val="none" w:sz="0" w:space="0" w:color="auto"/>
        <w:right w:val="none" w:sz="0" w:space="0" w:color="auto"/>
      </w:divBdr>
    </w:div>
    <w:div w:id="1157376806">
      <w:marLeft w:val="0"/>
      <w:marRight w:val="0"/>
      <w:marTop w:val="0"/>
      <w:marBottom w:val="0"/>
      <w:divBdr>
        <w:top w:val="none" w:sz="0" w:space="0" w:color="auto"/>
        <w:left w:val="none" w:sz="0" w:space="0" w:color="auto"/>
        <w:bottom w:val="none" w:sz="0" w:space="0" w:color="auto"/>
        <w:right w:val="none" w:sz="0" w:space="0" w:color="auto"/>
      </w:divBdr>
    </w:div>
    <w:div w:id="1158959346">
      <w:marLeft w:val="0"/>
      <w:marRight w:val="0"/>
      <w:marTop w:val="120"/>
      <w:marBottom w:val="0"/>
      <w:divBdr>
        <w:top w:val="none" w:sz="0" w:space="0" w:color="auto"/>
        <w:left w:val="none" w:sz="0" w:space="0" w:color="auto"/>
        <w:bottom w:val="none" w:sz="0" w:space="0" w:color="auto"/>
        <w:right w:val="none" w:sz="0" w:space="0" w:color="auto"/>
      </w:divBdr>
    </w:div>
    <w:div w:id="1164783834">
      <w:marLeft w:val="0"/>
      <w:marRight w:val="0"/>
      <w:marTop w:val="0"/>
      <w:marBottom w:val="0"/>
      <w:divBdr>
        <w:top w:val="none" w:sz="0" w:space="0" w:color="auto"/>
        <w:left w:val="none" w:sz="0" w:space="0" w:color="auto"/>
        <w:bottom w:val="none" w:sz="0" w:space="0" w:color="auto"/>
        <w:right w:val="none" w:sz="0" w:space="0" w:color="auto"/>
      </w:divBdr>
      <w:divsChild>
        <w:div w:id="490023233">
          <w:marLeft w:val="0"/>
          <w:marRight w:val="0"/>
          <w:marTop w:val="0"/>
          <w:marBottom w:val="0"/>
          <w:divBdr>
            <w:top w:val="none" w:sz="0" w:space="0" w:color="auto"/>
            <w:left w:val="none" w:sz="0" w:space="0" w:color="auto"/>
            <w:bottom w:val="none" w:sz="0" w:space="0" w:color="auto"/>
            <w:right w:val="none" w:sz="0" w:space="0" w:color="auto"/>
          </w:divBdr>
        </w:div>
      </w:divsChild>
    </w:div>
    <w:div w:id="1164856230">
      <w:marLeft w:val="0"/>
      <w:marRight w:val="0"/>
      <w:marTop w:val="120"/>
      <w:marBottom w:val="0"/>
      <w:divBdr>
        <w:top w:val="none" w:sz="0" w:space="0" w:color="auto"/>
        <w:left w:val="none" w:sz="0" w:space="0" w:color="auto"/>
        <w:bottom w:val="none" w:sz="0" w:space="0" w:color="auto"/>
        <w:right w:val="none" w:sz="0" w:space="0" w:color="auto"/>
      </w:divBdr>
    </w:div>
    <w:div w:id="1165897330">
      <w:marLeft w:val="0"/>
      <w:marRight w:val="0"/>
      <w:marTop w:val="0"/>
      <w:marBottom w:val="0"/>
      <w:divBdr>
        <w:top w:val="none" w:sz="0" w:space="0" w:color="auto"/>
        <w:left w:val="none" w:sz="0" w:space="0" w:color="auto"/>
        <w:bottom w:val="none" w:sz="0" w:space="0" w:color="auto"/>
        <w:right w:val="none" w:sz="0" w:space="0" w:color="auto"/>
      </w:divBdr>
      <w:divsChild>
        <w:div w:id="1082682968">
          <w:marLeft w:val="0"/>
          <w:marRight w:val="0"/>
          <w:marTop w:val="0"/>
          <w:marBottom w:val="0"/>
          <w:divBdr>
            <w:top w:val="none" w:sz="0" w:space="0" w:color="auto"/>
            <w:left w:val="none" w:sz="0" w:space="0" w:color="auto"/>
            <w:bottom w:val="none" w:sz="0" w:space="0" w:color="auto"/>
            <w:right w:val="none" w:sz="0" w:space="0" w:color="auto"/>
          </w:divBdr>
        </w:div>
      </w:divsChild>
    </w:div>
    <w:div w:id="1168515663">
      <w:marLeft w:val="0"/>
      <w:marRight w:val="0"/>
      <w:marTop w:val="120"/>
      <w:marBottom w:val="0"/>
      <w:divBdr>
        <w:top w:val="none" w:sz="0" w:space="0" w:color="auto"/>
        <w:left w:val="none" w:sz="0" w:space="0" w:color="auto"/>
        <w:bottom w:val="none" w:sz="0" w:space="0" w:color="auto"/>
        <w:right w:val="none" w:sz="0" w:space="0" w:color="auto"/>
      </w:divBdr>
    </w:div>
    <w:div w:id="1170296076">
      <w:marLeft w:val="0"/>
      <w:marRight w:val="0"/>
      <w:marTop w:val="180"/>
      <w:marBottom w:val="120"/>
      <w:divBdr>
        <w:top w:val="none" w:sz="0" w:space="0" w:color="auto"/>
        <w:left w:val="none" w:sz="0" w:space="0" w:color="auto"/>
        <w:bottom w:val="none" w:sz="0" w:space="0" w:color="auto"/>
        <w:right w:val="none" w:sz="0" w:space="0" w:color="auto"/>
      </w:divBdr>
      <w:divsChild>
        <w:div w:id="769354938">
          <w:marLeft w:val="0"/>
          <w:marRight w:val="0"/>
          <w:marTop w:val="120"/>
          <w:marBottom w:val="0"/>
          <w:divBdr>
            <w:top w:val="none" w:sz="0" w:space="0" w:color="auto"/>
            <w:left w:val="none" w:sz="0" w:space="0" w:color="auto"/>
            <w:bottom w:val="none" w:sz="0" w:space="0" w:color="auto"/>
            <w:right w:val="none" w:sz="0" w:space="0" w:color="auto"/>
          </w:divBdr>
        </w:div>
      </w:divsChild>
    </w:div>
    <w:div w:id="1181166984">
      <w:marLeft w:val="0"/>
      <w:marRight w:val="0"/>
      <w:marTop w:val="120"/>
      <w:marBottom w:val="0"/>
      <w:divBdr>
        <w:top w:val="none" w:sz="0" w:space="0" w:color="auto"/>
        <w:left w:val="none" w:sz="0" w:space="0" w:color="auto"/>
        <w:bottom w:val="none" w:sz="0" w:space="0" w:color="auto"/>
        <w:right w:val="none" w:sz="0" w:space="0" w:color="auto"/>
      </w:divBdr>
    </w:div>
    <w:div w:id="1182089046">
      <w:marLeft w:val="0"/>
      <w:marRight w:val="0"/>
      <w:marTop w:val="0"/>
      <w:marBottom w:val="0"/>
      <w:divBdr>
        <w:top w:val="none" w:sz="0" w:space="0" w:color="auto"/>
        <w:left w:val="none" w:sz="0" w:space="0" w:color="auto"/>
        <w:bottom w:val="none" w:sz="0" w:space="0" w:color="auto"/>
        <w:right w:val="none" w:sz="0" w:space="0" w:color="auto"/>
      </w:divBdr>
    </w:div>
    <w:div w:id="1183284989">
      <w:marLeft w:val="0"/>
      <w:marRight w:val="0"/>
      <w:marTop w:val="120"/>
      <w:marBottom w:val="0"/>
      <w:divBdr>
        <w:top w:val="none" w:sz="0" w:space="0" w:color="auto"/>
        <w:left w:val="none" w:sz="0" w:space="0" w:color="auto"/>
        <w:bottom w:val="none" w:sz="0" w:space="0" w:color="auto"/>
        <w:right w:val="none" w:sz="0" w:space="0" w:color="auto"/>
      </w:divBdr>
    </w:div>
    <w:div w:id="1185292834">
      <w:marLeft w:val="0"/>
      <w:marRight w:val="0"/>
      <w:marTop w:val="0"/>
      <w:marBottom w:val="0"/>
      <w:divBdr>
        <w:top w:val="none" w:sz="0" w:space="0" w:color="auto"/>
        <w:left w:val="none" w:sz="0" w:space="0" w:color="auto"/>
        <w:bottom w:val="none" w:sz="0" w:space="0" w:color="auto"/>
        <w:right w:val="none" w:sz="0" w:space="0" w:color="auto"/>
      </w:divBdr>
    </w:div>
    <w:div w:id="1190147655">
      <w:marLeft w:val="0"/>
      <w:marRight w:val="0"/>
      <w:marTop w:val="60"/>
      <w:marBottom w:val="0"/>
      <w:divBdr>
        <w:top w:val="none" w:sz="0" w:space="0" w:color="auto"/>
        <w:left w:val="none" w:sz="0" w:space="0" w:color="auto"/>
        <w:bottom w:val="none" w:sz="0" w:space="0" w:color="auto"/>
        <w:right w:val="none" w:sz="0" w:space="0" w:color="auto"/>
      </w:divBdr>
    </w:div>
    <w:div w:id="1200244821">
      <w:marLeft w:val="0"/>
      <w:marRight w:val="0"/>
      <w:marTop w:val="0"/>
      <w:marBottom w:val="0"/>
      <w:divBdr>
        <w:top w:val="none" w:sz="0" w:space="0" w:color="auto"/>
        <w:left w:val="none" w:sz="0" w:space="0" w:color="auto"/>
        <w:bottom w:val="none" w:sz="0" w:space="0" w:color="auto"/>
        <w:right w:val="none" w:sz="0" w:space="0" w:color="auto"/>
      </w:divBdr>
      <w:divsChild>
        <w:div w:id="1450004641">
          <w:marLeft w:val="0"/>
          <w:marRight w:val="0"/>
          <w:marTop w:val="0"/>
          <w:marBottom w:val="0"/>
          <w:divBdr>
            <w:top w:val="none" w:sz="0" w:space="0" w:color="auto"/>
            <w:left w:val="none" w:sz="0" w:space="0" w:color="auto"/>
            <w:bottom w:val="none" w:sz="0" w:space="0" w:color="auto"/>
            <w:right w:val="none" w:sz="0" w:space="0" w:color="auto"/>
          </w:divBdr>
        </w:div>
      </w:divsChild>
    </w:div>
    <w:div w:id="1201895822">
      <w:marLeft w:val="0"/>
      <w:marRight w:val="0"/>
      <w:marTop w:val="0"/>
      <w:marBottom w:val="0"/>
      <w:divBdr>
        <w:top w:val="none" w:sz="0" w:space="0" w:color="auto"/>
        <w:left w:val="none" w:sz="0" w:space="0" w:color="auto"/>
        <w:bottom w:val="none" w:sz="0" w:space="0" w:color="auto"/>
        <w:right w:val="none" w:sz="0" w:space="0" w:color="auto"/>
      </w:divBdr>
      <w:divsChild>
        <w:div w:id="652099470">
          <w:marLeft w:val="0"/>
          <w:marRight w:val="0"/>
          <w:marTop w:val="0"/>
          <w:marBottom w:val="0"/>
          <w:divBdr>
            <w:top w:val="none" w:sz="0" w:space="0" w:color="auto"/>
            <w:left w:val="none" w:sz="0" w:space="0" w:color="auto"/>
            <w:bottom w:val="none" w:sz="0" w:space="0" w:color="auto"/>
            <w:right w:val="none" w:sz="0" w:space="0" w:color="auto"/>
          </w:divBdr>
        </w:div>
      </w:divsChild>
    </w:div>
    <w:div w:id="1202285159">
      <w:marLeft w:val="0"/>
      <w:marRight w:val="0"/>
      <w:marTop w:val="0"/>
      <w:marBottom w:val="0"/>
      <w:divBdr>
        <w:top w:val="none" w:sz="0" w:space="0" w:color="auto"/>
        <w:left w:val="none" w:sz="0" w:space="0" w:color="auto"/>
        <w:bottom w:val="none" w:sz="0" w:space="0" w:color="auto"/>
        <w:right w:val="none" w:sz="0" w:space="0" w:color="auto"/>
      </w:divBdr>
    </w:div>
    <w:div w:id="1203521129">
      <w:marLeft w:val="0"/>
      <w:marRight w:val="0"/>
      <w:marTop w:val="120"/>
      <w:marBottom w:val="0"/>
      <w:divBdr>
        <w:top w:val="none" w:sz="0" w:space="0" w:color="auto"/>
        <w:left w:val="none" w:sz="0" w:space="0" w:color="auto"/>
        <w:bottom w:val="none" w:sz="0" w:space="0" w:color="auto"/>
        <w:right w:val="none" w:sz="0" w:space="0" w:color="auto"/>
      </w:divBdr>
    </w:div>
    <w:div w:id="1204363916">
      <w:marLeft w:val="0"/>
      <w:marRight w:val="0"/>
      <w:marTop w:val="0"/>
      <w:marBottom w:val="0"/>
      <w:divBdr>
        <w:top w:val="none" w:sz="0" w:space="0" w:color="auto"/>
        <w:left w:val="none" w:sz="0" w:space="0" w:color="auto"/>
        <w:bottom w:val="none" w:sz="0" w:space="0" w:color="auto"/>
        <w:right w:val="none" w:sz="0" w:space="0" w:color="auto"/>
      </w:divBdr>
      <w:divsChild>
        <w:div w:id="903414349">
          <w:marLeft w:val="0"/>
          <w:marRight w:val="0"/>
          <w:marTop w:val="0"/>
          <w:marBottom w:val="0"/>
          <w:divBdr>
            <w:top w:val="none" w:sz="0" w:space="0" w:color="auto"/>
            <w:left w:val="none" w:sz="0" w:space="0" w:color="auto"/>
            <w:bottom w:val="none" w:sz="0" w:space="0" w:color="auto"/>
            <w:right w:val="none" w:sz="0" w:space="0" w:color="auto"/>
          </w:divBdr>
        </w:div>
      </w:divsChild>
    </w:div>
    <w:div w:id="1204906423">
      <w:marLeft w:val="0"/>
      <w:marRight w:val="0"/>
      <w:marTop w:val="120"/>
      <w:marBottom w:val="0"/>
      <w:divBdr>
        <w:top w:val="none" w:sz="0" w:space="0" w:color="auto"/>
        <w:left w:val="none" w:sz="0" w:space="0" w:color="auto"/>
        <w:bottom w:val="none" w:sz="0" w:space="0" w:color="auto"/>
        <w:right w:val="none" w:sz="0" w:space="0" w:color="auto"/>
      </w:divBdr>
    </w:div>
    <w:div w:id="1205095834">
      <w:marLeft w:val="0"/>
      <w:marRight w:val="0"/>
      <w:marTop w:val="120"/>
      <w:marBottom w:val="0"/>
      <w:divBdr>
        <w:top w:val="none" w:sz="0" w:space="0" w:color="auto"/>
        <w:left w:val="none" w:sz="0" w:space="0" w:color="auto"/>
        <w:bottom w:val="none" w:sz="0" w:space="0" w:color="auto"/>
        <w:right w:val="none" w:sz="0" w:space="0" w:color="auto"/>
      </w:divBdr>
    </w:div>
    <w:div w:id="1205096005">
      <w:marLeft w:val="0"/>
      <w:marRight w:val="0"/>
      <w:marTop w:val="0"/>
      <w:marBottom w:val="120"/>
      <w:divBdr>
        <w:top w:val="none" w:sz="0" w:space="0" w:color="auto"/>
        <w:left w:val="none" w:sz="0" w:space="0" w:color="auto"/>
        <w:bottom w:val="none" w:sz="0" w:space="0" w:color="auto"/>
        <w:right w:val="none" w:sz="0" w:space="0" w:color="auto"/>
      </w:divBdr>
    </w:div>
    <w:div w:id="1206020073">
      <w:marLeft w:val="0"/>
      <w:marRight w:val="0"/>
      <w:marTop w:val="120"/>
      <w:marBottom w:val="120"/>
      <w:divBdr>
        <w:top w:val="none" w:sz="0" w:space="0" w:color="auto"/>
        <w:left w:val="none" w:sz="0" w:space="0" w:color="auto"/>
        <w:bottom w:val="none" w:sz="0" w:space="0" w:color="auto"/>
        <w:right w:val="none" w:sz="0" w:space="0" w:color="auto"/>
      </w:divBdr>
    </w:div>
    <w:div w:id="1208687448">
      <w:marLeft w:val="0"/>
      <w:marRight w:val="0"/>
      <w:marTop w:val="120"/>
      <w:marBottom w:val="120"/>
      <w:divBdr>
        <w:top w:val="none" w:sz="0" w:space="0" w:color="auto"/>
        <w:left w:val="none" w:sz="0" w:space="0" w:color="auto"/>
        <w:bottom w:val="none" w:sz="0" w:space="0" w:color="auto"/>
        <w:right w:val="none" w:sz="0" w:space="0" w:color="auto"/>
      </w:divBdr>
    </w:div>
    <w:div w:id="1210265715">
      <w:marLeft w:val="0"/>
      <w:marRight w:val="0"/>
      <w:marTop w:val="120"/>
      <w:marBottom w:val="0"/>
      <w:divBdr>
        <w:top w:val="none" w:sz="0" w:space="0" w:color="auto"/>
        <w:left w:val="none" w:sz="0" w:space="0" w:color="auto"/>
        <w:bottom w:val="none" w:sz="0" w:space="0" w:color="auto"/>
        <w:right w:val="none" w:sz="0" w:space="0" w:color="auto"/>
      </w:divBdr>
    </w:div>
    <w:div w:id="1210606434">
      <w:marLeft w:val="0"/>
      <w:marRight w:val="0"/>
      <w:marTop w:val="120"/>
      <w:marBottom w:val="0"/>
      <w:divBdr>
        <w:top w:val="none" w:sz="0" w:space="0" w:color="auto"/>
        <w:left w:val="none" w:sz="0" w:space="0" w:color="auto"/>
        <w:bottom w:val="none" w:sz="0" w:space="0" w:color="auto"/>
        <w:right w:val="none" w:sz="0" w:space="0" w:color="auto"/>
      </w:divBdr>
    </w:div>
    <w:div w:id="1215966091">
      <w:marLeft w:val="0"/>
      <w:marRight w:val="0"/>
      <w:marTop w:val="120"/>
      <w:marBottom w:val="0"/>
      <w:divBdr>
        <w:top w:val="none" w:sz="0" w:space="0" w:color="auto"/>
        <w:left w:val="none" w:sz="0" w:space="0" w:color="auto"/>
        <w:bottom w:val="none" w:sz="0" w:space="0" w:color="auto"/>
        <w:right w:val="none" w:sz="0" w:space="0" w:color="auto"/>
      </w:divBdr>
    </w:div>
    <w:div w:id="1217862310">
      <w:marLeft w:val="0"/>
      <w:marRight w:val="0"/>
      <w:marTop w:val="0"/>
      <w:marBottom w:val="0"/>
      <w:divBdr>
        <w:top w:val="none" w:sz="0" w:space="0" w:color="auto"/>
        <w:left w:val="none" w:sz="0" w:space="0" w:color="auto"/>
        <w:bottom w:val="none" w:sz="0" w:space="0" w:color="auto"/>
        <w:right w:val="none" w:sz="0" w:space="0" w:color="auto"/>
      </w:divBdr>
      <w:divsChild>
        <w:div w:id="520827172">
          <w:marLeft w:val="0"/>
          <w:marRight w:val="0"/>
          <w:marTop w:val="0"/>
          <w:marBottom w:val="0"/>
          <w:divBdr>
            <w:top w:val="none" w:sz="0" w:space="0" w:color="auto"/>
            <w:left w:val="none" w:sz="0" w:space="0" w:color="auto"/>
            <w:bottom w:val="none" w:sz="0" w:space="0" w:color="auto"/>
            <w:right w:val="none" w:sz="0" w:space="0" w:color="auto"/>
          </w:divBdr>
        </w:div>
      </w:divsChild>
    </w:div>
    <w:div w:id="1223710018">
      <w:marLeft w:val="0"/>
      <w:marRight w:val="0"/>
      <w:marTop w:val="0"/>
      <w:marBottom w:val="0"/>
      <w:divBdr>
        <w:top w:val="none" w:sz="0" w:space="0" w:color="auto"/>
        <w:left w:val="none" w:sz="0" w:space="0" w:color="auto"/>
        <w:bottom w:val="none" w:sz="0" w:space="0" w:color="auto"/>
        <w:right w:val="none" w:sz="0" w:space="0" w:color="auto"/>
      </w:divBdr>
      <w:divsChild>
        <w:div w:id="615792780">
          <w:marLeft w:val="0"/>
          <w:marRight w:val="0"/>
          <w:marTop w:val="0"/>
          <w:marBottom w:val="0"/>
          <w:divBdr>
            <w:top w:val="none" w:sz="0" w:space="0" w:color="auto"/>
            <w:left w:val="none" w:sz="0" w:space="0" w:color="auto"/>
            <w:bottom w:val="none" w:sz="0" w:space="0" w:color="auto"/>
            <w:right w:val="none" w:sz="0" w:space="0" w:color="auto"/>
          </w:divBdr>
        </w:div>
      </w:divsChild>
    </w:div>
    <w:div w:id="1229851363">
      <w:marLeft w:val="0"/>
      <w:marRight w:val="0"/>
      <w:marTop w:val="120"/>
      <w:marBottom w:val="120"/>
      <w:divBdr>
        <w:top w:val="none" w:sz="0" w:space="0" w:color="auto"/>
        <w:left w:val="none" w:sz="0" w:space="0" w:color="auto"/>
        <w:bottom w:val="none" w:sz="0" w:space="0" w:color="auto"/>
        <w:right w:val="none" w:sz="0" w:space="0" w:color="auto"/>
      </w:divBdr>
    </w:div>
    <w:div w:id="1235700446">
      <w:marLeft w:val="0"/>
      <w:marRight w:val="0"/>
      <w:marTop w:val="0"/>
      <w:marBottom w:val="0"/>
      <w:divBdr>
        <w:top w:val="none" w:sz="0" w:space="0" w:color="auto"/>
        <w:left w:val="none" w:sz="0" w:space="0" w:color="auto"/>
        <w:bottom w:val="none" w:sz="0" w:space="0" w:color="auto"/>
        <w:right w:val="none" w:sz="0" w:space="0" w:color="auto"/>
      </w:divBdr>
    </w:div>
    <w:div w:id="1236277659">
      <w:marLeft w:val="0"/>
      <w:marRight w:val="0"/>
      <w:marTop w:val="0"/>
      <w:marBottom w:val="0"/>
      <w:divBdr>
        <w:top w:val="none" w:sz="0" w:space="0" w:color="auto"/>
        <w:left w:val="none" w:sz="0" w:space="0" w:color="auto"/>
        <w:bottom w:val="none" w:sz="0" w:space="0" w:color="auto"/>
        <w:right w:val="none" w:sz="0" w:space="0" w:color="auto"/>
      </w:divBdr>
    </w:div>
    <w:div w:id="1238587416">
      <w:marLeft w:val="0"/>
      <w:marRight w:val="0"/>
      <w:marTop w:val="0"/>
      <w:marBottom w:val="0"/>
      <w:divBdr>
        <w:top w:val="none" w:sz="0" w:space="0" w:color="auto"/>
        <w:left w:val="none" w:sz="0" w:space="0" w:color="auto"/>
        <w:bottom w:val="none" w:sz="0" w:space="0" w:color="auto"/>
        <w:right w:val="none" w:sz="0" w:space="0" w:color="auto"/>
      </w:divBdr>
    </w:div>
    <w:div w:id="1240559503">
      <w:marLeft w:val="0"/>
      <w:marRight w:val="0"/>
      <w:marTop w:val="120"/>
      <w:marBottom w:val="0"/>
      <w:divBdr>
        <w:top w:val="none" w:sz="0" w:space="0" w:color="auto"/>
        <w:left w:val="none" w:sz="0" w:space="0" w:color="auto"/>
        <w:bottom w:val="none" w:sz="0" w:space="0" w:color="auto"/>
        <w:right w:val="none" w:sz="0" w:space="0" w:color="auto"/>
      </w:divBdr>
    </w:div>
    <w:div w:id="1242836410">
      <w:marLeft w:val="0"/>
      <w:marRight w:val="0"/>
      <w:marTop w:val="120"/>
      <w:marBottom w:val="120"/>
      <w:divBdr>
        <w:top w:val="none" w:sz="0" w:space="0" w:color="auto"/>
        <w:left w:val="none" w:sz="0" w:space="0" w:color="auto"/>
        <w:bottom w:val="none" w:sz="0" w:space="0" w:color="auto"/>
        <w:right w:val="none" w:sz="0" w:space="0" w:color="auto"/>
      </w:divBdr>
    </w:div>
    <w:div w:id="1245846178">
      <w:marLeft w:val="0"/>
      <w:marRight w:val="0"/>
      <w:marTop w:val="120"/>
      <w:marBottom w:val="0"/>
      <w:divBdr>
        <w:top w:val="none" w:sz="0" w:space="0" w:color="auto"/>
        <w:left w:val="none" w:sz="0" w:space="0" w:color="auto"/>
        <w:bottom w:val="none" w:sz="0" w:space="0" w:color="auto"/>
        <w:right w:val="none" w:sz="0" w:space="0" w:color="auto"/>
      </w:divBdr>
    </w:div>
    <w:div w:id="1246307198">
      <w:marLeft w:val="0"/>
      <w:marRight w:val="0"/>
      <w:marTop w:val="120"/>
      <w:marBottom w:val="0"/>
      <w:divBdr>
        <w:top w:val="none" w:sz="0" w:space="0" w:color="auto"/>
        <w:left w:val="none" w:sz="0" w:space="0" w:color="auto"/>
        <w:bottom w:val="none" w:sz="0" w:space="0" w:color="auto"/>
        <w:right w:val="none" w:sz="0" w:space="0" w:color="auto"/>
      </w:divBdr>
    </w:div>
    <w:div w:id="1247612413">
      <w:marLeft w:val="0"/>
      <w:marRight w:val="0"/>
      <w:marTop w:val="120"/>
      <w:marBottom w:val="120"/>
      <w:divBdr>
        <w:top w:val="none" w:sz="0" w:space="0" w:color="auto"/>
        <w:left w:val="none" w:sz="0" w:space="0" w:color="auto"/>
        <w:bottom w:val="none" w:sz="0" w:space="0" w:color="auto"/>
        <w:right w:val="none" w:sz="0" w:space="0" w:color="auto"/>
      </w:divBdr>
    </w:div>
    <w:div w:id="1249194381">
      <w:marLeft w:val="0"/>
      <w:marRight w:val="0"/>
      <w:marTop w:val="0"/>
      <w:marBottom w:val="120"/>
      <w:divBdr>
        <w:top w:val="none" w:sz="0" w:space="0" w:color="auto"/>
        <w:left w:val="none" w:sz="0" w:space="0" w:color="auto"/>
        <w:bottom w:val="none" w:sz="0" w:space="0" w:color="auto"/>
        <w:right w:val="none" w:sz="0" w:space="0" w:color="auto"/>
      </w:divBdr>
    </w:div>
    <w:div w:id="1249655823">
      <w:marLeft w:val="0"/>
      <w:marRight w:val="0"/>
      <w:marTop w:val="0"/>
      <w:marBottom w:val="0"/>
      <w:divBdr>
        <w:top w:val="none" w:sz="0" w:space="0" w:color="auto"/>
        <w:left w:val="none" w:sz="0" w:space="0" w:color="auto"/>
        <w:bottom w:val="none" w:sz="0" w:space="0" w:color="auto"/>
        <w:right w:val="none" w:sz="0" w:space="0" w:color="auto"/>
      </w:divBdr>
    </w:div>
    <w:div w:id="1254120937">
      <w:marLeft w:val="0"/>
      <w:marRight w:val="0"/>
      <w:marTop w:val="180"/>
      <w:marBottom w:val="0"/>
      <w:divBdr>
        <w:top w:val="none" w:sz="0" w:space="0" w:color="auto"/>
        <w:left w:val="none" w:sz="0" w:space="0" w:color="auto"/>
        <w:bottom w:val="none" w:sz="0" w:space="0" w:color="auto"/>
        <w:right w:val="none" w:sz="0" w:space="0" w:color="auto"/>
      </w:divBdr>
    </w:div>
    <w:div w:id="1254628702">
      <w:marLeft w:val="0"/>
      <w:marRight w:val="0"/>
      <w:marTop w:val="0"/>
      <w:marBottom w:val="0"/>
      <w:divBdr>
        <w:top w:val="none" w:sz="0" w:space="0" w:color="auto"/>
        <w:left w:val="none" w:sz="0" w:space="0" w:color="auto"/>
        <w:bottom w:val="none" w:sz="0" w:space="0" w:color="auto"/>
        <w:right w:val="none" w:sz="0" w:space="0" w:color="auto"/>
      </w:divBdr>
    </w:div>
    <w:div w:id="1256860884">
      <w:marLeft w:val="0"/>
      <w:marRight w:val="0"/>
      <w:marTop w:val="180"/>
      <w:marBottom w:val="120"/>
      <w:divBdr>
        <w:top w:val="none" w:sz="0" w:space="0" w:color="auto"/>
        <w:left w:val="none" w:sz="0" w:space="0" w:color="auto"/>
        <w:bottom w:val="none" w:sz="0" w:space="0" w:color="auto"/>
        <w:right w:val="none" w:sz="0" w:space="0" w:color="auto"/>
      </w:divBdr>
    </w:div>
    <w:div w:id="1261989150">
      <w:marLeft w:val="0"/>
      <w:marRight w:val="0"/>
      <w:marTop w:val="120"/>
      <w:marBottom w:val="0"/>
      <w:divBdr>
        <w:top w:val="none" w:sz="0" w:space="0" w:color="auto"/>
        <w:left w:val="none" w:sz="0" w:space="0" w:color="auto"/>
        <w:bottom w:val="none" w:sz="0" w:space="0" w:color="auto"/>
        <w:right w:val="none" w:sz="0" w:space="0" w:color="auto"/>
      </w:divBdr>
    </w:div>
    <w:div w:id="1262108987">
      <w:marLeft w:val="0"/>
      <w:marRight w:val="0"/>
      <w:marTop w:val="120"/>
      <w:marBottom w:val="120"/>
      <w:divBdr>
        <w:top w:val="none" w:sz="0" w:space="0" w:color="auto"/>
        <w:left w:val="none" w:sz="0" w:space="0" w:color="auto"/>
        <w:bottom w:val="none" w:sz="0" w:space="0" w:color="auto"/>
        <w:right w:val="none" w:sz="0" w:space="0" w:color="auto"/>
      </w:divBdr>
    </w:div>
    <w:div w:id="1262493159">
      <w:marLeft w:val="0"/>
      <w:marRight w:val="0"/>
      <w:marTop w:val="180"/>
      <w:marBottom w:val="120"/>
      <w:divBdr>
        <w:top w:val="none" w:sz="0" w:space="0" w:color="auto"/>
        <w:left w:val="none" w:sz="0" w:space="0" w:color="auto"/>
        <w:bottom w:val="none" w:sz="0" w:space="0" w:color="auto"/>
        <w:right w:val="none" w:sz="0" w:space="0" w:color="auto"/>
      </w:divBdr>
    </w:div>
    <w:div w:id="1266843550">
      <w:marLeft w:val="0"/>
      <w:marRight w:val="0"/>
      <w:marTop w:val="120"/>
      <w:marBottom w:val="0"/>
      <w:divBdr>
        <w:top w:val="none" w:sz="0" w:space="0" w:color="auto"/>
        <w:left w:val="none" w:sz="0" w:space="0" w:color="auto"/>
        <w:bottom w:val="none" w:sz="0" w:space="0" w:color="auto"/>
        <w:right w:val="none" w:sz="0" w:space="0" w:color="auto"/>
      </w:divBdr>
    </w:div>
    <w:div w:id="1267075296">
      <w:marLeft w:val="0"/>
      <w:marRight w:val="0"/>
      <w:marTop w:val="120"/>
      <w:marBottom w:val="0"/>
      <w:divBdr>
        <w:top w:val="none" w:sz="0" w:space="0" w:color="auto"/>
        <w:left w:val="none" w:sz="0" w:space="0" w:color="auto"/>
        <w:bottom w:val="none" w:sz="0" w:space="0" w:color="auto"/>
        <w:right w:val="none" w:sz="0" w:space="0" w:color="auto"/>
      </w:divBdr>
    </w:div>
    <w:div w:id="1268663407">
      <w:marLeft w:val="0"/>
      <w:marRight w:val="0"/>
      <w:marTop w:val="0"/>
      <w:marBottom w:val="0"/>
      <w:divBdr>
        <w:top w:val="none" w:sz="0" w:space="0" w:color="auto"/>
        <w:left w:val="none" w:sz="0" w:space="0" w:color="auto"/>
        <w:bottom w:val="none" w:sz="0" w:space="0" w:color="auto"/>
        <w:right w:val="none" w:sz="0" w:space="0" w:color="auto"/>
      </w:divBdr>
    </w:div>
    <w:div w:id="1269049285">
      <w:marLeft w:val="0"/>
      <w:marRight w:val="0"/>
      <w:marTop w:val="0"/>
      <w:marBottom w:val="0"/>
      <w:divBdr>
        <w:top w:val="none" w:sz="0" w:space="0" w:color="auto"/>
        <w:left w:val="none" w:sz="0" w:space="0" w:color="auto"/>
        <w:bottom w:val="none" w:sz="0" w:space="0" w:color="auto"/>
        <w:right w:val="none" w:sz="0" w:space="0" w:color="auto"/>
      </w:divBdr>
    </w:div>
    <w:div w:id="1274822088">
      <w:marLeft w:val="0"/>
      <w:marRight w:val="0"/>
      <w:marTop w:val="120"/>
      <w:marBottom w:val="120"/>
      <w:divBdr>
        <w:top w:val="none" w:sz="0" w:space="0" w:color="auto"/>
        <w:left w:val="none" w:sz="0" w:space="0" w:color="auto"/>
        <w:bottom w:val="none" w:sz="0" w:space="0" w:color="auto"/>
        <w:right w:val="none" w:sz="0" w:space="0" w:color="auto"/>
      </w:divBdr>
    </w:div>
    <w:div w:id="1277635274">
      <w:marLeft w:val="0"/>
      <w:marRight w:val="0"/>
      <w:marTop w:val="120"/>
      <w:marBottom w:val="0"/>
      <w:divBdr>
        <w:top w:val="none" w:sz="0" w:space="0" w:color="auto"/>
        <w:left w:val="none" w:sz="0" w:space="0" w:color="auto"/>
        <w:bottom w:val="none" w:sz="0" w:space="0" w:color="auto"/>
        <w:right w:val="none" w:sz="0" w:space="0" w:color="auto"/>
      </w:divBdr>
    </w:div>
    <w:div w:id="1278025841">
      <w:marLeft w:val="0"/>
      <w:marRight w:val="0"/>
      <w:marTop w:val="120"/>
      <w:marBottom w:val="0"/>
      <w:divBdr>
        <w:top w:val="none" w:sz="0" w:space="0" w:color="auto"/>
        <w:left w:val="none" w:sz="0" w:space="0" w:color="auto"/>
        <w:bottom w:val="none" w:sz="0" w:space="0" w:color="auto"/>
        <w:right w:val="none" w:sz="0" w:space="0" w:color="auto"/>
      </w:divBdr>
    </w:div>
    <w:div w:id="1279484533">
      <w:marLeft w:val="0"/>
      <w:marRight w:val="0"/>
      <w:marTop w:val="120"/>
      <w:marBottom w:val="0"/>
      <w:divBdr>
        <w:top w:val="none" w:sz="0" w:space="0" w:color="auto"/>
        <w:left w:val="none" w:sz="0" w:space="0" w:color="auto"/>
        <w:bottom w:val="none" w:sz="0" w:space="0" w:color="auto"/>
        <w:right w:val="none" w:sz="0" w:space="0" w:color="auto"/>
      </w:divBdr>
    </w:div>
    <w:div w:id="1281718984">
      <w:marLeft w:val="0"/>
      <w:marRight w:val="0"/>
      <w:marTop w:val="120"/>
      <w:marBottom w:val="120"/>
      <w:divBdr>
        <w:top w:val="none" w:sz="0" w:space="0" w:color="auto"/>
        <w:left w:val="none" w:sz="0" w:space="0" w:color="auto"/>
        <w:bottom w:val="none" w:sz="0" w:space="0" w:color="auto"/>
        <w:right w:val="none" w:sz="0" w:space="0" w:color="auto"/>
      </w:divBdr>
    </w:div>
    <w:div w:id="1282031691">
      <w:marLeft w:val="0"/>
      <w:marRight w:val="0"/>
      <w:marTop w:val="120"/>
      <w:marBottom w:val="0"/>
      <w:divBdr>
        <w:top w:val="none" w:sz="0" w:space="0" w:color="auto"/>
        <w:left w:val="none" w:sz="0" w:space="0" w:color="auto"/>
        <w:bottom w:val="none" w:sz="0" w:space="0" w:color="auto"/>
        <w:right w:val="none" w:sz="0" w:space="0" w:color="auto"/>
      </w:divBdr>
    </w:div>
    <w:div w:id="1282149733">
      <w:marLeft w:val="0"/>
      <w:marRight w:val="0"/>
      <w:marTop w:val="120"/>
      <w:marBottom w:val="0"/>
      <w:divBdr>
        <w:top w:val="none" w:sz="0" w:space="0" w:color="auto"/>
        <w:left w:val="none" w:sz="0" w:space="0" w:color="auto"/>
        <w:bottom w:val="none" w:sz="0" w:space="0" w:color="auto"/>
        <w:right w:val="none" w:sz="0" w:space="0" w:color="auto"/>
      </w:divBdr>
    </w:div>
    <w:div w:id="1282223748">
      <w:marLeft w:val="0"/>
      <w:marRight w:val="0"/>
      <w:marTop w:val="0"/>
      <w:marBottom w:val="0"/>
      <w:divBdr>
        <w:top w:val="none" w:sz="0" w:space="0" w:color="auto"/>
        <w:left w:val="none" w:sz="0" w:space="0" w:color="auto"/>
        <w:bottom w:val="none" w:sz="0" w:space="0" w:color="auto"/>
        <w:right w:val="none" w:sz="0" w:space="0" w:color="auto"/>
      </w:divBdr>
    </w:div>
    <w:div w:id="1286422278">
      <w:marLeft w:val="0"/>
      <w:marRight w:val="0"/>
      <w:marTop w:val="120"/>
      <w:marBottom w:val="120"/>
      <w:divBdr>
        <w:top w:val="none" w:sz="0" w:space="0" w:color="auto"/>
        <w:left w:val="none" w:sz="0" w:space="0" w:color="auto"/>
        <w:bottom w:val="none" w:sz="0" w:space="0" w:color="auto"/>
        <w:right w:val="none" w:sz="0" w:space="0" w:color="auto"/>
      </w:divBdr>
    </w:div>
    <w:div w:id="1289698169">
      <w:marLeft w:val="0"/>
      <w:marRight w:val="0"/>
      <w:marTop w:val="120"/>
      <w:marBottom w:val="0"/>
      <w:divBdr>
        <w:top w:val="none" w:sz="0" w:space="0" w:color="auto"/>
        <w:left w:val="none" w:sz="0" w:space="0" w:color="auto"/>
        <w:bottom w:val="none" w:sz="0" w:space="0" w:color="auto"/>
        <w:right w:val="none" w:sz="0" w:space="0" w:color="auto"/>
      </w:divBdr>
    </w:div>
    <w:div w:id="1295646732">
      <w:marLeft w:val="0"/>
      <w:marRight w:val="0"/>
      <w:marTop w:val="120"/>
      <w:marBottom w:val="0"/>
      <w:divBdr>
        <w:top w:val="none" w:sz="0" w:space="0" w:color="auto"/>
        <w:left w:val="none" w:sz="0" w:space="0" w:color="auto"/>
        <w:bottom w:val="none" w:sz="0" w:space="0" w:color="auto"/>
        <w:right w:val="none" w:sz="0" w:space="0" w:color="auto"/>
      </w:divBdr>
    </w:div>
    <w:div w:id="1296108215">
      <w:marLeft w:val="0"/>
      <w:marRight w:val="0"/>
      <w:marTop w:val="120"/>
      <w:marBottom w:val="120"/>
      <w:divBdr>
        <w:top w:val="none" w:sz="0" w:space="0" w:color="auto"/>
        <w:left w:val="none" w:sz="0" w:space="0" w:color="auto"/>
        <w:bottom w:val="none" w:sz="0" w:space="0" w:color="auto"/>
        <w:right w:val="none" w:sz="0" w:space="0" w:color="auto"/>
      </w:divBdr>
    </w:div>
    <w:div w:id="1303003773">
      <w:marLeft w:val="0"/>
      <w:marRight w:val="0"/>
      <w:marTop w:val="0"/>
      <w:marBottom w:val="0"/>
      <w:divBdr>
        <w:top w:val="none" w:sz="0" w:space="0" w:color="auto"/>
        <w:left w:val="none" w:sz="0" w:space="0" w:color="auto"/>
        <w:bottom w:val="none" w:sz="0" w:space="0" w:color="auto"/>
        <w:right w:val="none" w:sz="0" w:space="0" w:color="auto"/>
      </w:divBdr>
    </w:div>
    <w:div w:id="1306619450">
      <w:marLeft w:val="0"/>
      <w:marRight w:val="0"/>
      <w:marTop w:val="120"/>
      <w:marBottom w:val="0"/>
      <w:divBdr>
        <w:top w:val="none" w:sz="0" w:space="0" w:color="auto"/>
        <w:left w:val="none" w:sz="0" w:space="0" w:color="auto"/>
        <w:bottom w:val="none" w:sz="0" w:space="0" w:color="auto"/>
        <w:right w:val="none" w:sz="0" w:space="0" w:color="auto"/>
      </w:divBdr>
    </w:div>
    <w:div w:id="1314604602">
      <w:marLeft w:val="0"/>
      <w:marRight w:val="0"/>
      <w:marTop w:val="180"/>
      <w:marBottom w:val="0"/>
      <w:divBdr>
        <w:top w:val="none" w:sz="0" w:space="0" w:color="auto"/>
        <w:left w:val="none" w:sz="0" w:space="0" w:color="auto"/>
        <w:bottom w:val="none" w:sz="0" w:space="0" w:color="auto"/>
        <w:right w:val="none" w:sz="0" w:space="0" w:color="auto"/>
      </w:divBdr>
    </w:div>
    <w:div w:id="1316833355">
      <w:marLeft w:val="0"/>
      <w:marRight w:val="0"/>
      <w:marTop w:val="120"/>
      <w:marBottom w:val="120"/>
      <w:divBdr>
        <w:top w:val="none" w:sz="0" w:space="0" w:color="auto"/>
        <w:left w:val="none" w:sz="0" w:space="0" w:color="auto"/>
        <w:bottom w:val="none" w:sz="0" w:space="0" w:color="auto"/>
        <w:right w:val="none" w:sz="0" w:space="0" w:color="auto"/>
      </w:divBdr>
    </w:div>
    <w:div w:id="1317800499">
      <w:marLeft w:val="0"/>
      <w:marRight w:val="0"/>
      <w:marTop w:val="120"/>
      <w:marBottom w:val="120"/>
      <w:divBdr>
        <w:top w:val="none" w:sz="0" w:space="0" w:color="auto"/>
        <w:left w:val="none" w:sz="0" w:space="0" w:color="auto"/>
        <w:bottom w:val="none" w:sz="0" w:space="0" w:color="auto"/>
        <w:right w:val="none" w:sz="0" w:space="0" w:color="auto"/>
      </w:divBdr>
    </w:div>
    <w:div w:id="1319067384">
      <w:marLeft w:val="0"/>
      <w:marRight w:val="0"/>
      <w:marTop w:val="0"/>
      <w:marBottom w:val="0"/>
      <w:divBdr>
        <w:top w:val="none" w:sz="0" w:space="0" w:color="auto"/>
        <w:left w:val="none" w:sz="0" w:space="0" w:color="auto"/>
        <w:bottom w:val="none" w:sz="0" w:space="0" w:color="auto"/>
        <w:right w:val="none" w:sz="0" w:space="0" w:color="auto"/>
      </w:divBdr>
    </w:div>
    <w:div w:id="1321277038">
      <w:marLeft w:val="0"/>
      <w:marRight w:val="0"/>
      <w:marTop w:val="0"/>
      <w:marBottom w:val="0"/>
      <w:divBdr>
        <w:top w:val="none" w:sz="0" w:space="0" w:color="auto"/>
        <w:left w:val="none" w:sz="0" w:space="0" w:color="auto"/>
        <w:bottom w:val="none" w:sz="0" w:space="0" w:color="auto"/>
        <w:right w:val="none" w:sz="0" w:space="0" w:color="auto"/>
      </w:divBdr>
      <w:divsChild>
        <w:div w:id="360057959">
          <w:marLeft w:val="0"/>
          <w:marRight w:val="0"/>
          <w:marTop w:val="0"/>
          <w:marBottom w:val="0"/>
          <w:divBdr>
            <w:top w:val="none" w:sz="0" w:space="0" w:color="auto"/>
            <w:left w:val="none" w:sz="0" w:space="0" w:color="auto"/>
            <w:bottom w:val="none" w:sz="0" w:space="0" w:color="auto"/>
            <w:right w:val="none" w:sz="0" w:space="0" w:color="auto"/>
          </w:divBdr>
        </w:div>
      </w:divsChild>
    </w:div>
    <w:div w:id="1324353321">
      <w:marLeft w:val="0"/>
      <w:marRight w:val="0"/>
      <w:marTop w:val="0"/>
      <w:marBottom w:val="0"/>
      <w:divBdr>
        <w:top w:val="none" w:sz="0" w:space="0" w:color="auto"/>
        <w:left w:val="none" w:sz="0" w:space="0" w:color="auto"/>
        <w:bottom w:val="none" w:sz="0" w:space="0" w:color="auto"/>
        <w:right w:val="none" w:sz="0" w:space="0" w:color="auto"/>
      </w:divBdr>
      <w:divsChild>
        <w:div w:id="2111661252">
          <w:marLeft w:val="0"/>
          <w:marRight w:val="0"/>
          <w:marTop w:val="0"/>
          <w:marBottom w:val="0"/>
          <w:divBdr>
            <w:top w:val="none" w:sz="0" w:space="0" w:color="auto"/>
            <w:left w:val="none" w:sz="0" w:space="0" w:color="auto"/>
            <w:bottom w:val="none" w:sz="0" w:space="0" w:color="auto"/>
            <w:right w:val="none" w:sz="0" w:space="0" w:color="auto"/>
          </w:divBdr>
        </w:div>
      </w:divsChild>
    </w:div>
    <w:div w:id="1324625101">
      <w:marLeft w:val="0"/>
      <w:marRight w:val="0"/>
      <w:marTop w:val="0"/>
      <w:marBottom w:val="0"/>
      <w:divBdr>
        <w:top w:val="none" w:sz="0" w:space="0" w:color="auto"/>
        <w:left w:val="none" w:sz="0" w:space="0" w:color="auto"/>
        <w:bottom w:val="none" w:sz="0" w:space="0" w:color="auto"/>
        <w:right w:val="none" w:sz="0" w:space="0" w:color="auto"/>
      </w:divBdr>
    </w:div>
    <w:div w:id="1326590758">
      <w:marLeft w:val="0"/>
      <w:marRight w:val="0"/>
      <w:marTop w:val="120"/>
      <w:marBottom w:val="0"/>
      <w:divBdr>
        <w:top w:val="none" w:sz="0" w:space="0" w:color="auto"/>
        <w:left w:val="none" w:sz="0" w:space="0" w:color="auto"/>
        <w:bottom w:val="none" w:sz="0" w:space="0" w:color="auto"/>
        <w:right w:val="none" w:sz="0" w:space="0" w:color="auto"/>
      </w:divBdr>
    </w:div>
    <w:div w:id="1329211959">
      <w:marLeft w:val="0"/>
      <w:marRight w:val="0"/>
      <w:marTop w:val="120"/>
      <w:marBottom w:val="0"/>
      <w:divBdr>
        <w:top w:val="none" w:sz="0" w:space="0" w:color="auto"/>
        <w:left w:val="none" w:sz="0" w:space="0" w:color="auto"/>
        <w:bottom w:val="none" w:sz="0" w:space="0" w:color="auto"/>
        <w:right w:val="none" w:sz="0" w:space="0" w:color="auto"/>
      </w:divBdr>
    </w:div>
    <w:div w:id="1330597560">
      <w:marLeft w:val="0"/>
      <w:marRight w:val="0"/>
      <w:marTop w:val="0"/>
      <w:marBottom w:val="0"/>
      <w:divBdr>
        <w:top w:val="none" w:sz="0" w:space="0" w:color="auto"/>
        <w:left w:val="none" w:sz="0" w:space="0" w:color="auto"/>
        <w:bottom w:val="none" w:sz="0" w:space="0" w:color="auto"/>
        <w:right w:val="none" w:sz="0" w:space="0" w:color="auto"/>
      </w:divBdr>
    </w:div>
    <w:div w:id="1332680200">
      <w:marLeft w:val="0"/>
      <w:marRight w:val="0"/>
      <w:marTop w:val="0"/>
      <w:marBottom w:val="0"/>
      <w:divBdr>
        <w:top w:val="none" w:sz="0" w:space="0" w:color="auto"/>
        <w:left w:val="none" w:sz="0" w:space="0" w:color="auto"/>
        <w:bottom w:val="none" w:sz="0" w:space="0" w:color="auto"/>
        <w:right w:val="none" w:sz="0" w:space="0" w:color="auto"/>
      </w:divBdr>
      <w:divsChild>
        <w:div w:id="1193376552">
          <w:marLeft w:val="0"/>
          <w:marRight w:val="0"/>
          <w:marTop w:val="0"/>
          <w:marBottom w:val="0"/>
          <w:divBdr>
            <w:top w:val="none" w:sz="0" w:space="0" w:color="auto"/>
            <w:left w:val="none" w:sz="0" w:space="0" w:color="auto"/>
            <w:bottom w:val="none" w:sz="0" w:space="0" w:color="auto"/>
            <w:right w:val="none" w:sz="0" w:space="0" w:color="auto"/>
          </w:divBdr>
        </w:div>
      </w:divsChild>
    </w:div>
    <w:div w:id="1332945599">
      <w:marLeft w:val="0"/>
      <w:marRight w:val="0"/>
      <w:marTop w:val="120"/>
      <w:marBottom w:val="0"/>
      <w:divBdr>
        <w:top w:val="none" w:sz="0" w:space="0" w:color="auto"/>
        <w:left w:val="none" w:sz="0" w:space="0" w:color="auto"/>
        <w:bottom w:val="none" w:sz="0" w:space="0" w:color="auto"/>
        <w:right w:val="none" w:sz="0" w:space="0" w:color="auto"/>
      </w:divBdr>
    </w:div>
    <w:div w:id="1333295426">
      <w:marLeft w:val="0"/>
      <w:marRight w:val="0"/>
      <w:marTop w:val="0"/>
      <w:marBottom w:val="0"/>
      <w:divBdr>
        <w:top w:val="none" w:sz="0" w:space="0" w:color="auto"/>
        <w:left w:val="none" w:sz="0" w:space="0" w:color="auto"/>
        <w:bottom w:val="none" w:sz="0" w:space="0" w:color="auto"/>
        <w:right w:val="none" w:sz="0" w:space="0" w:color="auto"/>
      </w:divBdr>
      <w:divsChild>
        <w:div w:id="265697366">
          <w:marLeft w:val="0"/>
          <w:marRight w:val="0"/>
          <w:marTop w:val="0"/>
          <w:marBottom w:val="0"/>
          <w:divBdr>
            <w:top w:val="none" w:sz="0" w:space="0" w:color="auto"/>
            <w:left w:val="none" w:sz="0" w:space="0" w:color="auto"/>
            <w:bottom w:val="none" w:sz="0" w:space="0" w:color="auto"/>
            <w:right w:val="none" w:sz="0" w:space="0" w:color="auto"/>
          </w:divBdr>
        </w:div>
      </w:divsChild>
    </w:div>
    <w:div w:id="1336222217">
      <w:marLeft w:val="0"/>
      <w:marRight w:val="0"/>
      <w:marTop w:val="120"/>
      <w:marBottom w:val="0"/>
      <w:divBdr>
        <w:top w:val="none" w:sz="0" w:space="0" w:color="auto"/>
        <w:left w:val="none" w:sz="0" w:space="0" w:color="auto"/>
        <w:bottom w:val="none" w:sz="0" w:space="0" w:color="auto"/>
        <w:right w:val="none" w:sz="0" w:space="0" w:color="auto"/>
      </w:divBdr>
    </w:div>
    <w:div w:id="1337272141">
      <w:marLeft w:val="0"/>
      <w:marRight w:val="0"/>
      <w:marTop w:val="120"/>
      <w:marBottom w:val="120"/>
      <w:divBdr>
        <w:top w:val="none" w:sz="0" w:space="0" w:color="auto"/>
        <w:left w:val="none" w:sz="0" w:space="0" w:color="auto"/>
        <w:bottom w:val="none" w:sz="0" w:space="0" w:color="auto"/>
        <w:right w:val="none" w:sz="0" w:space="0" w:color="auto"/>
      </w:divBdr>
    </w:div>
    <w:div w:id="1339307946">
      <w:marLeft w:val="0"/>
      <w:marRight w:val="0"/>
      <w:marTop w:val="120"/>
      <w:marBottom w:val="0"/>
      <w:divBdr>
        <w:top w:val="none" w:sz="0" w:space="0" w:color="auto"/>
        <w:left w:val="none" w:sz="0" w:space="0" w:color="auto"/>
        <w:bottom w:val="none" w:sz="0" w:space="0" w:color="auto"/>
        <w:right w:val="none" w:sz="0" w:space="0" w:color="auto"/>
      </w:divBdr>
    </w:div>
    <w:div w:id="1342775564">
      <w:marLeft w:val="0"/>
      <w:marRight w:val="0"/>
      <w:marTop w:val="120"/>
      <w:marBottom w:val="120"/>
      <w:divBdr>
        <w:top w:val="none" w:sz="0" w:space="0" w:color="auto"/>
        <w:left w:val="none" w:sz="0" w:space="0" w:color="auto"/>
        <w:bottom w:val="none" w:sz="0" w:space="0" w:color="auto"/>
        <w:right w:val="none" w:sz="0" w:space="0" w:color="auto"/>
      </w:divBdr>
    </w:div>
    <w:div w:id="1344166168">
      <w:marLeft w:val="0"/>
      <w:marRight w:val="0"/>
      <w:marTop w:val="120"/>
      <w:marBottom w:val="120"/>
      <w:divBdr>
        <w:top w:val="none" w:sz="0" w:space="0" w:color="auto"/>
        <w:left w:val="none" w:sz="0" w:space="0" w:color="auto"/>
        <w:bottom w:val="none" w:sz="0" w:space="0" w:color="auto"/>
        <w:right w:val="none" w:sz="0" w:space="0" w:color="auto"/>
      </w:divBdr>
    </w:div>
    <w:div w:id="1344286878">
      <w:marLeft w:val="0"/>
      <w:marRight w:val="0"/>
      <w:marTop w:val="120"/>
      <w:marBottom w:val="0"/>
      <w:divBdr>
        <w:top w:val="none" w:sz="0" w:space="0" w:color="auto"/>
        <w:left w:val="none" w:sz="0" w:space="0" w:color="auto"/>
        <w:bottom w:val="none" w:sz="0" w:space="0" w:color="auto"/>
        <w:right w:val="none" w:sz="0" w:space="0" w:color="auto"/>
      </w:divBdr>
    </w:div>
    <w:div w:id="1345859584">
      <w:marLeft w:val="0"/>
      <w:marRight w:val="0"/>
      <w:marTop w:val="120"/>
      <w:marBottom w:val="0"/>
      <w:divBdr>
        <w:top w:val="none" w:sz="0" w:space="0" w:color="auto"/>
        <w:left w:val="none" w:sz="0" w:space="0" w:color="auto"/>
        <w:bottom w:val="none" w:sz="0" w:space="0" w:color="auto"/>
        <w:right w:val="none" w:sz="0" w:space="0" w:color="auto"/>
      </w:divBdr>
    </w:div>
    <w:div w:id="1346404189">
      <w:marLeft w:val="0"/>
      <w:marRight w:val="0"/>
      <w:marTop w:val="180"/>
      <w:marBottom w:val="120"/>
      <w:divBdr>
        <w:top w:val="none" w:sz="0" w:space="0" w:color="auto"/>
        <w:left w:val="none" w:sz="0" w:space="0" w:color="auto"/>
        <w:bottom w:val="none" w:sz="0" w:space="0" w:color="auto"/>
        <w:right w:val="none" w:sz="0" w:space="0" w:color="auto"/>
      </w:divBdr>
    </w:div>
    <w:div w:id="1346977253">
      <w:marLeft w:val="0"/>
      <w:marRight w:val="0"/>
      <w:marTop w:val="0"/>
      <w:marBottom w:val="0"/>
      <w:divBdr>
        <w:top w:val="none" w:sz="0" w:space="0" w:color="auto"/>
        <w:left w:val="none" w:sz="0" w:space="0" w:color="auto"/>
        <w:bottom w:val="none" w:sz="0" w:space="0" w:color="auto"/>
        <w:right w:val="none" w:sz="0" w:space="0" w:color="auto"/>
      </w:divBdr>
      <w:divsChild>
        <w:div w:id="814837659">
          <w:marLeft w:val="0"/>
          <w:marRight w:val="0"/>
          <w:marTop w:val="0"/>
          <w:marBottom w:val="0"/>
          <w:divBdr>
            <w:top w:val="none" w:sz="0" w:space="0" w:color="auto"/>
            <w:left w:val="none" w:sz="0" w:space="0" w:color="auto"/>
            <w:bottom w:val="none" w:sz="0" w:space="0" w:color="auto"/>
            <w:right w:val="none" w:sz="0" w:space="0" w:color="auto"/>
          </w:divBdr>
        </w:div>
        <w:div w:id="881745990">
          <w:marLeft w:val="0"/>
          <w:marRight w:val="0"/>
          <w:marTop w:val="0"/>
          <w:marBottom w:val="0"/>
          <w:divBdr>
            <w:top w:val="none" w:sz="0" w:space="0" w:color="auto"/>
            <w:left w:val="none" w:sz="0" w:space="0" w:color="auto"/>
            <w:bottom w:val="none" w:sz="0" w:space="0" w:color="auto"/>
            <w:right w:val="none" w:sz="0" w:space="0" w:color="auto"/>
          </w:divBdr>
        </w:div>
        <w:div w:id="213392611">
          <w:marLeft w:val="0"/>
          <w:marRight w:val="0"/>
          <w:marTop w:val="0"/>
          <w:marBottom w:val="0"/>
          <w:divBdr>
            <w:top w:val="none" w:sz="0" w:space="0" w:color="auto"/>
            <w:left w:val="none" w:sz="0" w:space="0" w:color="auto"/>
            <w:bottom w:val="none" w:sz="0" w:space="0" w:color="auto"/>
            <w:right w:val="none" w:sz="0" w:space="0" w:color="auto"/>
          </w:divBdr>
        </w:div>
      </w:divsChild>
    </w:div>
    <w:div w:id="1350907651">
      <w:marLeft w:val="0"/>
      <w:marRight w:val="0"/>
      <w:marTop w:val="120"/>
      <w:marBottom w:val="0"/>
      <w:divBdr>
        <w:top w:val="none" w:sz="0" w:space="0" w:color="auto"/>
        <w:left w:val="none" w:sz="0" w:space="0" w:color="auto"/>
        <w:bottom w:val="none" w:sz="0" w:space="0" w:color="auto"/>
        <w:right w:val="none" w:sz="0" w:space="0" w:color="auto"/>
      </w:divBdr>
    </w:div>
    <w:div w:id="1353451964">
      <w:marLeft w:val="0"/>
      <w:marRight w:val="0"/>
      <w:marTop w:val="120"/>
      <w:marBottom w:val="120"/>
      <w:divBdr>
        <w:top w:val="none" w:sz="0" w:space="0" w:color="auto"/>
        <w:left w:val="none" w:sz="0" w:space="0" w:color="auto"/>
        <w:bottom w:val="none" w:sz="0" w:space="0" w:color="auto"/>
        <w:right w:val="none" w:sz="0" w:space="0" w:color="auto"/>
      </w:divBdr>
    </w:div>
    <w:div w:id="1355880526">
      <w:marLeft w:val="0"/>
      <w:marRight w:val="0"/>
      <w:marTop w:val="120"/>
      <w:marBottom w:val="0"/>
      <w:divBdr>
        <w:top w:val="none" w:sz="0" w:space="0" w:color="auto"/>
        <w:left w:val="none" w:sz="0" w:space="0" w:color="auto"/>
        <w:bottom w:val="none" w:sz="0" w:space="0" w:color="auto"/>
        <w:right w:val="none" w:sz="0" w:space="0" w:color="auto"/>
      </w:divBdr>
    </w:div>
    <w:div w:id="1359503296">
      <w:marLeft w:val="0"/>
      <w:marRight w:val="0"/>
      <w:marTop w:val="240"/>
      <w:marBottom w:val="120"/>
      <w:divBdr>
        <w:top w:val="none" w:sz="0" w:space="0" w:color="auto"/>
        <w:left w:val="none" w:sz="0" w:space="0" w:color="auto"/>
        <w:bottom w:val="none" w:sz="0" w:space="0" w:color="auto"/>
        <w:right w:val="none" w:sz="0" w:space="0" w:color="auto"/>
      </w:divBdr>
    </w:div>
    <w:div w:id="1361661405">
      <w:marLeft w:val="0"/>
      <w:marRight w:val="0"/>
      <w:marTop w:val="120"/>
      <w:marBottom w:val="120"/>
      <w:divBdr>
        <w:top w:val="none" w:sz="0" w:space="0" w:color="auto"/>
        <w:left w:val="none" w:sz="0" w:space="0" w:color="auto"/>
        <w:bottom w:val="none" w:sz="0" w:space="0" w:color="auto"/>
        <w:right w:val="none" w:sz="0" w:space="0" w:color="auto"/>
      </w:divBdr>
    </w:div>
    <w:div w:id="1363359865">
      <w:marLeft w:val="0"/>
      <w:marRight w:val="0"/>
      <w:marTop w:val="60"/>
      <w:marBottom w:val="0"/>
      <w:divBdr>
        <w:top w:val="none" w:sz="0" w:space="0" w:color="auto"/>
        <w:left w:val="none" w:sz="0" w:space="0" w:color="auto"/>
        <w:bottom w:val="none" w:sz="0" w:space="0" w:color="auto"/>
        <w:right w:val="none" w:sz="0" w:space="0" w:color="auto"/>
      </w:divBdr>
    </w:div>
    <w:div w:id="1367677124">
      <w:marLeft w:val="0"/>
      <w:marRight w:val="0"/>
      <w:marTop w:val="0"/>
      <w:marBottom w:val="0"/>
      <w:divBdr>
        <w:top w:val="none" w:sz="0" w:space="0" w:color="auto"/>
        <w:left w:val="none" w:sz="0" w:space="0" w:color="auto"/>
        <w:bottom w:val="none" w:sz="0" w:space="0" w:color="auto"/>
        <w:right w:val="none" w:sz="0" w:space="0" w:color="auto"/>
      </w:divBdr>
      <w:divsChild>
        <w:div w:id="1963420885">
          <w:marLeft w:val="0"/>
          <w:marRight w:val="0"/>
          <w:marTop w:val="0"/>
          <w:marBottom w:val="0"/>
          <w:divBdr>
            <w:top w:val="none" w:sz="0" w:space="0" w:color="auto"/>
            <w:left w:val="none" w:sz="0" w:space="0" w:color="auto"/>
            <w:bottom w:val="none" w:sz="0" w:space="0" w:color="auto"/>
            <w:right w:val="none" w:sz="0" w:space="0" w:color="auto"/>
          </w:divBdr>
        </w:div>
      </w:divsChild>
    </w:div>
    <w:div w:id="1371103542">
      <w:marLeft w:val="0"/>
      <w:marRight w:val="0"/>
      <w:marTop w:val="0"/>
      <w:marBottom w:val="120"/>
      <w:divBdr>
        <w:top w:val="none" w:sz="0" w:space="0" w:color="auto"/>
        <w:left w:val="none" w:sz="0" w:space="0" w:color="auto"/>
        <w:bottom w:val="none" w:sz="0" w:space="0" w:color="auto"/>
        <w:right w:val="none" w:sz="0" w:space="0" w:color="auto"/>
      </w:divBdr>
    </w:div>
    <w:div w:id="1371343947">
      <w:marLeft w:val="0"/>
      <w:marRight w:val="0"/>
      <w:marTop w:val="0"/>
      <w:marBottom w:val="0"/>
      <w:divBdr>
        <w:top w:val="none" w:sz="0" w:space="0" w:color="auto"/>
        <w:left w:val="none" w:sz="0" w:space="0" w:color="auto"/>
        <w:bottom w:val="none" w:sz="0" w:space="0" w:color="auto"/>
        <w:right w:val="none" w:sz="0" w:space="0" w:color="auto"/>
      </w:divBdr>
    </w:div>
    <w:div w:id="1373965234">
      <w:marLeft w:val="0"/>
      <w:marRight w:val="0"/>
      <w:marTop w:val="120"/>
      <w:marBottom w:val="0"/>
      <w:divBdr>
        <w:top w:val="none" w:sz="0" w:space="0" w:color="auto"/>
        <w:left w:val="none" w:sz="0" w:space="0" w:color="auto"/>
        <w:bottom w:val="none" w:sz="0" w:space="0" w:color="auto"/>
        <w:right w:val="none" w:sz="0" w:space="0" w:color="auto"/>
      </w:divBdr>
    </w:div>
    <w:div w:id="1376393357">
      <w:marLeft w:val="0"/>
      <w:marRight w:val="0"/>
      <w:marTop w:val="240"/>
      <w:marBottom w:val="120"/>
      <w:divBdr>
        <w:top w:val="none" w:sz="0" w:space="0" w:color="auto"/>
        <w:left w:val="none" w:sz="0" w:space="0" w:color="auto"/>
        <w:bottom w:val="none" w:sz="0" w:space="0" w:color="auto"/>
        <w:right w:val="none" w:sz="0" w:space="0" w:color="auto"/>
      </w:divBdr>
    </w:div>
    <w:div w:id="1377775101">
      <w:marLeft w:val="0"/>
      <w:marRight w:val="0"/>
      <w:marTop w:val="0"/>
      <w:marBottom w:val="0"/>
      <w:divBdr>
        <w:top w:val="none" w:sz="0" w:space="0" w:color="auto"/>
        <w:left w:val="none" w:sz="0" w:space="0" w:color="auto"/>
        <w:bottom w:val="none" w:sz="0" w:space="0" w:color="auto"/>
        <w:right w:val="none" w:sz="0" w:space="0" w:color="auto"/>
      </w:divBdr>
      <w:divsChild>
        <w:div w:id="2049184411">
          <w:marLeft w:val="0"/>
          <w:marRight w:val="0"/>
          <w:marTop w:val="0"/>
          <w:marBottom w:val="0"/>
          <w:divBdr>
            <w:top w:val="none" w:sz="0" w:space="0" w:color="auto"/>
            <w:left w:val="none" w:sz="0" w:space="0" w:color="auto"/>
            <w:bottom w:val="none" w:sz="0" w:space="0" w:color="auto"/>
            <w:right w:val="none" w:sz="0" w:space="0" w:color="auto"/>
          </w:divBdr>
        </w:div>
      </w:divsChild>
    </w:div>
    <w:div w:id="1379162021">
      <w:marLeft w:val="0"/>
      <w:marRight w:val="0"/>
      <w:marTop w:val="120"/>
      <w:marBottom w:val="120"/>
      <w:divBdr>
        <w:top w:val="none" w:sz="0" w:space="0" w:color="auto"/>
        <w:left w:val="none" w:sz="0" w:space="0" w:color="auto"/>
        <w:bottom w:val="none" w:sz="0" w:space="0" w:color="auto"/>
        <w:right w:val="none" w:sz="0" w:space="0" w:color="auto"/>
      </w:divBdr>
    </w:div>
    <w:div w:id="1381856444">
      <w:marLeft w:val="0"/>
      <w:marRight w:val="0"/>
      <w:marTop w:val="0"/>
      <w:marBottom w:val="0"/>
      <w:divBdr>
        <w:top w:val="none" w:sz="0" w:space="0" w:color="auto"/>
        <w:left w:val="none" w:sz="0" w:space="0" w:color="auto"/>
        <w:bottom w:val="none" w:sz="0" w:space="0" w:color="auto"/>
        <w:right w:val="none" w:sz="0" w:space="0" w:color="auto"/>
      </w:divBdr>
      <w:divsChild>
        <w:div w:id="1742749416">
          <w:marLeft w:val="0"/>
          <w:marRight w:val="0"/>
          <w:marTop w:val="0"/>
          <w:marBottom w:val="0"/>
          <w:divBdr>
            <w:top w:val="none" w:sz="0" w:space="0" w:color="auto"/>
            <w:left w:val="none" w:sz="0" w:space="0" w:color="auto"/>
            <w:bottom w:val="none" w:sz="0" w:space="0" w:color="auto"/>
            <w:right w:val="none" w:sz="0" w:space="0" w:color="auto"/>
          </w:divBdr>
        </w:div>
      </w:divsChild>
    </w:div>
    <w:div w:id="1381977961">
      <w:marLeft w:val="0"/>
      <w:marRight w:val="0"/>
      <w:marTop w:val="0"/>
      <w:marBottom w:val="0"/>
      <w:divBdr>
        <w:top w:val="none" w:sz="0" w:space="0" w:color="auto"/>
        <w:left w:val="none" w:sz="0" w:space="0" w:color="auto"/>
        <w:bottom w:val="none" w:sz="0" w:space="0" w:color="auto"/>
        <w:right w:val="none" w:sz="0" w:space="0" w:color="auto"/>
      </w:divBdr>
    </w:div>
    <w:div w:id="1386559937">
      <w:marLeft w:val="0"/>
      <w:marRight w:val="0"/>
      <w:marTop w:val="0"/>
      <w:marBottom w:val="0"/>
      <w:divBdr>
        <w:top w:val="none" w:sz="0" w:space="0" w:color="auto"/>
        <w:left w:val="none" w:sz="0" w:space="0" w:color="auto"/>
        <w:bottom w:val="none" w:sz="0" w:space="0" w:color="auto"/>
        <w:right w:val="none" w:sz="0" w:space="0" w:color="auto"/>
      </w:divBdr>
      <w:divsChild>
        <w:div w:id="742725372">
          <w:marLeft w:val="0"/>
          <w:marRight w:val="0"/>
          <w:marTop w:val="0"/>
          <w:marBottom w:val="0"/>
          <w:divBdr>
            <w:top w:val="none" w:sz="0" w:space="0" w:color="auto"/>
            <w:left w:val="none" w:sz="0" w:space="0" w:color="auto"/>
            <w:bottom w:val="none" w:sz="0" w:space="0" w:color="auto"/>
            <w:right w:val="none" w:sz="0" w:space="0" w:color="auto"/>
          </w:divBdr>
        </w:div>
      </w:divsChild>
    </w:div>
    <w:div w:id="1387021832">
      <w:marLeft w:val="0"/>
      <w:marRight w:val="0"/>
      <w:marTop w:val="120"/>
      <w:marBottom w:val="120"/>
      <w:divBdr>
        <w:top w:val="none" w:sz="0" w:space="0" w:color="auto"/>
        <w:left w:val="none" w:sz="0" w:space="0" w:color="auto"/>
        <w:bottom w:val="none" w:sz="0" w:space="0" w:color="auto"/>
        <w:right w:val="none" w:sz="0" w:space="0" w:color="auto"/>
      </w:divBdr>
    </w:div>
    <w:div w:id="1387022777">
      <w:marLeft w:val="0"/>
      <w:marRight w:val="0"/>
      <w:marTop w:val="120"/>
      <w:marBottom w:val="0"/>
      <w:divBdr>
        <w:top w:val="none" w:sz="0" w:space="0" w:color="auto"/>
        <w:left w:val="none" w:sz="0" w:space="0" w:color="auto"/>
        <w:bottom w:val="none" w:sz="0" w:space="0" w:color="auto"/>
        <w:right w:val="none" w:sz="0" w:space="0" w:color="auto"/>
      </w:divBdr>
    </w:div>
    <w:div w:id="1388649480">
      <w:marLeft w:val="0"/>
      <w:marRight w:val="0"/>
      <w:marTop w:val="120"/>
      <w:marBottom w:val="0"/>
      <w:divBdr>
        <w:top w:val="none" w:sz="0" w:space="0" w:color="auto"/>
        <w:left w:val="none" w:sz="0" w:space="0" w:color="auto"/>
        <w:bottom w:val="none" w:sz="0" w:space="0" w:color="auto"/>
        <w:right w:val="none" w:sz="0" w:space="0" w:color="auto"/>
      </w:divBdr>
    </w:div>
    <w:div w:id="1391416773">
      <w:marLeft w:val="0"/>
      <w:marRight w:val="0"/>
      <w:marTop w:val="120"/>
      <w:marBottom w:val="0"/>
      <w:divBdr>
        <w:top w:val="none" w:sz="0" w:space="0" w:color="auto"/>
        <w:left w:val="none" w:sz="0" w:space="0" w:color="auto"/>
        <w:bottom w:val="none" w:sz="0" w:space="0" w:color="auto"/>
        <w:right w:val="none" w:sz="0" w:space="0" w:color="auto"/>
      </w:divBdr>
    </w:div>
    <w:div w:id="1394279467">
      <w:marLeft w:val="0"/>
      <w:marRight w:val="0"/>
      <w:marTop w:val="120"/>
      <w:marBottom w:val="120"/>
      <w:divBdr>
        <w:top w:val="none" w:sz="0" w:space="0" w:color="auto"/>
        <w:left w:val="none" w:sz="0" w:space="0" w:color="auto"/>
        <w:bottom w:val="none" w:sz="0" w:space="0" w:color="auto"/>
        <w:right w:val="none" w:sz="0" w:space="0" w:color="auto"/>
      </w:divBdr>
    </w:div>
    <w:div w:id="1394280235">
      <w:marLeft w:val="0"/>
      <w:marRight w:val="0"/>
      <w:marTop w:val="120"/>
      <w:marBottom w:val="0"/>
      <w:divBdr>
        <w:top w:val="none" w:sz="0" w:space="0" w:color="auto"/>
        <w:left w:val="none" w:sz="0" w:space="0" w:color="auto"/>
        <w:bottom w:val="none" w:sz="0" w:space="0" w:color="auto"/>
        <w:right w:val="none" w:sz="0" w:space="0" w:color="auto"/>
      </w:divBdr>
    </w:div>
    <w:div w:id="1397123679">
      <w:marLeft w:val="0"/>
      <w:marRight w:val="0"/>
      <w:marTop w:val="120"/>
      <w:marBottom w:val="120"/>
      <w:divBdr>
        <w:top w:val="none" w:sz="0" w:space="0" w:color="auto"/>
        <w:left w:val="none" w:sz="0" w:space="0" w:color="auto"/>
        <w:bottom w:val="none" w:sz="0" w:space="0" w:color="auto"/>
        <w:right w:val="none" w:sz="0" w:space="0" w:color="auto"/>
      </w:divBdr>
    </w:div>
    <w:div w:id="1397623657">
      <w:marLeft w:val="0"/>
      <w:marRight w:val="0"/>
      <w:marTop w:val="240"/>
      <w:marBottom w:val="120"/>
      <w:divBdr>
        <w:top w:val="none" w:sz="0" w:space="0" w:color="auto"/>
        <w:left w:val="none" w:sz="0" w:space="0" w:color="auto"/>
        <w:bottom w:val="none" w:sz="0" w:space="0" w:color="auto"/>
        <w:right w:val="none" w:sz="0" w:space="0" w:color="auto"/>
      </w:divBdr>
    </w:div>
    <w:div w:id="1399010175">
      <w:marLeft w:val="0"/>
      <w:marRight w:val="0"/>
      <w:marTop w:val="120"/>
      <w:marBottom w:val="120"/>
      <w:divBdr>
        <w:top w:val="none" w:sz="0" w:space="0" w:color="auto"/>
        <w:left w:val="none" w:sz="0" w:space="0" w:color="auto"/>
        <w:bottom w:val="none" w:sz="0" w:space="0" w:color="auto"/>
        <w:right w:val="none" w:sz="0" w:space="0" w:color="auto"/>
      </w:divBdr>
    </w:div>
    <w:div w:id="1401245741">
      <w:marLeft w:val="0"/>
      <w:marRight w:val="0"/>
      <w:marTop w:val="0"/>
      <w:marBottom w:val="0"/>
      <w:divBdr>
        <w:top w:val="none" w:sz="0" w:space="0" w:color="auto"/>
        <w:left w:val="none" w:sz="0" w:space="0" w:color="auto"/>
        <w:bottom w:val="none" w:sz="0" w:space="0" w:color="auto"/>
        <w:right w:val="none" w:sz="0" w:space="0" w:color="auto"/>
      </w:divBdr>
    </w:div>
    <w:div w:id="1403026280">
      <w:marLeft w:val="0"/>
      <w:marRight w:val="0"/>
      <w:marTop w:val="120"/>
      <w:marBottom w:val="120"/>
      <w:divBdr>
        <w:top w:val="none" w:sz="0" w:space="0" w:color="auto"/>
        <w:left w:val="none" w:sz="0" w:space="0" w:color="auto"/>
        <w:bottom w:val="none" w:sz="0" w:space="0" w:color="auto"/>
        <w:right w:val="none" w:sz="0" w:space="0" w:color="auto"/>
      </w:divBdr>
    </w:div>
    <w:div w:id="1403599099">
      <w:marLeft w:val="0"/>
      <w:marRight w:val="0"/>
      <w:marTop w:val="0"/>
      <w:marBottom w:val="0"/>
      <w:divBdr>
        <w:top w:val="none" w:sz="0" w:space="0" w:color="auto"/>
        <w:left w:val="none" w:sz="0" w:space="0" w:color="auto"/>
        <w:bottom w:val="none" w:sz="0" w:space="0" w:color="auto"/>
        <w:right w:val="none" w:sz="0" w:space="0" w:color="auto"/>
      </w:divBdr>
      <w:divsChild>
        <w:div w:id="505442067">
          <w:marLeft w:val="0"/>
          <w:marRight w:val="0"/>
          <w:marTop w:val="0"/>
          <w:marBottom w:val="0"/>
          <w:divBdr>
            <w:top w:val="none" w:sz="0" w:space="0" w:color="auto"/>
            <w:left w:val="none" w:sz="0" w:space="0" w:color="auto"/>
            <w:bottom w:val="none" w:sz="0" w:space="0" w:color="auto"/>
            <w:right w:val="none" w:sz="0" w:space="0" w:color="auto"/>
          </w:divBdr>
        </w:div>
      </w:divsChild>
    </w:div>
    <w:div w:id="1404985244">
      <w:marLeft w:val="0"/>
      <w:marRight w:val="0"/>
      <w:marTop w:val="240"/>
      <w:marBottom w:val="0"/>
      <w:divBdr>
        <w:top w:val="none" w:sz="0" w:space="0" w:color="auto"/>
        <w:left w:val="none" w:sz="0" w:space="0" w:color="auto"/>
        <w:bottom w:val="none" w:sz="0" w:space="0" w:color="auto"/>
        <w:right w:val="none" w:sz="0" w:space="0" w:color="auto"/>
      </w:divBdr>
    </w:div>
    <w:div w:id="1405685923">
      <w:marLeft w:val="0"/>
      <w:marRight w:val="0"/>
      <w:marTop w:val="120"/>
      <w:marBottom w:val="0"/>
      <w:divBdr>
        <w:top w:val="none" w:sz="0" w:space="0" w:color="auto"/>
        <w:left w:val="none" w:sz="0" w:space="0" w:color="auto"/>
        <w:bottom w:val="none" w:sz="0" w:space="0" w:color="auto"/>
        <w:right w:val="none" w:sz="0" w:space="0" w:color="auto"/>
      </w:divBdr>
    </w:div>
    <w:div w:id="1408071257">
      <w:marLeft w:val="0"/>
      <w:marRight w:val="0"/>
      <w:marTop w:val="120"/>
      <w:marBottom w:val="120"/>
      <w:divBdr>
        <w:top w:val="none" w:sz="0" w:space="0" w:color="auto"/>
        <w:left w:val="none" w:sz="0" w:space="0" w:color="auto"/>
        <w:bottom w:val="none" w:sz="0" w:space="0" w:color="auto"/>
        <w:right w:val="none" w:sz="0" w:space="0" w:color="auto"/>
      </w:divBdr>
    </w:div>
    <w:div w:id="1408379307">
      <w:marLeft w:val="0"/>
      <w:marRight w:val="0"/>
      <w:marTop w:val="0"/>
      <w:marBottom w:val="120"/>
      <w:divBdr>
        <w:top w:val="none" w:sz="0" w:space="0" w:color="auto"/>
        <w:left w:val="none" w:sz="0" w:space="0" w:color="auto"/>
        <w:bottom w:val="none" w:sz="0" w:space="0" w:color="auto"/>
        <w:right w:val="none" w:sz="0" w:space="0" w:color="auto"/>
      </w:divBdr>
    </w:div>
    <w:div w:id="1408843135">
      <w:marLeft w:val="0"/>
      <w:marRight w:val="0"/>
      <w:marTop w:val="120"/>
      <w:marBottom w:val="0"/>
      <w:divBdr>
        <w:top w:val="none" w:sz="0" w:space="0" w:color="auto"/>
        <w:left w:val="none" w:sz="0" w:space="0" w:color="auto"/>
        <w:bottom w:val="none" w:sz="0" w:space="0" w:color="auto"/>
        <w:right w:val="none" w:sz="0" w:space="0" w:color="auto"/>
      </w:divBdr>
    </w:div>
    <w:div w:id="1410269905">
      <w:marLeft w:val="0"/>
      <w:marRight w:val="0"/>
      <w:marTop w:val="120"/>
      <w:marBottom w:val="120"/>
      <w:divBdr>
        <w:top w:val="none" w:sz="0" w:space="0" w:color="auto"/>
        <w:left w:val="none" w:sz="0" w:space="0" w:color="auto"/>
        <w:bottom w:val="none" w:sz="0" w:space="0" w:color="auto"/>
        <w:right w:val="none" w:sz="0" w:space="0" w:color="auto"/>
      </w:divBdr>
    </w:div>
    <w:div w:id="1412585451">
      <w:marLeft w:val="0"/>
      <w:marRight w:val="0"/>
      <w:marTop w:val="120"/>
      <w:marBottom w:val="0"/>
      <w:divBdr>
        <w:top w:val="none" w:sz="0" w:space="0" w:color="auto"/>
        <w:left w:val="none" w:sz="0" w:space="0" w:color="auto"/>
        <w:bottom w:val="none" w:sz="0" w:space="0" w:color="auto"/>
        <w:right w:val="none" w:sz="0" w:space="0" w:color="auto"/>
      </w:divBdr>
    </w:div>
    <w:div w:id="1414668691">
      <w:marLeft w:val="0"/>
      <w:marRight w:val="0"/>
      <w:marTop w:val="120"/>
      <w:marBottom w:val="0"/>
      <w:divBdr>
        <w:top w:val="none" w:sz="0" w:space="0" w:color="auto"/>
        <w:left w:val="none" w:sz="0" w:space="0" w:color="auto"/>
        <w:bottom w:val="none" w:sz="0" w:space="0" w:color="auto"/>
        <w:right w:val="none" w:sz="0" w:space="0" w:color="auto"/>
      </w:divBdr>
    </w:div>
    <w:div w:id="1415514757">
      <w:marLeft w:val="0"/>
      <w:marRight w:val="0"/>
      <w:marTop w:val="120"/>
      <w:marBottom w:val="0"/>
      <w:divBdr>
        <w:top w:val="none" w:sz="0" w:space="0" w:color="auto"/>
        <w:left w:val="none" w:sz="0" w:space="0" w:color="auto"/>
        <w:bottom w:val="none" w:sz="0" w:space="0" w:color="auto"/>
        <w:right w:val="none" w:sz="0" w:space="0" w:color="auto"/>
      </w:divBdr>
    </w:div>
    <w:div w:id="1416702768">
      <w:marLeft w:val="0"/>
      <w:marRight w:val="0"/>
      <w:marTop w:val="120"/>
      <w:marBottom w:val="0"/>
      <w:divBdr>
        <w:top w:val="none" w:sz="0" w:space="0" w:color="auto"/>
        <w:left w:val="none" w:sz="0" w:space="0" w:color="auto"/>
        <w:bottom w:val="none" w:sz="0" w:space="0" w:color="auto"/>
        <w:right w:val="none" w:sz="0" w:space="0" w:color="auto"/>
      </w:divBdr>
    </w:div>
    <w:div w:id="1422330615">
      <w:marLeft w:val="0"/>
      <w:marRight w:val="0"/>
      <w:marTop w:val="0"/>
      <w:marBottom w:val="120"/>
      <w:divBdr>
        <w:top w:val="none" w:sz="0" w:space="0" w:color="auto"/>
        <w:left w:val="none" w:sz="0" w:space="0" w:color="auto"/>
        <w:bottom w:val="none" w:sz="0" w:space="0" w:color="auto"/>
        <w:right w:val="none" w:sz="0" w:space="0" w:color="auto"/>
      </w:divBdr>
    </w:div>
    <w:div w:id="1423840835">
      <w:marLeft w:val="0"/>
      <w:marRight w:val="0"/>
      <w:marTop w:val="120"/>
      <w:marBottom w:val="0"/>
      <w:divBdr>
        <w:top w:val="none" w:sz="0" w:space="0" w:color="auto"/>
        <w:left w:val="none" w:sz="0" w:space="0" w:color="auto"/>
        <w:bottom w:val="none" w:sz="0" w:space="0" w:color="auto"/>
        <w:right w:val="none" w:sz="0" w:space="0" w:color="auto"/>
      </w:divBdr>
      <w:divsChild>
        <w:div w:id="1640265647">
          <w:marLeft w:val="0"/>
          <w:marRight w:val="0"/>
          <w:marTop w:val="0"/>
          <w:marBottom w:val="0"/>
          <w:divBdr>
            <w:top w:val="none" w:sz="0" w:space="0" w:color="auto"/>
            <w:left w:val="none" w:sz="0" w:space="0" w:color="auto"/>
            <w:bottom w:val="none" w:sz="0" w:space="0" w:color="auto"/>
            <w:right w:val="none" w:sz="0" w:space="0" w:color="auto"/>
          </w:divBdr>
        </w:div>
      </w:divsChild>
    </w:div>
    <w:div w:id="1425418799">
      <w:marLeft w:val="0"/>
      <w:marRight w:val="0"/>
      <w:marTop w:val="120"/>
      <w:marBottom w:val="120"/>
      <w:divBdr>
        <w:top w:val="none" w:sz="0" w:space="0" w:color="auto"/>
        <w:left w:val="none" w:sz="0" w:space="0" w:color="auto"/>
        <w:bottom w:val="none" w:sz="0" w:space="0" w:color="auto"/>
        <w:right w:val="none" w:sz="0" w:space="0" w:color="auto"/>
      </w:divBdr>
    </w:div>
    <w:div w:id="1426610452">
      <w:marLeft w:val="0"/>
      <w:marRight w:val="0"/>
      <w:marTop w:val="240"/>
      <w:marBottom w:val="0"/>
      <w:divBdr>
        <w:top w:val="none" w:sz="0" w:space="0" w:color="auto"/>
        <w:left w:val="none" w:sz="0" w:space="0" w:color="auto"/>
        <w:bottom w:val="none" w:sz="0" w:space="0" w:color="auto"/>
        <w:right w:val="none" w:sz="0" w:space="0" w:color="auto"/>
      </w:divBdr>
    </w:div>
    <w:div w:id="1435514939">
      <w:marLeft w:val="0"/>
      <w:marRight w:val="0"/>
      <w:marTop w:val="120"/>
      <w:marBottom w:val="0"/>
      <w:divBdr>
        <w:top w:val="none" w:sz="0" w:space="0" w:color="auto"/>
        <w:left w:val="none" w:sz="0" w:space="0" w:color="auto"/>
        <w:bottom w:val="none" w:sz="0" w:space="0" w:color="auto"/>
        <w:right w:val="none" w:sz="0" w:space="0" w:color="auto"/>
      </w:divBdr>
    </w:div>
    <w:div w:id="1436558715">
      <w:marLeft w:val="0"/>
      <w:marRight w:val="0"/>
      <w:marTop w:val="0"/>
      <w:marBottom w:val="120"/>
      <w:divBdr>
        <w:top w:val="none" w:sz="0" w:space="0" w:color="auto"/>
        <w:left w:val="none" w:sz="0" w:space="0" w:color="auto"/>
        <w:bottom w:val="none" w:sz="0" w:space="0" w:color="auto"/>
        <w:right w:val="none" w:sz="0" w:space="0" w:color="auto"/>
      </w:divBdr>
    </w:div>
    <w:div w:id="1438213067">
      <w:marLeft w:val="0"/>
      <w:marRight w:val="0"/>
      <w:marTop w:val="0"/>
      <w:marBottom w:val="0"/>
      <w:divBdr>
        <w:top w:val="none" w:sz="0" w:space="0" w:color="auto"/>
        <w:left w:val="none" w:sz="0" w:space="0" w:color="auto"/>
        <w:bottom w:val="none" w:sz="0" w:space="0" w:color="auto"/>
        <w:right w:val="none" w:sz="0" w:space="0" w:color="auto"/>
      </w:divBdr>
    </w:div>
    <w:div w:id="1438674125">
      <w:marLeft w:val="0"/>
      <w:marRight w:val="0"/>
      <w:marTop w:val="120"/>
      <w:marBottom w:val="120"/>
      <w:divBdr>
        <w:top w:val="none" w:sz="0" w:space="0" w:color="auto"/>
        <w:left w:val="none" w:sz="0" w:space="0" w:color="auto"/>
        <w:bottom w:val="none" w:sz="0" w:space="0" w:color="auto"/>
        <w:right w:val="none" w:sz="0" w:space="0" w:color="auto"/>
      </w:divBdr>
    </w:div>
    <w:div w:id="1439595792">
      <w:marLeft w:val="0"/>
      <w:marRight w:val="0"/>
      <w:marTop w:val="0"/>
      <w:marBottom w:val="0"/>
      <w:divBdr>
        <w:top w:val="none" w:sz="0" w:space="0" w:color="auto"/>
        <w:left w:val="none" w:sz="0" w:space="0" w:color="auto"/>
        <w:bottom w:val="none" w:sz="0" w:space="0" w:color="auto"/>
        <w:right w:val="none" w:sz="0" w:space="0" w:color="auto"/>
      </w:divBdr>
    </w:div>
    <w:div w:id="1441607012">
      <w:marLeft w:val="0"/>
      <w:marRight w:val="0"/>
      <w:marTop w:val="120"/>
      <w:marBottom w:val="0"/>
      <w:divBdr>
        <w:top w:val="none" w:sz="0" w:space="0" w:color="auto"/>
        <w:left w:val="none" w:sz="0" w:space="0" w:color="auto"/>
        <w:bottom w:val="none" w:sz="0" w:space="0" w:color="auto"/>
        <w:right w:val="none" w:sz="0" w:space="0" w:color="auto"/>
      </w:divBdr>
    </w:div>
    <w:div w:id="1442528302">
      <w:marLeft w:val="0"/>
      <w:marRight w:val="0"/>
      <w:marTop w:val="120"/>
      <w:marBottom w:val="120"/>
      <w:divBdr>
        <w:top w:val="none" w:sz="0" w:space="0" w:color="auto"/>
        <w:left w:val="none" w:sz="0" w:space="0" w:color="auto"/>
        <w:bottom w:val="none" w:sz="0" w:space="0" w:color="auto"/>
        <w:right w:val="none" w:sz="0" w:space="0" w:color="auto"/>
      </w:divBdr>
    </w:div>
    <w:div w:id="1446659774">
      <w:marLeft w:val="0"/>
      <w:marRight w:val="0"/>
      <w:marTop w:val="120"/>
      <w:marBottom w:val="120"/>
      <w:divBdr>
        <w:top w:val="none" w:sz="0" w:space="0" w:color="auto"/>
        <w:left w:val="none" w:sz="0" w:space="0" w:color="auto"/>
        <w:bottom w:val="none" w:sz="0" w:space="0" w:color="auto"/>
        <w:right w:val="none" w:sz="0" w:space="0" w:color="auto"/>
      </w:divBdr>
    </w:div>
    <w:div w:id="1447698697">
      <w:marLeft w:val="0"/>
      <w:marRight w:val="0"/>
      <w:marTop w:val="0"/>
      <w:marBottom w:val="0"/>
      <w:divBdr>
        <w:top w:val="none" w:sz="0" w:space="0" w:color="auto"/>
        <w:left w:val="none" w:sz="0" w:space="0" w:color="auto"/>
        <w:bottom w:val="none" w:sz="0" w:space="0" w:color="auto"/>
        <w:right w:val="none" w:sz="0" w:space="0" w:color="auto"/>
      </w:divBdr>
    </w:div>
    <w:div w:id="1448353476">
      <w:marLeft w:val="0"/>
      <w:marRight w:val="0"/>
      <w:marTop w:val="0"/>
      <w:marBottom w:val="0"/>
      <w:divBdr>
        <w:top w:val="none" w:sz="0" w:space="0" w:color="auto"/>
        <w:left w:val="none" w:sz="0" w:space="0" w:color="auto"/>
        <w:bottom w:val="none" w:sz="0" w:space="0" w:color="auto"/>
        <w:right w:val="none" w:sz="0" w:space="0" w:color="auto"/>
      </w:divBdr>
    </w:div>
    <w:div w:id="1452171281">
      <w:marLeft w:val="0"/>
      <w:marRight w:val="0"/>
      <w:marTop w:val="120"/>
      <w:marBottom w:val="0"/>
      <w:divBdr>
        <w:top w:val="none" w:sz="0" w:space="0" w:color="auto"/>
        <w:left w:val="none" w:sz="0" w:space="0" w:color="auto"/>
        <w:bottom w:val="none" w:sz="0" w:space="0" w:color="auto"/>
        <w:right w:val="none" w:sz="0" w:space="0" w:color="auto"/>
      </w:divBdr>
    </w:div>
    <w:div w:id="1453671532">
      <w:marLeft w:val="0"/>
      <w:marRight w:val="0"/>
      <w:marTop w:val="240"/>
      <w:marBottom w:val="120"/>
      <w:divBdr>
        <w:top w:val="none" w:sz="0" w:space="0" w:color="auto"/>
        <w:left w:val="none" w:sz="0" w:space="0" w:color="auto"/>
        <w:bottom w:val="none" w:sz="0" w:space="0" w:color="auto"/>
        <w:right w:val="none" w:sz="0" w:space="0" w:color="auto"/>
      </w:divBdr>
    </w:div>
    <w:div w:id="1454790193">
      <w:marLeft w:val="0"/>
      <w:marRight w:val="0"/>
      <w:marTop w:val="120"/>
      <w:marBottom w:val="120"/>
      <w:divBdr>
        <w:top w:val="none" w:sz="0" w:space="0" w:color="auto"/>
        <w:left w:val="none" w:sz="0" w:space="0" w:color="auto"/>
        <w:bottom w:val="none" w:sz="0" w:space="0" w:color="auto"/>
        <w:right w:val="none" w:sz="0" w:space="0" w:color="auto"/>
      </w:divBdr>
    </w:div>
    <w:div w:id="1455709636">
      <w:marLeft w:val="0"/>
      <w:marRight w:val="0"/>
      <w:marTop w:val="0"/>
      <w:marBottom w:val="0"/>
      <w:divBdr>
        <w:top w:val="none" w:sz="0" w:space="0" w:color="auto"/>
        <w:left w:val="none" w:sz="0" w:space="0" w:color="auto"/>
        <w:bottom w:val="none" w:sz="0" w:space="0" w:color="auto"/>
        <w:right w:val="none" w:sz="0" w:space="0" w:color="auto"/>
      </w:divBdr>
    </w:div>
    <w:div w:id="1458985811">
      <w:marLeft w:val="0"/>
      <w:marRight w:val="0"/>
      <w:marTop w:val="120"/>
      <w:marBottom w:val="120"/>
      <w:divBdr>
        <w:top w:val="none" w:sz="0" w:space="0" w:color="auto"/>
        <w:left w:val="none" w:sz="0" w:space="0" w:color="auto"/>
        <w:bottom w:val="none" w:sz="0" w:space="0" w:color="auto"/>
        <w:right w:val="none" w:sz="0" w:space="0" w:color="auto"/>
      </w:divBdr>
    </w:div>
    <w:div w:id="1462067679">
      <w:marLeft w:val="0"/>
      <w:marRight w:val="0"/>
      <w:marTop w:val="120"/>
      <w:marBottom w:val="120"/>
      <w:divBdr>
        <w:top w:val="none" w:sz="0" w:space="0" w:color="auto"/>
        <w:left w:val="none" w:sz="0" w:space="0" w:color="auto"/>
        <w:bottom w:val="none" w:sz="0" w:space="0" w:color="auto"/>
        <w:right w:val="none" w:sz="0" w:space="0" w:color="auto"/>
      </w:divBdr>
    </w:div>
    <w:div w:id="1462992832">
      <w:marLeft w:val="0"/>
      <w:marRight w:val="0"/>
      <w:marTop w:val="0"/>
      <w:marBottom w:val="0"/>
      <w:divBdr>
        <w:top w:val="none" w:sz="0" w:space="0" w:color="auto"/>
        <w:left w:val="none" w:sz="0" w:space="0" w:color="auto"/>
        <w:bottom w:val="none" w:sz="0" w:space="0" w:color="auto"/>
        <w:right w:val="none" w:sz="0" w:space="0" w:color="auto"/>
      </w:divBdr>
    </w:div>
    <w:div w:id="1465350639">
      <w:marLeft w:val="0"/>
      <w:marRight w:val="0"/>
      <w:marTop w:val="120"/>
      <w:marBottom w:val="120"/>
      <w:divBdr>
        <w:top w:val="none" w:sz="0" w:space="0" w:color="auto"/>
        <w:left w:val="none" w:sz="0" w:space="0" w:color="auto"/>
        <w:bottom w:val="none" w:sz="0" w:space="0" w:color="auto"/>
        <w:right w:val="none" w:sz="0" w:space="0" w:color="auto"/>
      </w:divBdr>
    </w:div>
    <w:div w:id="1465655543">
      <w:marLeft w:val="0"/>
      <w:marRight w:val="0"/>
      <w:marTop w:val="120"/>
      <w:marBottom w:val="120"/>
      <w:divBdr>
        <w:top w:val="none" w:sz="0" w:space="0" w:color="auto"/>
        <w:left w:val="none" w:sz="0" w:space="0" w:color="auto"/>
        <w:bottom w:val="none" w:sz="0" w:space="0" w:color="auto"/>
        <w:right w:val="none" w:sz="0" w:space="0" w:color="auto"/>
      </w:divBdr>
    </w:div>
    <w:div w:id="1466269002">
      <w:marLeft w:val="0"/>
      <w:marRight w:val="0"/>
      <w:marTop w:val="120"/>
      <w:marBottom w:val="0"/>
      <w:divBdr>
        <w:top w:val="none" w:sz="0" w:space="0" w:color="auto"/>
        <w:left w:val="none" w:sz="0" w:space="0" w:color="auto"/>
        <w:bottom w:val="none" w:sz="0" w:space="0" w:color="auto"/>
        <w:right w:val="none" w:sz="0" w:space="0" w:color="auto"/>
      </w:divBdr>
    </w:div>
    <w:div w:id="1466780286">
      <w:marLeft w:val="0"/>
      <w:marRight w:val="0"/>
      <w:marTop w:val="240"/>
      <w:marBottom w:val="120"/>
      <w:divBdr>
        <w:top w:val="none" w:sz="0" w:space="0" w:color="auto"/>
        <w:left w:val="none" w:sz="0" w:space="0" w:color="auto"/>
        <w:bottom w:val="none" w:sz="0" w:space="0" w:color="auto"/>
        <w:right w:val="none" w:sz="0" w:space="0" w:color="auto"/>
      </w:divBdr>
    </w:div>
    <w:div w:id="1467813629">
      <w:marLeft w:val="0"/>
      <w:marRight w:val="0"/>
      <w:marTop w:val="120"/>
      <w:marBottom w:val="0"/>
      <w:divBdr>
        <w:top w:val="none" w:sz="0" w:space="0" w:color="auto"/>
        <w:left w:val="none" w:sz="0" w:space="0" w:color="auto"/>
        <w:bottom w:val="none" w:sz="0" w:space="0" w:color="auto"/>
        <w:right w:val="none" w:sz="0" w:space="0" w:color="auto"/>
      </w:divBdr>
    </w:div>
    <w:div w:id="1468738157">
      <w:marLeft w:val="0"/>
      <w:marRight w:val="0"/>
      <w:marTop w:val="0"/>
      <w:marBottom w:val="0"/>
      <w:divBdr>
        <w:top w:val="none" w:sz="0" w:space="0" w:color="auto"/>
        <w:left w:val="none" w:sz="0" w:space="0" w:color="auto"/>
        <w:bottom w:val="none" w:sz="0" w:space="0" w:color="auto"/>
        <w:right w:val="none" w:sz="0" w:space="0" w:color="auto"/>
      </w:divBdr>
      <w:divsChild>
        <w:div w:id="617830865">
          <w:marLeft w:val="0"/>
          <w:marRight w:val="0"/>
          <w:marTop w:val="0"/>
          <w:marBottom w:val="0"/>
          <w:divBdr>
            <w:top w:val="none" w:sz="0" w:space="0" w:color="auto"/>
            <w:left w:val="none" w:sz="0" w:space="0" w:color="auto"/>
            <w:bottom w:val="none" w:sz="0" w:space="0" w:color="auto"/>
            <w:right w:val="none" w:sz="0" w:space="0" w:color="auto"/>
          </w:divBdr>
        </w:div>
      </w:divsChild>
    </w:div>
    <w:div w:id="1468936992">
      <w:marLeft w:val="0"/>
      <w:marRight w:val="0"/>
      <w:marTop w:val="120"/>
      <w:marBottom w:val="120"/>
      <w:divBdr>
        <w:top w:val="none" w:sz="0" w:space="0" w:color="auto"/>
        <w:left w:val="none" w:sz="0" w:space="0" w:color="auto"/>
        <w:bottom w:val="none" w:sz="0" w:space="0" w:color="auto"/>
        <w:right w:val="none" w:sz="0" w:space="0" w:color="auto"/>
      </w:divBdr>
    </w:div>
    <w:div w:id="1469200567">
      <w:marLeft w:val="0"/>
      <w:marRight w:val="0"/>
      <w:marTop w:val="120"/>
      <w:marBottom w:val="120"/>
      <w:divBdr>
        <w:top w:val="none" w:sz="0" w:space="0" w:color="auto"/>
        <w:left w:val="none" w:sz="0" w:space="0" w:color="auto"/>
        <w:bottom w:val="none" w:sz="0" w:space="0" w:color="auto"/>
        <w:right w:val="none" w:sz="0" w:space="0" w:color="auto"/>
      </w:divBdr>
    </w:div>
    <w:div w:id="1469661672">
      <w:marLeft w:val="0"/>
      <w:marRight w:val="0"/>
      <w:marTop w:val="0"/>
      <w:marBottom w:val="0"/>
      <w:divBdr>
        <w:top w:val="none" w:sz="0" w:space="0" w:color="auto"/>
        <w:left w:val="none" w:sz="0" w:space="0" w:color="auto"/>
        <w:bottom w:val="none" w:sz="0" w:space="0" w:color="auto"/>
        <w:right w:val="none" w:sz="0" w:space="0" w:color="auto"/>
      </w:divBdr>
    </w:div>
    <w:div w:id="1475440225">
      <w:marLeft w:val="0"/>
      <w:marRight w:val="0"/>
      <w:marTop w:val="0"/>
      <w:marBottom w:val="0"/>
      <w:divBdr>
        <w:top w:val="none" w:sz="0" w:space="0" w:color="auto"/>
        <w:left w:val="none" w:sz="0" w:space="0" w:color="auto"/>
        <w:bottom w:val="none" w:sz="0" w:space="0" w:color="auto"/>
        <w:right w:val="none" w:sz="0" w:space="0" w:color="auto"/>
      </w:divBdr>
    </w:div>
    <w:div w:id="1482965583">
      <w:marLeft w:val="0"/>
      <w:marRight w:val="0"/>
      <w:marTop w:val="120"/>
      <w:marBottom w:val="0"/>
      <w:divBdr>
        <w:top w:val="none" w:sz="0" w:space="0" w:color="auto"/>
        <w:left w:val="none" w:sz="0" w:space="0" w:color="auto"/>
        <w:bottom w:val="none" w:sz="0" w:space="0" w:color="auto"/>
        <w:right w:val="none" w:sz="0" w:space="0" w:color="auto"/>
      </w:divBdr>
    </w:div>
    <w:div w:id="1489400121">
      <w:marLeft w:val="0"/>
      <w:marRight w:val="0"/>
      <w:marTop w:val="120"/>
      <w:marBottom w:val="0"/>
      <w:divBdr>
        <w:top w:val="none" w:sz="0" w:space="0" w:color="auto"/>
        <w:left w:val="none" w:sz="0" w:space="0" w:color="auto"/>
        <w:bottom w:val="none" w:sz="0" w:space="0" w:color="auto"/>
        <w:right w:val="none" w:sz="0" w:space="0" w:color="auto"/>
      </w:divBdr>
    </w:div>
    <w:div w:id="1491141446">
      <w:marLeft w:val="0"/>
      <w:marRight w:val="0"/>
      <w:marTop w:val="240"/>
      <w:marBottom w:val="0"/>
      <w:divBdr>
        <w:top w:val="none" w:sz="0" w:space="0" w:color="auto"/>
        <w:left w:val="none" w:sz="0" w:space="0" w:color="auto"/>
        <w:bottom w:val="none" w:sz="0" w:space="0" w:color="auto"/>
        <w:right w:val="none" w:sz="0" w:space="0" w:color="auto"/>
      </w:divBdr>
    </w:div>
    <w:div w:id="1491678112">
      <w:marLeft w:val="0"/>
      <w:marRight w:val="0"/>
      <w:marTop w:val="120"/>
      <w:marBottom w:val="0"/>
      <w:divBdr>
        <w:top w:val="none" w:sz="0" w:space="0" w:color="auto"/>
        <w:left w:val="none" w:sz="0" w:space="0" w:color="auto"/>
        <w:bottom w:val="none" w:sz="0" w:space="0" w:color="auto"/>
        <w:right w:val="none" w:sz="0" w:space="0" w:color="auto"/>
      </w:divBdr>
    </w:div>
    <w:div w:id="1493763245">
      <w:marLeft w:val="0"/>
      <w:marRight w:val="0"/>
      <w:marTop w:val="60"/>
      <w:marBottom w:val="0"/>
      <w:divBdr>
        <w:top w:val="none" w:sz="0" w:space="0" w:color="auto"/>
        <w:left w:val="none" w:sz="0" w:space="0" w:color="auto"/>
        <w:bottom w:val="none" w:sz="0" w:space="0" w:color="auto"/>
        <w:right w:val="none" w:sz="0" w:space="0" w:color="auto"/>
      </w:divBdr>
    </w:div>
    <w:div w:id="1496066916">
      <w:marLeft w:val="0"/>
      <w:marRight w:val="0"/>
      <w:marTop w:val="120"/>
      <w:marBottom w:val="0"/>
      <w:divBdr>
        <w:top w:val="none" w:sz="0" w:space="0" w:color="auto"/>
        <w:left w:val="none" w:sz="0" w:space="0" w:color="auto"/>
        <w:bottom w:val="none" w:sz="0" w:space="0" w:color="auto"/>
        <w:right w:val="none" w:sz="0" w:space="0" w:color="auto"/>
      </w:divBdr>
    </w:div>
    <w:div w:id="1496607548">
      <w:marLeft w:val="0"/>
      <w:marRight w:val="0"/>
      <w:marTop w:val="0"/>
      <w:marBottom w:val="0"/>
      <w:divBdr>
        <w:top w:val="none" w:sz="0" w:space="0" w:color="auto"/>
        <w:left w:val="none" w:sz="0" w:space="0" w:color="auto"/>
        <w:bottom w:val="none" w:sz="0" w:space="0" w:color="auto"/>
        <w:right w:val="none" w:sz="0" w:space="0" w:color="auto"/>
      </w:divBdr>
      <w:divsChild>
        <w:div w:id="1899823697">
          <w:marLeft w:val="0"/>
          <w:marRight w:val="0"/>
          <w:marTop w:val="0"/>
          <w:marBottom w:val="0"/>
          <w:divBdr>
            <w:top w:val="none" w:sz="0" w:space="0" w:color="auto"/>
            <w:left w:val="none" w:sz="0" w:space="0" w:color="auto"/>
            <w:bottom w:val="none" w:sz="0" w:space="0" w:color="auto"/>
            <w:right w:val="none" w:sz="0" w:space="0" w:color="auto"/>
          </w:divBdr>
        </w:div>
      </w:divsChild>
    </w:div>
    <w:div w:id="1499418010">
      <w:marLeft w:val="0"/>
      <w:marRight w:val="0"/>
      <w:marTop w:val="180"/>
      <w:marBottom w:val="120"/>
      <w:divBdr>
        <w:top w:val="none" w:sz="0" w:space="0" w:color="auto"/>
        <w:left w:val="none" w:sz="0" w:space="0" w:color="auto"/>
        <w:bottom w:val="none" w:sz="0" w:space="0" w:color="auto"/>
        <w:right w:val="none" w:sz="0" w:space="0" w:color="auto"/>
      </w:divBdr>
    </w:div>
    <w:div w:id="1506045533">
      <w:marLeft w:val="0"/>
      <w:marRight w:val="0"/>
      <w:marTop w:val="120"/>
      <w:marBottom w:val="0"/>
      <w:divBdr>
        <w:top w:val="none" w:sz="0" w:space="0" w:color="auto"/>
        <w:left w:val="none" w:sz="0" w:space="0" w:color="auto"/>
        <w:bottom w:val="none" w:sz="0" w:space="0" w:color="auto"/>
        <w:right w:val="none" w:sz="0" w:space="0" w:color="auto"/>
      </w:divBdr>
    </w:div>
    <w:div w:id="1508203885">
      <w:marLeft w:val="0"/>
      <w:marRight w:val="0"/>
      <w:marTop w:val="0"/>
      <w:marBottom w:val="0"/>
      <w:divBdr>
        <w:top w:val="none" w:sz="0" w:space="0" w:color="auto"/>
        <w:left w:val="none" w:sz="0" w:space="0" w:color="auto"/>
        <w:bottom w:val="none" w:sz="0" w:space="0" w:color="auto"/>
        <w:right w:val="none" w:sz="0" w:space="0" w:color="auto"/>
      </w:divBdr>
      <w:divsChild>
        <w:div w:id="1195923354">
          <w:marLeft w:val="0"/>
          <w:marRight w:val="0"/>
          <w:marTop w:val="0"/>
          <w:marBottom w:val="0"/>
          <w:divBdr>
            <w:top w:val="none" w:sz="0" w:space="0" w:color="auto"/>
            <w:left w:val="none" w:sz="0" w:space="0" w:color="auto"/>
            <w:bottom w:val="none" w:sz="0" w:space="0" w:color="auto"/>
            <w:right w:val="none" w:sz="0" w:space="0" w:color="auto"/>
          </w:divBdr>
        </w:div>
      </w:divsChild>
    </w:div>
    <w:div w:id="1508326385">
      <w:marLeft w:val="0"/>
      <w:marRight w:val="0"/>
      <w:marTop w:val="180"/>
      <w:marBottom w:val="120"/>
      <w:divBdr>
        <w:top w:val="none" w:sz="0" w:space="0" w:color="auto"/>
        <w:left w:val="none" w:sz="0" w:space="0" w:color="auto"/>
        <w:bottom w:val="none" w:sz="0" w:space="0" w:color="auto"/>
        <w:right w:val="none" w:sz="0" w:space="0" w:color="auto"/>
      </w:divBdr>
    </w:div>
    <w:div w:id="1510440699">
      <w:marLeft w:val="0"/>
      <w:marRight w:val="0"/>
      <w:marTop w:val="120"/>
      <w:marBottom w:val="0"/>
      <w:divBdr>
        <w:top w:val="none" w:sz="0" w:space="0" w:color="auto"/>
        <w:left w:val="none" w:sz="0" w:space="0" w:color="auto"/>
        <w:bottom w:val="none" w:sz="0" w:space="0" w:color="auto"/>
        <w:right w:val="none" w:sz="0" w:space="0" w:color="auto"/>
      </w:divBdr>
    </w:div>
    <w:div w:id="1511485859">
      <w:marLeft w:val="0"/>
      <w:marRight w:val="0"/>
      <w:marTop w:val="0"/>
      <w:marBottom w:val="0"/>
      <w:divBdr>
        <w:top w:val="none" w:sz="0" w:space="0" w:color="auto"/>
        <w:left w:val="none" w:sz="0" w:space="0" w:color="auto"/>
        <w:bottom w:val="none" w:sz="0" w:space="0" w:color="auto"/>
        <w:right w:val="none" w:sz="0" w:space="0" w:color="auto"/>
      </w:divBdr>
    </w:div>
    <w:div w:id="1512179634">
      <w:marLeft w:val="0"/>
      <w:marRight w:val="0"/>
      <w:marTop w:val="0"/>
      <w:marBottom w:val="0"/>
      <w:divBdr>
        <w:top w:val="none" w:sz="0" w:space="0" w:color="auto"/>
        <w:left w:val="none" w:sz="0" w:space="0" w:color="auto"/>
        <w:bottom w:val="none" w:sz="0" w:space="0" w:color="auto"/>
        <w:right w:val="none" w:sz="0" w:space="0" w:color="auto"/>
      </w:divBdr>
    </w:div>
    <w:div w:id="1512261468">
      <w:marLeft w:val="0"/>
      <w:marRight w:val="0"/>
      <w:marTop w:val="0"/>
      <w:marBottom w:val="0"/>
      <w:divBdr>
        <w:top w:val="none" w:sz="0" w:space="0" w:color="auto"/>
        <w:left w:val="none" w:sz="0" w:space="0" w:color="auto"/>
        <w:bottom w:val="none" w:sz="0" w:space="0" w:color="auto"/>
        <w:right w:val="none" w:sz="0" w:space="0" w:color="auto"/>
      </w:divBdr>
      <w:divsChild>
        <w:div w:id="1716655882">
          <w:marLeft w:val="0"/>
          <w:marRight w:val="0"/>
          <w:marTop w:val="0"/>
          <w:marBottom w:val="0"/>
          <w:divBdr>
            <w:top w:val="none" w:sz="0" w:space="0" w:color="auto"/>
            <w:left w:val="none" w:sz="0" w:space="0" w:color="auto"/>
            <w:bottom w:val="none" w:sz="0" w:space="0" w:color="auto"/>
            <w:right w:val="none" w:sz="0" w:space="0" w:color="auto"/>
          </w:divBdr>
        </w:div>
      </w:divsChild>
    </w:div>
    <w:div w:id="1515412670">
      <w:marLeft w:val="0"/>
      <w:marRight w:val="0"/>
      <w:marTop w:val="120"/>
      <w:marBottom w:val="0"/>
      <w:divBdr>
        <w:top w:val="none" w:sz="0" w:space="0" w:color="auto"/>
        <w:left w:val="none" w:sz="0" w:space="0" w:color="auto"/>
        <w:bottom w:val="none" w:sz="0" w:space="0" w:color="auto"/>
        <w:right w:val="none" w:sz="0" w:space="0" w:color="auto"/>
      </w:divBdr>
    </w:div>
    <w:div w:id="1515804804">
      <w:marLeft w:val="0"/>
      <w:marRight w:val="0"/>
      <w:marTop w:val="0"/>
      <w:marBottom w:val="120"/>
      <w:divBdr>
        <w:top w:val="none" w:sz="0" w:space="0" w:color="auto"/>
        <w:left w:val="none" w:sz="0" w:space="0" w:color="auto"/>
        <w:bottom w:val="none" w:sz="0" w:space="0" w:color="auto"/>
        <w:right w:val="none" w:sz="0" w:space="0" w:color="auto"/>
      </w:divBdr>
    </w:div>
    <w:div w:id="1521163392">
      <w:marLeft w:val="0"/>
      <w:marRight w:val="0"/>
      <w:marTop w:val="0"/>
      <w:marBottom w:val="0"/>
      <w:divBdr>
        <w:top w:val="none" w:sz="0" w:space="0" w:color="auto"/>
        <w:left w:val="none" w:sz="0" w:space="0" w:color="auto"/>
        <w:bottom w:val="none" w:sz="0" w:space="0" w:color="auto"/>
        <w:right w:val="none" w:sz="0" w:space="0" w:color="auto"/>
      </w:divBdr>
      <w:divsChild>
        <w:div w:id="514079604">
          <w:marLeft w:val="0"/>
          <w:marRight w:val="0"/>
          <w:marTop w:val="0"/>
          <w:marBottom w:val="0"/>
          <w:divBdr>
            <w:top w:val="none" w:sz="0" w:space="0" w:color="auto"/>
            <w:left w:val="none" w:sz="0" w:space="0" w:color="auto"/>
            <w:bottom w:val="none" w:sz="0" w:space="0" w:color="auto"/>
            <w:right w:val="none" w:sz="0" w:space="0" w:color="auto"/>
          </w:divBdr>
        </w:div>
      </w:divsChild>
    </w:div>
    <w:div w:id="1521509082">
      <w:marLeft w:val="0"/>
      <w:marRight w:val="0"/>
      <w:marTop w:val="0"/>
      <w:marBottom w:val="0"/>
      <w:divBdr>
        <w:top w:val="none" w:sz="0" w:space="0" w:color="auto"/>
        <w:left w:val="none" w:sz="0" w:space="0" w:color="auto"/>
        <w:bottom w:val="none" w:sz="0" w:space="0" w:color="auto"/>
        <w:right w:val="none" w:sz="0" w:space="0" w:color="auto"/>
      </w:divBdr>
    </w:div>
    <w:div w:id="1524786400">
      <w:marLeft w:val="0"/>
      <w:marRight w:val="0"/>
      <w:marTop w:val="120"/>
      <w:marBottom w:val="120"/>
      <w:divBdr>
        <w:top w:val="none" w:sz="0" w:space="0" w:color="auto"/>
        <w:left w:val="none" w:sz="0" w:space="0" w:color="auto"/>
        <w:bottom w:val="none" w:sz="0" w:space="0" w:color="auto"/>
        <w:right w:val="none" w:sz="0" w:space="0" w:color="auto"/>
      </w:divBdr>
    </w:div>
    <w:div w:id="1529677506">
      <w:marLeft w:val="0"/>
      <w:marRight w:val="0"/>
      <w:marTop w:val="180"/>
      <w:marBottom w:val="120"/>
      <w:divBdr>
        <w:top w:val="none" w:sz="0" w:space="0" w:color="auto"/>
        <w:left w:val="none" w:sz="0" w:space="0" w:color="auto"/>
        <w:bottom w:val="none" w:sz="0" w:space="0" w:color="auto"/>
        <w:right w:val="none" w:sz="0" w:space="0" w:color="auto"/>
      </w:divBdr>
    </w:div>
    <w:div w:id="1531602994">
      <w:marLeft w:val="0"/>
      <w:marRight w:val="0"/>
      <w:marTop w:val="120"/>
      <w:marBottom w:val="0"/>
      <w:divBdr>
        <w:top w:val="none" w:sz="0" w:space="0" w:color="auto"/>
        <w:left w:val="none" w:sz="0" w:space="0" w:color="auto"/>
        <w:bottom w:val="none" w:sz="0" w:space="0" w:color="auto"/>
        <w:right w:val="none" w:sz="0" w:space="0" w:color="auto"/>
      </w:divBdr>
    </w:div>
    <w:div w:id="1532299904">
      <w:marLeft w:val="0"/>
      <w:marRight w:val="0"/>
      <w:marTop w:val="120"/>
      <w:marBottom w:val="120"/>
      <w:divBdr>
        <w:top w:val="none" w:sz="0" w:space="0" w:color="auto"/>
        <w:left w:val="none" w:sz="0" w:space="0" w:color="auto"/>
        <w:bottom w:val="none" w:sz="0" w:space="0" w:color="auto"/>
        <w:right w:val="none" w:sz="0" w:space="0" w:color="auto"/>
      </w:divBdr>
    </w:div>
    <w:div w:id="1538353327">
      <w:marLeft w:val="0"/>
      <w:marRight w:val="0"/>
      <w:marTop w:val="0"/>
      <w:marBottom w:val="120"/>
      <w:divBdr>
        <w:top w:val="none" w:sz="0" w:space="0" w:color="auto"/>
        <w:left w:val="none" w:sz="0" w:space="0" w:color="auto"/>
        <w:bottom w:val="none" w:sz="0" w:space="0" w:color="auto"/>
        <w:right w:val="none" w:sz="0" w:space="0" w:color="auto"/>
      </w:divBdr>
    </w:div>
    <w:div w:id="1538618444">
      <w:marLeft w:val="0"/>
      <w:marRight w:val="0"/>
      <w:marTop w:val="0"/>
      <w:marBottom w:val="120"/>
      <w:divBdr>
        <w:top w:val="none" w:sz="0" w:space="0" w:color="auto"/>
        <w:left w:val="none" w:sz="0" w:space="0" w:color="auto"/>
        <w:bottom w:val="none" w:sz="0" w:space="0" w:color="auto"/>
        <w:right w:val="none" w:sz="0" w:space="0" w:color="auto"/>
      </w:divBdr>
    </w:div>
    <w:div w:id="1539049034">
      <w:marLeft w:val="0"/>
      <w:marRight w:val="0"/>
      <w:marTop w:val="0"/>
      <w:marBottom w:val="0"/>
      <w:divBdr>
        <w:top w:val="none" w:sz="0" w:space="0" w:color="auto"/>
        <w:left w:val="none" w:sz="0" w:space="0" w:color="auto"/>
        <w:bottom w:val="none" w:sz="0" w:space="0" w:color="auto"/>
        <w:right w:val="none" w:sz="0" w:space="0" w:color="auto"/>
      </w:divBdr>
      <w:divsChild>
        <w:div w:id="1693726366">
          <w:marLeft w:val="0"/>
          <w:marRight w:val="0"/>
          <w:marTop w:val="0"/>
          <w:marBottom w:val="0"/>
          <w:divBdr>
            <w:top w:val="none" w:sz="0" w:space="0" w:color="auto"/>
            <w:left w:val="none" w:sz="0" w:space="0" w:color="auto"/>
            <w:bottom w:val="none" w:sz="0" w:space="0" w:color="auto"/>
            <w:right w:val="none" w:sz="0" w:space="0" w:color="auto"/>
          </w:divBdr>
        </w:div>
      </w:divsChild>
    </w:div>
    <w:div w:id="1540047160">
      <w:marLeft w:val="0"/>
      <w:marRight w:val="0"/>
      <w:marTop w:val="120"/>
      <w:marBottom w:val="0"/>
      <w:divBdr>
        <w:top w:val="none" w:sz="0" w:space="0" w:color="auto"/>
        <w:left w:val="none" w:sz="0" w:space="0" w:color="auto"/>
        <w:bottom w:val="none" w:sz="0" w:space="0" w:color="auto"/>
        <w:right w:val="none" w:sz="0" w:space="0" w:color="auto"/>
      </w:divBdr>
    </w:div>
    <w:div w:id="1540314824">
      <w:marLeft w:val="0"/>
      <w:marRight w:val="0"/>
      <w:marTop w:val="180"/>
      <w:marBottom w:val="120"/>
      <w:divBdr>
        <w:top w:val="none" w:sz="0" w:space="0" w:color="auto"/>
        <w:left w:val="none" w:sz="0" w:space="0" w:color="auto"/>
        <w:bottom w:val="none" w:sz="0" w:space="0" w:color="auto"/>
        <w:right w:val="none" w:sz="0" w:space="0" w:color="auto"/>
      </w:divBdr>
    </w:div>
    <w:div w:id="1540969763">
      <w:marLeft w:val="0"/>
      <w:marRight w:val="0"/>
      <w:marTop w:val="120"/>
      <w:marBottom w:val="0"/>
      <w:divBdr>
        <w:top w:val="none" w:sz="0" w:space="0" w:color="auto"/>
        <w:left w:val="none" w:sz="0" w:space="0" w:color="auto"/>
        <w:bottom w:val="none" w:sz="0" w:space="0" w:color="auto"/>
        <w:right w:val="none" w:sz="0" w:space="0" w:color="auto"/>
      </w:divBdr>
    </w:div>
    <w:div w:id="1542009844">
      <w:marLeft w:val="0"/>
      <w:marRight w:val="0"/>
      <w:marTop w:val="120"/>
      <w:marBottom w:val="120"/>
      <w:divBdr>
        <w:top w:val="none" w:sz="0" w:space="0" w:color="auto"/>
        <w:left w:val="none" w:sz="0" w:space="0" w:color="auto"/>
        <w:bottom w:val="none" w:sz="0" w:space="0" w:color="auto"/>
        <w:right w:val="none" w:sz="0" w:space="0" w:color="auto"/>
      </w:divBdr>
    </w:div>
    <w:div w:id="1547402664">
      <w:marLeft w:val="0"/>
      <w:marRight w:val="0"/>
      <w:marTop w:val="120"/>
      <w:marBottom w:val="0"/>
      <w:divBdr>
        <w:top w:val="none" w:sz="0" w:space="0" w:color="auto"/>
        <w:left w:val="none" w:sz="0" w:space="0" w:color="auto"/>
        <w:bottom w:val="none" w:sz="0" w:space="0" w:color="auto"/>
        <w:right w:val="none" w:sz="0" w:space="0" w:color="auto"/>
      </w:divBdr>
    </w:div>
    <w:div w:id="1556889017">
      <w:marLeft w:val="0"/>
      <w:marRight w:val="0"/>
      <w:marTop w:val="120"/>
      <w:marBottom w:val="120"/>
      <w:divBdr>
        <w:top w:val="none" w:sz="0" w:space="0" w:color="auto"/>
        <w:left w:val="none" w:sz="0" w:space="0" w:color="auto"/>
        <w:bottom w:val="none" w:sz="0" w:space="0" w:color="auto"/>
        <w:right w:val="none" w:sz="0" w:space="0" w:color="auto"/>
      </w:divBdr>
    </w:div>
    <w:div w:id="1558784722">
      <w:marLeft w:val="0"/>
      <w:marRight w:val="0"/>
      <w:marTop w:val="180"/>
      <w:marBottom w:val="0"/>
      <w:divBdr>
        <w:top w:val="none" w:sz="0" w:space="0" w:color="auto"/>
        <w:left w:val="none" w:sz="0" w:space="0" w:color="auto"/>
        <w:bottom w:val="none" w:sz="0" w:space="0" w:color="auto"/>
        <w:right w:val="none" w:sz="0" w:space="0" w:color="auto"/>
      </w:divBdr>
    </w:div>
    <w:div w:id="1560826478">
      <w:marLeft w:val="0"/>
      <w:marRight w:val="0"/>
      <w:marTop w:val="120"/>
      <w:marBottom w:val="0"/>
      <w:divBdr>
        <w:top w:val="none" w:sz="0" w:space="0" w:color="auto"/>
        <w:left w:val="none" w:sz="0" w:space="0" w:color="auto"/>
        <w:bottom w:val="none" w:sz="0" w:space="0" w:color="auto"/>
        <w:right w:val="none" w:sz="0" w:space="0" w:color="auto"/>
      </w:divBdr>
    </w:div>
    <w:div w:id="1560941643">
      <w:marLeft w:val="0"/>
      <w:marRight w:val="0"/>
      <w:marTop w:val="0"/>
      <w:marBottom w:val="0"/>
      <w:divBdr>
        <w:top w:val="none" w:sz="0" w:space="0" w:color="auto"/>
        <w:left w:val="none" w:sz="0" w:space="0" w:color="auto"/>
        <w:bottom w:val="none" w:sz="0" w:space="0" w:color="auto"/>
        <w:right w:val="none" w:sz="0" w:space="0" w:color="auto"/>
      </w:divBdr>
    </w:div>
    <w:div w:id="1561593260">
      <w:marLeft w:val="0"/>
      <w:marRight w:val="0"/>
      <w:marTop w:val="120"/>
      <w:marBottom w:val="0"/>
      <w:divBdr>
        <w:top w:val="none" w:sz="0" w:space="0" w:color="auto"/>
        <w:left w:val="none" w:sz="0" w:space="0" w:color="auto"/>
        <w:bottom w:val="none" w:sz="0" w:space="0" w:color="auto"/>
        <w:right w:val="none" w:sz="0" w:space="0" w:color="auto"/>
      </w:divBdr>
    </w:div>
    <w:div w:id="1566184690">
      <w:marLeft w:val="0"/>
      <w:marRight w:val="0"/>
      <w:marTop w:val="0"/>
      <w:marBottom w:val="0"/>
      <w:divBdr>
        <w:top w:val="none" w:sz="0" w:space="0" w:color="auto"/>
        <w:left w:val="none" w:sz="0" w:space="0" w:color="auto"/>
        <w:bottom w:val="none" w:sz="0" w:space="0" w:color="auto"/>
        <w:right w:val="none" w:sz="0" w:space="0" w:color="auto"/>
      </w:divBdr>
    </w:div>
    <w:div w:id="1573270145">
      <w:marLeft w:val="0"/>
      <w:marRight w:val="0"/>
      <w:marTop w:val="120"/>
      <w:marBottom w:val="0"/>
      <w:divBdr>
        <w:top w:val="none" w:sz="0" w:space="0" w:color="auto"/>
        <w:left w:val="none" w:sz="0" w:space="0" w:color="auto"/>
        <w:bottom w:val="none" w:sz="0" w:space="0" w:color="auto"/>
        <w:right w:val="none" w:sz="0" w:space="0" w:color="auto"/>
      </w:divBdr>
    </w:div>
    <w:div w:id="1576550616">
      <w:marLeft w:val="0"/>
      <w:marRight w:val="0"/>
      <w:marTop w:val="0"/>
      <w:marBottom w:val="0"/>
      <w:divBdr>
        <w:top w:val="none" w:sz="0" w:space="0" w:color="auto"/>
        <w:left w:val="none" w:sz="0" w:space="0" w:color="auto"/>
        <w:bottom w:val="none" w:sz="0" w:space="0" w:color="auto"/>
        <w:right w:val="none" w:sz="0" w:space="0" w:color="auto"/>
      </w:divBdr>
    </w:div>
    <w:div w:id="1576933308">
      <w:marLeft w:val="0"/>
      <w:marRight w:val="0"/>
      <w:marTop w:val="0"/>
      <w:marBottom w:val="0"/>
      <w:divBdr>
        <w:top w:val="none" w:sz="0" w:space="0" w:color="auto"/>
        <w:left w:val="none" w:sz="0" w:space="0" w:color="auto"/>
        <w:bottom w:val="none" w:sz="0" w:space="0" w:color="auto"/>
        <w:right w:val="none" w:sz="0" w:space="0" w:color="auto"/>
      </w:divBdr>
      <w:divsChild>
        <w:div w:id="287392855">
          <w:marLeft w:val="0"/>
          <w:marRight w:val="0"/>
          <w:marTop w:val="0"/>
          <w:marBottom w:val="0"/>
          <w:divBdr>
            <w:top w:val="none" w:sz="0" w:space="0" w:color="auto"/>
            <w:left w:val="none" w:sz="0" w:space="0" w:color="auto"/>
            <w:bottom w:val="none" w:sz="0" w:space="0" w:color="auto"/>
            <w:right w:val="none" w:sz="0" w:space="0" w:color="auto"/>
          </w:divBdr>
        </w:div>
      </w:divsChild>
    </w:div>
    <w:div w:id="1577861003">
      <w:marLeft w:val="0"/>
      <w:marRight w:val="0"/>
      <w:marTop w:val="120"/>
      <w:marBottom w:val="0"/>
      <w:divBdr>
        <w:top w:val="none" w:sz="0" w:space="0" w:color="auto"/>
        <w:left w:val="none" w:sz="0" w:space="0" w:color="auto"/>
        <w:bottom w:val="none" w:sz="0" w:space="0" w:color="auto"/>
        <w:right w:val="none" w:sz="0" w:space="0" w:color="auto"/>
      </w:divBdr>
    </w:div>
    <w:div w:id="1578324645">
      <w:marLeft w:val="0"/>
      <w:marRight w:val="0"/>
      <w:marTop w:val="120"/>
      <w:marBottom w:val="120"/>
      <w:divBdr>
        <w:top w:val="none" w:sz="0" w:space="0" w:color="auto"/>
        <w:left w:val="none" w:sz="0" w:space="0" w:color="auto"/>
        <w:bottom w:val="none" w:sz="0" w:space="0" w:color="auto"/>
        <w:right w:val="none" w:sz="0" w:space="0" w:color="auto"/>
      </w:divBdr>
    </w:div>
    <w:div w:id="1581452447">
      <w:marLeft w:val="0"/>
      <w:marRight w:val="0"/>
      <w:marTop w:val="120"/>
      <w:marBottom w:val="180"/>
      <w:divBdr>
        <w:top w:val="none" w:sz="0" w:space="0" w:color="auto"/>
        <w:left w:val="none" w:sz="0" w:space="0" w:color="auto"/>
        <w:bottom w:val="none" w:sz="0" w:space="0" w:color="auto"/>
        <w:right w:val="none" w:sz="0" w:space="0" w:color="auto"/>
      </w:divBdr>
    </w:div>
    <w:div w:id="1582451393">
      <w:marLeft w:val="0"/>
      <w:marRight w:val="0"/>
      <w:marTop w:val="120"/>
      <w:marBottom w:val="0"/>
      <w:divBdr>
        <w:top w:val="none" w:sz="0" w:space="0" w:color="auto"/>
        <w:left w:val="none" w:sz="0" w:space="0" w:color="auto"/>
        <w:bottom w:val="none" w:sz="0" w:space="0" w:color="auto"/>
        <w:right w:val="none" w:sz="0" w:space="0" w:color="auto"/>
      </w:divBdr>
    </w:div>
    <w:div w:id="1590190694">
      <w:marLeft w:val="0"/>
      <w:marRight w:val="0"/>
      <w:marTop w:val="0"/>
      <w:marBottom w:val="0"/>
      <w:divBdr>
        <w:top w:val="none" w:sz="0" w:space="0" w:color="auto"/>
        <w:left w:val="none" w:sz="0" w:space="0" w:color="auto"/>
        <w:bottom w:val="none" w:sz="0" w:space="0" w:color="auto"/>
        <w:right w:val="none" w:sz="0" w:space="0" w:color="auto"/>
      </w:divBdr>
    </w:div>
    <w:div w:id="1590387078">
      <w:marLeft w:val="0"/>
      <w:marRight w:val="0"/>
      <w:marTop w:val="0"/>
      <w:marBottom w:val="0"/>
      <w:divBdr>
        <w:top w:val="none" w:sz="0" w:space="0" w:color="auto"/>
        <w:left w:val="none" w:sz="0" w:space="0" w:color="auto"/>
        <w:bottom w:val="none" w:sz="0" w:space="0" w:color="auto"/>
        <w:right w:val="none" w:sz="0" w:space="0" w:color="auto"/>
      </w:divBdr>
    </w:div>
    <w:div w:id="1597012146">
      <w:marLeft w:val="0"/>
      <w:marRight w:val="0"/>
      <w:marTop w:val="0"/>
      <w:marBottom w:val="0"/>
      <w:divBdr>
        <w:top w:val="none" w:sz="0" w:space="0" w:color="auto"/>
        <w:left w:val="none" w:sz="0" w:space="0" w:color="auto"/>
        <w:bottom w:val="none" w:sz="0" w:space="0" w:color="auto"/>
        <w:right w:val="none" w:sz="0" w:space="0" w:color="auto"/>
      </w:divBdr>
      <w:divsChild>
        <w:div w:id="662003521">
          <w:marLeft w:val="0"/>
          <w:marRight w:val="0"/>
          <w:marTop w:val="0"/>
          <w:marBottom w:val="0"/>
          <w:divBdr>
            <w:top w:val="none" w:sz="0" w:space="0" w:color="auto"/>
            <w:left w:val="none" w:sz="0" w:space="0" w:color="auto"/>
            <w:bottom w:val="none" w:sz="0" w:space="0" w:color="auto"/>
            <w:right w:val="none" w:sz="0" w:space="0" w:color="auto"/>
          </w:divBdr>
        </w:div>
      </w:divsChild>
    </w:div>
    <w:div w:id="1601110409">
      <w:marLeft w:val="0"/>
      <w:marRight w:val="0"/>
      <w:marTop w:val="0"/>
      <w:marBottom w:val="0"/>
      <w:divBdr>
        <w:top w:val="none" w:sz="0" w:space="0" w:color="auto"/>
        <w:left w:val="none" w:sz="0" w:space="0" w:color="auto"/>
        <w:bottom w:val="none" w:sz="0" w:space="0" w:color="auto"/>
        <w:right w:val="none" w:sz="0" w:space="0" w:color="auto"/>
      </w:divBdr>
    </w:div>
    <w:div w:id="1601185772">
      <w:marLeft w:val="0"/>
      <w:marRight w:val="0"/>
      <w:marTop w:val="180"/>
      <w:marBottom w:val="120"/>
      <w:divBdr>
        <w:top w:val="none" w:sz="0" w:space="0" w:color="auto"/>
        <w:left w:val="none" w:sz="0" w:space="0" w:color="auto"/>
        <w:bottom w:val="none" w:sz="0" w:space="0" w:color="auto"/>
        <w:right w:val="none" w:sz="0" w:space="0" w:color="auto"/>
      </w:divBdr>
    </w:div>
    <w:div w:id="1604649973">
      <w:marLeft w:val="0"/>
      <w:marRight w:val="0"/>
      <w:marTop w:val="120"/>
      <w:marBottom w:val="0"/>
      <w:divBdr>
        <w:top w:val="none" w:sz="0" w:space="0" w:color="auto"/>
        <w:left w:val="none" w:sz="0" w:space="0" w:color="auto"/>
        <w:bottom w:val="none" w:sz="0" w:space="0" w:color="auto"/>
        <w:right w:val="none" w:sz="0" w:space="0" w:color="auto"/>
      </w:divBdr>
    </w:div>
    <w:div w:id="1610355724">
      <w:marLeft w:val="0"/>
      <w:marRight w:val="0"/>
      <w:marTop w:val="120"/>
      <w:marBottom w:val="0"/>
      <w:divBdr>
        <w:top w:val="none" w:sz="0" w:space="0" w:color="auto"/>
        <w:left w:val="none" w:sz="0" w:space="0" w:color="auto"/>
        <w:bottom w:val="none" w:sz="0" w:space="0" w:color="auto"/>
        <w:right w:val="none" w:sz="0" w:space="0" w:color="auto"/>
      </w:divBdr>
    </w:div>
    <w:div w:id="1610970080">
      <w:marLeft w:val="0"/>
      <w:marRight w:val="0"/>
      <w:marTop w:val="120"/>
      <w:marBottom w:val="0"/>
      <w:divBdr>
        <w:top w:val="none" w:sz="0" w:space="0" w:color="auto"/>
        <w:left w:val="none" w:sz="0" w:space="0" w:color="auto"/>
        <w:bottom w:val="none" w:sz="0" w:space="0" w:color="auto"/>
        <w:right w:val="none" w:sz="0" w:space="0" w:color="auto"/>
      </w:divBdr>
    </w:div>
    <w:div w:id="1611165001">
      <w:marLeft w:val="0"/>
      <w:marRight w:val="0"/>
      <w:marTop w:val="120"/>
      <w:marBottom w:val="0"/>
      <w:divBdr>
        <w:top w:val="none" w:sz="0" w:space="0" w:color="auto"/>
        <w:left w:val="none" w:sz="0" w:space="0" w:color="auto"/>
        <w:bottom w:val="none" w:sz="0" w:space="0" w:color="auto"/>
        <w:right w:val="none" w:sz="0" w:space="0" w:color="auto"/>
      </w:divBdr>
    </w:div>
    <w:div w:id="1616400564">
      <w:marLeft w:val="0"/>
      <w:marRight w:val="0"/>
      <w:marTop w:val="120"/>
      <w:marBottom w:val="0"/>
      <w:divBdr>
        <w:top w:val="none" w:sz="0" w:space="0" w:color="auto"/>
        <w:left w:val="none" w:sz="0" w:space="0" w:color="auto"/>
        <w:bottom w:val="none" w:sz="0" w:space="0" w:color="auto"/>
        <w:right w:val="none" w:sz="0" w:space="0" w:color="auto"/>
      </w:divBdr>
    </w:div>
    <w:div w:id="1617518715">
      <w:marLeft w:val="0"/>
      <w:marRight w:val="0"/>
      <w:marTop w:val="0"/>
      <w:marBottom w:val="0"/>
      <w:divBdr>
        <w:top w:val="none" w:sz="0" w:space="0" w:color="auto"/>
        <w:left w:val="none" w:sz="0" w:space="0" w:color="auto"/>
        <w:bottom w:val="none" w:sz="0" w:space="0" w:color="auto"/>
        <w:right w:val="none" w:sz="0" w:space="0" w:color="auto"/>
      </w:divBdr>
    </w:div>
    <w:div w:id="1619410709">
      <w:marLeft w:val="0"/>
      <w:marRight w:val="0"/>
      <w:marTop w:val="180"/>
      <w:marBottom w:val="120"/>
      <w:divBdr>
        <w:top w:val="none" w:sz="0" w:space="0" w:color="auto"/>
        <w:left w:val="none" w:sz="0" w:space="0" w:color="auto"/>
        <w:bottom w:val="none" w:sz="0" w:space="0" w:color="auto"/>
        <w:right w:val="none" w:sz="0" w:space="0" w:color="auto"/>
      </w:divBdr>
    </w:div>
    <w:div w:id="1621841608">
      <w:marLeft w:val="0"/>
      <w:marRight w:val="0"/>
      <w:marTop w:val="60"/>
      <w:marBottom w:val="0"/>
      <w:divBdr>
        <w:top w:val="none" w:sz="0" w:space="0" w:color="auto"/>
        <w:left w:val="none" w:sz="0" w:space="0" w:color="auto"/>
        <w:bottom w:val="none" w:sz="0" w:space="0" w:color="auto"/>
        <w:right w:val="none" w:sz="0" w:space="0" w:color="auto"/>
      </w:divBdr>
    </w:div>
    <w:div w:id="1623682873">
      <w:marLeft w:val="0"/>
      <w:marRight w:val="0"/>
      <w:marTop w:val="180"/>
      <w:marBottom w:val="120"/>
      <w:divBdr>
        <w:top w:val="none" w:sz="0" w:space="0" w:color="auto"/>
        <w:left w:val="none" w:sz="0" w:space="0" w:color="auto"/>
        <w:bottom w:val="none" w:sz="0" w:space="0" w:color="auto"/>
        <w:right w:val="none" w:sz="0" w:space="0" w:color="auto"/>
      </w:divBdr>
    </w:div>
    <w:div w:id="1623686963">
      <w:marLeft w:val="0"/>
      <w:marRight w:val="0"/>
      <w:marTop w:val="120"/>
      <w:marBottom w:val="0"/>
      <w:divBdr>
        <w:top w:val="none" w:sz="0" w:space="0" w:color="auto"/>
        <w:left w:val="none" w:sz="0" w:space="0" w:color="auto"/>
        <w:bottom w:val="none" w:sz="0" w:space="0" w:color="auto"/>
        <w:right w:val="none" w:sz="0" w:space="0" w:color="auto"/>
      </w:divBdr>
    </w:div>
    <w:div w:id="1624923943">
      <w:marLeft w:val="0"/>
      <w:marRight w:val="0"/>
      <w:marTop w:val="0"/>
      <w:marBottom w:val="0"/>
      <w:divBdr>
        <w:top w:val="none" w:sz="0" w:space="0" w:color="auto"/>
        <w:left w:val="none" w:sz="0" w:space="0" w:color="auto"/>
        <w:bottom w:val="none" w:sz="0" w:space="0" w:color="auto"/>
        <w:right w:val="none" w:sz="0" w:space="0" w:color="auto"/>
      </w:divBdr>
      <w:divsChild>
        <w:div w:id="1741557440">
          <w:marLeft w:val="0"/>
          <w:marRight w:val="0"/>
          <w:marTop w:val="0"/>
          <w:marBottom w:val="0"/>
          <w:divBdr>
            <w:top w:val="none" w:sz="0" w:space="0" w:color="auto"/>
            <w:left w:val="none" w:sz="0" w:space="0" w:color="auto"/>
            <w:bottom w:val="none" w:sz="0" w:space="0" w:color="auto"/>
            <w:right w:val="none" w:sz="0" w:space="0" w:color="auto"/>
          </w:divBdr>
        </w:div>
      </w:divsChild>
    </w:div>
    <w:div w:id="1624994458">
      <w:marLeft w:val="0"/>
      <w:marRight w:val="0"/>
      <w:marTop w:val="120"/>
      <w:marBottom w:val="0"/>
      <w:divBdr>
        <w:top w:val="none" w:sz="0" w:space="0" w:color="auto"/>
        <w:left w:val="none" w:sz="0" w:space="0" w:color="auto"/>
        <w:bottom w:val="none" w:sz="0" w:space="0" w:color="auto"/>
        <w:right w:val="none" w:sz="0" w:space="0" w:color="auto"/>
      </w:divBdr>
    </w:div>
    <w:div w:id="1629126587">
      <w:marLeft w:val="0"/>
      <w:marRight w:val="0"/>
      <w:marTop w:val="0"/>
      <w:marBottom w:val="0"/>
      <w:divBdr>
        <w:top w:val="none" w:sz="0" w:space="0" w:color="auto"/>
        <w:left w:val="none" w:sz="0" w:space="0" w:color="auto"/>
        <w:bottom w:val="none" w:sz="0" w:space="0" w:color="auto"/>
        <w:right w:val="none" w:sz="0" w:space="0" w:color="auto"/>
      </w:divBdr>
    </w:div>
    <w:div w:id="1629625162">
      <w:marLeft w:val="0"/>
      <w:marRight w:val="0"/>
      <w:marTop w:val="120"/>
      <w:marBottom w:val="120"/>
      <w:divBdr>
        <w:top w:val="none" w:sz="0" w:space="0" w:color="auto"/>
        <w:left w:val="none" w:sz="0" w:space="0" w:color="auto"/>
        <w:bottom w:val="none" w:sz="0" w:space="0" w:color="auto"/>
        <w:right w:val="none" w:sz="0" w:space="0" w:color="auto"/>
      </w:divBdr>
    </w:div>
    <w:div w:id="1647859317">
      <w:marLeft w:val="0"/>
      <w:marRight w:val="0"/>
      <w:marTop w:val="0"/>
      <w:marBottom w:val="0"/>
      <w:divBdr>
        <w:top w:val="none" w:sz="0" w:space="0" w:color="auto"/>
        <w:left w:val="none" w:sz="0" w:space="0" w:color="auto"/>
        <w:bottom w:val="none" w:sz="0" w:space="0" w:color="auto"/>
        <w:right w:val="none" w:sz="0" w:space="0" w:color="auto"/>
      </w:divBdr>
      <w:divsChild>
        <w:div w:id="750353896">
          <w:marLeft w:val="0"/>
          <w:marRight w:val="0"/>
          <w:marTop w:val="0"/>
          <w:marBottom w:val="0"/>
          <w:divBdr>
            <w:top w:val="none" w:sz="0" w:space="0" w:color="auto"/>
            <w:left w:val="none" w:sz="0" w:space="0" w:color="auto"/>
            <w:bottom w:val="none" w:sz="0" w:space="0" w:color="auto"/>
            <w:right w:val="none" w:sz="0" w:space="0" w:color="auto"/>
          </w:divBdr>
        </w:div>
      </w:divsChild>
    </w:div>
    <w:div w:id="1648318105">
      <w:marLeft w:val="0"/>
      <w:marRight w:val="0"/>
      <w:marTop w:val="240"/>
      <w:marBottom w:val="120"/>
      <w:divBdr>
        <w:top w:val="none" w:sz="0" w:space="0" w:color="auto"/>
        <w:left w:val="none" w:sz="0" w:space="0" w:color="auto"/>
        <w:bottom w:val="none" w:sz="0" w:space="0" w:color="auto"/>
        <w:right w:val="none" w:sz="0" w:space="0" w:color="auto"/>
      </w:divBdr>
    </w:div>
    <w:div w:id="1648583450">
      <w:marLeft w:val="0"/>
      <w:marRight w:val="0"/>
      <w:marTop w:val="0"/>
      <w:marBottom w:val="0"/>
      <w:divBdr>
        <w:top w:val="none" w:sz="0" w:space="0" w:color="auto"/>
        <w:left w:val="none" w:sz="0" w:space="0" w:color="auto"/>
        <w:bottom w:val="none" w:sz="0" w:space="0" w:color="auto"/>
        <w:right w:val="none" w:sz="0" w:space="0" w:color="auto"/>
      </w:divBdr>
      <w:divsChild>
        <w:div w:id="1017925630">
          <w:marLeft w:val="0"/>
          <w:marRight w:val="0"/>
          <w:marTop w:val="0"/>
          <w:marBottom w:val="0"/>
          <w:divBdr>
            <w:top w:val="none" w:sz="0" w:space="0" w:color="auto"/>
            <w:left w:val="none" w:sz="0" w:space="0" w:color="auto"/>
            <w:bottom w:val="none" w:sz="0" w:space="0" w:color="auto"/>
            <w:right w:val="none" w:sz="0" w:space="0" w:color="auto"/>
          </w:divBdr>
        </w:div>
      </w:divsChild>
    </w:div>
    <w:div w:id="1652907744">
      <w:marLeft w:val="0"/>
      <w:marRight w:val="0"/>
      <w:marTop w:val="120"/>
      <w:marBottom w:val="0"/>
      <w:divBdr>
        <w:top w:val="none" w:sz="0" w:space="0" w:color="auto"/>
        <w:left w:val="none" w:sz="0" w:space="0" w:color="auto"/>
        <w:bottom w:val="none" w:sz="0" w:space="0" w:color="auto"/>
        <w:right w:val="none" w:sz="0" w:space="0" w:color="auto"/>
      </w:divBdr>
    </w:div>
    <w:div w:id="1652978774">
      <w:marLeft w:val="0"/>
      <w:marRight w:val="0"/>
      <w:marTop w:val="120"/>
      <w:marBottom w:val="0"/>
      <w:divBdr>
        <w:top w:val="none" w:sz="0" w:space="0" w:color="auto"/>
        <w:left w:val="none" w:sz="0" w:space="0" w:color="auto"/>
        <w:bottom w:val="none" w:sz="0" w:space="0" w:color="auto"/>
        <w:right w:val="none" w:sz="0" w:space="0" w:color="auto"/>
      </w:divBdr>
    </w:div>
    <w:div w:id="1653943061">
      <w:marLeft w:val="0"/>
      <w:marRight w:val="0"/>
      <w:marTop w:val="180"/>
      <w:marBottom w:val="0"/>
      <w:divBdr>
        <w:top w:val="none" w:sz="0" w:space="0" w:color="auto"/>
        <w:left w:val="none" w:sz="0" w:space="0" w:color="auto"/>
        <w:bottom w:val="none" w:sz="0" w:space="0" w:color="auto"/>
        <w:right w:val="none" w:sz="0" w:space="0" w:color="auto"/>
      </w:divBdr>
    </w:div>
    <w:div w:id="1655186100">
      <w:marLeft w:val="0"/>
      <w:marRight w:val="0"/>
      <w:marTop w:val="120"/>
      <w:marBottom w:val="0"/>
      <w:divBdr>
        <w:top w:val="none" w:sz="0" w:space="0" w:color="auto"/>
        <w:left w:val="none" w:sz="0" w:space="0" w:color="auto"/>
        <w:bottom w:val="none" w:sz="0" w:space="0" w:color="auto"/>
        <w:right w:val="none" w:sz="0" w:space="0" w:color="auto"/>
      </w:divBdr>
    </w:div>
    <w:div w:id="1655374924">
      <w:marLeft w:val="0"/>
      <w:marRight w:val="0"/>
      <w:marTop w:val="0"/>
      <w:marBottom w:val="0"/>
      <w:divBdr>
        <w:top w:val="none" w:sz="0" w:space="0" w:color="auto"/>
        <w:left w:val="none" w:sz="0" w:space="0" w:color="auto"/>
        <w:bottom w:val="none" w:sz="0" w:space="0" w:color="auto"/>
        <w:right w:val="none" w:sz="0" w:space="0" w:color="auto"/>
      </w:divBdr>
    </w:div>
    <w:div w:id="1657761218">
      <w:marLeft w:val="0"/>
      <w:marRight w:val="0"/>
      <w:marTop w:val="120"/>
      <w:marBottom w:val="120"/>
      <w:divBdr>
        <w:top w:val="none" w:sz="0" w:space="0" w:color="auto"/>
        <w:left w:val="none" w:sz="0" w:space="0" w:color="auto"/>
        <w:bottom w:val="none" w:sz="0" w:space="0" w:color="auto"/>
        <w:right w:val="none" w:sz="0" w:space="0" w:color="auto"/>
      </w:divBdr>
    </w:div>
    <w:div w:id="1658681142">
      <w:marLeft w:val="0"/>
      <w:marRight w:val="0"/>
      <w:marTop w:val="0"/>
      <w:marBottom w:val="0"/>
      <w:divBdr>
        <w:top w:val="none" w:sz="0" w:space="0" w:color="auto"/>
        <w:left w:val="none" w:sz="0" w:space="0" w:color="auto"/>
        <w:bottom w:val="none" w:sz="0" w:space="0" w:color="auto"/>
        <w:right w:val="none" w:sz="0" w:space="0" w:color="auto"/>
      </w:divBdr>
      <w:divsChild>
        <w:div w:id="108354746">
          <w:marLeft w:val="0"/>
          <w:marRight w:val="0"/>
          <w:marTop w:val="0"/>
          <w:marBottom w:val="0"/>
          <w:divBdr>
            <w:top w:val="none" w:sz="0" w:space="0" w:color="auto"/>
            <w:left w:val="none" w:sz="0" w:space="0" w:color="auto"/>
            <w:bottom w:val="none" w:sz="0" w:space="0" w:color="auto"/>
            <w:right w:val="none" w:sz="0" w:space="0" w:color="auto"/>
          </w:divBdr>
        </w:div>
      </w:divsChild>
    </w:div>
    <w:div w:id="1658877444">
      <w:marLeft w:val="0"/>
      <w:marRight w:val="0"/>
      <w:marTop w:val="120"/>
      <w:marBottom w:val="0"/>
      <w:divBdr>
        <w:top w:val="none" w:sz="0" w:space="0" w:color="auto"/>
        <w:left w:val="none" w:sz="0" w:space="0" w:color="auto"/>
        <w:bottom w:val="none" w:sz="0" w:space="0" w:color="auto"/>
        <w:right w:val="none" w:sz="0" w:space="0" w:color="auto"/>
      </w:divBdr>
    </w:div>
    <w:div w:id="1659459445">
      <w:marLeft w:val="0"/>
      <w:marRight w:val="0"/>
      <w:marTop w:val="0"/>
      <w:marBottom w:val="0"/>
      <w:divBdr>
        <w:top w:val="none" w:sz="0" w:space="0" w:color="auto"/>
        <w:left w:val="none" w:sz="0" w:space="0" w:color="auto"/>
        <w:bottom w:val="none" w:sz="0" w:space="0" w:color="auto"/>
        <w:right w:val="none" w:sz="0" w:space="0" w:color="auto"/>
      </w:divBdr>
    </w:div>
    <w:div w:id="1659724025">
      <w:marLeft w:val="0"/>
      <w:marRight w:val="0"/>
      <w:marTop w:val="0"/>
      <w:marBottom w:val="0"/>
      <w:divBdr>
        <w:top w:val="none" w:sz="0" w:space="0" w:color="auto"/>
        <w:left w:val="none" w:sz="0" w:space="0" w:color="auto"/>
        <w:bottom w:val="none" w:sz="0" w:space="0" w:color="auto"/>
        <w:right w:val="none" w:sz="0" w:space="0" w:color="auto"/>
      </w:divBdr>
    </w:div>
    <w:div w:id="1660115708">
      <w:marLeft w:val="0"/>
      <w:marRight w:val="0"/>
      <w:marTop w:val="120"/>
      <w:marBottom w:val="120"/>
      <w:divBdr>
        <w:top w:val="none" w:sz="0" w:space="0" w:color="auto"/>
        <w:left w:val="none" w:sz="0" w:space="0" w:color="auto"/>
        <w:bottom w:val="none" w:sz="0" w:space="0" w:color="auto"/>
        <w:right w:val="none" w:sz="0" w:space="0" w:color="auto"/>
      </w:divBdr>
    </w:div>
    <w:div w:id="1664964078">
      <w:marLeft w:val="0"/>
      <w:marRight w:val="0"/>
      <w:marTop w:val="120"/>
      <w:marBottom w:val="0"/>
      <w:divBdr>
        <w:top w:val="none" w:sz="0" w:space="0" w:color="auto"/>
        <w:left w:val="none" w:sz="0" w:space="0" w:color="auto"/>
        <w:bottom w:val="none" w:sz="0" w:space="0" w:color="auto"/>
        <w:right w:val="none" w:sz="0" w:space="0" w:color="auto"/>
      </w:divBdr>
    </w:div>
    <w:div w:id="1669167956">
      <w:marLeft w:val="0"/>
      <w:marRight w:val="0"/>
      <w:marTop w:val="120"/>
      <w:marBottom w:val="120"/>
      <w:divBdr>
        <w:top w:val="none" w:sz="0" w:space="0" w:color="auto"/>
        <w:left w:val="none" w:sz="0" w:space="0" w:color="auto"/>
        <w:bottom w:val="none" w:sz="0" w:space="0" w:color="auto"/>
        <w:right w:val="none" w:sz="0" w:space="0" w:color="auto"/>
      </w:divBdr>
    </w:div>
    <w:div w:id="1669672679">
      <w:marLeft w:val="0"/>
      <w:marRight w:val="0"/>
      <w:marTop w:val="240"/>
      <w:marBottom w:val="120"/>
      <w:divBdr>
        <w:top w:val="none" w:sz="0" w:space="0" w:color="auto"/>
        <w:left w:val="none" w:sz="0" w:space="0" w:color="auto"/>
        <w:bottom w:val="none" w:sz="0" w:space="0" w:color="auto"/>
        <w:right w:val="none" w:sz="0" w:space="0" w:color="auto"/>
      </w:divBdr>
    </w:div>
    <w:div w:id="1673799905">
      <w:marLeft w:val="0"/>
      <w:marRight w:val="0"/>
      <w:marTop w:val="0"/>
      <w:marBottom w:val="0"/>
      <w:divBdr>
        <w:top w:val="none" w:sz="0" w:space="0" w:color="auto"/>
        <w:left w:val="none" w:sz="0" w:space="0" w:color="auto"/>
        <w:bottom w:val="none" w:sz="0" w:space="0" w:color="auto"/>
        <w:right w:val="none" w:sz="0" w:space="0" w:color="auto"/>
      </w:divBdr>
    </w:div>
    <w:div w:id="1674528291">
      <w:marLeft w:val="0"/>
      <w:marRight w:val="0"/>
      <w:marTop w:val="120"/>
      <w:marBottom w:val="0"/>
      <w:divBdr>
        <w:top w:val="none" w:sz="0" w:space="0" w:color="auto"/>
        <w:left w:val="none" w:sz="0" w:space="0" w:color="auto"/>
        <w:bottom w:val="none" w:sz="0" w:space="0" w:color="auto"/>
        <w:right w:val="none" w:sz="0" w:space="0" w:color="auto"/>
      </w:divBdr>
    </w:div>
    <w:div w:id="1676153126">
      <w:marLeft w:val="0"/>
      <w:marRight w:val="0"/>
      <w:marTop w:val="120"/>
      <w:marBottom w:val="0"/>
      <w:divBdr>
        <w:top w:val="none" w:sz="0" w:space="0" w:color="auto"/>
        <w:left w:val="none" w:sz="0" w:space="0" w:color="auto"/>
        <w:bottom w:val="none" w:sz="0" w:space="0" w:color="auto"/>
        <w:right w:val="none" w:sz="0" w:space="0" w:color="auto"/>
      </w:divBdr>
    </w:div>
    <w:div w:id="1677002331">
      <w:marLeft w:val="0"/>
      <w:marRight w:val="0"/>
      <w:marTop w:val="120"/>
      <w:marBottom w:val="0"/>
      <w:divBdr>
        <w:top w:val="none" w:sz="0" w:space="0" w:color="auto"/>
        <w:left w:val="none" w:sz="0" w:space="0" w:color="auto"/>
        <w:bottom w:val="none" w:sz="0" w:space="0" w:color="auto"/>
        <w:right w:val="none" w:sz="0" w:space="0" w:color="auto"/>
      </w:divBdr>
    </w:div>
    <w:div w:id="1677534591">
      <w:marLeft w:val="0"/>
      <w:marRight w:val="0"/>
      <w:marTop w:val="0"/>
      <w:marBottom w:val="0"/>
      <w:divBdr>
        <w:top w:val="none" w:sz="0" w:space="0" w:color="auto"/>
        <w:left w:val="none" w:sz="0" w:space="0" w:color="auto"/>
        <w:bottom w:val="none" w:sz="0" w:space="0" w:color="auto"/>
        <w:right w:val="none" w:sz="0" w:space="0" w:color="auto"/>
      </w:divBdr>
      <w:divsChild>
        <w:div w:id="1701122605">
          <w:marLeft w:val="0"/>
          <w:marRight w:val="0"/>
          <w:marTop w:val="0"/>
          <w:marBottom w:val="0"/>
          <w:divBdr>
            <w:top w:val="none" w:sz="0" w:space="0" w:color="auto"/>
            <w:left w:val="none" w:sz="0" w:space="0" w:color="auto"/>
            <w:bottom w:val="none" w:sz="0" w:space="0" w:color="auto"/>
            <w:right w:val="none" w:sz="0" w:space="0" w:color="auto"/>
          </w:divBdr>
        </w:div>
      </w:divsChild>
    </w:div>
    <w:div w:id="1679307567">
      <w:marLeft w:val="0"/>
      <w:marRight w:val="0"/>
      <w:marTop w:val="120"/>
      <w:marBottom w:val="120"/>
      <w:divBdr>
        <w:top w:val="none" w:sz="0" w:space="0" w:color="auto"/>
        <w:left w:val="none" w:sz="0" w:space="0" w:color="auto"/>
        <w:bottom w:val="none" w:sz="0" w:space="0" w:color="auto"/>
        <w:right w:val="none" w:sz="0" w:space="0" w:color="auto"/>
      </w:divBdr>
    </w:div>
    <w:div w:id="1679848258">
      <w:marLeft w:val="0"/>
      <w:marRight w:val="0"/>
      <w:marTop w:val="0"/>
      <w:marBottom w:val="0"/>
      <w:divBdr>
        <w:top w:val="none" w:sz="0" w:space="0" w:color="auto"/>
        <w:left w:val="none" w:sz="0" w:space="0" w:color="auto"/>
        <w:bottom w:val="none" w:sz="0" w:space="0" w:color="auto"/>
        <w:right w:val="none" w:sz="0" w:space="0" w:color="auto"/>
      </w:divBdr>
    </w:div>
    <w:div w:id="1685282240">
      <w:marLeft w:val="0"/>
      <w:marRight w:val="0"/>
      <w:marTop w:val="0"/>
      <w:marBottom w:val="0"/>
      <w:divBdr>
        <w:top w:val="none" w:sz="0" w:space="0" w:color="auto"/>
        <w:left w:val="none" w:sz="0" w:space="0" w:color="auto"/>
        <w:bottom w:val="none" w:sz="0" w:space="0" w:color="auto"/>
        <w:right w:val="none" w:sz="0" w:space="0" w:color="auto"/>
      </w:divBdr>
    </w:div>
    <w:div w:id="1690525619">
      <w:marLeft w:val="0"/>
      <w:marRight w:val="0"/>
      <w:marTop w:val="120"/>
      <w:marBottom w:val="0"/>
      <w:divBdr>
        <w:top w:val="none" w:sz="0" w:space="0" w:color="auto"/>
        <w:left w:val="none" w:sz="0" w:space="0" w:color="auto"/>
        <w:bottom w:val="none" w:sz="0" w:space="0" w:color="auto"/>
        <w:right w:val="none" w:sz="0" w:space="0" w:color="auto"/>
      </w:divBdr>
    </w:div>
    <w:div w:id="1693410437">
      <w:marLeft w:val="0"/>
      <w:marRight w:val="0"/>
      <w:marTop w:val="0"/>
      <w:marBottom w:val="0"/>
      <w:divBdr>
        <w:top w:val="none" w:sz="0" w:space="0" w:color="auto"/>
        <w:left w:val="none" w:sz="0" w:space="0" w:color="auto"/>
        <w:bottom w:val="none" w:sz="0" w:space="0" w:color="auto"/>
        <w:right w:val="none" w:sz="0" w:space="0" w:color="auto"/>
      </w:divBdr>
    </w:div>
    <w:div w:id="1693536278">
      <w:marLeft w:val="0"/>
      <w:marRight w:val="0"/>
      <w:marTop w:val="120"/>
      <w:marBottom w:val="0"/>
      <w:divBdr>
        <w:top w:val="none" w:sz="0" w:space="0" w:color="auto"/>
        <w:left w:val="none" w:sz="0" w:space="0" w:color="auto"/>
        <w:bottom w:val="none" w:sz="0" w:space="0" w:color="auto"/>
        <w:right w:val="none" w:sz="0" w:space="0" w:color="auto"/>
      </w:divBdr>
    </w:div>
    <w:div w:id="1693604737">
      <w:marLeft w:val="0"/>
      <w:marRight w:val="0"/>
      <w:marTop w:val="0"/>
      <w:marBottom w:val="0"/>
      <w:divBdr>
        <w:top w:val="none" w:sz="0" w:space="0" w:color="auto"/>
        <w:left w:val="none" w:sz="0" w:space="0" w:color="auto"/>
        <w:bottom w:val="none" w:sz="0" w:space="0" w:color="auto"/>
        <w:right w:val="none" w:sz="0" w:space="0" w:color="auto"/>
      </w:divBdr>
    </w:div>
    <w:div w:id="1696733450">
      <w:marLeft w:val="0"/>
      <w:marRight w:val="0"/>
      <w:marTop w:val="0"/>
      <w:marBottom w:val="0"/>
      <w:divBdr>
        <w:top w:val="none" w:sz="0" w:space="0" w:color="auto"/>
        <w:left w:val="none" w:sz="0" w:space="0" w:color="auto"/>
        <w:bottom w:val="none" w:sz="0" w:space="0" w:color="auto"/>
        <w:right w:val="none" w:sz="0" w:space="0" w:color="auto"/>
      </w:divBdr>
    </w:div>
    <w:div w:id="1699505587">
      <w:marLeft w:val="0"/>
      <w:marRight w:val="0"/>
      <w:marTop w:val="0"/>
      <w:marBottom w:val="0"/>
      <w:divBdr>
        <w:top w:val="none" w:sz="0" w:space="0" w:color="auto"/>
        <w:left w:val="none" w:sz="0" w:space="0" w:color="auto"/>
        <w:bottom w:val="none" w:sz="0" w:space="0" w:color="auto"/>
        <w:right w:val="none" w:sz="0" w:space="0" w:color="auto"/>
      </w:divBdr>
    </w:div>
    <w:div w:id="1701541574">
      <w:marLeft w:val="0"/>
      <w:marRight w:val="0"/>
      <w:marTop w:val="120"/>
      <w:marBottom w:val="120"/>
      <w:divBdr>
        <w:top w:val="none" w:sz="0" w:space="0" w:color="auto"/>
        <w:left w:val="none" w:sz="0" w:space="0" w:color="auto"/>
        <w:bottom w:val="none" w:sz="0" w:space="0" w:color="auto"/>
        <w:right w:val="none" w:sz="0" w:space="0" w:color="auto"/>
      </w:divBdr>
    </w:div>
    <w:div w:id="1702123317">
      <w:marLeft w:val="0"/>
      <w:marRight w:val="0"/>
      <w:marTop w:val="0"/>
      <w:marBottom w:val="0"/>
      <w:divBdr>
        <w:top w:val="none" w:sz="0" w:space="0" w:color="auto"/>
        <w:left w:val="none" w:sz="0" w:space="0" w:color="auto"/>
        <w:bottom w:val="none" w:sz="0" w:space="0" w:color="auto"/>
        <w:right w:val="none" w:sz="0" w:space="0" w:color="auto"/>
      </w:divBdr>
      <w:divsChild>
        <w:div w:id="1280381757">
          <w:marLeft w:val="0"/>
          <w:marRight w:val="0"/>
          <w:marTop w:val="0"/>
          <w:marBottom w:val="0"/>
          <w:divBdr>
            <w:top w:val="none" w:sz="0" w:space="0" w:color="auto"/>
            <w:left w:val="none" w:sz="0" w:space="0" w:color="auto"/>
            <w:bottom w:val="none" w:sz="0" w:space="0" w:color="auto"/>
            <w:right w:val="none" w:sz="0" w:space="0" w:color="auto"/>
          </w:divBdr>
        </w:div>
      </w:divsChild>
    </w:div>
    <w:div w:id="1702588088">
      <w:marLeft w:val="0"/>
      <w:marRight w:val="0"/>
      <w:marTop w:val="0"/>
      <w:marBottom w:val="0"/>
      <w:divBdr>
        <w:top w:val="none" w:sz="0" w:space="0" w:color="auto"/>
        <w:left w:val="none" w:sz="0" w:space="0" w:color="auto"/>
        <w:bottom w:val="none" w:sz="0" w:space="0" w:color="auto"/>
        <w:right w:val="none" w:sz="0" w:space="0" w:color="auto"/>
      </w:divBdr>
      <w:divsChild>
        <w:div w:id="1002048772">
          <w:marLeft w:val="0"/>
          <w:marRight w:val="0"/>
          <w:marTop w:val="0"/>
          <w:marBottom w:val="0"/>
          <w:divBdr>
            <w:top w:val="none" w:sz="0" w:space="0" w:color="auto"/>
            <w:left w:val="none" w:sz="0" w:space="0" w:color="auto"/>
            <w:bottom w:val="none" w:sz="0" w:space="0" w:color="auto"/>
            <w:right w:val="none" w:sz="0" w:space="0" w:color="auto"/>
          </w:divBdr>
        </w:div>
      </w:divsChild>
    </w:div>
    <w:div w:id="1704205062">
      <w:marLeft w:val="0"/>
      <w:marRight w:val="0"/>
      <w:marTop w:val="120"/>
      <w:marBottom w:val="120"/>
      <w:divBdr>
        <w:top w:val="none" w:sz="0" w:space="0" w:color="auto"/>
        <w:left w:val="none" w:sz="0" w:space="0" w:color="auto"/>
        <w:bottom w:val="none" w:sz="0" w:space="0" w:color="auto"/>
        <w:right w:val="none" w:sz="0" w:space="0" w:color="auto"/>
      </w:divBdr>
    </w:div>
    <w:div w:id="1705443701">
      <w:marLeft w:val="0"/>
      <w:marRight w:val="0"/>
      <w:marTop w:val="120"/>
      <w:marBottom w:val="120"/>
      <w:divBdr>
        <w:top w:val="none" w:sz="0" w:space="0" w:color="auto"/>
        <w:left w:val="none" w:sz="0" w:space="0" w:color="auto"/>
        <w:bottom w:val="none" w:sz="0" w:space="0" w:color="auto"/>
        <w:right w:val="none" w:sz="0" w:space="0" w:color="auto"/>
      </w:divBdr>
    </w:div>
    <w:div w:id="1709643132">
      <w:marLeft w:val="0"/>
      <w:marRight w:val="0"/>
      <w:marTop w:val="120"/>
      <w:marBottom w:val="0"/>
      <w:divBdr>
        <w:top w:val="none" w:sz="0" w:space="0" w:color="auto"/>
        <w:left w:val="none" w:sz="0" w:space="0" w:color="auto"/>
        <w:bottom w:val="none" w:sz="0" w:space="0" w:color="auto"/>
        <w:right w:val="none" w:sz="0" w:space="0" w:color="auto"/>
      </w:divBdr>
    </w:div>
    <w:div w:id="1709988406">
      <w:marLeft w:val="0"/>
      <w:marRight w:val="0"/>
      <w:marTop w:val="120"/>
      <w:marBottom w:val="120"/>
      <w:divBdr>
        <w:top w:val="none" w:sz="0" w:space="0" w:color="auto"/>
        <w:left w:val="none" w:sz="0" w:space="0" w:color="auto"/>
        <w:bottom w:val="none" w:sz="0" w:space="0" w:color="auto"/>
        <w:right w:val="none" w:sz="0" w:space="0" w:color="auto"/>
      </w:divBdr>
    </w:div>
    <w:div w:id="1710453959">
      <w:marLeft w:val="0"/>
      <w:marRight w:val="0"/>
      <w:marTop w:val="120"/>
      <w:marBottom w:val="0"/>
      <w:divBdr>
        <w:top w:val="none" w:sz="0" w:space="0" w:color="auto"/>
        <w:left w:val="none" w:sz="0" w:space="0" w:color="auto"/>
        <w:bottom w:val="none" w:sz="0" w:space="0" w:color="auto"/>
        <w:right w:val="none" w:sz="0" w:space="0" w:color="auto"/>
      </w:divBdr>
    </w:div>
    <w:div w:id="1713113923">
      <w:marLeft w:val="0"/>
      <w:marRight w:val="0"/>
      <w:marTop w:val="0"/>
      <w:marBottom w:val="0"/>
      <w:divBdr>
        <w:top w:val="none" w:sz="0" w:space="0" w:color="auto"/>
        <w:left w:val="none" w:sz="0" w:space="0" w:color="auto"/>
        <w:bottom w:val="none" w:sz="0" w:space="0" w:color="auto"/>
        <w:right w:val="none" w:sz="0" w:space="0" w:color="auto"/>
      </w:divBdr>
    </w:div>
    <w:div w:id="1716730383">
      <w:marLeft w:val="0"/>
      <w:marRight w:val="0"/>
      <w:marTop w:val="0"/>
      <w:marBottom w:val="0"/>
      <w:divBdr>
        <w:top w:val="none" w:sz="0" w:space="0" w:color="auto"/>
        <w:left w:val="none" w:sz="0" w:space="0" w:color="auto"/>
        <w:bottom w:val="none" w:sz="0" w:space="0" w:color="auto"/>
        <w:right w:val="none" w:sz="0" w:space="0" w:color="auto"/>
      </w:divBdr>
    </w:div>
    <w:div w:id="1720663144">
      <w:marLeft w:val="0"/>
      <w:marRight w:val="0"/>
      <w:marTop w:val="120"/>
      <w:marBottom w:val="120"/>
      <w:divBdr>
        <w:top w:val="none" w:sz="0" w:space="0" w:color="auto"/>
        <w:left w:val="none" w:sz="0" w:space="0" w:color="auto"/>
        <w:bottom w:val="none" w:sz="0" w:space="0" w:color="auto"/>
        <w:right w:val="none" w:sz="0" w:space="0" w:color="auto"/>
      </w:divBdr>
    </w:div>
    <w:div w:id="1725367919">
      <w:marLeft w:val="0"/>
      <w:marRight w:val="0"/>
      <w:marTop w:val="120"/>
      <w:marBottom w:val="0"/>
      <w:divBdr>
        <w:top w:val="none" w:sz="0" w:space="0" w:color="auto"/>
        <w:left w:val="none" w:sz="0" w:space="0" w:color="auto"/>
        <w:bottom w:val="none" w:sz="0" w:space="0" w:color="auto"/>
        <w:right w:val="none" w:sz="0" w:space="0" w:color="auto"/>
      </w:divBdr>
    </w:div>
    <w:div w:id="1730223481">
      <w:marLeft w:val="0"/>
      <w:marRight w:val="0"/>
      <w:marTop w:val="120"/>
      <w:marBottom w:val="120"/>
      <w:divBdr>
        <w:top w:val="none" w:sz="0" w:space="0" w:color="auto"/>
        <w:left w:val="none" w:sz="0" w:space="0" w:color="auto"/>
        <w:bottom w:val="none" w:sz="0" w:space="0" w:color="auto"/>
        <w:right w:val="none" w:sz="0" w:space="0" w:color="auto"/>
      </w:divBdr>
    </w:div>
    <w:div w:id="1737431763">
      <w:marLeft w:val="0"/>
      <w:marRight w:val="0"/>
      <w:marTop w:val="120"/>
      <w:marBottom w:val="0"/>
      <w:divBdr>
        <w:top w:val="none" w:sz="0" w:space="0" w:color="auto"/>
        <w:left w:val="none" w:sz="0" w:space="0" w:color="auto"/>
        <w:bottom w:val="none" w:sz="0" w:space="0" w:color="auto"/>
        <w:right w:val="none" w:sz="0" w:space="0" w:color="auto"/>
      </w:divBdr>
    </w:div>
    <w:div w:id="1738699600">
      <w:marLeft w:val="0"/>
      <w:marRight w:val="0"/>
      <w:marTop w:val="120"/>
      <w:marBottom w:val="0"/>
      <w:divBdr>
        <w:top w:val="none" w:sz="0" w:space="0" w:color="auto"/>
        <w:left w:val="none" w:sz="0" w:space="0" w:color="auto"/>
        <w:bottom w:val="none" w:sz="0" w:space="0" w:color="auto"/>
        <w:right w:val="none" w:sz="0" w:space="0" w:color="auto"/>
      </w:divBdr>
    </w:div>
    <w:div w:id="1740327239">
      <w:marLeft w:val="0"/>
      <w:marRight w:val="0"/>
      <w:marTop w:val="120"/>
      <w:marBottom w:val="0"/>
      <w:divBdr>
        <w:top w:val="none" w:sz="0" w:space="0" w:color="auto"/>
        <w:left w:val="none" w:sz="0" w:space="0" w:color="auto"/>
        <w:bottom w:val="none" w:sz="0" w:space="0" w:color="auto"/>
        <w:right w:val="none" w:sz="0" w:space="0" w:color="auto"/>
      </w:divBdr>
    </w:div>
    <w:div w:id="1741512225">
      <w:marLeft w:val="0"/>
      <w:marRight w:val="0"/>
      <w:marTop w:val="0"/>
      <w:marBottom w:val="0"/>
      <w:divBdr>
        <w:top w:val="none" w:sz="0" w:space="0" w:color="auto"/>
        <w:left w:val="none" w:sz="0" w:space="0" w:color="auto"/>
        <w:bottom w:val="none" w:sz="0" w:space="0" w:color="auto"/>
        <w:right w:val="none" w:sz="0" w:space="0" w:color="auto"/>
      </w:divBdr>
      <w:divsChild>
        <w:div w:id="666330295">
          <w:marLeft w:val="0"/>
          <w:marRight w:val="0"/>
          <w:marTop w:val="0"/>
          <w:marBottom w:val="0"/>
          <w:divBdr>
            <w:top w:val="none" w:sz="0" w:space="0" w:color="auto"/>
            <w:left w:val="none" w:sz="0" w:space="0" w:color="auto"/>
            <w:bottom w:val="none" w:sz="0" w:space="0" w:color="auto"/>
            <w:right w:val="none" w:sz="0" w:space="0" w:color="auto"/>
          </w:divBdr>
        </w:div>
      </w:divsChild>
    </w:div>
    <w:div w:id="1743523276">
      <w:marLeft w:val="0"/>
      <w:marRight w:val="0"/>
      <w:marTop w:val="0"/>
      <w:marBottom w:val="0"/>
      <w:divBdr>
        <w:top w:val="none" w:sz="0" w:space="0" w:color="auto"/>
        <w:left w:val="none" w:sz="0" w:space="0" w:color="auto"/>
        <w:bottom w:val="none" w:sz="0" w:space="0" w:color="auto"/>
        <w:right w:val="none" w:sz="0" w:space="0" w:color="auto"/>
      </w:divBdr>
      <w:divsChild>
        <w:div w:id="1348365275">
          <w:marLeft w:val="0"/>
          <w:marRight w:val="0"/>
          <w:marTop w:val="0"/>
          <w:marBottom w:val="0"/>
          <w:divBdr>
            <w:top w:val="none" w:sz="0" w:space="0" w:color="auto"/>
            <w:left w:val="none" w:sz="0" w:space="0" w:color="auto"/>
            <w:bottom w:val="none" w:sz="0" w:space="0" w:color="auto"/>
            <w:right w:val="none" w:sz="0" w:space="0" w:color="auto"/>
          </w:divBdr>
        </w:div>
      </w:divsChild>
    </w:div>
    <w:div w:id="1744638874">
      <w:marLeft w:val="0"/>
      <w:marRight w:val="0"/>
      <w:marTop w:val="120"/>
      <w:marBottom w:val="120"/>
      <w:divBdr>
        <w:top w:val="none" w:sz="0" w:space="0" w:color="auto"/>
        <w:left w:val="none" w:sz="0" w:space="0" w:color="auto"/>
        <w:bottom w:val="none" w:sz="0" w:space="0" w:color="auto"/>
        <w:right w:val="none" w:sz="0" w:space="0" w:color="auto"/>
      </w:divBdr>
    </w:div>
    <w:div w:id="1745108199">
      <w:marLeft w:val="0"/>
      <w:marRight w:val="0"/>
      <w:marTop w:val="120"/>
      <w:marBottom w:val="120"/>
      <w:divBdr>
        <w:top w:val="none" w:sz="0" w:space="0" w:color="auto"/>
        <w:left w:val="none" w:sz="0" w:space="0" w:color="auto"/>
        <w:bottom w:val="none" w:sz="0" w:space="0" w:color="auto"/>
        <w:right w:val="none" w:sz="0" w:space="0" w:color="auto"/>
      </w:divBdr>
    </w:div>
    <w:div w:id="1748767396">
      <w:marLeft w:val="0"/>
      <w:marRight w:val="0"/>
      <w:marTop w:val="180"/>
      <w:marBottom w:val="120"/>
      <w:divBdr>
        <w:top w:val="none" w:sz="0" w:space="0" w:color="auto"/>
        <w:left w:val="none" w:sz="0" w:space="0" w:color="auto"/>
        <w:bottom w:val="none" w:sz="0" w:space="0" w:color="auto"/>
        <w:right w:val="none" w:sz="0" w:space="0" w:color="auto"/>
      </w:divBdr>
    </w:div>
    <w:div w:id="1748769270">
      <w:marLeft w:val="0"/>
      <w:marRight w:val="0"/>
      <w:marTop w:val="0"/>
      <w:marBottom w:val="0"/>
      <w:divBdr>
        <w:top w:val="none" w:sz="0" w:space="0" w:color="auto"/>
        <w:left w:val="none" w:sz="0" w:space="0" w:color="auto"/>
        <w:bottom w:val="none" w:sz="0" w:space="0" w:color="auto"/>
        <w:right w:val="none" w:sz="0" w:space="0" w:color="auto"/>
      </w:divBdr>
    </w:div>
    <w:div w:id="1749620470">
      <w:marLeft w:val="0"/>
      <w:marRight w:val="0"/>
      <w:marTop w:val="120"/>
      <w:marBottom w:val="0"/>
      <w:divBdr>
        <w:top w:val="none" w:sz="0" w:space="0" w:color="auto"/>
        <w:left w:val="none" w:sz="0" w:space="0" w:color="auto"/>
        <w:bottom w:val="none" w:sz="0" w:space="0" w:color="auto"/>
        <w:right w:val="none" w:sz="0" w:space="0" w:color="auto"/>
      </w:divBdr>
    </w:div>
    <w:div w:id="1753356413">
      <w:marLeft w:val="0"/>
      <w:marRight w:val="0"/>
      <w:marTop w:val="60"/>
      <w:marBottom w:val="0"/>
      <w:divBdr>
        <w:top w:val="none" w:sz="0" w:space="0" w:color="auto"/>
        <w:left w:val="none" w:sz="0" w:space="0" w:color="auto"/>
        <w:bottom w:val="none" w:sz="0" w:space="0" w:color="auto"/>
        <w:right w:val="none" w:sz="0" w:space="0" w:color="auto"/>
      </w:divBdr>
    </w:div>
    <w:div w:id="1753696148">
      <w:marLeft w:val="0"/>
      <w:marRight w:val="0"/>
      <w:marTop w:val="0"/>
      <w:marBottom w:val="120"/>
      <w:divBdr>
        <w:top w:val="none" w:sz="0" w:space="0" w:color="auto"/>
        <w:left w:val="none" w:sz="0" w:space="0" w:color="auto"/>
        <w:bottom w:val="none" w:sz="0" w:space="0" w:color="auto"/>
        <w:right w:val="none" w:sz="0" w:space="0" w:color="auto"/>
      </w:divBdr>
    </w:div>
    <w:div w:id="1757969995">
      <w:marLeft w:val="0"/>
      <w:marRight w:val="0"/>
      <w:marTop w:val="120"/>
      <w:marBottom w:val="0"/>
      <w:divBdr>
        <w:top w:val="none" w:sz="0" w:space="0" w:color="auto"/>
        <w:left w:val="none" w:sz="0" w:space="0" w:color="auto"/>
        <w:bottom w:val="none" w:sz="0" w:space="0" w:color="auto"/>
        <w:right w:val="none" w:sz="0" w:space="0" w:color="auto"/>
      </w:divBdr>
    </w:div>
    <w:div w:id="1758399852">
      <w:marLeft w:val="0"/>
      <w:marRight w:val="0"/>
      <w:marTop w:val="120"/>
      <w:marBottom w:val="0"/>
      <w:divBdr>
        <w:top w:val="none" w:sz="0" w:space="0" w:color="auto"/>
        <w:left w:val="none" w:sz="0" w:space="0" w:color="auto"/>
        <w:bottom w:val="none" w:sz="0" w:space="0" w:color="auto"/>
        <w:right w:val="none" w:sz="0" w:space="0" w:color="auto"/>
      </w:divBdr>
    </w:div>
    <w:div w:id="1763717454">
      <w:marLeft w:val="0"/>
      <w:marRight w:val="0"/>
      <w:marTop w:val="0"/>
      <w:marBottom w:val="0"/>
      <w:divBdr>
        <w:top w:val="none" w:sz="0" w:space="0" w:color="auto"/>
        <w:left w:val="none" w:sz="0" w:space="0" w:color="auto"/>
        <w:bottom w:val="none" w:sz="0" w:space="0" w:color="auto"/>
        <w:right w:val="none" w:sz="0" w:space="0" w:color="auto"/>
      </w:divBdr>
    </w:div>
    <w:div w:id="1764035851">
      <w:marLeft w:val="0"/>
      <w:marRight w:val="0"/>
      <w:marTop w:val="120"/>
      <w:marBottom w:val="120"/>
      <w:divBdr>
        <w:top w:val="none" w:sz="0" w:space="0" w:color="auto"/>
        <w:left w:val="none" w:sz="0" w:space="0" w:color="auto"/>
        <w:bottom w:val="none" w:sz="0" w:space="0" w:color="auto"/>
        <w:right w:val="none" w:sz="0" w:space="0" w:color="auto"/>
      </w:divBdr>
    </w:div>
    <w:div w:id="1765344373">
      <w:marLeft w:val="0"/>
      <w:marRight w:val="0"/>
      <w:marTop w:val="120"/>
      <w:marBottom w:val="120"/>
      <w:divBdr>
        <w:top w:val="none" w:sz="0" w:space="0" w:color="auto"/>
        <w:left w:val="none" w:sz="0" w:space="0" w:color="auto"/>
        <w:bottom w:val="none" w:sz="0" w:space="0" w:color="auto"/>
        <w:right w:val="none" w:sz="0" w:space="0" w:color="auto"/>
      </w:divBdr>
    </w:div>
    <w:div w:id="1767577035">
      <w:marLeft w:val="0"/>
      <w:marRight w:val="0"/>
      <w:marTop w:val="120"/>
      <w:marBottom w:val="0"/>
      <w:divBdr>
        <w:top w:val="none" w:sz="0" w:space="0" w:color="auto"/>
        <w:left w:val="none" w:sz="0" w:space="0" w:color="auto"/>
        <w:bottom w:val="none" w:sz="0" w:space="0" w:color="auto"/>
        <w:right w:val="none" w:sz="0" w:space="0" w:color="auto"/>
      </w:divBdr>
    </w:div>
    <w:div w:id="1768036018">
      <w:marLeft w:val="0"/>
      <w:marRight w:val="0"/>
      <w:marTop w:val="120"/>
      <w:marBottom w:val="0"/>
      <w:divBdr>
        <w:top w:val="none" w:sz="0" w:space="0" w:color="auto"/>
        <w:left w:val="none" w:sz="0" w:space="0" w:color="auto"/>
        <w:bottom w:val="none" w:sz="0" w:space="0" w:color="auto"/>
        <w:right w:val="none" w:sz="0" w:space="0" w:color="auto"/>
      </w:divBdr>
    </w:div>
    <w:div w:id="1768652223">
      <w:marLeft w:val="0"/>
      <w:marRight w:val="0"/>
      <w:marTop w:val="0"/>
      <w:marBottom w:val="0"/>
      <w:divBdr>
        <w:top w:val="none" w:sz="0" w:space="0" w:color="auto"/>
        <w:left w:val="none" w:sz="0" w:space="0" w:color="auto"/>
        <w:bottom w:val="none" w:sz="0" w:space="0" w:color="auto"/>
        <w:right w:val="none" w:sz="0" w:space="0" w:color="auto"/>
      </w:divBdr>
    </w:div>
    <w:div w:id="1770009195">
      <w:marLeft w:val="0"/>
      <w:marRight w:val="0"/>
      <w:marTop w:val="0"/>
      <w:marBottom w:val="0"/>
      <w:divBdr>
        <w:top w:val="none" w:sz="0" w:space="0" w:color="auto"/>
        <w:left w:val="none" w:sz="0" w:space="0" w:color="auto"/>
        <w:bottom w:val="none" w:sz="0" w:space="0" w:color="auto"/>
        <w:right w:val="none" w:sz="0" w:space="0" w:color="auto"/>
      </w:divBdr>
    </w:div>
    <w:div w:id="1770588371">
      <w:marLeft w:val="0"/>
      <w:marRight w:val="0"/>
      <w:marTop w:val="120"/>
      <w:marBottom w:val="0"/>
      <w:divBdr>
        <w:top w:val="none" w:sz="0" w:space="0" w:color="auto"/>
        <w:left w:val="none" w:sz="0" w:space="0" w:color="auto"/>
        <w:bottom w:val="none" w:sz="0" w:space="0" w:color="auto"/>
        <w:right w:val="none" w:sz="0" w:space="0" w:color="auto"/>
      </w:divBdr>
    </w:div>
    <w:div w:id="1773623442">
      <w:marLeft w:val="0"/>
      <w:marRight w:val="0"/>
      <w:marTop w:val="0"/>
      <w:marBottom w:val="0"/>
      <w:divBdr>
        <w:top w:val="none" w:sz="0" w:space="0" w:color="auto"/>
        <w:left w:val="none" w:sz="0" w:space="0" w:color="auto"/>
        <w:bottom w:val="none" w:sz="0" w:space="0" w:color="auto"/>
        <w:right w:val="none" w:sz="0" w:space="0" w:color="auto"/>
      </w:divBdr>
    </w:div>
    <w:div w:id="1773629149">
      <w:marLeft w:val="0"/>
      <w:marRight w:val="0"/>
      <w:marTop w:val="0"/>
      <w:marBottom w:val="0"/>
      <w:divBdr>
        <w:top w:val="none" w:sz="0" w:space="0" w:color="auto"/>
        <w:left w:val="none" w:sz="0" w:space="0" w:color="auto"/>
        <w:bottom w:val="none" w:sz="0" w:space="0" w:color="auto"/>
        <w:right w:val="none" w:sz="0" w:space="0" w:color="auto"/>
      </w:divBdr>
    </w:div>
    <w:div w:id="1775712257">
      <w:marLeft w:val="0"/>
      <w:marRight w:val="0"/>
      <w:marTop w:val="120"/>
      <w:marBottom w:val="0"/>
      <w:divBdr>
        <w:top w:val="none" w:sz="0" w:space="0" w:color="auto"/>
        <w:left w:val="none" w:sz="0" w:space="0" w:color="auto"/>
        <w:bottom w:val="none" w:sz="0" w:space="0" w:color="auto"/>
        <w:right w:val="none" w:sz="0" w:space="0" w:color="auto"/>
      </w:divBdr>
    </w:div>
    <w:div w:id="1776708917">
      <w:marLeft w:val="0"/>
      <w:marRight w:val="0"/>
      <w:marTop w:val="180"/>
      <w:marBottom w:val="120"/>
      <w:divBdr>
        <w:top w:val="none" w:sz="0" w:space="0" w:color="auto"/>
        <w:left w:val="none" w:sz="0" w:space="0" w:color="auto"/>
        <w:bottom w:val="none" w:sz="0" w:space="0" w:color="auto"/>
        <w:right w:val="none" w:sz="0" w:space="0" w:color="auto"/>
      </w:divBdr>
    </w:div>
    <w:div w:id="1776830606">
      <w:marLeft w:val="0"/>
      <w:marRight w:val="0"/>
      <w:marTop w:val="0"/>
      <w:marBottom w:val="0"/>
      <w:divBdr>
        <w:top w:val="none" w:sz="0" w:space="0" w:color="auto"/>
        <w:left w:val="none" w:sz="0" w:space="0" w:color="auto"/>
        <w:bottom w:val="none" w:sz="0" w:space="0" w:color="auto"/>
        <w:right w:val="none" w:sz="0" w:space="0" w:color="auto"/>
      </w:divBdr>
    </w:div>
    <w:div w:id="1779176448">
      <w:marLeft w:val="0"/>
      <w:marRight w:val="0"/>
      <w:marTop w:val="120"/>
      <w:marBottom w:val="120"/>
      <w:divBdr>
        <w:top w:val="none" w:sz="0" w:space="0" w:color="auto"/>
        <w:left w:val="none" w:sz="0" w:space="0" w:color="auto"/>
        <w:bottom w:val="none" w:sz="0" w:space="0" w:color="auto"/>
        <w:right w:val="none" w:sz="0" w:space="0" w:color="auto"/>
      </w:divBdr>
    </w:div>
    <w:div w:id="1783381615">
      <w:marLeft w:val="0"/>
      <w:marRight w:val="0"/>
      <w:marTop w:val="120"/>
      <w:marBottom w:val="0"/>
      <w:divBdr>
        <w:top w:val="none" w:sz="0" w:space="0" w:color="auto"/>
        <w:left w:val="none" w:sz="0" w:space="0" w:color="auto"/>
        <w:bottom w:val="none" w:sz="0" w:space="0" w:color="auto"/>
        <w:right w:val="none" w:sz="0" w:space="0" w:color="auto"/>
      </w:divBdr>
    </w:div>
    <w:div w:id="1783721293">
      <w:marLeft w:val="0"/>
      <w:marRight w:val="0"/>
      <w:marTop w:val="120"/>
      <w:marBottom w:val="120"/>
      <w:divBdr>
        <w:top w:val="none" w:sz="0" w:space="0" w:color="auto"/>
        <w:left w:val="none" w:sz="0" w:space="0" w:color="auto"/>
        <w:bottom w:val="none" w:sz="0" w:space="0" w:color="auto"/>
        <w:right w:val="none" w:sz="0" w:space="0" w:color="auto"/>
      </w:divBdr>
    </w:div>
    <w:div w:id="1785075544">
      <w:marLeft w:val="0"/>
      <w:marRight w:val="0"/>
      <w:marTop w:val="120"/>
      <w:marBottom w:val="120"/>
      <w:divBdr>
        <w:top w:val="none" w:sz="0" w:space="0" w:color="auto"/>
        <w:left w:val="none" w:sz="0" w:space="0" w:color="auto"/>
        <w:bottom w:val="none" w:sz="0" w:space="0" w:color="auto"/>
        <w:right w:val="none" w:sz="0" w:space="0" w:color="auto"/>
      </w:divBdr>
    </w:div>
    <w:div w:id="1785611610">
      <w:marLeft w:val="0"/>
      <w:marRight w:val="0"/>
      <w:marTop w:val="120"/>
      <w:marBottom w:val="120"/>
      <w:divBdr>
        <w:top w:val="none" w:sz="0" w:space="0" w:color="auto"/>
        <w:left w:val="none" w:sz="0" w:space="0" w:color="auto"/>
        <w:bottom w:val="none" w:sz="0" w:space="0" w:color="auto"/>
        <w:right w:val="none" w:sz="0" w:space="0" w:color="auto"/>
      </w:divBdr>
    </w:div>
    <w:div w:id="1785809904">
      <w:marLeft w:val="0"/>
      <w:marRight w:val="0"/>
      <w:marTop w:val="120"/>
      <w:marBottom w:val="120"/>
      <w:divBdr>
        <w:top w:val="none" w:sz="0" w:space="0" w:color="auto"/>
        <w:left w:val="none" w:sz="0" w:space="0" w:color="auto"/>
        <w:bottom w:val="none" w:sz="0" w:space="0" w:color="auto"/>
        <w:right w:val="none" w:sz="0" w:space="0" w:color="auto"/>
      </w:divBdr>
    </w:div>
    <w:div w:id="1786000000">
      <w:marLeft w:val="0"/>
      <w:marRight w:val="0"/>
      <w:marTop w:val="120"/>
      <w:marBottom w:val="120"/>
      <w:divBdr>
        <w:top w:val="none" w:sz="0" w:space="0" w:color="auto"/>
        <w:left w:val="none" w:sz="0" w:space="0" w:color="auto"/>
        <w:bottom w:val="none" w:sz="0" w:space="0" w:color="auto"/>
        <w:right w:val="none" w:sz="0" w:space="0" w:color="auto"/>
      </w:divBdr>
    </w:div>
    <w:div w:id="1787772235">
      <w:marLeft w:val="0"/>
      <w:marRight w:val="0"/>
      <w:marTop w:val="120"/>
      <w:marBottom w:val="0"/>
      <w:divBdr>
        <w:top w:val="none" w:sz="0" w:space="0" w:color="auto"/>
        <w:left w:val="none" w:sz="0" w:space="0" w:color="auto"/>
        <w:bottom w:val="none" w:sz="0" w:space="0" w:color="auto"/>
        <w:right w:val="none" w:sz="0" w:space="0" w:color="auto"/>
      </w:divBdr>
    </w:div>
    <w:div w:id="1788505314">
      <w:marLeft w:val="0"/>
      <w:marRight w:val="0"/>
      <w:marTop w:val="120"/>
      <w:marBottom w:val="0"/>
      <w:divBdr>
        <w:top w:val="none" w:sz="0" w:space="0" w:color="auto"/>
        <w:left w:val="none" w:sz="0" w:space="0" w:color="auto"/>
        <w:bottom w:val="none" w:sz="0" w:space="0" w:color="auto"/>
        <w:right w:val="none" w:sz="0" w:space="0" w:color="auto"/>
      </w:divBdr>
    </w:div>
    <w:div w:id="1790973785">
      <w:marLeft w:val="0"/>
      <w:marRight w:val="0"/>
      <w:marTop w:val="0"/>
      <w:marBottom w:val="0"/>
      <w:divBdr>
        <w:top w:val="none" w:sz="0" w:space="0" w:color="auto"/>
        <w:left w:val="none" w:sz="0" w:space="0" w:color="auto"/>
        <w:bottom w:val="none" w:sz="0" w:space="0" w:color="auto"/>
        <w:right w:val="none" w:sz="0" w:space="0" w:color="auto"/>
      </w:divBdr>
      <w:divsChild>
        <w:div w:id="289627539">
          <w:marLeft w:val="0"/>
          <w:marRight w:val="0"/>
          <w:marTop w:val="0"/>
          <w:marBottom w:val="0"/>
          <w:divBdr>
            <w:top w:val="none" w:sz="0" w:space="0" w:color="auto"/>
            <w:left w:val="none" w:sz="0" w:space="0" w:color="auto"/>
            <w:bottom w:val="none" w:sz="0" w:space="0" w:color="auto"/>
            <w:right w:val="none" w:sz="0" w:space="0" w:color="auto"/>
          </w:divBdr>
        </w:div>
      </w:divsChild>
    </w:div>
    <w:div w:id="1792362381">
      <w:marLeft w:val="0"/>
      <w:marRight w:val="0"/>
      <w:marTop w:val="120"/>
      <w:marBottom w:val="0"/>
      <w:divBdr>
        <w:top w:val="none" w:sz="0" w:space="0" w:color="auto"/>
        <w:left w:val="none" w:sz="0" w:space="0" w:color="auto"/>
        <w:bottom w:val="none" w:sz="0" w:space="0" w:color="auto"/>
        <w:right w:val="none" w:sz="0" w:space="0" w:color="auto"/>
      </w:divBdr>
      <w:divsChild>
        <w:div w:id="595093605">
          <w:marLeft w:val="0"/>
          <w:marRight w:val="0"/>
          <w:marTop w:val="0"/>
          <w:marBottom w:val="0"/>
          <w:divBdr>
            <w:top w:val="none" w:sz="0" w:space="0" w:color="auto"/>
            <w:left w:val="none" w:sz="0" w:space="0" w:color="auto"/>
            <w:bottom w:val="none" w:sz="0" w:space="0" w:color="auto"/>
            <w:right w:val="none" w:sz="0" w:space="0" w:color="auto"/>
          </w:divBdr>
        </w:div>
      </w:divsChild>
    </w:div>
    <w:div w:id="1794597049">
      <w:marLeft w:val="0"/>
      <w:marRight w:val="0"/>
      <w:marTop w:val="120"/>
      <w:marBottom w:val="0"/>
      <w:divBdr>
        <w:top w:val="none" w:sz="0" w:space="0" w:color="auto"/>
        <w:left w:val="none" w:sz="0" w:space="0" w:color="auto"/>
        <w:bottom w:val="none" w:sz="0" w:space="0" w:color="auto"/>
        <w:right w:val="none" w:sz="0" w:space="0" w:color="auto"/>
      </w:divBdr>
    </w:div>
    <w:div w:id="1795171611">
      <w:marLeft w:val="0"/>
      <w:marRight w:val="0"/>
      <w:marTop w:val="0"/>
      <w:marBottom w:val="0"/>
      <w:divBdr>
        <w:top w:val="none" w:sz="0" w:space="0" w:color="auto"/>
        <w:left w:val="none" w:sz="0" w:space="0" w:color="auto"/>
        <w:bottom w:val="none" w:sz="0" w:space="0" w:color="auto"/>
        <w:right w:val="none" w:sz="0" w:space="0" w:color="auto"/>
      </w:divBdr>
      <w:divsChild>
        <w:div w:id="709261834">
          <w:marLeft w:val="0"/>
          <w:marRight w:val="0"/>
          <w:marTop w:val="0"/>
          <w:marBottom w:val="0"/>
          <w:divBdr>
            <w:top w:val="none" w:sz="0" w:space="0" w:color="auto"/>
            <w:left w:val="none" w:sz="0" w:space="0" w:color="auto"/>
            <w:bottom w:val="none" w:sz="0" w:space="0" w:color="auto"/>
            <w:right w:val="none" w:sz="0" w:space="0" w:color="auto"/>
          </w:divBdr>
        </w:div>
      </w:divsChild>
    </w:div>
    <w:div w:id="1796100380">
      <w:marLeft w:val="0"/>
      <w:marRight w:val="0"/>
      <w:marTop w:val="0"/>
      <w:marBottom w:val="0"/>
      <w:divBdr>
        <w:top w:val="none" w:sz="0" w:space="0" w:color="auto"/>
        <w:left w:val="none" w:sz="0" w:space="0" w:color="auto"/>
        <w:bottom w:val="none" w:sz="0" w:space="0" w:color="auto"/>
        <w:right w:val="none" w:sz="0" w:space="0" w:color="auto"/>
      </w:divBdr>
    </w:div>
    <w:div w:id="1797022350">
      <w:marLeft w:val="0"/>
      <w:marRight w:val="0"/>
      <w:marTop w:val="0"/>
      <w:marBottom w:val="0"/>
      <w:divBdr>
        <w:top w:val="none" w:sz="0" w:space="0" w:color="auto"/>
        <w:left w:val="none" w:sz="0" w:space="0" w:color="auto"/>
        <w:bottom w:val="none" w:sz="0" w:space="0" w:color="auto"/>
        <w:right w:val="none" w:sz="0" w:space="0" w:color="auto"/>
      </w:divBdr>
      <w:divsChild>
        <w:div w:id="163209929">
          <w:marLeft w:val="0"/>
          <w:marRight w:val="0"/>
          <w:marTop w:val="0"/>
          <w:marBottom w:val="0"/>
          <w:divBdr>
            <w:top w:val="none" w:sz="0" w:space="0" w:color="auto"/>
            <w:left w:val="none" w:sz="0" w:space="0" w:color="auto"/>
            <w:bottom w:val="none" w:sz="0" w:space="0" w:color="auto"/>
            <w:right w:val="none" w:sz="0" w:space="0" w:color="auto"/>
          </w:divBdr>
        </w:div>
      </w:divsChild>
    </w:div>
    <w:div w:id="1801459449">
      <w:marLeft w:val="0"/>
      <w:marRight w:val="0"/>
      <w:marTop w:val="120"/>
      <w:marBottom w:val="120"/>
      <w:divBdr>
        <w:top w:val="none" w:sz="0" w:space="0" w:color="auto"/>
        <w:left w:val="none" w:sz="0" w:space="0" w:color="auto"/>
        <w:bottom w:val="none" w:sz="0" w:space="0" w:color="auto"/>
        <w:right w:val="none" w:sz="0" w:space="0" w:color="auto"/>
      </w:divBdr>
    </w:div>
    <w:div w:id="1802141232">
      <w:marLeft w:val="0"/>
      <w:marRight w:val="0"/>
      <w:marTop w:val="120"/>
      <w:marBottom w:val="0"/>
      <w:divBdr>
        <w:top w:val="none" w:sz="0" w:space="0" w:color="auto"/>
        <w:left w:val="none" w:sz="0" w:space="0" w:color="auto"/>
        <w:bottom w:val="none" w:sz="0" w:space="0" w:color="auto"/>
        <w:right w:val="none" w:sz="0" w:space="0" w:color="auto"/>
      </w:divBdr>
    </w:div>
    <w:div w:id="1803687451">
      <w:marLeft w:val="0"/>
      <w:marRight w:val="0"/>
      <w:marTop w:val="120"/>
      <w:marBottom w:val="0"/>
      <w:divBdr>
        <w:top w:val="none" w:sz="0" w:space="0" w:color="auto"/>
        <w:left w:val="none" w:sz="0" w:space="0" w:color="auto"/>
        <w:bottom w:val="none" w:sz="0" w:space="0" w:color="auto"/>
        <w:right w:val="none" w:sz="0" w:space="0" w:color="auto"/>
      </w:divBdr>
    </w:div>
    <w:div w:id="1804687831">
      <w:marLeft w:val="0"/>
      <w:marRight w:val="0"/>
      <w:marTop w:val="0"/>
      <w:marBottom w:val="0"/>
      <w:divBdr>
        <w:top w:val="none" w:sz="0" w:space="0" w:color="auto"/>
        <w:left w:val="none" w:sz="0" w:space="0" w:color="auto"/>
        <w:bottom w:val="none" w:sz="0" w:space="0" w:color="auto"/>
        <w:right w:val="none" w:sz="0" w:space="0" w:color="auto"/>
      </w:divBdr>
      <w:divsChild>
        <w:div w:id="534536839">
          <w:marLeft w:val="0"/>
          <w:marRight w:val="0"/>
          <w:marTop w:val="0"/>
          <w:marBottom w:val="0"/>
          <w:divBdr>
            <w:top w:val="none" w:sz="0" w:space="0" w:color="auto"/>
            <w:left w:val="none" w:sz="0" w:space="0" w:color="auto"/>
            <w:bottom w:val="none" w:sz="0" w:space="0" w:color="auto"/>
            <w:right w:val="none" w:sz="0" w:space="0" w:color="auto"/>
          </w:divBdr>
        </w:div>
      </w:divsChild>
    </w:div>
    <w:div w:id="1806123719">
      <w:marLeft w:val="0"/>
      <w:marRight w:val="0"/>
      <w:marTop w:val="120"/>
      <w:marBottom w:val="0"/>
      <w:divBdr>
        <w:top w:val="none" w:sz="0" w:space="0" w:color="auto"/>
        <w:left w:val="none" w:sz="0" w:space="0" w:color="auto"/>
        <w:bottom w:val="none" w:sz="0" w:space="0" w:color="auto"/>
        <w:right w:val="none" w:sz="0" w:space="0" w:color="auto"/>
      </w:divBdr>
    </w:div>
    <w:div w:id="1808860204">
      <w:marLeft w:val="0"/>
      <w:marRight w:val="0"/>
      <w:marTop w:val="0"/>
      <w:marBottom w:val="0"/>
      <w:divBdr>
        <w:top w:val="none" w:sz="0" w:space="0" w:color="auto"/>
        <w:left w:val="none" w:sz="0" w:space="0" w:color="auto"/>
        <w:bottom w:val="none" w:sz="0" w:space="0" w:color="auto"/>
        <w:right w:val="none" w:sz="0" w:space="0" w:color="auto"/>
      </w:divBdr>
    </w:div>
    <w:div w:id="1810856755">
      <w:marLeft w:val="0"/>
      <w:marRight w:val="0"/>
      <w:marTop w:val="0"/>
      <w:marBottom w:val="0"/>
      <w:divBdr>
        <w:top w:val="none" w:sz="0" w:space="0" w:color="auto"/>
        <w:left w:val="none" w:sz="0" w:space="0" w:color="auto"/>
        <w:bottom w:val="none" w:sz="0" w:space="0" w:color="auto"/>
        <w:right w:val="none" w:sz="0" w:space="0" w:color="auto"/>
      </w:divBdr>
      <w:divsChild>
        <w:div w:id="1722947091">
          <w:marLeft w:val="0"/>
          <w:marRight w:val="0"/>
          <w:marTop w:val="0"/>
          <w:marBottom w:val="0"/>
          <w:divBdr>
            <w:top w:val="none" w:sz="0" w:space="0" w:color="auto"/>
            <w:left w:val="none" w:sz="0" w:space="0" w:color="auto"/>
            <w:bottom w:val="none" w:sz="0" w:space="0" w:color="auto"/>
            <w:right w:val="none" w:sz="0" w:space="0" w:color="auto"/>
          </w:divBdr>
        </w:div>
      </w:divsChild>
    </w:div>
    <w:div w:id="1812751078">
      <w:marLeft w:val="0"/>
      <w:marRight w:val="0"/>
      <w:marTop w:val="120"/>
      <w:marBottom w:val="120"/>
      <w:divBdr>
        <w:top w:val="none" w:sz="0" w:space="0" w:color="auto"/>
        <w:left w:val="none" w:sz="0" w:space="0" w:color="auto"/>
        <w:bottom w:val="none" w:sz="0" w:space="0" w:color="auto"/>
        <w:right w:val="none" w:sz="0" w:space="0" w:color="auto"/>
      </w:divBdr>
    </w:div>
    <w:div w:id="1816294180">
      <w:marLeft w:val="0"/>
      <w:marRight w:val="0"/>
      <w:marTop w:val="120"/>
      <w:marBottom w:val="0"/>
      <w:divBdr>
        <w:top w:val="none" w:sz="0" w:space="0" w:color="auto"/>
        <w:left w:val="none" w:sz="0" w:space="0" w:color="auto"/>
        <w:bottom w:val="none" w:sz="0" w:space="0" w:color="auto"/>
        <w:right w:val="none" w:sz="0" w:space="0" w:color="auto"/>
      </w:divBdr>
    </w:div>
    <w:div w:id="1817136843">
      <w:marLeft w:val="0"/>
      <w:marRight w:val="0"/>
      <w:marTop w:val="120"/>
      <w:marBottom w:val="0"/>
      <w:divBdr>
        <w:top w:val="none" w:sz="0" w:space="0" w:color="auto"/>
        <w:left w:val="none" w:sz="0" w:space="0" w:color="auto"/>
        <w:bottom w:val="none" w:sz="0" w:space="0" w:color="auto"/>
        <w:right w:val="none" w:sz="0" w:space="0" w:color="auto"/>
      </w:divBdr>
    </w:div>
    <w:div w:id="1818380351">
      <w:marLeft w:val="0"/>
      <w:marRight w:val="0"/>
      <w:marTop w:val="120"/>
      <w:marBottom w:val="120"/>
      <w:divBdr>
        <w:top w:val="none" w:sz="0" w:space="0" w:color="auto"/>
        <w:left w:val="none" w:sz="0" w:space="0" w:color="auto"/>
        <w:bottom w:val="none" w:sz="0" w:space="0" w:color="auto"/>
        <w:right w:val="none" w:sz="0" w:space="0" w:color="auto"/>
      </w:divBdr>
    </w:div>
    <w:div w:id="1822695377">
      <w:marLeft w:val="0"/>
      <w:marRight w:val="0"/>
      <w:marTop w:val="120"/>
      <w:marBottom w:val="120"/>
      <w:divBdr>
        <w:top w:val="none" w:sz="0" w:space="0" w:color="auto"/>
        <w:left w:val="none" w:sz="0" w:space="0" w:color="auto"/>
        <w:bottom w:val="none" w:sz="0" w:space="0" w:color="auto"/>
        <w:right w:val="none" w:sz="0" w:space="0" w:color="auto"/>
      </w:divBdr>
    </w:div>
    <w:div w:id="1824197317">
      <w:marLeft w:val="0"/>
      <w:marRight w:val="0"/>
      <w:marTop w:val="0"/>
      <w:marBottom w:val="0"/>
      <w:divBdr>
        <w:top w:val="none" w:sz="0" w:space="0" w:color="auto"/>
        <w:left w:val="none" w:sz="0" w:space="0" w:color="auto"/>
        <w:bottom w:val="none" w:sz="0" w:space="0" w:color="auto"/>
        <w:right w:val="none" w:sz="0" w:space="0" w:color="auto"/>
      </w:divBdr>
      <w:divsChild>
        <w:div w:id="1610238800">
          <w:marLeft w:val="0"/>
          <w:marRight w:val="0"/>
          <w:marTop w:val="0"/>
          <w:marBottom w:val="0"/>
          <w:divBdr>
            <w:top w:val="none" w:sz="0" w:space="0" w:color="auto"/>
            <w:left w:val="none" w:sz="0" w:space="0" w:color="auto"/>
            <w:bottom w:val="none" w:sz="0" w:space="0" w:color="auto"/>
            <w:right w:val="none" w:sz="0" w:space="0" w:color="auto"/>
          </w:divBdr>
        </w:div>
      </w:divsChild>
    </w:div>
    <w:div w:id="1824353437">
      <w:marLeft w:val="0"/>
      <w:marRight w:val="0"/>
      <w:marTop w:val="0"/>
      <w:marBottom w:val="0"/>
      <w:divBdr>
        <w:top w:val="none" w:sz="0" w:space="0" w:color="auto"/>
        <w:left w:val="none" w:sz="0" w:space="0" w:color="auto"/>
        <w:bottom w:val="none" w:sz="0" w:space="0" w:color="auto"/>
        <w:right w:val="none" w:sz="0" w:space="0" w:color="auto"/>
      </w:divBdr>
      <w:divsChild>
        <w:div w:id="264654132">
          <w:marLeft w:val="0"/>
          <w:marRight w:val="0"/>
          <w:marTop w:val="0"/>
          <w:marBottom w:val="0"/>
          <w:divBdr>
            <w:top w:val="none" w:sz="0" w:space="0" w:color="auto"/>
            <w:left w:val="none" w:sz="0" w:space="0" w:color="auto"/>
            <w:bottom w:val="none" w:sz="0" w:space="0" w:color="auto"/>
            <w:right w:val="none" w:sz="0" w:space="0" w:color="auto"/>
          </w:divBdr>
        </w:div>
      </w:divsChild>
    </w:div>
    <w:div w:id="1825124915">
      <w:marLeft w:val="0"/>
      <w:marRight w:val="0"/>
      <w:marTop w:val="0"/>
      <w:marBottom w:val="0"/>
      <w:divBdr>
        <w:top w:val="none" w:sz="0" w:space="0" w:color="auto"/>
        <w:left w:val="none" w:sz="0" w:space="0" w:color="auto"/>
        <w:bottom w:val="none" w:sz="0" w:space="0" w:color="auto"/>
        <w:right w:val="none" w:sz="0" w:space="0" w:color="auto"/>
      </w:divBdr>
    </w:div>
    <w:div w:id="1827161672">
      <w:marLeft w:val="0"/>
      <w:marRight w:val="0"/>
      <w:marTop w:val="120"/>
      <w:marBottom w:val="0"/>
      <w:divBdr>
        <w:top w:val="none" w:sz="0" w:space="0" w:color="auto"/>
        <w:left w:val="none" w:sz="0" w:space="0" w:color="auto"/>
        <w:bottom w:val="none" w:sz="0" w:space="0" w:color="auto"/>
        <w:right w:val="none" w:sz="0" w:space="0" w:color="auto"/>
      </w:divBdr>
    </w:div>
    <w:div w:id="1832678560">
      <w:marLeft w:val="0"/>
      <w:marRight w:val="0"/>
      <w:marTop w:val="120"/>
      <w:marBottom w:val="0"/>
      <w:divBdr>
        <w:top w:val="none" w:sz="0" w:space="0" w:color="auto"/>
        <w:left w:val="none" w:sz="0" w:space="0" w:color="auto"/>
        <w:bottom w:val="none" w:sz="0" w:space="0" w:color="auto"/>
        <w:right w:val="none" w:sz="0" w:space="0" w:color="auto"/>
      </w:divBdr>
    </w:div>
    <w:div w:id="1837650024">
      <w:marLeft w:val="0"/>
      <w:marRight w:val="0"/>
      <w:marTop w:val="0"/>
      <w:marBottom w:val="0"/>
      <w:divBdr>
        <w:top w:val="none" w:sz="0" w:space="0" w:color="auto"/>
        <w:left w:val="none" w:sz="0" w:space="0" w:color="auto"/>
        <w:bottom w:val="none" w:sz="0" w:space="0" w:color="auto"/>
        <w:right w:val="none" w:sz="0" w:space="0" w:color="auto"/>
      </w:divBdr>
      <w:divsChild>
        <w:div w:id="2141609023">
          <w:marLeft w:val="0"/>
          <w:marRight w:val="0"/>
          <w:marTop w:val="0"/>
          <w:marBottom w:val="0"/>
          <w:divBdr>
            <w:top w:val="none" w:sz="0" w:space="0" w:color="auto"/>
            <w:left w:val="none" w:sz="0" w:space="0" w:color="auto"/>
            <w:bottom w:val="none" w:sz="0" w:space="0" w:color="auto"/>
            <w:right w:val="none" w:sz="0" w:space="0" w:color="auto"/>
          </w:divBdr>
        </w:div>
      </w:divsChild>
    </w:div>
    <w:div w:id="1838223407">
      <w:marLeft w:val="0"/>
      <w:marRight w:val="0"/>
      <w:marTop w:val="120"/>
      <w:marBottom w:val="0"/>
      <w:divBdr>
        <w:top w:val="none" w:sz="0" w:space="0" w:color="auto"/>
        <w:left w:val="none" w:sz="0" w:space="0" w:color="auto"/>
        <w:bottom w:val="none" w:sz="0" w:space="0" w:color="auto"/>
        <w:right w:val="none" w:sz="0" w:space="0" w:color="auto"/>
      </w:divBdr>
    </w:div>
    <w:div w:id="1842157692">
      <w:marLeft w:val="0"/>
      <w:marRight w:val="0"/>
      <w:marTop w:val="120"/>
      <w:marBottom w:val="120"/>
      <w:divBdr>
        <w:top w:val="none" w:sz="0" w:space="0" w:color="auto"/>
        <w:left w:val="none" w:sz="0" w:space="0" w:color="auto"/>
        <w:bottom w:val="none" w:sz="0" w:space="0" w:color="auto"/>
        <w:right w:val="none" w:sz="0" w:space="0" w:color="auto"/>
      </w:divBdr>
    </w:div>
    <w:div w:id="1847285313">
      <w:marLeft w:val="0"/>
      <w:marRight w:val="0"/>
      <w:marTop w:val="240"/>
      <w:marBottom w:val="120"/>
      <w:divBdr>
        <w:top w:val="none" w:sz="0" w:space="0" w:color="auto"/>
        <w:left w:val="none" w:sz="0" w:space="0" w:color="auto"/>
        <w:bottom w:val="none" w:sz="0" w:space="0" w:color="auto"/>
        <w:right w:val="none" w:sz="0" w:space="0" w:color="auto"/>
      </w:divBdr>
    </w:div>
    <w:div w:id="1853254395">
      <w:marLeft w:val="0"/>
      <w:marRight w:val="0"/>
      <w:marTop w:val="180"/>
      <w:marBottom w:val="120"/>
      <w:divBdr>
        <w:top w:val="none" w:sz="0" w:space="0" w:color="auto"/>
        <w:left w:val="none" w:sz="0" w:space="0" w:color="auto"/>
        <w:bottom w:val="none" w:sz="0" w:space="0" w:color="auto"/>
        <w:right w:val="none" w:sz="0" w:space="0" w:color="auto"/>
      </w:divBdr>
    </w:div>
    <w:div w:id="1853563962">
      <w:marLeft w:val="0"/>
      <w:marRight w:val="0"/>
      <w:marTop w:val="120"/>
      <w:marBottom w:val="120"/>
      <w:divBdr>
        <w:top w:val="none" w:sz="0" w:space="0" w:color="auto"/>
        <w:left w:val="none" w:sz="0" w:space="0" w:color="auto"/>
        <w:bottom w:val="none" w:sz="0" w:space="0" w:color="auto"/>
        <w:right w:val="none" w:sz="0" w:space="0" w:color="auto"/>
      </w:divBdr>
    </w:div>
    <w:div w:id="1854221043">
      <w:marLeft w:val="0"/>
      <w:marRight w:val="0"/>
      <w:marTop w:val="120"/>
      <w:marBottom w:val="0"/>
      <w:divBdr>
        <w:top w:val="none" w:sz="0" w:space="0" w:color="auto"/>
        <w:left w:val="none" w:sz="0" w:space="0" w:color="auto"/>
        <w:bottom w:val="none" w:sz="0" w:space="0" w:color="auto"/>
        <w:right w:val="none" w:sz="0" w:space="0" w:color="auto"/>
      </w:divBdr>
    </w:div>
    <w:div w:id="1855919940">
      <w:marLeft w:val="0"/>
      <w:marRight w:val="0"/>
      <w:marTop w:val="0"/>
      <w:marBottom w:val="0"/>
      <w:divBdr>
        <w:top w:val="none" w:sz="0" w:space="0" w:color="auto"/>
        <w:left w:val="none" w:sz="0" w:space="0" w:color="auto"/>
        <w:bottom w:val="none" w:sz="0" w:space="0" w:color="auto"/>
        <w:right w:val="none" w:sz="0" w:space="0" w:color="auto"/>
      </w:divBdr>
    </w:div>
    <w:div w:id="1858227727">
      <w:marLeft w:val="0"/>
      <w:marRight w:val="0"/>
      <w:marTop w:val="120"/>
      <w:marBottom w:val="120"/>
      <w:divBdr>
        <w:top w:val="none" w:sz="0" w:space="0" w:color="auto"/>
        <w:left w:val="none" w:sz="0" w:space="0" w:color="auto"/>
        <w:bottom w:val="none" w:sz="0" w:space="0" w:color="auto"/>
        <w:right w:val="none" w:sz="0" w:space="0" w:color="auto"/>
      </w:divBdr>
    </w:div>
    <w:div w:id="1860312034">
      <w:marLeft w:val="0"/>
      <w:marRight w:val="0"/>
      <w:marTop w:val="120"/>
      <w:marBottom w:val="0"/>
      <w:divBdr>
        <w:top w:val="none" w:sz="0" w:space="0" w:color="auto"/>
        <w:left w:val="none" w:sz="0" w:space="0" w:color="auto"/>
        <w:bottom w:val="none" w:sz="0" w:space="0" w:color="auto"/>
        <w:right w:val="none" w:sz="0" w:space="0" w:color="auto"/>
      </w:divBdr>
    </w:div>
    <w:div w:id="1860926069">
      <w:marLeft w:val="0"/>
      <w:marRight w:val="0"/>
      <w:marTop w:val="120"/>
      <w:marBottom w:val="0"/>
      <w:divBdr>
        <w:top w:val="none" w:sz="0" w:space="0" w:color="auto"/>
        <w:left w:val="none" w:sz="0" w:space="0" w:color="auto"/>
        <w:bottom w:val="none" w:sz="0" w:space="0" w:color="auto"/>
        <w:right w:val="none" w:sz="0" w:space="0" w:color="auto"/>
      </w:divBdr>
    </w:div>
    <w:div w:id="1866214091">
      <w:marLeft w:val="0"/>
      <w:marRight w:val="0"/>
      <w:marTop w:val="120"/>
      <w:marBottom w:val="0"/>
      <w:divBdr>
        <w:top w:val="none" w:sz="0" w:space="0" w:color="auto"/>
        <w:left w:val="none" w:sz="0" w:space="0" w:color="auto"/>
        <w:bottom w:val="none" w:sz="0" w:space="0" w:color="auto"/>
        <w:right w:val="none" w:sz="0" w:space="0" w:color="auto"/>
      </w:divBdr>
    </w:div>
    <w:div w:id="1869484166">
      <w:marLeft w:val="0"/>
      <w:marRight w:val="0"/>
      <w:marTop w:val="0"/>
      <w:marBottom w:val="120"/>
      <w:divBdr>
        <w:top w:val="none" w:sz="0" w:space="0" w:color="auto"/>
        <w:left w:val="none" w:sz="0" w:space="0" w:color="auto"/>
        <w:bottom w:val="none" w:sz="0" w:space="0" w:color="auto"/>
        <w:right w:val="none" w:sz="0" w:space="0" w:color="auto"/>
      </w:divBdr>
    </w:div>
    <w:div w:id="1869757494">
      <w:marLeft w:val="0"/>
      <w:marRight w:val="0"/>
      <w:marTop w:val="120"/>
      <w:marBottom w:val="120"/>
      <w:divBdr>
        <w:top w:val="none" w:sz="0" w:space="0" w:color="auto"/>
        <w:left w:val="none" w:sz="0" w:space="0" w:color="auto"/>
        <w:bottom w:val="none" w:sz="0" w:space="0" w:color="auto"/>
        <w:right w:val="none" w:sz="0" w:space="0" w:color="auto"/>
      </w:divBdr>
    </w:div>
    <w:div w:id="1873571538">
      <w:marLeft w:val="0"/>
      <w:marRight w:val="0"/>
      <w:marTop w:val="0"/>
      <w:marBottom w:val="0"/>
      <w:divBdr>
        <w:top w:val="none" w:sz="0" w:space="0" w:color="auto"/>
        <w:left w:val="none" w:sz="0" w:space="0" w:color="auto"/>
        <w:bottom w:val="none" w:sz="0" w:space="0" w:color="auto"/>
        <w:right w:val="none" w:sz="0" w:space="0" w:color="auto"/>
      </w:divBdr>
    </w:div>
    <w:div w:id="1873956332">
      <w:marLeft w:val="0"/>
      <w:marRight w:val="0"/>
      <w:marTop w:val="0"/>
      <w:marBottom w:val="0"/>
      <w:divBdr>
        <w:top w:val="none" w:sz="0" w:space="0" w:color="auto"/>
        <w:left w:val="none" w:sz="0" w:space="0" w:color="auto"/>
        <w:bottom w:val="none" w:sz="0" w:space="0" w:color="auto"/>
        <w:right w:val="none" w:sz="0" w:space="0" w:color="auto"/>
      </w:divBdr>
      <w:divsChild>
        <w:div w:id="1526871113">
          <w:marLeft w:val="0"/>
          <w:marRight w:val="0"/>
          <w:marTop w:val="0"/>
          <w:marBottom w:val="0"/>
          <w:divBdr>
            <w:top w:val="none" w:sz="0" w:space="0" w:color="auto"/>
            <w:left w:val="none" w:sz="0" w:space="0" w:color="auto"/>
            <w:bottom w:val="none" w:sz="0" w:space="0" w:color="auto"/>
            <w:right w:val="none" w:sz="0" w:space="0" w:color="auto"/>
          </w:divBdr>
        </w:div>
      </w:divsChild>
    </w:div>
    <w:div w:id="1875579842">
      <w:marLeft w:val="0"/>
      <w:marRight w:val="0"/>
      <w:marTop w:val="0"/>
      <w:marBottom w:val="0"/>
      <w:divBdr>
        <w:top w:val="none" w:sz="0" w:space="0" w:color="auto"/>
        <w:left w:val="none" w:sz="0" w:space="0" w:color="auto"/>
        <w:bottom w:val="none" w:sz="0" w:space="0" w:color="auto"/>
        <w:right w:val="none" w:sz="0" w:space="0" w:color="auto"/>
      </w:divBdr>
      <w:divsChild>
        <w:div w:id="1383365056">
          <w:marLeft w:val="0"/>
          <w:marRight w:val="0"/>
          <w:marTop w:val="0"/>
          <w:marBottom w:val="0"/>
          <w:divBdr>
            <w:top w:val="none" w:sz="0" w:space="0" w:color="auto"/>
            <w:left w:val="none" w:sz="0" w:space="0" w:color="auto"/>
            <w:bottom w:val="none" w:sz="0" w:space="0" w:color="auto"/>
            <w:right w:val="none" w:sz="0" w:space="0" w:color="auto"/>
          </w:divBdr>
        </w:div>
      </w:divsChild>
    </w:div>
    <w:div w:id="1875924145">
      <w:marLeft w:val="0"/>
      <w:marRight w:val="0"/>
      <w:marTop w:val="120"/>
      <w:marBottom w:val="0"/>
      <w:divBdr>
        <w:top w:val="none" w:sz="0" w:space="0" w:color="auto"/>
        <w:left w:val="none" w:sz="0" w:space="0" w:color="auto"/>
        <w:bottom w:val="none" w:sz="0" w:space="0" w:color="auto"/>
        <w:right w:val="none" w:sz="0" w:space="0" w:color="auto"/>
      </w:divBdr>
    </w:div>
    <w:div w:id="1878159419">
      <w:marLeft w:val="0"/>
      <w:marRight w:val="0"/>
      <w:marTop w:val="0"/>
      <w:marBottom w:val="0"/>
      <w:divBdr>
        <w:top w:val="none" w:sz="0" w:space="0" w:color="auto"/>
        <w:left w:val="none" w:sz="0" w:space="0" w:color="auto"/>
        <w:bottom w:val="none" w:sz="0" w:space="0" w:color="auto"/>
        <w:right w:val="none" w:sz="0" w:space="0" w:color="auto"/>
      </w:divBdr>
    </w:div>
    <w:div w:id="1878541927">
      <w:marLeft w:val="0"/>
      <w:marRight w:val="0"/>
      <w:marTop w:val="0"/>
      <w:marBottom w:val="0"/>
      <w:divBdr>
        <w:top w:val="none" w:sz="0" w:space="0" w:color="auto"/>
        <w:left w:val="none" w:sz="0" w:space="0" w:color="auto"/>
        <w:bottom w:val="none" w:sz="0" w:space="0" w:color="auto"/>
        <w:right w:val="none" w:sz="0" w:space="0" w:color="auto"/>
      </w:divBdr>
      <w:divsChild>
        <w:div w:id="1499732079">
          <w:marLeft w:val="0"/>
          <w:marRight w:val="0"/>
          <w:marTop w:val="0"/>
          <w:marBottom w:val="0"/>
          <w:divBdr>
            <w:top w:val="none" w:sz="0" w:space="0" w:color="auto"/>
            <w:left w:val="none" w:sz="0" w:space="0" w:color="auto"/>
            <w:bottom w:val="none" w:sz="0" w:space="0" w:color="auto"/>
            <w:right w:val="none" w:sz="0" w:space="0" w:color="auto"/>
          </w:divBdr>
        </w:div>
      </w:divsChild>
    </w:div>
    <w:div w:id="1879462964">
      <w:marLeft w:val="0"/>
      <w:marRight w:val="0"/>
      <w:marTop w:val="120"/>
      <w:marBottom w:val="0"/>
      <w:divBdr>
        <w:top w:val="none" w:sz="0" w:space="0" w:color="auto"/>
        <w:left w:val="none" w:sz="0" w:space="0" w:color="auto"/>
        <w:bottom w:val="none" w:sz="0" w:space="0" w:color="auto"/>
        <w:right w:val="none" w:sz="0" w:space="0" w:color="auto"/>
      </w:divBdr>
    </w:div>
    <w:div w:id="1882748659">
      <w:marLeft w:val="0"/>
      <w:marRight w:val="0"/>
      <w:marTop w:val="0"/>
      <w:marBottom w:val="0"/>
      <w:divBdr>
        <w:top w:val="none" w:sz="0" w:space="0" w:color="auto"/>
        <w:left w:val="none" w:sz="0" w:space="0" w:color="auto"/>
        <w:bottom w:val="none" w:sz="0" w:space="0" w:color="auto"/>
        <w:right w:val="none" w:sz="0" w:space="0" w:color="auto"/>
      </w:divBdr>
      <w:divsChild>
        <w:div w:id="1621033693">
          <w:marLeft w:val="0"/>
          <w:marRight w:val="0"/>
          <w:marTop w:val="0"/>
          <w:marBottom w:val="0"/>
          <w:divBdr>
            <w:top w:val="none" w:sz="0" w:space="0" w:color="auto"/>
            <w:left w:val="none" w:sz="0" w:space="0" w:color="auto"/>
            <w:bottom w:val="none" w:sz="0" w:space="0" w:color="auto"/>
            <w:right w:val="none" w:sz="0" w:space="0" w:color="auto"/>
          </w:divBdr>
        </w:div>
      </w:divsChild>
    </w:div>
    <w:div w:id="1882862508">
      <w:marLeft w:val="0"/>
      <w:marRight w:val="0"/>
      <w:marTop w:val="120"/>
      <w:marBottom w:val="120"/>
      <w:divBdr>
        <w:top w:val="none" w:sz="0" w:space="0" w:color="auto"/>
        <w:left w:val="none" w:sz="0" w:space="0" w:color="auto"/>
        <w:bottom w:val="none" w:sz="0" w:space="0" w:color="auto"/>
        <w:right w:val="none" w:sz="0" w:space="0" w:color="auto"/>
      </w:divBdr>
    </w:div>
    <w:div w:id="1884946523">
      <w:marLeft w:val="0"/>
      <w:marRight w:val="0"/>
      <w:marTop w:val="120"/>
      <w:marBottom w:val="120"/>
      <w:divBdr>
        <w:top w:val="none" w:sz="0" w:space="0" w:color="auto"/>
        <w:left w:val="none" w:sz="0" w:space="0" w:color="auto"/>
        <w:bottom w:val="none" w:sz="0" w:space="0" w:color="auto"/>
        <w:right w:val="none" w:sz="0" w:space="0" w:color="auto"/>
      </w:divBdr>
    </w:div>
    <w:div w:id="1888566806">
      <w:marLeft w:val="0"/>
      <w:marRight w:val="0"/>
      <w:marTop w:val="120"/>
      <w:marBottom w:val="120"/>
      <w:divBdr>
        <w:top w:val="none" w:sz="0" w:space="0" w:color="auto"/>
        <w:left w:val="none" w:sz="0" w:space="0" w:color="auto"/>
        <w:bottom w:val="none" w:sz="0" w:space="0" w:color="auto"/>
        <w:right w:val="none" w:sz="0" w:space="0" w:color="auto"/>
      </w:divBdr>
    </w:div>
    <w:div w:id="1888642208">
      <w:marLeft w:val="0"/>
      <w:marRight w:val="0"/>
      <w:marTop w:val="120"/>
      <w:marBottom w:val="120"/>
      <w:divBdr>
        <w:top w:val="none" w:sz="0" w:space="0" w:color="auto"/>
        <w:left w:val="none" w:sz="0" w:space="0" w:color="auto"/>
        <w:bottom w:val="none" w:sz="0" w:space="0" w:color="auto"/>
        <w:right w:val="none" w:sz="0" w:space="0" w:color="auto"/>
      </w:divBdr>
    </w:div>
    <w:div w:id="1889216523">
      <w:marLeft w:val="0"/>
      <w:marRight w:val="0"/>
      <w:marTop w:val="120"/>
      <w:marBottom w:val="120"/>
      <w:divBdr>
        <w:top w:val="none" w:sz="0" w:space="0" w:color="auto"/>
        <w:left w:val="none" w:sz="0" w:space="0" w:color="auto"/>
        <w:bottom w:val="none" w:sz="0" w:space="0" w:color="auto"/>
        <w:right w:val="none" w:sz="0" w:space="0" w:color="auto"/>
      </w:divBdr>
    </w:div>
    <w:div w:id="1893998294">
      <w:marLeft w:val="0"/>
      <w:marRight w:val="0"/>
      <w:marTop w:val="0"/>
      <w:marBottom w:val="0"/>
      <w:divBdr>
        <w:top w:val="none" w:sz="0" w:space="0" w:color="auto"/>
        <w:left w:val="none" w:sz="0" w:space="0" w:color="auto"/>
        <w:bottom w:val="none" w:sz="0" w:space="0" w:color="auto"/>
        <w:right w:val="none" w:sz="0" w:space="0" w:color="auto"/>
      </w:divBdr>
    </w:div>
    <w:div w:id="1895040756">
      <w:marLeft w:val="0"/>
      <w:marRight w:val="0"/>
      <w:marTop w:val="120"/>
      <w:marBottom w:val="120"/>
      <w:divBdr>
        <w:top w:val="none" w:sz="0" w:space="0" w:color="auto"/>
        <w:left w:val="none" w:sz="0" w:space="0" w:color="auto"/>
        <w:bottom w:val="none" w:sz="0" w:space="0" w:color="auto"/>
        <w:right w:val="none" w:sz="0" w:space="0" w:color="auto"/>
      </w:divBdr>
    </w:div>
    <w:div w:id="1895237922">
      <w:marLeft w:val="0"/>
      <w:marRight w:val="0"/>
      <w:marTop w:val="0"/>
      <w:marBottom w:val="0"/>
      <w:divBdr>
        <w:top w:val="none" w:sz="0" w:space="0" w:color="auto"/>
        <w:left w:val="none" w:sz="0" w:space="0" w:color="auto"/>
        <w:bottom w:val="none" w:sz="0" w:space="0" w:color="auto"/>
        <w:right w:val="none" w:sz="0" w:space="0" w:color="auto"/>
      </w:divBdr>
      <w:divsChild>
        <w:div w:id="475534007">
          <w:marLeft w:val="0"/>
          <w:marRight w:val="0"/>
          <w:marTop w:val="0"/>
          <w:marBottom w:val="0"/>
          <w:divBdr>
            <w:top w:val="none" w:sz="0" w:space="0" w:color="auto"/>
            <w:left w:val="none" w:sz="0" w:space="0" w:color="auto"/>
            <w:bottom w:val="none" w:sz="0" w:space="0" w:color="auto"/>
            <w:right w:val="none" w:sz="0" w:space="0" w:color="auto"/>
          </w:divBdr>
        </w:div>
      </w:divsChild>
    </w:div>
    <w:div w:id="1899319511">
      <w:marLeft w:val="0"/>
      <w:marRight w:val="0"/>
      <w:marTop w:val="0"/>
      <w:marBottom w:val="0"/>
      <w:divBdr>
        <w:top w:val="none" w:sz="0" w:space="0" w:color="auto"/>
        <w:left w:val="none" w:sz="0" w:space="0" w:color="auto"/>
        <w:bottom w:val="none" w:sz="0" w:space="0" w:color="auto"/>
        <w:right w:val="none" w:sz="0" w:space="0" w:color="auto"/>
      </w:divBdr>
      <w:divsChild>
        <w:div w:id="2050295598">
          <w:marLeft w:val="0"/>
          <w:marRight w:val="0"/>
          <w:marTop w:val="0"/>
          <w:marBottom w:val="0"/>
          <w:divBdr>
            <w:top w:val="none" w:sz="0" w:space="0" w:color="auto"/>
            <w:left w:val="none" w:sz="0" w:space="0" w:color="auto"/>
            <w:bottom w:val="none" w:sz="0" w:space="0" w:color="auto"/>
            <w:right w:val="none" w:sz="0" w:space="0" w:color="auto"/>
          </w:divBdr>
        </w:div>
      </w:divsChild>
    </w:div>
    <w:div w:id="1899895460">
      <w:marLeft w:val="0"/>
      <w:marRight w:val="0"/>
      <w:marTop w:val="120"/>
      <w:marBottom w:val="120"/>
      <w:divBdr>
        <w:top w:val="none" w:sz="0" w:space="0" w:color="auto"/>
        <w:left w:val="none" w:sz="0" w:space="0" w:color="auto"/>
        <w:bottom w:val="none" w:sz="0" w:space="0" w:color="auto"/>
        <w:right w:val="none" w:sz="0" w:space="0" w:color="auto"/>
      </w:divBdr>
    </w:div>
    <w:div w:id="1901673452">
      <w:marLeft w:val="0"/>
      <w:marRight w:val="0"/>
      <w:marTop w:val="120"/>
      <w:marBottom w:val="0"/>
      <w:divBdr>
        <w:top w:val="none" w:sz="0" w:space="0" w:color="auto"/>
        <w:left w:val="none" w:sz="0" w:space="0" w:color="auto"/>
        <w:bottom w:val="none" w:sz="0" w:space="0" w:color="auto"/>
        <w:right w:val="none" w:sz="0" w:space="0" w:color="auto"/>
      </w:divBdr>
    </w:div>
    <w:div w:id="1905404775">
      <w:marLeft w:val="0"/>
      <w:marRight w:val="0"/>
      <w:marTop w:val="120"/>
      <w:marBottom w:val="120"/>
      <w:divBdr>
        <w:top w:val="none" w:sz="0" w:space="0" w:color="auto"/>
        <w:left w:val="none" w:sz="0" w:space="0" w:color="auto"/>
        <w:bottom w:val="none" w:sz="0" w:space="0" w:color="auto"/>
        <w:right w:val="none" w:sz="0" w:space="0" w:color="auto"/>
      </w:divBdr>
    </w:div>
    <w:div w:id="1907256536">
      <w:marLeft w:val="0"/>
      <w:marRight w:val="0"/>
      <w:marTop w:val="0"/>
      <w:marBottom w:val="0"/>
      <w:divBdr>
        <w:top w:val="none" w:sz="0" w:space="0" w:color="auto"/>
        <w:left w:val="none" w:sz="0" w:space="0" w:color="auto"/>
        <w:bottom w:val="none" w:sz="0" w:space="0" w:color="auto"/>
        <w:right w:val="none" w:sz="0" w:space="0" w:color="auto"/>
      </w:divBdr>
      <w:divsChild>
        <w:div w:id="399249700">
          <w:marLeft w:val="0"/>
          <w:marRight w:val="0"/>
          <w:marTop w:val="0"/>
          <w:marBottom w:val="0"/>
          <w:divBdr>
            <w:top w:val="none" w:sz="0" w:space="0" w:color="auto"/>
            <w:left w:val="none" w:sz="0" w:space="0" w:color="auto"/>
            <w:bottom w:val="none" w:sz="0" w:space="0" w:color="auto"/>
            <w:right w:val="none" w:sz="0" w:space="0" w:color="auto"/>
          </w:divBdr>
        </w:div>
      </w:divsChild>
    </w:div>
    <w:div w:id="1912735309">
      <w:marLeft w:val="0"/>
      <w:marRight w:val="0"/>
      <w:marTop w:val="0"/>
      <w:marBottom w:val="0"/>
      <w:divBdr>
        <w:top w:val="none" w:sz="0" w:space="0" w:color="auto"/>
        <w:left w:val="none" w:sz="0" w:space="0" w:color="auto"/>
        <w:bottom w:val="none" w:sz="0" w:space="0" w:color="auto"/>
        <w:right w:val="none" w:sz="0" w:space="0" w:color="auto"/>
      </w:divBdr>
      <w:divsChild>
        <w:div w:id="1557819433">
          <w:marLeft w:val="0"/>
          <w:marRight w:val="0"/>
          <w:marTop w:val="0"/>
          <w:marBottom w:val="0"/>
          <w:divBdr>
            <w:top w:val="none" w:sz="0" w:space="0" w:color="auto"/>
            <w:left w:val="none" w:sz="0" w:space="0" w:color="auto"/>
            <w:bottom w:val="none" w:sz="0" w:space="0" w:color="auto"/>
            <w:right w:val="none" w:sz="0" w:space="0" w:color="auto"/>
          </w:divBdr>
        </w:div>
      </w:divsChild>
    </w:div>
    <w:div w:id="1914006856">
      <w:marLeft w:val="0"/>
      <w:marRight w:val="0"/>
      <w:marTop w:val="120"/>
      <w:marBottom w:val="120"/>
      <w:divBdr>
        <w:top w:val="none" w:sz="0" w:space="0" w:color="auto"/>
        <w:left w:val="none" w:sz="0" w:space="0" w:color="auto"/>
        <w:bottom w:val="none" w:sz="0" w:space="0" w:color="auto"/>
        <w:right w:val="none" w:sz="0" w:space="0" w:color="auto"/>
      </w:divBdr>
    </w:div>
    <w:div w:id="1915972849">
      <w:marLeft w:val="0"/>
      <w:marRight w:val="0"/>
      <w:marTop w:val="120"/>
      <w:marBottom w:val="0"/>
      <w:divBdr>
        <w:top w:val="none" w:sz="0" w:space="0" w:color="auto"/>
        <w:left w:val="none" w:sz="0" w:space="0" w:color="auto"/>
        <w:bottom w:val="none" w:sz="0" w:space="0" w:color="auto"/>
        <w:right w:val="none" w:sz="0" w:space="0" w:color="auto"/>
      </w:divBdr>
    </w:div>
    <w:div w:id="1917398924">
      <w:marLeft w:val="0"/>
      <w:marRight w:val="0"/>
      <w:marTop w:val="120"/>
      <w:marBottom w:val="0"/>
      <w:divBdr>
        <w:top w:val="none" w:sz="0" w:space="0" w:color="auto"/>
        <w:left w:val="none" w:sz="0" w:space="0" w:color="auto"/>
        <w:bottom w:val="none" w:sz="0" w:space="0" w:color="auto"/>
        <w:right w:val="none" w:sz="0" w:space="0" w:color="auto"/>
      </w:divBdr>
    </w:div>
    <w:div w:id="1918132210">
      <w:marLeft w:val="0"/>
      <w:marRight w:val="0"/>
      <w:marTop w:val="0"/>
      <w:marBottom w:val="0"/>
      <w:divBdr>
        <w:top w:val="none" w:sz="0" w:space="0" w:color="auto"/>
        <w:left w:val="none" w:sz="0" w:space="0" w:color="auto"/>
        <w:bottom w:val="none" w:sz="0" w:space="0" w:color="auto"/>
        <w:right w:val="none" w:sz="0" w:space="0" w:color="auto"/>
      </w:divBdr>
      <w:divsChild>
        <w:div w:id="101849660">
          <w:marLeft w:val="0"/>
          <w:marRight w:val="0"/>
          <w:marTop w:val="0"/>
          <w:marBottom w:val="0"/>
          <w:divBdr>
            <w:top w:val="none" w:sz="0" w:space="0" w:color="auto"/>
            <w:left w:val="none" w:sz="0" w:space="0" w:color="auto"/>
            <w:bottom w:val="none" w:sz="0" w:space="0" w:color="auto"/>
            <w:right w:val="none" w:sz="0" w:space="0" w:color="auto"/>
          </w:divBdr>
        </w:div>
      </w:divsChild>
    </w:div>
    <w:div w:id="1920794675">
      <w:marLeft w:val="0"/>
      <w:marRight w:val="0"/>
      <w:marTop w:val="240"/>
      <w:marBottom w:val="120"/>
      <w:divBdr>
        <w:top w:val="none" w:sz="0" w:space="0" w:color="auto"/>
        <w:left w:val="none" w:sz="0" w:space="0" w:color="auto"/>
        <w:bottom w:val="none" w:sz="0" w:space="0" w:color="auto"/>
        <w:right w:val="none" w:sz="0" w:space="0" w:color="auto"/>
      </w:divBdr>
    </w:div>
    <w:div w:id="1922253616">
      <w:marLeft w:val="0"/>
      <w:marRight w:val="0"/>
      <w:marTop w:val="180"/>
      <w:marBottom w:val="120"/>
      <w:divBdr>
        <w:top w:val="none" w:sz="0" w:space="0" w:color="auto"/>
        <w:left w:val="none" w:sz="0" w:space="0" w:color="auto"/>
        <w:bottom w:val="none" w:sz="0" w:space="0" w:color="auto"/>
        <w:right w:val="none" w:sz="0" w:space="0" w:color="auto"/>
      </w:divBdr>
    </w:div>
    <w:div w:id="1923483812">
      <w:marLeft w:val="0"/>
      <w:marRight w:val="0"/>
      <w:marTop w:val="120"/>
      <w:marBottom w:val="0"/>
      <w:divBdr>
        <w:top w:val="none" w:sz="0" w:space="0" w:color="auto"/>
        <w:left w:val="none" w:sz="0" w:space="0" w:color="auto"/>
        <w:bottom w:val="none" w:sz="0" w:space="0" w:color="auto"/>
        <w:right w:val="none" w:sz="0" w:space="0" w:color="auto"/>
      </w:divBdr>
    </w:div>
    <w:div w:id="1924800664">
      <w:marLeft w:val="0"/>
      <w:marRight w:val="0"/>
      <w:marTop w:val="120"/>
      <w:marBottom w:val="0"/>
      <w:divBdr>
        <w:top w:val="none" w:sz="0" w:space="0" w:color="auto"/>
        <w:left w:val="none" w:sz="0" w:space="0" w:color="auto"/>
        <w:bottom w:val="none" w:sz="0" w:space="0" w:color="auto"/>
        <w:right w:val="none" w:sz="0" w:space="0" w:color="auto"/>
      </w:divBdr>
    </w:div>
    <w:div w:id="1927422713">
      <w:marLeft w:val="0"/>
      <w:marRight w:val="0"/>
      <w:marTop w:val="120"/>
      <w:marBottom w:val="120"/>
      <w:divBdr>
        <w:top w:val="none" w:sz="0" w:space="0" w:color="auto"/>
        <w:left w:val="none" w:sz="0" w:space="0" w:color="auto"/>
        <w:bottom w:val="none" w:sz="0" w:space="0" w:color="auto"/>
        <w:right w:val="none" w:sz="0" w:space="0" w:color="auto"/>
      </w:divBdr>
    </w:div>
    <w:div w:id="1928222525">
      <w:marLeft w:val="0"/>
      <w:marRight w:val="0"/>
      <w:marTop w:val="0"/>
      <w:marBottom w:val="0"/>
      <w:divBdr>
        <w:top w:val="none" w:sz="0" w:space="0" w:color="auto"/>
        <w:left w:val="none" w:sz="0" w:space="0" w:color="auto"/>
        <w:bottom w:val="none" w:sz="0" w:space="0" w:color="auto"/>
        <w:right w:val="none" w:sz="0" w:space="0" w:color="auto"/>
      </w:divBdr>
    </w:div>
    <w:div w:id="1930118531">
      <w:marLeft w:val="0"/>
      <w:marRight w:val="0"/>
      <w:marTop w:val="120"/>
      <w:marBottom w:val="120"/>
      <w:divBdr>
        <w:top w:val="none" w:sz="0" w:space="0" w:color="auto"/>
        <w:left w:val="none" w:sz="0" w:space="0" w:color="auto"/>
        <w:bottom w:val="none" w:sz="0" w:space="0" w:color="auto"/>
        <w:right w:val="none" w:sz="0" w:space="0" w:color="auto"/>
      </w:divBdr>
    </w:div>
    <w:div w:id="1930889530">
      <w:marLeft w:val="0"/>
      <w:marRight w:val="0"/>
      <w:marTop w:val="0"/>
      <w:marBottom w:val="0"/>
      <w:divBdr>
        <w:top w:val="none" w:sz="0" w:space="0" w:color="auto"/>
        <w:left w:val="none" w:sz="0" w:space="0" w:color="auto"/>
        <w:bottom w:val="none" w:sz="0" w:space="0" w:color="auto"/>
        <w:right w:val="none" w:sz="0" w:space="0" w:color="auto"/>
      </w:divBdr>
    </w:div>
    <w:div w:id="1931087185">
      <w:marLeft w:val="0"/>
      <w:marRight w:val="0"/>
      <w:marTop w:val="0"/>
      <w:marBottom w:val="0"/>
      <w:divBdr>
        <w:top w:val="none" w:sz="0" w:space="0" w:color="auto"/>
        <w:left w:val="none" w:sz="0" w:space="0" w:color="auto"/>
        <w:bottom w:val="none" w:sz="0" w:space="0" w:color="auto"/>
        <w:right w:val="none" w:sz="0" w:space="0" w:color="auto"/>
      </w:divBdr>
      <w:divsChild>
        <w:div w:id="1393772055">
          <w:marLeft w:val="0"/>
          <w:marRight w:val="0"/>
          <w:marTop w:val="0"/>
          <w:marBottom w:val="0"/>
          <w:divBdr>
            <w:top w:val="none" w:sz="0" w:space="0" w:color="auto"/>
            <w:left w:val="none" w:sz="0" w:space="0" w:color="auto"/>
            <w:bottom w:val="none" w:sz="0" w:space="0" w:color="auto"/>
            <w:right w:val="none" w:sz="0" w:space="0" w:color="auto"/>
          </w:divBdr>
        </w:div>
      </w:divsChild>
    </w:div>
    <w:div w:id="1944262131">
      <w:marLeft w:val="0"/>
      <w:marRight w:val="0"/>
      <w:marTop w:val="120"/>
      <w:marBottom w:val="0"/>
      <w:divBdr>
        <w:top w:val="none" w:sz="0" w:space="0" w:color="auto"/>
        <w:left w:val="none" w:sz="0" w:space="0" w:color="auto"/>
        <w:bottom w:val="none" w:sz="0" w:space="0" w:color="auto"/>
        <w:right w:val="none" w:sz="0" w:space="0" w:color="auto"/>
      </w:divBdr>
    </w:div>
    <w:div w:id="1944409947">
      <w:marLeft w:val="0"/>
      <w:marRight w:val="0"/>
      <w:marTop w:val="0"/>
      <w:marBottom w:val="0"/>
      <w:divBdr>
        <w:top w:val="none" w:sz="0" w:space="0" w:color="auto"/>
        <w:left w:val="none" w:sz="0" w:space="0" w:color="auto"/>
        <w:bottom w:val="none" w:sz="0" w:space="0" w:color="auto"/>
        <w:right w:val="none" w:sz="0" w:space="0" w:color="auto"/>
      </w:divBdr>
      <w:divsChild>
        <w:div w:id="976882168">
          <w:marLeft w:val="0"/>
          <w:marRight w:val="0"/>
          <w:marTop w:val="0"/>
          <w:marBottom w:val="0"/>
          <w:divBdr>
            <w:top w:val="none" w:sz="0" w:space="0" w:color="auto"/>
            <w:left w:val="none" w:sz="0" w:space="0" w:color="auto"/>
            <w:bottom w:val="none" w:sz="0" w:space="0" w:color="auto"/>
            <w:right w:val="none" w:sz="0" w:space="0" w:color="auto"/>
          </w:divBdr>
        </w:div>
      </w:divsChild>
    </w:div>
    <w:div w:id="1945646784">
      <w:marLeft w:val="0"/>
      <w:marRight w:val="0"/>
      <w:marTop w:val="120"/>
      <w:marBottom w:val="120"/>
      <w:divBdr>
        <w:top w:val="none" w:sz="0" w:space="0" w:color="auto"/>
        <w:left w:val="none" w:sz="0" w:space="0" w:color="auto"/>
        <w:bottom w:val="none" w:sz="0" w:space="0" w:color="auto"/>
        <w:right w:val="none" w:sz="0" w:space="0" w:color="auto"/>
      </w:divBdr>
    </w:div>
    <w:div w:id="1947421128">
      <w:marLeft w:val="0"/>
      <w:marRight w:val="0"/>
      <w:marTop w:val="120"/>
      <w:marBottom w:val="120"/>
      <w:divBdr>
        <w:top w:val="none" w:sz="0" w:space="0" w:color="auto"/>
        <w:left w:val="none" w:sz="0" w:space="0" w:color="auto"/>
        <w:bottom w:val="none" w:sz="0" w:space="0" w:color="auto"/>
        <w:right w:val="none" w:sz="0" w:space="0" w:color="auto"/>
      </w:divBdr>
    </w:div>
    <w:div w:id="1947421966">
      <w:marLeft w:val="0"/>
      <w:marRight w:val="0"/>
      <w:marTop w:val="120"/>
      <w:marBottom w:val="0"/>
      <w:divBdr>
        <w:top w:val="none" w:sz="0" w:space="0" w:color="auto"/>
        <w:left w:val="none" w:sz="0" w:space="0" w:color="auto"/>
        <w:bottom w:val="none" w:sz="0" w:space="0" w:color="auto"/>
        <w:right w:val="none" w:sz="0" w:space="0" w:color="auto"/>
      </w:divBdr>
    </w:div>
    <w:div w:id="1947687044">
      <w:marLeft w:val="0"/>
      <w:marRight w:val="0"/>
      <w:marTop w:val="0"/>
      <w:marBottom w:val="0"/>
      <w:divBdr>
        <w:top w:val="none" w:sz="0" w:space="0" w:color="auto"/>
        <w:left w:val="none" w:sz="0" w:space="0" w:color="auto"/>
        <w:bottom w:val="none" w:sz="0" w:space="0" w:color="auto"/>
        <w:right w:val="none" w:sz="0" w:space="0" w:color="auto"/>
      </w:divBdr>
    </w:div>
    <w:div w:id="1951356743">
      <w:marLeft w:val="0"/>
      <w:marRight w:val="0"/>
      <w:marTop w:val="120"/>
      <w:marBottom w:val="0"/>
      <w:divBdr>
        <w:top w:val="none" w:sz="0" w:space="0" w:color="auto"/>
        <w:left w:val="none" w:sz="0" w:space="0" w:color="auto"/>
        <w:bottom w:val="none" w:sz="0" w:space="0" w:color="auto"/>
        <w:right w:val="none" w:sz="0" w:space="0" w:color="auto"/>
      </w:divBdr>
    </w:div>
    <w:div w:id="1952593329">
      <w:marLeft w:val="0"/>
      <w:marRight w:val="0"/>
      <w:marTop w:val="0"/>
      <w:marBottom w:val="0"/>
      <w:divBdr>
        <w:top w:val="none" w:sz="0" w:space="0" w:color="auto"/>
        <w:left w:val="none" w:sz="0" w:space="0" w:color="auto"/>
        <w:bottom w:val="none" w:sz="0" w:space="0" w:color="auto"/>
        <w:right w:val="none" w:sz="0" w:space="0" w:color="auto"/>
      </w:divBdr>
    </w:div>
    <w:div w:id="1952782960">
      <w:marLeft w:val="0"/>
      <w:marRight w:val="0"/>
      <w:marTop w:val="0"/>
      <w:marBottom w:val="0"/>
      <w:divBdr>
        <w:top w:val="none" w:sz="0" w:space="0" w:color="auto"/>
        <w:left w:val="none" w:sz="0" w:space="0" w:color="auto"/>
        <w:bottom w:val="none" w:sz="0" w:space="0" w:color="auto"/>
        <w:right w:val="none" w:sz="0" w:space="0" w:color="auto"/>
      </w:divBdr>
    </w:div>
    <w:div w:id="1953632246">
      <w:marLeft w:val="0"/>
      <w:marRight w:val="0"/>
      <w:marTop w:val="120"/>
      <w:marBottom w:val="0"/>
      <w:divBdr>
        <w:top w:val="none" w:sz="0" w:space="0" w:color="auto"/>
        <w:left w:val="none" w:sz="0" w:space="0" w:color="auto"/>
        <w:bottom w:val="none" w:sz="0" w:space="0" w:color="auto"/>
        <w:right w:val="none" w:sz="0" w:space="0" w:color="auto"/>
      </w:divBdr>
    </w:div>
    <w:div w:id="1956017287">
      <w:marLeft w:val="0"/>
      <w:marRight w:val="0"/>
      <w:marTop w:val="0"/>
      <w:marBottom w:val="0"/>
      <w:divBdr>
        <w:top w:val="none" w:sz="0" w:space="0" w:color="auto"/>
        <w:left w:val="none" w:sz="0" w:space="0" w:color="auto"/>
        <w:bottom w:val="none" w:sz="0" w:space="0" w:color="auto"/>
        <w:right w:val="none" w:sz="0" w:space="0" w:color="auto"/>
      </w:divBdr>
      <w:divsChild>
        <w:div w:id="327095450">
          <w:marLeft w:val="0"/>
          <w:marRight w:val="0"/>
          <w:marTop w:val="0"/>
          <w:marBottom w:val="0"/>
          <w:divBdr>
            <w:top w:val="none" w:sz="0" w:space="0" w:color="auto"/>
            <w:left w:val="none" w:sz="0" w:space="0" w:color="auto"/>
            <w:bottom w:val="none" w:sz="0" w:space="0" w:color="auto"/>
            <w:right w:val="none" w:sz="0" w:space="0" w:color="auto"/>
          </w:divBdr>
        </w:div>
      </w:divsChild>
    </w:div>
    <w:div w:id="1956790264">
      <w:marLeft w:val="0"/>
      <w:marRight w:val="0"/>
      <w:marTop w:val="120"/>
      <w:marBottom w:val="120"/>
      <w:divBdr>
        <w:top w:val="none" w:sz="0" w:space="0" w:color="auto"/>
        <w:left w:val="none" w:sz="0" w:space="0" w:color="auto"/>
        <w:bottom w:val="none" w:sz="0" w:space="0" w:color="auto"/>
        <w:right w:val="none" w:sz="0" w:space="0" w:color="auto"/>
      </w:divBdr>
    </w:div>
    <w:div w:id="1960338010">
      <w:marLeft w:val="0"/>
      <w:marRight w:val="0"/>
      <w:marTop w:val="120"/>
      <w:marBottom w:val="120"/>
      <w:divBdr>
        <w:top w:val="none" w:sz="0" w:space="0" w:color="auto"/>
        <w:left w:val="none" w:sz="0" w:space="0" w:color="auto"/>
        <w:bottom w:val="none" w:sz="0" w:space="0" w:color="auto"/>
        <w:right w:val="none" w:sz="0" w:space="0" w:color="auto"/>
      </w:divBdr>
    </w:div>
    <w:div w:id="1961372416">
      <w:marLeft w:val="0"/>
      <w:marRight w:val="0"/>
      <w:marTop w:val="0"/>
      <w:marBottom w:val="0"/>
      <w:divBdr>
        <w:top w:val="none" w:sz="0" w:space="0" w:color="auto"/>
        <w:left w:val="none" w:sz="0" w:space="0" w:color="auto"/>
        <w:bottom w:val="none" w:sz="0" w:space="0" w:color="auto"/>
        <w:right w:val="none" w:sz="0" w:space="0" w:color="auto"/>
      </w:divBdr>
    </w:div>
    <w:div w:id="1967226584">
      <w:marLeft w:val="0"/>
      <w:marRight w:val="0"/>
      <w:marTop w:val="120"/>
      <w:marBottom w:val="120"/>
      <w:divBdr>
        <w:top w:val="none" w:sz="0" w:space="0" w:color="auto"/>
        <w:left w:val="none" w:sz="0" w:space="0" w:color="auto"/>
        <w:bottom w:val="none" w:sz="0" w:space="0" w:color="auto"/>
        <w:right w:val="none" w:sz="0" w:space="0" w:color="auto"/>
      </w:divBdr>
    </w:div>
    <w:div w:id="1968929905">
      <w:marLeft w:val="0"/>
      <w:marRight w:val="0"/>
      <w:marTop w:val="0"/>
      <w:marBottom w:val="0"/>
      <w:divBdr>
        <w:top w:val="none" w:sz="0" w:space="0" w:color="auto"/>
        <w:left w:val="none" w:sz="0" w:space="0" w:color="auto"/>
        <w:bottom w:val="none" w:sz="0" w:space="0" w:color="auto"/>
        <w:right w:val="none" w:sz="0" w:space="0" w:color="auto"/>
      </w:divBdr>
    </w:div>
    <w:div w:id="1977031153">
      <w:marLeft w:val="0"/>
      <w:marRight w:val="0"/>
      <w:marTop w:val="120"/>
      <w:marBottom w:val="120"/>
      <w:divBdr>
        <w:top w:val="none" w:sz="0" w:space="0" w:color="auto"/>
        <w:left w:val="none" w:sz="0" w:space="0" w:color="auto"/>
        <w:bottom w:val="none" w:sz="0" w:space="0" w:color="auto"/>
        <w:right w:val="none" w:sz="0" w:space="0" w:color="auto"/>
      </w:divBdr>
    </w:div>
    <w:div w:id="1979146390">
      <w:marLeft w:val="0"/>
      <w:marRight w:val="0"/>
      <w:marTop w:val="120"/>
      <w:marBottom w:val="0"/>
      <w:divBdr>
        <w:top w:val="none" w:sz="0" w:space="0" w:color="auto"/>
        <w:left w:val="none" w:sz="0" w:space="0" w:color="auto"/>
        <w:bottom w:val="none" w:sz="0" w:space="0" w:color="auto"/>
        <w:right w:val="none" w:sz="0" w:space="0" w:color="auto"/>
      </w:divBdr>
    </w:div>
    <w:div w:id="1982228634">
      <w:marLeft w:val="0"/>
      <w:marRight w:val="0"/>
      <w:marTop w:val="120"/>
      <w:marBottom w:val="0"/>
      <w:divBdr>
        <w:top w:val="none" w:sz="0" w:space="0" w:color="auto"/>
        <w:left w:val="none" w:sz="0" w:space="0" w:color="auto"/>
        <w:bottom w:val="none" w:sz="0" w:space="0" w:color="auto"/>
        <w:right w:val="none" w:sz="0" w:space="0" w:color="auto"/>
      </w:divBdr>
    </w:div>
    <w:div w:id="1982616459">
      <w:marLeft w:val="0"/>
      <w:marRight w:val="0"/>
      <w:marTop w:val="0"/>
      <w:marBottom w:val="0"/>
      <w:divBdr>
        <w:top w:val="none" w:sz="0" w:space="0" w:color="auto"/>
        <w:left w:val="none" w:sz="0" w:space="0" w:color="auto"/>
        <w:bottom w:val="none" w:sz="0" w:space="0" w:color="auto"/>
        <w:right w:val="none" w:sz="0" w:space="0" w:color="auto"/>
      </w:divBdr>
      <w:divsChild>
        <w:div w:id="843786746">
          <w:marLeft w:val="0"/>
          <w:marRight w:val="0"/>
          <w:marTop w:val="0"/>
          <w:marBottom w:val="0"/>
          <w:divBdr>
            <w:top w:val="none" w:sz="0" w:space="0" w:color="auto"/>
            <w:left w:val="none" w:sz="0" w:space="0" w:color="auto"/>
            <w:bottom w:val="none" w:sz="0" w:space="0" w:color="auto"/>
            <w:right w:val="none" w:sz="0" w:space="0" w:color="auto"/>
          </w:divBdr>
        </w:div>
      </w:divsChild>
    </w:div>
    <w:div w:id="1985112705">
      <w:marLeft w:val="0"/>
      <w:marRight w:val="0"/>
      <w:marTop w:val="120"/>
      <w:marBottom w:val="120"/>
      <w:divBdr>
        <w:top w:val="none" w:sz="0" w:space="0" w:color="auto"/>
        <w:left w:val="none" w:sz="0" w:space="0" w:color="auto"/>
        <w:bottom w:val="none" w:sz="0" w:space="0" w:color="auto"/>
        <w:right w:val="none" w:sz="0" w:space="0" w:color="auto"/>
      </w:divBdr>
    </w:div>
    <w:div w:id="1986733841">
      <w:marLeft w:val="0"/>
      <w:marRight w:val="0"/>
      <w:marTop w:val="120"/>
      <w:marBottom w:val="120"/>
      <w:divBdr>
        <w:top w:val="none" w:sz="0" w:space="0" w:color="auto"/>
        <w:left w:val="none" w:sz="0" w:space="0" w:color="auto"/>
        <w:bottom w:val="none" w:sz="0" w:space="0" w:color="auto"/>
        <w:right w:val="none" w:sz="0" w:space="0" w:color="auto"/>
      </w:divBdr>
    </w:div>
    <w:div w:id="1987011849">
      <w:marLeft w:val="0"/>
      <w:marRight w:val="0"/>
      <w:marTop w:val="120"/>
      <w:marBottom w:val="120"/>
      <w:divBdr>
        <w:top w:val="none" w:sz="0" w:space="0" w:color="auto"/>
        <w:left w:val="none" w:sz="0" w:space="0" w:color="auto"/>
        <w:bottom w:val="none" w:sz="0" w:space="0" w:color="auto"/>
        <w:right w:val="none" w:sz="0" w:space="0" w:color="auto"/>
      </w:divBdr>
    </w:div>
    <w:div w:id="1988628962">
      <w:marLeft w:val="0"/>
      <w:marRight w:val="0"/>
      <w:marTop w:val="120"/>
      <w:marBottom w:val="0"/>
      <w:divBdr>
        <w:top w:val="none" w:sz="0" w:space="0" w:color="auto"/>
        <w:left w:val="none" w:sz="0" w:space="0" w:color="auto"/>
        <w:bottom w:val="none" w:sz="0" w:space="0" w:color="auto"/>
        <w:right w:val="none" w:sz="0" w:space="0" w:color="auto"/>
      </w:divBdr>
    </w:div>
    <w:div w:id="1991472984">
      <w:marLeft w:val="0"/>
      <w:marRight w:val="0"/>
      <w:marTop w:val="120"/>
      <w:marBottom w:val="120"/>
      <w:divBdr>
        <w:top w:val="none" w:sz="0" w:space="0" w:color="auto"/>
        <w:left w:val="none" w:sz="0" w:space="0" w:color="auto"/>
        <w:bottom w:val="none" w:sz="0" w:space="0" w:color="auto"/>
        <w:right w:val="none" w:sz="0" w:space="0" w:color="auto"/>
      </w:divBdr>
    </w:div>
    <w:div w:id="2002150848">
      <w:marLeft w:val="0"/>
      <w:marRight w:val="0"/>
      <w:marTop w:val="120"/>
      <w:marBottom w:val="120"/>
      <w:divBdr>
        <w:top w:val="none" w:sz="0" w:space="0" w:color="auto"/>
        <w:left w:val="none" w:sz="0" w:space="0" w:color="auto"/>
        <w:bottom w:val="none" w:sz="0" w:space="0" w:color="auto"/>
        <w:right w:val="none" w:sz="0" w:space="0" w:color="auto"/>
      </w:divBdr>
    </w:div>
    <w:div w:id="2003123958">
      <w:marLeft w:val="0"/>
      <w:marRight w:val="0"/>
      <w:marTop w:val="120"/>
      <w:marBottom w:val="0"/>
      <w:divBdr>
        <w:top w:val="none" w:sz="0" w:space="0" w:color="auto"/>
        <w:left w:val="none" w:sz="0" w:space="0" w:color="auto"/>
        <w:bottom w:val="none" w:sz="0" w:space="0" w:color="auto"/>
        <w:right w:val="none" w:sz="0" w:space="0" w:color="auto"/>
      </w:divBdr>
    </w:div>
    <w:div w:id="2003700159">
      <w:marLeft w:val="0"/>
      <w:marRight w:val="0"/>
      <w:marTop w:val="0"/>
      <w:marBottom w:val="0"/>
      <w:divBdr>
        <w:top w:val="none" w:sz="0" w:space="0" w:color="auto"/>
        <w:left w:val="none" w:sz="0" w:space="0" w:color="auto"/>
        <w:bottom w:val="none" w:sz="0" w:space="0" w:color="auto"/>
        <w:right w:val="none" w:sz="0" w:space="0" w:color="auto"/>
      </w:divBdr>
    </w:div>
    <w:div w:id="2005667474">
      <w:marLeft w:val="0"/>
      <w:marRight w:val="0"/>
      <w:marTop w:val="60"/>
      <w:marBottom w:val="120"/>
      <w:divBdr>
        <w:top w:val="none" w:sz="0" w:space="0" w:color="auto"/>
        <w:left w:val="none" w:sz="0" w:space="0" w:color="auto"/>
        <w:bottom w:val="none" w:sz="0" w:space="0" w:color="auto"/>
        <w:right w:val="none" w:sz="0" w:space="0" w:color="auto"/>
      </w:divBdr>
    </w:div>
    <w:div w:id="2008244682">
      <w:marLeft w:val="0"/>
      <w:marRight w:val="0"/>
      <w:marTop w:val="240"/>
      <w:marBottom w:val="120"/>
      <w:divBdr>
        <w:top w:val="none" w:sz="0" w:space="0" w:color="auto"/>
        <w:left w:val="none" w:sz="0" w:space="0" w:color="auto"/>
        <w:bottom w:val="none" w:sz="0" w:space="0" w:color="auto"/>
        <w:right w:val="none" w:sz="0" w:space="0" w:color="auto"/>
      </w:divBdr>
    </w:div>
    <w:div w:id="2009401993">
      <w:marLeft w:val="0"/>
      <w:marRight w:val="0"/>
      <w:marTop w:val="0"/>
      <w:marBottom w:val="0"/>
      <w:divBdr>
        <w:top w:val="none" w:sz="0" w:space="0" w:color="auto"/>
        <w:left w:val="none" w:sz="0" w:space="0" w:color="auto"/>
        <w:bottom w:val="none" w:sz="0" w:space="0" w:color="auto"/>
        <w:right w:val="none" w:sz="0" w:space="0" w:color="auto"/>
      </w:divBdr>
      <w:divsChild>
        <w:div w:id="1222257039">
          <w:marLeft w:val="0"/>
          <w:marRight w:val="0"/>
          <w:marTop w:val="0"/>
          <w:marBottom w:val="0"/>
          <w:divBdr>
            <w:top w:val="none" w:sz="0" w:space="0" w:color="auto"/>
            <w:left w:val="none" w:sz="0" w:space="0" w:color="auto"/>
            <w:bottom w:val="none" w:sz="0" w:space="0" w:color="auto"/>
            <w:right w:val="none" w:sz="0" w:space="0" w:color="auto"/>
          </w:divBdr>
        </w:div>
      </w:divsChild>
    </w:div>
    <w:div w:id="2010252817">
      <w:marLeft w:val="0"/>
      <w:marRight w:val="0"/>
      <w:marTop w:val="120"/>
      <w:marBottom w:val="120"/>
      <w:divBdr>
        <w:top w:val="none" w:sz="0" w:space="0" w:color="auto"/>
        <w:left w:val="none" w:sz="0" w:space="0" w:color="auto"/>
        <w:bottom w:val="none" w:sz="0" w:space="0" w:color="auto"/>
        <w:right w:val="none" w:sz="0" w:space="0" w:color="auto"/>
      </w:divBdr>
    </w:div>
    <w:div w:id="2011980317">
      <w:marLeft w:val="0"/>
      <w:marRight w:val="0"/>
      <w:marTop w:val="0"/>
      <w:marBottom w:val="0"/>
      <w:divBdr>
        <w:top w:val="none" w:sz="0" w:space="0" w:color="auto"/>
        <w:left w:val="none" w:sz="0" w:space="0" w:color="auto"/>
        <w:bottom w:val="none" w:sz="0" w:space="0" w:color="auto"/>
        <w:right w:val="none" w:sz="0" w:space="0" w:color="auto"/>
      </w:divBdr>
    </w:div>
    <w:div w:id="2013609163">
      <w:marLeft w:val="0"/>
      <w:marRight w:val="0"/>
      <w:marTop w:val="120"/>
      <w:marBottom w:val="0"/>
      <w:divBdr>
        <w:top w:val="none" w:sz="0" w:space="0" w:color="auto"/>
        <w:left w:val="none" w:sz="0" w:space="0" w:color="auto"/>
        <w:bottom w:val="none" w:sz="0" w:space="0" w:color="auto"/>
        <w:right w:val="none" w:sz="0" w:space="0" w:color="auto"/>
      </w:divBdr>
    </w:div>
    <w:div w:id="2013799479">
      <w:marLeft w:val="0"/>
      <w:marRight w:val="0"/>
      <w:marTop w:val="120"/>
      <w:marBottom w:val="0"/>
      <w:divBdr>
        <w:top w:val="none" w:sz="0" w:space="0" w:color="auto"/>
        <w:left w:val="none" w:sz="0" w:space="0" w:color="auto"/>
        <w:bottom w:val="none" w:sz="0" w:space="0" w:color="auto"/>
        <w:right w:val="none" w:sz="0" w:space="0" w:color="auto"/>
      </w:divBdr>
    </w:div>
    <w:div w:id="2016221790">
      <w:marLeft w:val="0"/>
      <w:marRight w:val="0"/>
      <w:marTop w:val="0"/>
      <w:marBottom w:val="0"/>
      <w:divBdr>
        <w:top w:val="none" w:sz="0" w:space="0" w:color="auto"/>
        <w:left w:val="none" w:sz="0" w:space="0" w:color="auto"/>
        <w:bottom w:val="none" w:sz="0" w:space="0" w:color="auto"/>
        <w:right w:val="none" w:sz="0" w:space="0" w:color="auto"/>
      </w:divBdr>
    </w:div>
    <w:div w:id="2021272481">
      <w:marLeft w:val="0"/>
      <w:marRight w:val="0"/>
      <w:marTop w:val="120"/>
      <w:marBottom w:val="0"/>
      <w:divBdr>
        <w:top w:val="none" w:sz="0" w:space="0" w:color="auto"/>
        <w:left w:val="none" w:sz="0" w:space="0" w:color="auto"/>
        <w:bottom w:val="none" w:sz="0" w:space="0" w:color="auto"/>
        <w:right w:val="none" w:sz="0" w:space="0" w:color="auto"/>
      </w:divBdr>
    </w:div>
    <w:div w:id="2021851297">
      <w:marLeft w:val="0"/>
      <w:marRight w:val="0"/>
      <w:marTop w:val="0"/>
      <w:marBottom w:val="0"/>
      <w:divBdr>
        <w:top w:val="none" w:sz="0" w:space="0" w:color="auto"/>
        <w:left w:val="none" w:sz="0" w:space="0" w:color="auto"/>
        <w:bottom w:val="none" w:sz="0" w:space="0" w:color="auto"/>
        <w:right w:val="none" w:sz="0" w:space="0" w:color="auto"/>
      </w:divBdr>
    </w:div>
    <w:div w:id="2032492558">
      <w:marLeft w:val="0"/>
      <w:marRight w:val="0"/>
      <w:marTop w:val="0"/>
      <w:marBottom w:val="0"/>
      <w:divBdr>
        <w:top w:val="none" w:sz="0" w:space="0" w:color="auto"/>
        <w:left w:val="none" w:sz="0" w:space="0" w:color="auto"/>
        <w:bottom w:val="none" w:sz="0" w:space="0" w:color="auto"/>
        <w:right w:val="none" w:sz="0" w:space="0" w:color="auto"/>
      </w:divBdr>
    </w:div>
    <w:div w:id="2032759230">
      <w:marLeft w:val="0"/>
      <w:marRight w:val="0"/>
      <w:marTop w:val="0"/>
      <w:marBottom w:val="0"/>
      <w:divBdr>
        <w:top w:val="none" w:sz="0" w:space="0" w:color="auto"/>
        <w:left w:val="none" w:sz="0" w:space="0" w:color="auto"/>
        <w:bottom w:val="none" w:sz="0" w:space="0" w:color="auto"/>
        <w:right w:val="none" w:sz="0" w:space="0" w:color="auto"/>
      </w:divBdr>
    </w:div>
    <w:div w:id="2033920864">
      <w:marLeft w:val="0"/>
      <w:marRight w:val="0"/>
      <w:marTop w:val="120"/>
      <w:marBottom w:val="0"/>
      <w:divBdr>
        <w:top w:val="none" w:sz="0" w:space="0" w:color="auto"/>
        <w:left w:val="none" w:sz="0" w:space="0" w:color="auto"/>
        <w:bottom w:val="none" w:sz="0" w:space="0" w:color="auto"/>
        <w:right w:val="none" w:sz="0" w:space="0" w:color="auto"/>
      </w:divBdr>
    </w:div>
    <w:div w:id="2035812173">
      <w:marLeft w:val="0"/>
      <w:marRight w:val="0"/>
      <w:marTop w:val="120"/>
      <w:marBottom w:val="0"/>
      <w:divBdr>
        <w:top w:val="none" w:sz="0" w:space="0" w:color="auto"/>
        <w:left w:val="none" w:sz="0" w:space="0" w:color="auto"/>
        <w:bottom w:val="none" w:sz="0" w:space="0" w:color="auto"/>
        <w:right w:val="none" w:sz="0" w:space="0" w:color="auto"/>
      </w:divBdr>
    </w:div>
    <w:div w:id="2037193231">
      <w:marLeft w:val="0"/>
      <w:marRight w:val="0"/>
      <w:marTop w:val="0"/>
      <w:marBottom w:val="0"/>
      <w:divBdr>
        <w:top w:val="none" w:sz="0" w:space="0" w:color="auto"/>
        <w:left w:val="none" w:sz="0" w:space="0" w:color="auto"/>
        <w:bottom w:val="none" w:sz="0" w:space="0" w:color="auto"/>
        <w:right w:val="none" w:sz="0" w:space="0" w:color="auto"/>
      </w:divBdr>
      <w:divsChild>
        <w:div w:id="1453331237">
          <w:marLeft w:val="0"/>
          <w:marRight w:val="0"/>
          <w:marTop w:val="0"/>
          <w:marBottom w:val="0"/>
          <w:divBdr>
            <w:top w:val="none" w:sz="0" w:space="0" w:color="auto"/>
            <w:left w:val="none" w:sz="0" w:space="0" w:color="auto"/>
            <w:bottom w:val="none" w:sz="0" w:space="0" w:color="auto"/>
            <w:right w:val="none" w:sz="0" w:space="0" w:color="auto"/>
          </w:divBdr>
        </w:div>
      </w:divsChild>
    </w:div>
    <w:div w:id="2037923027">
      <w:marLeft w:val="0"/>
      <w:marRight w:val="0"/>
      <w:marTop w:val="120"/>
      <w:marBottom w:val="120"/>
      <w:divBdr>
        <w:top w:val="none" w:sz="0" w:space="0" w:color="auto"/>
        <w:left w:val="none" w:sz="0" w:space="0" w:color="auto"/>
        <w:bottom w:val="none" w:sz="0" w:space="0" w:color="auto"/>
        <w:right w:val="none" w:sz="0" w:space="0" w:color="auto"/>
      </w:divBdr>
    </w:div>
    <w:div w:id="2038001845">
      <w:marLeft w:val="0"/>
      <w:marRight w:val="0"/>
      <w:marTop w:val="120"/>
      <w:marBottom w:val="120"/>
      <w:divBdr>
        <w:top w:val="none" w:sz="0" w:space="0" w:color="auto"/>
        <w:left w:val="none" w:sz="0" w:space="0" w:color="auto"/>
        <w:bottom w:val="none" w:sz="0" w:space="0" w:color="auto"/>
        <w:right w:val="none" w:sz="0" w:space="0" w:color="auto"/>
      </w:divBdr>
    </w:div>
    <w:div w:id="2038460319">
      <w:marLeft w:val="0"/>
      <w:marRight w:val="0"/>
      <w:marTop w:val="120"/>
      <w:marBottom w:val="0"/>
      <w:divBdr>
        <w:top w:val="none" w:sz="0" w:space="0" w:color="auto"/>
        <w:left w:val="none" w:sz="0" w:space="0" w:color="auto"/>
        <w:bottom w:val="none" w:sz="0" w:space="0" w:color="auto"/>
        <w:right w:val="none" w:sz="0" w:space="0" w:color="auto"/>
      </w:divBdr>
    </w:div>
    <w:div w:id="2042781330">
      <w:marLeft w:val="0"/>
      <w:marRight w:val="0"/>
      <w:marTop w:val="120"/>
      <w:marBottom w:val="120"/>
      <w:divBdr>
        <w:top w:val="none" w:sz="0" w:space="0" w:color="auto"/>
        <w:left w:val="none" w:sz="0" w:space="0" w:color="auto"/>
        <w:bottom w:val="none" w:sz="0" w:space="0" w:color="auto"/>
        <w:right w:val="none" w:sz="0" w:space="0" w:color="auto"/>
      </w:divBdr>
    </w:div>
    <w:div w:id="2043434170">
      <w:marLeft w:val="0"/>
      <w:marRight w:val="0"/>
      <w:marTop w:val="120"/>
      <w:marBottom w:val="0"/>
      <w:divBdr>
        <w:top w:val="none" w:sz="0" w:space="0" w:color="auto"/>
        <w:left w:val="none" w:sz="0" w:space="0" w:color="auto"/>
        <w:bottom w:val="none" w:sz="0" w:space="0" w:color="auto"/>
        <w:right w:val="none" w:sz="0" w:space="0" w:color="auto"/>
      </w:divBdr>
    </w:div>
    <w:div w:id="2043625619">
      <w:marLeft w:val="0"/>
      <w:marRight w:val="0"/>
      <w:marTop w:val="0"/>
      <w:marBottom w:val="0"/>
      <w:divBdr>
        <w:top w:val="none" w:sz="0" w:space="0" w:color="auto"/>
        <w:left w:val="none" w:sz="0" w:space="0" w:color="auto"/>
        <w:bottom w:val="none" w:sz="0" w:space="0" w:color="auto"/>
        <w:right w:val="none" w:sz="0" w:space="0" w:color="auto"/>
      </w:divBdr>
    </w:div>
    <w:div w:id="2043899357">
      <w:marLeft w:val="0"/>
      <w:marRight w:val="0"/>
      <w:marTop w:val="120"/>
      <w:marBottom w:val="0"/>
      <w:divBdr>
        <w:top w:val="none" w:sz="0" w:space="0" w:color="auto"/>
        <w:left w:val="none" w:sz="0" w:space="0" w:color="auto"/>
        <w:bottom w:val="none" w:sz="0" w:space="0" w:color="auto"/>
        <w:right w:val="none" w:sz="0" w:space="0" w:color="auto"/>
      </w:divBdr>
    </w:div>
    <w:div w:id="2045977684">
      <w:marLeft w:val="0"/>
      <w:marRight w:val="0"/>
      <w:marTop w:val="0"/>
      <w:marBottom w:val="120"/>
      <w:divBdr>
        <w:top w:val="none" w:sz="0" w:space="0" w:color="auto"/>
        <w:left w:val="none" w:sz="0" w:space="0" w:color="auto"/>
        <w:bottom w:val="none" w:sz="0" w:space="0" w:color="auto"/>
        <w:right w:val="none" w:sz="0" w:space="0" w:color="auto"/>
      </w:divBdr>
    </w:div>
    <w:div w:id="2046051985">
      <w:marLeft w:val="0"/>
      <w:marRight w:val="0"/>
      <w:marTop w:val="0"/>
      <w:marBottom w:val="0"/>
      <w:divBdr>
        <w:top w:val="none" w:sz="0" w:space="0" w:color="auto"/>
        <w:left w:val="none" w:sz="0" w:space="0" w:color="auto"/>
        <w:bottom w:val="none" w:sz="0" w:space="0" w:color="auto"/>
        <w:right w:val="none" w:sz="0" w:space="0" w:color="auto"/>
      </w:divBdr>
      <w:divsChild>
        <w:div w:id="462160802">
          <w:marLeft w:val="0"/>
          <w:marRight w:val="0"/>
          <w:marTop w:val="0"/>
          <w:marBottom w:val="0"/>
          <w:divBdr>
            <w:top w:val="none" w:sz="0" w:space="0" w:color="auto"/>
            <w:left w:val="none" w:sz="0" w:space="0" w:color="auto"/>
            <w:bottom w:val="none" w:sz="0" w:space="0" w:color="auto"/>
            <w:right w:val="none" w:sz="0" w:space="0" w:color="auto"/>
          </w:divBdr>
        </w:div>
      </w:divsChild>
    </w:div>
    <w:div w:id="2048794092">
      <w:marLeft w:val="0"/>
      <w:marRight w:val="0"/>
      <w:marTop w:val="180"/>
      <w:marBottom w:val="180"/>
      <w:divBdr>
        <w:top w:val="none" w:sz="0" w:space="0" w:color="auto"/>
        <w:left w:val="none" w:sz="0" w:space="0" w:color="auto"/>
        <w:bottom w:val="none" w:sz="0" w:space="0" w:color="auto"/>
        <w:right w:val="none" w:sz="0" w:space="0" w:color="auto"/>
      </w:divBdr>
    </w:div>
    <w:div w:id="2054114642">
      <w:marLeft w:val="0"/>
      <w:marRight w:val="0"/>
      <w:marTop w:val="120"/>
      <w:marBottom w:val="0"/>
      <w:divBdr>
        <w:top w:val="none" w:sz="0" w:space="0" w:color="auto"/>
        <w:left w:val="none" w:sz="0" w:space="0" w:color="auto"/>
        <w:bottom w:val="none" w:sz="0" w:space="0" w:color="auto"/>
        <w:right w:val="none" w:sz="0" w:space="0" w:color="auto"/>
      </w:divBdr>
    </w:div>
    <w:div w:id="2054501973">
      <w:marLeft w:val="0"/>
      <w:marRight w:val="0"/>
      <w:marTop w:val="120"/>
      <w:marBottom w:val="120"/>
      <w:divBdr>
        <w:top w:val="none" w:sz="0" w:space="0" w:color="auto"/>
        <w:left w:val="none" w:sz="0" w:space="0" w:color="auto"/>
        <w:bottom w:val="none" w:sz="0" w:space="0" w:color="auto"/>
        <w:right w:val="none" w:sz="0" w:space="0" w:color="auto"/>
      </w:divBdr>
    </w:div>
    <w:div w:id="2056344769">
      <w:marLeft w:val="0"/>
      <w:marRight w:val="0"/>
      <w:marTop w:val="120"/>
      <w:marBottom w:val="120"/>
      <w:divBdr>
        <w:top w:val="none" w:sz="0" w:space="0" w:color="auto"/>
        <w:left w:val="none" w:sz="0" w:space="0" w:color="auto"/>
        <w:bottom w:val="none" w:sz="0" w:space="0" w:color="auto"/>
        <w:right w:val="none" w:sz="0" w:space="0" w:color="auto"/>
      </w:divBdr>
    </w:div>
    <w:div w:id="2057004033">
      <w:marLeft w:val="0"/>
      <w:marRight w:val="0"/>
      <w:marTop w:val="120"/>
      <w:marBottom w:val="120"/>
      <w:divBdr>
        <w:top w:val="none" w:sz="0" w:space="0" w:color="auto"/>
        <w:left w:val="none" w:sz="0" w:space="0" w:color="auto"/>
        <w:bottom w:val="none" w:sz="0" w:space="0" w:color="auto"/>
        <w:right w:val="none" w:sz="0" w:space="0" w:color="auto"/>
      </w:divBdr>
    </w:div>
    <w:div w:id="2058504866">
      <w:marLeft w:val="0"/>
      <w:marRight w:val="0"/>
      <w:marTop w:val="120"/>
      <w:marBottom w:val="120"/>
      <w:divBdr>
        <w:top w:val="none" w:sz="0" w:space="0" w:color="auto"/>
        <w:left w:val="none" w:sz="0" w:space="0" w:color="auto"/>
        <w:bottom w:val="none" w:sz="0" w:space="0" w:color="auto"/>
        <w:right w:val="none" w:sz="0" w:space="0" w:color="auto"/>
      </w:divBdr>
    </w:div>
    <w:div w:id="2058583681">
      <w:marLeft w:val="0"/>
      <w:marRight w:val="0"/>
      <w:marTop w:val="0"/>
      <w:marBottom w:val="0"/>
      <w:divBdr>
        <w:top w:val="none" w:sz="0" w:space="0" w:color="auto"/>
        <w:left w:val="none" w:sz="0" w:space="0" w:color="auto"/>
        <w:bottom w:val="none" w:sz="0" w:space="0" w:color="auto"/>
        <w:right w:val="none" w:sz="0" w:space="0" w:color="auto"/>
      </w:divBdr>
      <w:divsChild>
        <w:div w:id="995648158">
          <w:marLeft w:val="0"/>
          <w:marRight w:val="0"/>
          <w:marTop w:val="0"/>
          <w:marBottom w:val="0"/>
          <w:divBdr>
            <w:top w:val="none" w:sz="0" w:space="0" w:color="auto"/>
            <w:left w:val="none" w:sz="0" w:space="0" w:color="auto"/>
            <w:bottom w:val="none" w:sz="0" w:space="0" w:color="auto"/>
            <w:right w:val="none" w:sz="0" w:space="0" w:color="auto"/>
          </w:divBdr>
        </w:div>
      </w:divsChild>
    </w:div>
    <w:div w:id="2060670619">
      <w:marLeft w:val="0"/>
      <w:marRight w:val="0"/>
      <w:marTop w:val="120"/>
      <w:marBottom w:val="120"/>
      <w:divBdr>
        <w:top w:val="none" w:sz="0" w:space="0" w:color="auto"/>
        <w:left w:val="none" w:sz="0" w:space="0" w:color="auto"/>
        <w:bottom w:val="none" w:sz="0" w:space="0" w:color="auto"/>
        <w:right w:val="none" w:sz="0" w:space="0" w:color="auto"/>
      </w:divBdr>
    </w:div>
    <w:div w:id="2061245492">
      <w:marLeft w:val="0"/>
      <w:marRight w:val="0"/>
      <w:marTop w:val="120"/>
      <w:marBottom w:val="120"/>
      <w:divBdr>
        <w:top w:val="none" w:sz="0" w:space="0" w:color="auto"/>
        <w:left w:val="none" w:sz="0" w:space="0" w:color="auto"/>
        <w:bottom w:val="none" w:sz="0" w:space="0" w:color="auto"/>
        <w:right w:val="none" w:sz="0" w:space="0" w:color="auto"/>
      </w:divBdr>
    </w:div>
    <w:div w:id="2063862560">
      <w:marLeft w:val="0"/>
      <w:marRight w:val="0"/>
      <w:marTop w:val="120"/>
      <w:marBottom w:val="120"/>
      <w:divBdr>
        <w:top w:val="none" w:sz="0" w:space="0" w:color="auto"/>
        <w:left w:val="none" w:sz="0" w:space="0" w:color="auto"/>
        <w:bottom w:val="none" w:sz="0" w:space="0" w:color="auto"/>
        <w:right w:val="none" w:sz="0" w:space="0" w:color="auto"/>
      </w:divBdr>
    </w:div>
    <w:div w:id="2067217056">
      <w:marLeft w:val="0"/>
      <w:marRight w:val="0"/>
      <w:marTop w:val="0"/>
      <w:marBottom w:val="0"/>
      <w:divBdr>
        <w:top w:val="none" w:sz="0" w:space="0" w:color="auto"/>
        <w:left w:val="none" w:sz="0" w:space="0" w:color="auto"/>
        <w:bottom w:val="none" w:sz="0" w:space="0" w:color="auto"/>
        <w:right w:val="none" w:sz="0" w:space="0" w:color="auto"/>
      </w:divBdr>
      <w:divsChild>
        <w:div w:id="2085684764">
          <w:marLeft w:val="0"/>
          <w:marRight w:val="0"/>
          <w:marTop w:val="0"/>
          <w:marBottom w:val="0"/>
          <w:divBdr>
            <w:top w:val="none" w:sz="0" w:space="0" w:color="auto"/>
            <w:left w:val="none" w:sz="0" w:space="0" w:color="auto"/>
            <w:bottom w:val="none" w:sz="0" w:space="0" w:color="auto"/>
            <w:right w:val="none" w:sz="0" w:space="0" w:color="auto"/>
          </w:divBdr>
        </w:div>
      </w:divsChild>
    </w:div>
    <w:div w:id="2068989411">
      <w:marLeft w:val="0"/>
      <w:marRight w:val="0"/>
      <w:marTop w:val="0"/>
      <w:marBottom w:val="0"/>
      <w:divBdr>
        <w:top w:val="none" w:sz="0" w:space="0" w:color="auto"/>
        <w:left w:val="none" w:sz="0" w:space="0" w:color="auto"/>
        <w:bottom w:val="none" w:sz="0" w:space="0" w:color="auto"/>
        <w:right w:val="none" w:sz="0" w:space="0" w:color="auto"/>
      </w:divBdr>
      <w:divsChild>
        <w:div w:id="2035761290">
          <w:marLeft w:val="0"/>
          <w:marRight w:val="0"/>
          <w:marTop w:val="0"/>
          <w:marBottom w:val="0"/>
          <w:divBdr>
            <w:top w:val="none" w:sz="0" w:space="0" w:color="auto"/>
            <w:left w:val="none" w:sz="0" w:space="0" w:color="auto"/>
            <w:bottom w:val="none" w:sz="0" w:space="0" w:color="auto"/>
            <w:right w:val="none" w:sz="0" w:space="0" w:color="auto"/>
          </w:divBdr>
        </w:div>
      </w:divsChild>
    </w:div>
    <w:div w:id="2072346274">
      <w:marLeft w:val="0"/>
      <w:marRight w:val="0"/>
      <w:marTop w:val="120"/>
      <w:marBottom w:val="0"/>
      <w:divBdr>
        <w:top w:val="none" w:sz="0" w:space="0" w:color="auto"/>
        <w:left w:val="none" w:sz="0" w:space="0" w:color="auto"/>
        <w:bottom w:val="none" w:sz="0" w:space="0" w:color="auto"/>
        <w:right w:val="none" w:sz="0" w:space="0" w:color="auto"/>
      </w:divBdr>
    </w:div>
    <w:div w:id="2074963374">
      <w:marLeft w:val="0"/>
      <w:marRight w:val="0"/>
      <w:marTop w:val="120"/>
      <w:marBottom w:val="120"/>
      <w:divBdr>
        <w:top w:val="none" w:sz="0" w:space="0" w:color="auto"/>
        <w:left w:val="none" w:sz="0" w:space="0" w:color="auto"/>
        <w:bottom w:val="none" w:sz="0" w:space="0" w:color="auto"/>
        <w:right w:val="none" w:sz="0" w:space="0" w:color="auto"/>
      </w:divBdr>
    </w:div>
    <w:div w:id="2075546177">
      <w:marLeft w:val="0"/>
      <w:marRight w:val="0"/>
      <w:marTop w:val="0"/>
      <w:marBottom w:val="0"/>
      <w:divBdr>
        <w:top w:val="none" w:sz="0" w:space="0" w:color="auto"/>
        <w:left w:val="none" w:sz="0" w:space="0" w:color="auto"/>
        <w:bottom w:val="none" w:sz="0" w:space="0" w:color="auto"/>
        <w:right w:val="none" w:sz="0" w:space="0" w:color="auto"/>
      </w:divBdr>
      <w:divsChild>
        <w:div w:id="1889412172">
          <w:marLeft w:val="0"/>
          <w:marRight w:val="0"/>
          <w:marTop w:val="0"/>
          <w:marBottom w:val="0"/>
          <w:divBdr>
            <w:top w:val="none" w:sz="0" w:space="0" w:color="auto"/>
            <w:left w:val="none" w:sz="0" w:space="0" w:color="auto"/>
            <w:bottom w:val="none" w:sz="0" w:space="0" w:color="auto"/>
            <w:right w:val="none" w:sz="0" w:space="0" w:color="auto"/>
          </w:divBdr>
        </w:div>
      </w:divsChild>
    </w:div>
    <w:div w:id="2077583049">
      <w:marLeft w:val="0"/>
      <w:marRight w:val="0"/>
      <w:marTop w:val="120"/>
      <w:marBottom w:val="120"/>
      <w:divBdr>
        <w:top w:val="none" w:sz="0" w:space="0" w:color="auto"/>
        <w:left w:val="none" w:sz="0" w:space="0" w:color="auto"/>
        <w:bottom w:val="none" w:sz="0" w:space="0" w:color="auto"/>
        <w:right w:val="none" w:sz="0" w:space="0" w:color="auto"/>
      </w:divBdr>
    </w:div>
    <w:div w:id="2082679247">
      <w:marLeft w:val="0"/>
      <w:marRight w:val="0"/>
      <w:marTop w:val="120"/>
      <w:marBottom w:val="120"/>
      <w:divBdr>
        <w:top w:val="none" w:sz="0" w:space="0" w:color="auto"/>
        <w:left w:val="none" w:sz="0" w:space="0" w:color="auto"/>
        <w:bottom w:val="none" w:sz="0" w:space="0" w:color="auto"/>
        <w:right w:val="none" w:sz="0" w:space="0" w:color="auto"/>
      </w:divBdr>
    </w:div>
    <w:div w:id="2083676384">
      <w:marLeft w:val="0"/>
      <w:marRight w:val="0"/>
      <w:marTop w:val="0"/>
      <w:marBottom w:val="0"/>
      <w:divBdr>
        <w:top w:val="none" w:sz="0" w:space="0" w:color="auto"/>
        <w:left w:val="none" w:sz="0" w:space="0" w:color="auto"/>
        <w:bottom w:val="none" w:sz="0" w:space="0" w:color="auto"/>
        <w:right w:val="none" w:sz="0" w:space="0" w:color="auto"/>
      </w:divBdr>
      <w:divsChild>
        <w:div w:id="830632988">
          <w:marLeft w:val="0"/>
          <w:marRight w:val="0"/>
          <w:marTop w:val="0"/>
          <w:marBottom w:val="0"/>
          <w:divBdr>
            <w:top w:val="none" w:sz="0" w:space="0" w:color="auto"/>
            <w:left w:val="none" w:sz="0" w:space="0" w:color="auto"/>
            <w:bottom w:val="none" w:sz="0" w:space="0" w:color="auto"/>
            <w:right w:val="none" w:sz="0" w:space="0" w:color="auto"/>
          </w:divBdr>
        </w:div>
      </w:divsChild>
    </w:div>
    <w:div w:id="2087219427">
      <w:marLeft w:val="0"/>
      <w:marRight w:val="0"/>
      <w:marTop w:val="120"/>
      <w:marBottom w:val="0"/>
      <w:divBdr>
        <w:top w:val="none" w:sz="0" w:space="0" w:color="auto"/>
        <w:left w:val="none" w:sz="0" w:space="0" w:color="auto"/>
        <w:bottom w:val="none" w:sz="0" w:space="0" w:color="auto"/>
        <w:right w:val="none" w:sz="0" w:space="0" w:color="auto"/>
      </w:divBdr>
    </w:div>
    <w:div w:id="2088261542">
      <w:marLeft w:val="0"/>
      <w:marRight w:val="0"/>
      <w:marTop w:val="120"/>
      <w:marBottom w:val="60"/>
      <w:divBdr>
        <w:top w:val="none" w:sz="0" w:space="0" w:color="auto"/>
        <w:left w:val="none" w:sz="0" w:space="0" w:color="auto"/>
        <w:bottom w:val="none" w:sz="0" w:space="0" w:color="auto"/>
        <w:right w:val="none" w:sz="0" w:space="0" w:color="auto"/>
      </w:divBdr>
      <w:divsChild>
        <w:div w:id="1460563407">
          <w:marLeft w:val="0"/>
          <w:marRight w:val="0"/>
          <w:marTop w:val="0"/>
          <w:marBottom w:val="0"/>
          <w:divBdr>
            <w:top w:val="none" w:sz="0" w:space="0" w:color="auto"/>
            <w:left w:val="none" w:sz="0" w:space="0" w:color="auto"/>
            <w:bottom w:val="none" w:sz="0" w:space="0" w:color="auto"/>
            <w:right w:val="none" w:sz="0" w:space="0" w:color="auto"/>
          </w:divBdr>
        </w:div>
      </w:divsChild>
    </w:div>
    <w:div w:id="2093500676">
      <w:marLeft w:val="0"/>
      <w:marRight w:val="0"/>
      <w:marTop w:val="120"/>
      <w:marBottom w:val="0"/>
      <w:divBdr>
        <w:top w:val="none" w:sz="0" w:space="0" w:color="auto"/>
        <w:left w:val="none" w:sz="0" w:space="0" w:color="auto"/>
        <w:bottom w:val="none" w:sz="0" w:space="0" w:color="auto"/>
        <w:right w:val="none" w:sz="0" w:space="0" w:color="auto"/>
      </w:divBdr>
    </w:div>
    <w:div w:id="2095277002">
      <w:marLeft w:val="0"/>
      <w:marRight w:val="0"/>
      <w:marTop w:val="120"/>
      <w:marBottom w:val="0"/>
      <w:divBdr>
        <w:top w:val="none" w:sz="0" w:space="0" w:color="auto"/>
        <w:left w:val="none" w:sz="0" w:space="0" w:color="auto"/>
        <w:bottom w:val="none" w:sz="0" w:space="0" w:color="auto"/>
        <w:right w:val="none" w:sz="0" w:space="0" w:color="auto"/>
      </w:divBdr>
    </w:div>
    <w:div w:id="2096246360">
      <w:marLeft w:val="0"/>
      <w:marRight w:val="0"/>
      <w:marTop w:val="120"/>
      <w:marBottom w:val="0"/>
      <w:divBdr>
        <w:top w:val="none" w:sz="0" w:space="0" w:color="auto"/>
        <w:left w:val="none" w:sz="0" w:space="0" w:color="auto"/>
        <w:bottom w:val="none" w:sz="0" w:space="0" w:color="auto"/>
        <w:right w:val="none" w:sz="0" w:space="0" w:color="auto"/>
      </w:divBdr>
    </w:div>
    <w:div w:id="2099717727">
      <w:marLeft w:val="0"/>
      <w:marRight w:val="0"/>
      <w:marTop w:val="120"/>
      <w:marBottom w:val="0"/>
      <w:divBdr>
        <w:top w:val="none" w:sz="0" w:space="0" w:color="auto"/>
        <w:left w:val="none" w:sz="0" w:space="0" w:color="auto"/>
        <w:bottom w:val="none" w:sz="0" w:space="0" w:color="auto"/>
        <w:right w:val="none" w:sz="0" w:space="0" w:color="auto"/>
      </w:divBdr>
    </w:div>
    <w:div w:id="2100589917">
      <w:marLeft w:val="0"/>
      <w:marRight w:val="0"/>
      <w:marTop w:val="0"/>
      <w:marBottom w:val="0"/>
      <w:divBdr>
        <w:top w:val="none" w:sz="0" w:space="0" w:color="auto"/>
        <w:left w:val="none" w:sz="0" w:space="0" w:color="auto"/>
        <w:bottom w:val="none" w:sz="0" w:space="0" w:color="auto"/>
        <w:right w:val="none" w:sz="0" w:space="0" w:color="auto"/>
      </w:divBdr>
      <w:divsChild>
        <w:div w:id="747920250">
          <w:marLeft w:val="0"/>
          <w:marRight w:val="0"/>
          <w:marTop w:val="0"/>
          <w:marBottom w:val="0"/>
          <w:divBdr>
            <w:top w:val="none" w:sz="0" w:space="0" w:color="auto"/>
            <w:left w:val="none" w:sz="0" w:space="0" w:color="auto"/>
            <w:bottom w:val="none" w:sz="0" w:space="0" w:color="auto"/>
            <w:right w:val="none" w:sz="0" w:space="0" w:color="auto"/>
          </w:divBdr>
        </w:div>
      </w:divsChild>
    </w:div>
    <w:div w:id="2100909297">
      <w:marLeft w:val="0"/>
      <w:marRight w:val="0"/>
      <w:marTop w:val="120"/>
      <w:marBottom w:val="0"/>
      <w:divBdr>
        <w:top w:val="none" w:sz="0" w:space="0" w:color="auto"/>
        <w:left w:val="none" w:sz="0" w:space="0" w:color="auto"/>
        <w:bottom w:val="none" w:sz="0" w:space="0" w:color="auto"/>
        <w:right w:val="none" w:sz="0" w:space="0" w:color="auto"/>
      </w:divBdr>
    </w:div>
    <w:div w:id="2101641134">
      <w:marLeft w:val="0"/>
      <w:marRight w:val="0"/>
      <w:marTop w:val="120"/>
      <w:marBottom w:val="0"/>
      <w:divBdr>
        <w:top w:val="none" w:sz="0" w:space="0" w:color="auto"/>
        <w:left w:val="none" w:sz="0" w:space="0" w:color="auto"/>
        <w:bottom w:val="none" w:sz="0" w:space="0" w:color="auto"/>
        <w:right w:val="none" w:sz="0" w:space="0" w:color="auto"/>
      </w:divBdr>
    </w:div>
    <w:div w:id="2101833969">
      <w:marLeft w:val="0"/>
      <w:marRight w:val="0"/>
      <w:marTop w:val="120"/>
      <w:marBottom w:val="0"/>
      <w:divBdr>
        <w:top w:val="none" w:sz="0" w:space="0" w:color="auto"/>
        <w:left w:val="none" w:sz="0" w:space="0" w:color="auto"/>
        <w:bottom w:val="none" w:sz="0" w:space="0" w:color="auto"/>
        <w:right w:val="none" w:sz="0" w:space="0" w:color="auto"/>
      </w:divBdr>
    </w:div>
    <w:div w:id="2103530133">
      <w:marLeft w:val="0"/>
      <w:marRight w:val="0"/>
      <w:marTop w:val="0"/>
      <w:marBottom w:val="120"/>
      <w:divBdr>
        <w:top w:val="none" w:sz="0" w:space="0" w:color="auto"/>
        <w:left w:val="none" w:sz="0" w:space="0" w:color="auto"/>
        <w:bottom w:val="none" w:sz="0" w:space="0" w:color="auto"/>
        <w:right w:val="none" w:sz="0" w:space="0" w:color="auto"/>
      </w:divBdr>
    </w:div>
    <w:div w:id="2109617343">
      <w:marLeft w:val="0"/>
      <w:marRight w:val="0"/>
      <w:marTop w:val="0"/>
      <w:marBottom w:val="0"/>
      <w:divBdr>
        <w:top w:val="none" w:sz="0" w:space="0" w:color="auto"/>
        <w:left w:val="none" w:sz="0" w:space="0" w:color="auto"/>
        <w:bottom w:val="none" w:sz="0" w:space="0" w:color="auto"/>
        <w:right w:val="none" w:sz="0" w:space="0" w:color="auto"/>
      </w:divBdr>
      <w:divsChild>
        <w:div w:id="1113864576">
          <w:marLeft w:val="0"/>
          <w:marRight w:val="0"/>
          <w:marTop w:val="0"/>
          <w:marBottom w:val="0"/>
          <w:divBdr>
            <w:top w:val="none" w:sz="0" w:space="0" w:color="auto"/>
            <w:left w:val="none" w:sz="0" w:space="0" w:color="auto"/>
            <w:bottom w:val="none" w:sz="0" w:space="0" w:color="auto"/>
            <w:right w:val="none" w:sz="0" w:space="0" w:color="auto"/>
          </w:divBdr>
        </w:div>
      </w:divsChild>
    </w:div>
    <w:div w:id="2111580874">
      <w:marLeft w:val="0"/>
      <w:marRight w:val="0"/>
      <w:marTop w:val="0"/>
      <w:marBottom w:val="0"/>
      <w:divBdr>
        <w:top w:val="none" w:sz="0" w:space="0" w:color="auto"/>
        <w:left w:val="none" w:sz="0" w:space="0" w:color="auto"/>
        <w:bottom w:val="none" w:sz="0" w:space="0" w:color="auto"/>
        <w:right w:val="none" w:sz="0" w:space="0" w:color="auto"/>
      </w:divBdr>
    </w:div>
    <w:div w:id="2112817550">
      <w:marLeft w:val="0"/>
      <w:marRight w:val="0"/>
      <w:marTop w:val="120"/>
      <w:marBottom w:val="120"/>
      <w:divBdr>
        <w:top w:val="none" w:sz="0" w:space="0" w:color="auto"/>
        <w:left w:val="none" w:sz="0" w:space="0" w:color="auto"/>
        <w:bottom w:val="none" w:sz="0" w:space="0" w:color="auto"/>
        <w:right w:val="none" w:sz="0" w:space="0" w:color="auto"/>
      </w:divBdr>
    </w:div>
    <w:div w:id="2115897388">
      <w:marLeft w:val="0"/>
      <w:marRight w:val="0"/>
      <w:marTop w:val="120"/>
      <w:marBottom w:val="0"/>
      <w:divBdr>
        <w:top w:val="none" w:sz="0" w:space="0" w:color="auto"/>
        <w:left w:val="none" w:sz="0" w:space="0" w:color="auto"/>
        <w:bottom w:val="none" w:sz="0" w:space="0" w:color="auto"/>
        <w:right w:val="none" w:sz="0" w:space="0" w:color="auto"/>
      </w:divBdr>
    </w:div>
    <w:div w:id="2116630029">
      <w:marLeft w:val="0"/>
      <w:marRight w:val="0"/>
      <w:marTop w:val="120"/>
      <w:marBottom w:val="0"/>
      <w:divBdr>
        <w:top w:val="none" w:sz="0" w:space="0" w:color="auto"/>
        <w:left w:val="none" w:sz="0" w:space="0" w:color="auto"/>
        <w:bottom w:val="none" w:sz="0" w:space="0" w:color="auto"/>
        <w:right w:val="none" w:sz="0" w:space="0" w:color="auto"/>
      </w:divBdr>
    </w:div>
    <w:div w:id="2116710527">
      <w:marLeft w:val="0"/>
      <w:marRight w:val="0"/>
      <w:marTop w:val="0"/>
      <w:marBottom w:val="0"/>
      <w:divBdr>
        <w:top w:val="none" w:sz="0" w:space="0" w:color="auto"/>
        <w:left w:val="none" w:sz="0" w:space="0" w:color="auto"/>
        <w:bottom w:val="none" w:sz="0" w:space="0" w:color="auto"/>
        <w:right w:val="none" w:sz="0" w:space="0" w:color="auto"/>
      </w:divBdr>
    </w:div>
    <w:div w:id="2117172913">
      <w:marLeft w:val="0"/>
      <w:marRight w:val="0"/>
      <w:marTop w:val="120"/>
      <w:marBottom w:val="0"/>
      <w:divBdr>
        <w:top w:val="none" w:sz="0" w:space="0" w:color="auto"/>
        <w:left w:val="none" w:sz="0" w:space="0" w:color="auto"/>
        <w:bottom w:val="none" w:sz="0" w:space="0" w:color="auto"/>
        <w:right w:val="none" w:sz="0" w:space="0" w:color="auto"/>
      </w:divBdr>
    </w:div>
    <w:div w:id="2119596328">
      <w:marLeft w:val="0"/>
      <w:marRight w:val="0"/>
      <w:marTop w:val="120"/>
      <w:marBottom w:val="0"/>
      <w:divBdr>
        <w:top w:val="none" w:sz="0" w:space="0" w:color="auto"/>
        <w:left w:val="none" w:sz="0" w:space="0" w:color="auto"/>
        <w:bottom w:val="none" w:sz="0" w:space="0" w:color="auto"/>
        <w:right w:val="none" w:sz="0" w:space="0" w:color="auto"/>
      </w:divBdr>
    </w:div>
    <w:div w:id="2121485599">
      <w:marLeft w:val="0"/>
      <w:marRight w:val="0"/>
      <w:marTop w:val="120"/>
      <w:marBottom w:val="0"/>
      <w:divBdr>
        <w:top w:val="none" w:sz="0" w:space="0" w:color="auto"/>
        <w:left w:val="none" w:sz="0" w:space="0" w:color="auto"/>
        <w:bottom w:val="none" w:sz="0" w:space="0" w:color="auto"/>
        <w:right w:val="none" w:sz="0" w:space="0" w:color="auto"/>
      </w:divBdr>
    </w:div>
    <w:div w:id="2122187037">
      <w:marLeft w:val="0"/>
      <w:marRight w:val="0"/>
      <w:marTop w:val="0"/>
      <w:marBottom w:val="120"/>
      <w:divBdr>
        <w:top w:val="none" w:sz="0" w:space="0" w:color="auto"/>
        <w:left w:val="none" w:sz="0" w:space="0" w:color="auto"/>
        <w:bottom w:val="none" w:sz="0" w:space="0" w:color="auto"/>
        <w:right w:val="none" w:sz="0" w:space="0" w:color="auto"/>
      </w:divBdr>
    </w:div>
    <w:div w:id="2124184959">
      <w:marLeft w:val="0"/>
      <w:marRight w:val="0"/>
      <w:marTop w:val="120"/>
      <w:marBottom w:val="120"/>
      <w:divBdr>
        <w:top w:val="none" w:sz="0" w:space="0" w:color="auto"/>
        <w:left w:val="none" w:sz="0" w:space="0" w:color="auto"/>
        <w:bottom w:val="none" w:sz="0" w:space="0" w:color="auto"/>
        <w:right w:val="none" w:sz="0" w:space="0" w:color="auto"/>
      </w:divBdr>
    </w:div>
    <w:div w:id="2124421548">
      <w:marLeft w:val="0"/>
      <w:marRight w:val="0"/>
      <w:marTop w:val="120"/>
      <w:marBottom w:val="120"/>
      <w:divBdr>
        <w:top w:val="none" w:sz="0" w:space="0" w:color="auto"/>
        <w:left w:val="none" w:sz="0" w:space="0" w:color="auto"/>
        <w:bottom w:val="none" w:sz="0" w:space="0" w:color="auto"/>
        <w:right w:val="none" w:sz="0" w:space="0" w:color="auto"/>
      </w:divBdr>
    </w:div>
    <w:div w:id="2126651094">
      <w:marLeft w:val="0"/>
      <w:marRight w:val="0"/>
      <w:marTop w:val="180"/>
      <w:marBottom w:val="120"/>
      <w:divBdr>
        <w:top w:val="none" w:sz="0" w:space="0" w:color="auto"/>
        <w:left w:val="none" w:sz="0" w:space="0" w:color="auto"/>
        <w:bottom w:val="none" w:sz="0" w:space="0" w:color="auto"/>
        <w:right w:val="none" w:sz="0" w:space="0" w:color="auto"/>
      </w:divBdr>
    </w:div>
    <w:div w:id="2128813350">
      <w:marLeft w:val="0"/>
      <w:marRight w:val="0"/>
      <w:marTop w:val="120"/>
      <w:marBottom w:val="0"/>
      <w:divBdr>
        <w:top w:val="none" w:sz="0" w:space="0" w:color="auto"/>
        <w:left w:val="none" w:sz="0" w:space="0" w:color="auto"/>
        <w:bottom w:val="none" w:sz="0" w:space="0" w:color="auto"/>
        <w:right w:val="none" w:sz="0" w:space="0" w:color="auto"/>
      </w:divBdr>
    </w:div>
    <w:div w:id="2129271780">
      <w:marLeft w:val="0"/>
      <w:marRight w:val="0"/>
      <w:marTop w:val="0"/>
      <w:marBottom w:val="120"/>
      <w:divBdr>
        <w:top w:val="none" w:sz="0" w:space="0" w:color="auto"/>
        <w:left w:val="none" w:sz="0" w:space="0" w:color="auto"/>
        <w:bottom w:val="none" w:sz="0" w:space="0" w:color="auto"/>
        <w:right w:val="none" w:sz="0" w:space="0" w:color="auto"/>
      </w:divBdr>
    </w:div>
    <w:div w:id="2133090251">
      <w:marLeft w:val="0"/>
      <w:marRight w:val="0"/>
      <w:marTop w:val="120"/>
      <w:marBottom w:val="0"/>
      <w:divBdr>
        <w:top w:val="none" w:sz="0" w:space="0" w:color="auto"/>
        <w:left w:val="none" w:sz="0" w:space="0" w:color="auto"/>
        <w:bottom w:val="none" w:sz="0" w:space="0" w:color="auto"/>
        <w:right w:val="none" w:sz="0" w:space="0" w:color="auto"/>
      </w:divBdr>
    </w:div>
    <w:div w:id="2137140141">
      <w:marLeft w:val="0"/>
      <w:marRight w:val="0"/>
      <w:marTop w:val="120"/>
      <w:marBottom w:val="120"/>
      <w:divBdr>
        <w:top w:val="none" w:sz="0" w:space="0" w:color="auto"/>
        <w:left w:val="none" w:sz="0" w:space="0" w:color="auto"/>
        <w:bottom w:val="none" w:sz="0" w:space="0" w:color="auto"/>
        <w:right w:val="none" w:sz="0" w:space="0" w:color="auto"/>
      </w:divBdr>
    </w:div>
    <w:div w:id="2137943463">
      <w:marLeft w:val="0"/>
      <w:marRight w:val="0"/>
      <w:marTop w:val="120"/>
      <w:marBottom w:val="0"/>
      <w:divBdr>
        <w:top w:val="none" w:sz="0" w:space="0" w:color="auto"/>
        <w:left w:val="none" w:sz="0" w:space="0" w:color="auto"/>
        <w:bottom w:val="none" w:sz="0" w:space="0" w:color="auto"/>
        <w:right w:val="none" w:sz="0" w:space="0" w:color="auto"/>
      </w:divBdr>
    </w:div>
    <w:div w:id="2140761455">
      <w:marLeft w:val="0"/>
      <w:marRight w:val="0"/>
      <w:marTop w:val="180"/>
      <w:marBottom w:val="120"/>
      <w:divBdr>
        <w:top w:val="none" w:sz="0" w:space="0" w:color="auto"/>
        <w:left w:val="none" w:sz="0" w:space="0" w:color="auto"/>
        <w:bottom w:val="none" w:sz="0" w:space="0" w:color="auto"/>
        <w:right w:val="none" w:sz="0" w:space="0" w:color="auto"/>
      </w:divBdr>
    </w:div>
    <w:div w:id="2145349049">
      <w:marLeft w:val="0"/>
      <w:marRight w:val="0"/>
      <w:marTop w:val="180"/>
      <w:marBottom w:val="0"/>
      <w:divBdr>
        <w:top w:val="none" w:sz="0" w:space="0" w:color="auto"/>
        <w:left w:val="none" w:sz="0" w:space="0" w:color="auto"/>
        <w:bottom w:val="none" w:sz="0" w:space="0" w:color="auto"/>
        <w:right w:val="none" w:sz="0" w:space="0" w:color="auto"/>
      </w:divBdr>
    </w:div>
    <w:div w:id="2146505912">
      <w:marLeft w:val="0"/>
      <w:marRight w:val="0"/>
      <w:marTop w:val="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804328/000110465922057562/tm2213834d4_ex4-2.htm" TargetMode="External"/><Relationship Id="rId21" Type="http://schemas.openxmlformats.org/officeDocument/2006/relationships/hyperlink" Target="http://www.sec.gov/Archives/edgar/data/804328/000110465920096322/tm2027698d1_ex4-3.htm" TargetMode="External"/><Relationship Id="rId42" Type="http://schemas.openxmlformats.org/officeDocument/2006/relationships/hyperlink" Target="http://www.sec.gov/Archives/edgar/data/804328/000172894921000076/qcom092621ex1022.htm" TargetMode="External"/><Relationship Id="rId47" Type="http://schemas.openxmlformats.org/officeDocument/2006/relationships/hyperlink" Target="http://www.sec.gov/Archives/edgar/data/804328/000080432823000006/qcom122522ex1025.htm" TargetMode="External"/><Relationship Id="rId63" Type="http://schemas.openxmlformats.org/officeDocument/2006/relationships/hyperlink" Target="qcom092423ex1019.htm" TargetMode="External"/><Relationship Id="rId68" Type="http://schemas.openxmlformats.org/officeDocument/2006/relationships/hyperlink" Target="http://www.sec.gov/Archives/edgar/data/804328/000172894918000039/qcom032518ex1060.htm" TargetMode="External"/><Relationship Id="rId84" Type="http://schemas.openxmlformats.org/officeDocument/2006/relationships/hyperlink" Target="qcom092423ex97.htm" TargetMode="External"/><Relationship Id="rId16" Type="http://schemas.openxmlformats.org/officeDocument/2006/relationships/hyperlink" Target="http://www.sec.gov/Archives/edgar/data/804328/000119312517189502/d383851dex411.htm" TargetMode="External"/><Relationship Id="rId11" Type="http://schemas.openxmlformats.org/officeDocument/2006/relationships/hyperlink" Target="http://www.sec.gov/Archives/edgar/data/804328/000119312515195451/d931327dex49.htm" TargetMode="External"/><Relationship Id="rId32" Type="http://schemas.openxmlformats.org/officeDocument/2006/relationships/hyperlink" Target="https://www.sec.gov/Archives/edgar/data/804328/000172894919000072/qcom092919ex415.htm" TargetMode="External"/><Relationship Id="rId37" Type="http://schemas.openxmlformats.org/officeDocument/2006/relationships/hyperlink" Target="http://www.sec.gov/Archives/edgar/data/804328/000080432823000023/qcom032623ex1026.htm" TargetMode="External"/><Relationship Id="rId53" Type="http://schemas.openxmlformats.org/officeDocument/2006/relationships/hyperlink" Target="http://www.sec.gov/Archives/edgar/data/804328/000080432823000023/qcom032623ex1014.htm" TargetMode="External"/><Relationship Id="rId58" Type="http://schemas.openxmlformats.org/officeDocument/2006/relationships/hyperlink" Target="qcom092423ex1017.htm" TargetMode="External"/><Relationship Id="rId74" Type="http://schemas.openxmlformats.org/officeDocument/2006/relationships/hyperlink" Target="http://www.sec.gov/Archives/edgar/data/804328/000080432823000023/qcom032623ex1027.htm" TargetMode="External"/><Relationship Id="rId79" Type="http://schemas.openxmlformats.org/officeDocument/2006/relationships/hyperlink" Target="qcom092423ex312.htm" TargetMode="External"/><Relationship Id="rId5" Type="http://schemas.openxmlformats.org/officeDocument/2006/relationships/hyperlink" Target="http://www.sec.gov/Archives/edgar/data/804328/000110465921122578/tm2129124d1_ex2-1.htm" TargetMode="External"/><Relationship Id="rId19" Type="http://schemas.openxmlformats.org/officeDocument/2006/relationships/hyperlink" Target="http://www.sec.gov/Archives/edgar/data/804328/000110465920058923/tm2015417d4_ex4-4.htm" TargetMode="External"/><Relationship Id="rId14" Type="http://schemas.openxmlformats.org/officeDocument/2006/relationships/hyperlink" Target="http://www.sec.gov/Archives/edgar/data/804328/000119312517189502/d383851dex49.htm" TargetMode="External"/><Relationship Id="rId22" Type="http://schemas.openxmlformats.org/officeDocument/2006/relationships/hyperlink" Target="http://www.sec.gov/Archives/edgar/data/804328/000110465920096322/tm2027698d1_ex4-5.htm" TargetMode="External"/><Relationship Id="rId27" Type="http://schemas.openxmlformats.org/officeDocument/2006/relationships/hyperlink" Target="http://www.sec.gov/Archives/edgar/data/804328/000110465922057562/tm2213834d4_ex4-3.htm" TargetMode="External"/><Relationship Id="rId30" Type="http://schemas.openxmlformats.org/officeDocument/2006/relationships/hyperlink" Target="http://www.sec.gov/Archives/edgar/data/804328/000110465922116535/tm2230101d1_ex4-3.htm" TargetMode="External"/><Relationship Id="rId35" Type="http://schemas.openxmlformats.org/officeDocument/2006/relationships/hyperlink" Target="http://www.sec.gov/Archives/edgar/data/804328/000172894920000031/qcom03292020ex107.htm" TargetMode="External"/><Relationship Id="rId43" Type="http://schemas.openxmlformats.org/officeDocument/2006/relationships/hyperlink" Target="http://www.sec.gov/Archives/edgar/data/804328/000172894921000076/qcom092621ex1023.htm" TargetMode="External"/><Relationship Id="rId48" Type="http://schemas.openxmlformats.org/officeDocument/2006/relationships/hyperlink" Target="http://www.sec.gov/Archives/edgar/data/804328/000080432823000006/qcom122522ex1025.htm" TargetMode="External"/><Relationship Id="rId56" Type="http://schemas.openxmlformats.org/officeDocument/2006/relationships/hyperlink" Target="http://www.sec.gov/Archives/edgar/data/804328/000172894921000022/qcom122720ex1016.htm" TargetMode="External"/><Relationship Id="rId64" Type="http://schemas.openxmlformats.org/officeDocument/2006/relationships/hyperlink" Target="qcom092423ex1019.htm" TargetMode="External"/><Relationship Id="rId69" Type="http://schemas.openxmlformats.org/officeDocument/2006/relationships/hyperlink" Target="http://www.sec.gov/Archives/edgar/data/804328/000172894918000039/qcom032518ex1060.htm" TargetMode="External"/><Relationship Id="rId77" Type="http://schemas.openxmlformats.org/officeDocument/2006/relationships/hyperlink" Target="qcom092423ex231.htm" TargetMode="External"/><Relationship Id="rId8" Type="http://schemas.openxmlformats.org/officeDocument/2006/relationships/hyperlink" Target="http://www.sec.gov/Archives/edgar/data/804328/000119312515195451/d931327dex41.htm" TargetMode="External"/><Relationship Id="rId51" Type="http://schemas.openxmlformats.org/officeDocument/2006/relationships/hyperlink" Target="http://www.sec.gov/Archives/edgar/data/804328/000080432823000006/qcom122522ex1025.htm" TargetMode="External"/><Relationship Id="rId72" Type="http://schemas.openxmlformats.org/officeDocument/2006/relationships/hyperlink" Target="http://www.sec.gov/Archives/edgar/data/804328/000172894918000039/qcom032518ex1060.htm" TargetMode="External"/><Relationship Id="rId80" Type="http://schemas.openxmlformats.org/officeDocument/2006/relationships/hyperlink" Target="qcom092423ex321.htm" TargetMode="External"/><Relationship Id="rId85" Type="http://schemas.openxmlformats.org/officeDocument/2006/relationships/hyperlink" Target="qcom092423ex97.htm" TargetMode="External"/><Relationship Id="rId3" Type="http://schemas.openxmlformats.org/officeDocument/2006/relationships/webSettings" Target="webSettings.xml"/><Relationship Id="rId12" Type="http://schemas.openxmlformats.org/officeDocument/2006/relationships/hyperlink" Target="http://www.sec.gov/Archives/edgar/data/804328/000119312515195451/d931327dex410.htm" TargetMode="External"/><Relationship Id="rId17" Type="http://schemas.openxmlformats.org/officeDocument/2006/relationships/hyperlink" Target="http://www.sec.gov/Archives/edgar/data/804328/000110465920058923/tm2015417d4_ex4-2.htm" TargetMode="External"/><Relationship Id="rId25" Type="http://schemas.openxmlformats.org/officeDocument/2006/relationships/hyperlink" Target="http://www.sec.gov/Archives/edgar/data/804328/000172894921000022/qcom122720ex425.htm" TargetMode="External"/><Relationship Id="rId33" Type="http://schemas.openxmlformats.org/officeDocument/2006/relationships/hyperlink" Target="http://www.sec.gov/Archives/edgar/data/804328/000080432823000023/qcom032623ex101.htm" TargetMode="External"/><Relationship Id="rId38" Type="http://schemas.openxmlformats.org/officeDocument/2006/relationships/hyperlink" Target="http://www.sec.gov/Archives/edgar/data/804328/000080432823000023/qcom032623ex1026.htm" TargetMode="External"/><Relationship Id="rId46" Type="http://schemas.openxmlformats.org/officeDocument/2006/relationships/hyperlink" Target="http://www.sec.gov/Archives/edgar/data/804328/000080432823000006/qcom122522ex1025.htm" TargetMode="External"/><Relationship Id="rId59" Type="http://schemas.openxmlformats.org/officeDocument/2006/relationships/hyperlink" Target="qcom092423ex1017.htm" TargetMode="External"/><Relationship Id="rId67" Type="http://schemas.openxmlformats.org/officeDocument/2006/relationships/hyperlink" Target="http://www.sec.gov/Archives/edgar/data/804328/000172894918000039/qcom032518ex1060.htm" TargetMode="External"/><Relationship Id="rId20" Type="http://schemas.openxmlformats.org/officeDocument/2006/relationships/hyperlink" Target="http://www.sec.gov/Archives/edgar/data/804328/000110465920096322/tm2027698d1_ex4-2.htm" TargetMode="External"/><Relationship Id="rId41" Type="http://schemas.openxmlformats.org/officeDocument/2006/relationships/hyperlink" Target="http://www.sec.gov/Archives/edgar/data/804328/000172894921000022/qcom122720ex1020.htm" TargetMode="External"/><Relationship Id="rId54" Type="http://schemas.openxmlformats.org/officeDocument/2006/relationships/hyperlink" Target="http://www.sec.gov/Archives/edgar/data/804328/000080432823000023/qcom032623ex1015.htm" TargetMode="External"/><Relationship Id="rId62" Type="http://schemas.openxmlformats.org/officeDocument/2006/relationships/hyperlink" Target="http://www.sec.gov/Archives/edgar/data/804328/000080432822000021/qcom092522ex1019.htm" TargetMode="External"/><Relationship Id="rId70" Type="http://schemas.openxmlformats.org/officeDocument/2006/relationships/hyperlink" Target="http://www.sec.gov/Archives/edgar/data/804328/000172894918000039/qcom032518ex1060.htm" TargetMode="External"/><Relationship Id="rId75" Type="http://schemas.openxmlformats.org/officeDocument/2006/relationships/hyperlink" Target="http://www.sec.gov/Archives/edgar/data/804328/000080432823000023/qcom032623ex1028.htm" TargetMode="External"/><Relationship Id="rId83" Type="http://schemas.openxmlformats.org/officeDocument/2006/relationships/hyperlink" Target="qcom092423ex97.htm"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804328/000172894918000029/qcom04182018ex31.htm" TargetMode="External"/><Relationship Id="rId15" Type="http://schemas.openxmlformats.org/officeDocument/2006/relationships/hyperlink" Target="http://www.sec.gov/Archives/edgar/data/804328/000119312517189502/d383851dex410.htm" TargetMode="External"/><Relationship Id="rId23" Type="http://schemas.openxmlformats.org/officeDocument/2006/relationships/hyperlink" Target="http://www.sec.gov/Archives/edgar/data/804328/000172894921000022/qcom122720ex423.htm" TargetMode="External"/><Relationship Id="rId28" Type="http://schemas.openxmlformats.org/officeDocument/2006/relationships/hyperlink" Target="http://www.sec.gov/Archives/edgar/data/804328/000110465922057562/tm2213834d4_ex4-4.htm" TargetMode="External"/><Relationship Id="rId36" Type="http://schemas.openxmlformats.org/officeDocument/2006/relationships/hyperlink" Target="http://www.sec.gov/Archives/edgar/data/804328/000172894918000039/qcom032518ex1062.htm" TargetMode="External"/><Relationship Id="rId49" Type="http://schemas.openxmlformats.org/officeDocument/2006/relationships/hyperlink" Target="http://www.sec.gov/Archives/edgar/data/804328/000080432823000006/qcom122522ex1025.htm" TargetMode="External"/><Relationship Id="rId57" Type="http://schemas.openxmlformats.org/officeDocument/2006/relationships/hyperlink" Target="qcom092423ex1017.htm" TargetMode="External"/><Relationship Id="rId10" Type="http://schemas.openxmlformats.org/officeDocument/2006/relationships/hyperlink" Target="http://www.sec.gov/Archives/edgar/data/804328/000119312515195451/d931327dex48.htm" TargetMode="External"/><Relationship Id="rId31" Type="http://schemas.openxmlformats.org/officeDocument/2006/relationships/hyperlink" Target="http://www.sec.gov/Archives/edgar/data/804328/000110465922116535/tm2230101d1_ex4-4.htm" TargetMode="External"/><Relationship Id="rId44" Type="http://schemas.openxmlformats.org/officeDocument/2006/relationships/hyperlink" Target="http://www.sec.gov/Archives/edgar/data/804328/000080432823000006/qcom122522ex1023.htm" TargetMode="External"/><Relationship Id="rId52" Type="http://schemas.openxmlformats.org/officeDocument/2006/relationships/hyperlink" Target="http://www.sec.gov/Archives/edgar/data/804328/000080432823000006/qcom122522ex1025.htm" TargetMode="External"/><Relationship Id="rId60" Type="http://schemas.openxmlformats.org/officeDocument/2006/relationships/hyperlink" Target="http://www.sec.gov/Archives/edgar/data/804328/000080432822000021/qcom092522ex1019.htm" TargetMode="External"/><Relationship Id="rId65" Type="http://schemas.openxmlformats.org/officeDocument/2006/relationships/hyperlink" Target="qcom092423ex1019.htm" TargetMode="External"/><Relationship Id="rId73" Type="http://schemas.openxmlformats.org/officeDocument/2006/relationships/hyperlink" Target="http://www.sec.gov/Archives/edgar/data/804328/000172894921000043/qcom032821ex104.htm" TargetMode="External"/><Relationship Id="rId78" Type="http://schemas.openxmlformats.org/officeDocument/2006/relationships/hyperlink" Target="qcom092423ex311.htm" TargetMode="External"/><Relationship Id="rId81" Type="http://schemas.openxmlformats.org/officeDocument/2006/relationships/hyperlink" Target="qcom092423ex322.htm" TargetMode="External"/><Relationship Id="rId86" Type="http://schemas.openxmlformats.org/officeDocument/2006/relationships/hyperlink" Target="qcom092423ex97.htm" TargetMode="External"/><Relationship Id="rId4" Type="http://schemas.openxmlformats.org/officeDocument/2006/relationships/image" Target="file:///E:\projects\LLMs\new_data_collection\data_new\htm\QUALCOMM%20INC\qcom-20230924_g1.jpg" TargetMode="External"/><Relationship Id="rId9" Type="http://schemas.openxmlformats.org/officeDocument/2006/relationships/hyperlink" Target="http://www.sec.gov/Archives/edgar/data/804328/000119312515195451/d931327dex42.htm" TargetMode="External"/><Relationship Id="rId13" Type="http://schemas.openxmlformats.org/officeDocument/2006/relationships/hyperlink" Target="http://www.sec.gov/Archives/edgar/data/804328/000119312517189502/d383851dex42.htm" TargetMode="External"/><Relationship Id="rId18" Type="http://schemas.openxmlformats.org/officeDocument/2006/relationships/hyperlink" Target="http://www.sec.gov/Archives/edgar/data/804328/000110465920058923/tm2015417d4_ex4-3.htm" TargetMode="External"/><Relationship Id="rId39" Type="http://schemas.openxmlformats.org/officeDocument/2006/relationships/hyperlink" Target="http://www.sec.gov/Archives/edgar/data/804328/000080432823000023/qcom032623ex1026.htm" TargetMode="External"/><Relationship Id="rId34" Type="http://schemas.openxmlformats.org/officeDocument/2006/relationships/hyperlink" Target="http://www.sec.gov/Archives/edgar/data/804328/000123445215000271/qcom92715ex101.htm" TargetMode="External"/><Relationship Id="rId50" Type="http://schemas.openxmlformats.org/officeDocument/2006/relationships/hyperlink" Target="http://www.sec.gov/Archives/edgar/data/804328/000080432823000006/qcom122522ex1025.htm" TargetMode="External"/><Relationship Id="rId55" Type="http://schemas.openxmlformats.org/officeDocument/2006/relationships/hyperlink" Target="http://www.sec.gov/Archives/edgar/data/804328/000080432823000023/qcom032623ex1016.htm" TargetMode="External"/><Relationship Id="rId76" Type="http://schemas.openxmlformats.org/officeDocument/2006/relationships/hyperlink" Target="qcom092423ex21.htm" TargetMode="External"/><Relationship Id="rId7" Type="http://schemas.openxmlformats.org/officeDocument/2006/relationships/hyperlink" Target="http://www.sec.gov/Archives/edgar/data/804328/000080432823000033/ex-32amendedandrestatedbyl.htm" TargetMode="External"/><Relationship Id="rId71" Type="http://schemas.openxmlformats.org/officeDocument/2006/relationships/hyperlink" Target="http://www.sec.gov/Archives/edgar/data/804328/000172894918000039/qcom032518ex1060.htm" TargetMode="External"/><Relationship Id="rId2" Type="http://schemas.openxmlformats.org/officeDocument/2006/relationships/settings" Target="settings.xml"/><Relationship Id="rId29" Type="http://schemas.openxmlformats.org/officeDocument/2006/relationships/hyperlink" Target="http://www.sec.gov/Archives/edgar/data/804328/000110465922116535/tm2230101d1_ex4-2.htm" TargetMode="External"/><Relationship Id="rId24" Type="http://schemas.openxmlformats.org/officeDocument/2006/relationships/hyperlink" Target="http://www.sec.gov/Archives/edgar/data/804328/000172894921000022/qcom122720ex424.htm" TargetMode="External"/><Relationship Id="rId40" Type="http://schemas.openxmlformats.org/officeDocument/2006/relationships/hyperlink" Target="http://www.sec.gov/Archives/edgar/data/804328/000172894920000067/qcom092720ex1021.htm" TargetMode="External"/><Relationship Id="rId45" Type="http://schemas.openxmlformats.org/officeDocument/2006/relationships/hyperlink" Target="http://www.sec.gov/Archives/edgar/data/804328/000080432823000006/qcom122522ex1024.htm" TargetMode="External"/><Relationship Id="rId66" Type="http://schemas.openxmlformats.org/officeDocument/2006/relationships/hyperlink" Target="http://www.sec.gov/Archives/edgar/data/804328/000172894918000039/qcom032518ex1060.htm" TargetMode="External"/><Relationship Id="rId87" Type="http://schemas.openxmlformats.org/officeDocument/2006/relationships/fontTable" Target="fontTable.xml"/><Relationship Id="rId61" Type="http://schemas.openxmlformats.org/officeDocument/2006/relationships/hyperlink" Target="http://www.sec.gov/Archives/edgar/data/804328/000080432822000021/qcom092522ex1019.htm" TargetMode="External"/><Relationship Id="rId82" Type="http://schemas.openxmlformats.org/officeDocument/2006/relationships/hyperlink" Target="qcom092423ex9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65022</Words>
  <Characters>370630</Characters>
  <Application>Microsoft Office Word</Application>
  <DocSecurity>0</DocSecurity>
  <Lines>3088</Lines>
  <Paragraphs>869</Paragraphs>
  <ScaleCrop>false</ScaleCrop>
  <Company/>
  <LinksUpToDate>false</LinksUpToDate>
  <CharactersWithSpaces>434783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qcom-20230924</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